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巴州区2022年省级财政养老服务业发展</w:t>
      </w:r>
    </w:p>
    <w:p>
      <w:pPr>
        <w:spacing w:line="57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补助资金使用方案</w:t>
      </w:r>
    </w:p>
    <w:bookmarkEnd w:id="0"/>
    <w:p>
      <w:pPr>
        <w:spacing w:line="570" w:lineRule="exact"/>
        <w:jc w:val="center"/>
        <w:rPr>
          <w:rFonts w:ascii="方正小标宋_GBK" w:hAnsi="方正小标宋_GBK" w:eastAsia="方正小标宋_GBK" w:cs="方正小标宋_GBK"/>
          <w:sz w:val="44"/>
          <w:szCs w:val="44"/>
        </w:rPr>
      </w:pPr>
    </w:p>
    <w:p>
      <w:pPr>
        <w:spacing w:line="570" w:lineRule="exact"/>
        <w:ind w:firstLine="640" w:firstLineChars="200"/>
        <w:rPr>
          <w:rFonts w:eastAsia="方正仿宋_GBK"/>
          <w:sz w:val="32"/>
          <w:szCs w:val="32"/>
        </w:rPr>
      </w:pPr>
      <w:r>
        <w:rPr>
          <w:rFonts w:eastAsia="方正仿宋_GBK"/>
          <w:sz w:val="32"/>
          <w:szCs w:val="32"/>
        </w:rPr>
        <w:t>2022年省级下达巴州区养老服务业发展补助资金共计414万元，其中特殊困难家庭适老化改造项目资金100万元，养老服务发展定向财力转移支付资金314万元，根据《省民政厅关于做好2022年养老服务业发展补助重点项目的通知》《巴中市财政局 巴中市民政局关于下达2022年省级财政养老服务业发展补助资金的通知》要求，结合2022年省市下达我区养老服务体系建设目标任务，制定本方案。</w:t>
      </w:r>
    </w:p>
    <w:p>
      <w:pPr>
        <w:spacing w:line="570" w:lineRule="exact"/>
        <w:ind w:firstLine="640" w:firstLineChars="200"/>
        <w:rPr>
          <w:rFonts w:hint="eastAsia" w:ascii="方正黑体_GBK" w:eastAsia="方正黑体_GBK"/>
          <w:bCs/>
          <w:sz w:val="32"/>
          <w:szCs w:val="32"/>
        </w:rPr>
      </w:pPr>
      <w:r>
        <w:rPr>
          <w:rFonts w:hint="eastAsia" w:ascii="方正黑体_GBK" w:eastAsia="方正黑体_GBK"/>
          <w:bCs/>
          <w:sz w:val="32"/>
          <w:szCs w:val="32"/>
        </w:rPr>
        <w:t>一、工作任务</w:t>
      </w:r>
    </w:p>
    <w:p>
      <w:pPr>
        <w:spacing w:line="570" w:lineRule="exact"/>
        <w:ind w:firstLine="640" w:firstLineChars="200"/>
        <w:rPr>
          <w:rFonts w:eastAsia="方正仿宋_GBK"/>
          <w:sz w:val="32"/>
          <w:szCs w:val="32"/>
        </w:rPr>
      </w:pPr>
      <w:r>
        <w:rPr>
          <w:rFonts w:eastAsia="方正仿宋_GBK"/>
          <w:sz w:val="32"/>
          <w:szCs w:val="32"/>
        </w:rPr>
        <w:t>2022年新建城乡社区日间照料中心4个，完成1000户困难家庭适老化改造，对6家公办养老机构消防设施设备进行添置改造，定期对养老机构工作人员、入住对象进行核酸检测，兑现民办养老机构运营补贴、城乡社区日间照料中心运营补贴，购买公办养老机构责任险，提供居家养老服务，扎实推进养老服务人才培训、养老服务评估、“互联网＋”养老、农村互助养老及社区为老服务助餐试点。</w:t>
      </w:r>
    </w:p>
    <w:p>
      <w:pPr>
        <w:spacing w:line="570" w:lineRule="exact"/>
        <w:ind w:firstLine="640" w:firstLineChars="200"/>
        <w:rPr>
          <w:rFonts w:eastAsia="方正仿宋_GBK"/>
          <w:bCs/>
          <w:sz w:val="32"/>
          <w:szCs w:val="32"/>
        </w:rPr>
      </w:pPr>
      <w:r>
        <w:rPr>
          <w:rFonts w:eastAsia="方正仿宋_GBK"/>
          <w:bCs/>
          <w:sz w:val="32"/>
          <w:szCs w:val="32"/>
        </w:rPr>
        <w:t xml:space="preserve"> </w:t>
      </w:r>
      <w:r>
        <w:rPr>
          <w:rFonts w:ascii="方正黑体_GBK" w:eastAsia="方正黑体_GBK"/>
          <w:bCs/>
          <w:sz w:val="32"/>
          <w:szCs w:val="32"/>
        </w:rPr>
        <w:t>二、主要内容</w:t>
      </w:r>
    </w:p>
    <w:p>
      <w:pPr>
        <w:spacing w:line="570" w:lineRule="exact"/>
        <w:ind w:firstLine="640" w:firstLineChars="200"/>
        <w:rPr>
          <w:rFonts w:eastAsia="方正仿宋_GBK"/>
          <w:bCs/>
          <w:sz w:val="32"/>
          <w:szCs w:val="32"/>
        </w:rPr>
      </w:pPr>
      <w:r>
        <w:rPr>
          <w:rFonts w:eastAsia="方正仿宋_GBK"/>
          <w:bCs/>
          <w:sz w:val="32"/>
          <w:szCs w:val="32"/>
        </w:rPr>
        <w:t>（一）</w:t>
      </w:r>
      <w:r>
        <w:rPr>
          <w:rFonts w:hint="eastAsia" w:ascii="方正楷体_GBK" w:eastAsia="方正楷体_GBK"/>
          <w:bCs/>
          <w:sz w:val="32"/>
          <w:szCs w:val="32"/>
        </w:rPr>
        <w:t>困难家庭适老化改造100万元</w:t>
      </w:r>
    </w:p>
    <w:p>
      <w:pPr>
        <w:spacing w:line="570" w:lineRule="exact"/>
        <w:ind w:firstLine="640" w:firstLineChars="200"/>
        <w:jc w:val="left"/>
        <w:rPr>
          <w:rFonts w:eastAsia="方正仿宋_GBK"/>
          <w:sz w:val="32"/>
          <w:szCs w:val="32"/>
        </w:rPr>
      </w:pPr>
      <w:r>
        <w:rPr>
          <w:rFonts w:eastAsia="方正仿宋_GBK"/>
          <w:sz w:val="32"/>
          <w:szCs w:val="32"/>
        </w:rPr>
        <w:t xml:space="preserve">为居住在巴州区，具备巴州区户籍的特困供养人员、建档立卡范围的高龄、失能、残疾老年人家庭、年满 70 周岁以上的重病、重残的低保家庭实施家庭适老化改造。已开展残联“无障碍设施进家庭”“康居工程” 的不纳入改造对象范围。改造主要内容和实施方式《巴州区特殊困难老年人家庭适老化改造实施方案》已另行通知。  </w:t>
      </w:r>
    </w:p>
    <w:p>
      <w:pPr>
        <w:spacing w:line="570" w:lineRule="exact"/>
        <w:ind w:firstLine="640" w:firstLineChars="200"/>
        <w:rPr>
          <w:rFonts w:eastAsia="方正仿宋_GBK"/>
          <w:bCs/>
          <w:sz w:val="32"/>
          <w:szCs w:val="32"/>
        </w:rPr>
      </w:pPr>
      <w:r>
        <w:rPr>
          <w:rFonts w:eastAsia="方正仿宋_GBK"/>
          <w:bCs/>
          <w:sz w:val="32"/>
          <w:szCs w:val="32"/>
        </w:rPr>
        <w:t>（二）</w:t>
      </w:r>
      <w:r>
        <w:rPr>
          <w:rFonts w:ascii="方正楷体_GBK" w:eastAsia="方正楷体_GBK"/>
          <w:bCs/>
          <w:sz w:val="32"/>
          <w:szCs w:val="32"/>
        </w:rPr>
        <w:t>养老服务发展定向财力转移支付资金314万元</w:t>
      </w:r>
    </w:p>
    <w:p>
      <w:pPr>
        <w:spacing w:line="570" w:lineRule="exact"/>
        <w:ind w:firstLine="640" w:firstLineChars="200"/>
        <w:rPr>
          <w:rFonts w:eastAsia="方正仿宋_GBK"/>
          <w:sz w:val="32"/>
          <w:szCs w:val="32"/>
        </w:rPr>
      </w:pPr>
      <w:r>
        <w:rPr>
          <w:rFonts w:eastAsia="方正仿宋_GBK"/>
          <w:sz w:val="32"/>
          <w:szCs w:val="32"/>
        </w:rPr>
        <w:t>1.</w:t>
      </w:r>
      <w:r>
        <w:rPr>
          <w:rFonts w:hAnsi="方正仿宋_GBK" w:eastAsia="方正仿宋_GBK"/>
          <w:sz w:val="32"/>
          <w:szCs w:val="32"/>
        </w:rPr>
        <w:t>公办养老机构维护与消防设施设备改造和添置</w:t>
      </w:r>
      <w:r>
        <w:rPr>
          <w:rFonts w:eastAsia="方正仿宋_GBK"/>
          <w:sz w:val="32"/>
          <w:szCs w:val="32"/>
        </w:rPr>
        <w:t>12</w:t>
      </w:r>
      <w:r>
        <w:rPr>
          <w:rFonts w:hAnsi="方正仿宋_GBK" w:eastAsia="方正仿宋_GBK"/>
          <w:sz w:val="32"/>
          <w:szCs w:val="32"/>
        </w:rPr>
        <w:t>万元。</w:t>
      </w:r>
      <w:r>
        <w:rPr>
          <w:rFonts w:eastAsia="方正仿宋_GBK"/>
          <w:sz w:val="32"/>
          <w:szCs w:val="32"/>
        </w:rPr>
        <w:t>6家公办养老机构日常维护和消防设施设备改造添置（房屋治漏，管道疏通、厨房设备更换、日常设施设备添置更换、消防器材更换检修、燃气泄漏报警装置等），由各公办养老机构按照本机构实际情况组织实施。</w:t>
      </w:r>
    </w:p>
    <w:p>
      <w:pPr>
        <w:spacing w:line="570" w:lineRule="exact"/>
        <w:ind w:firstLine="640" w:firstLineChars="200"/>
        <w:rPr>
          <w:rFonts w:eastAsia="方正仿宋_GBK"/>
          <w:sz w:val="32"/>
          <w:szCs w:val="32"/>
        </w:rPr>
      </w:pPr>
      <w:r>
        <w:rPr>
          <w:rFonts w:eastAsia="方正仿宋_GBK"/>
          <w:sz w:val="32"/>
          <w:szCs w:val="32"/>
        </w:rPr>
        <w:t>2.</w:t>
      </w:r>
      <w:r>
        <w:rPr>
          <w:rFonts w:hAnsi="方正仿宋_GBK" w:eastAsia="方正仿宋_GBK"/>
          <w:sz w:val="32"/>
          <w:szCs w:val="32"/>
        </w:rPr>
        <w:t>养老机构供养人员和工作人员及环境核酸检测</w:t>
      </w:r>
      <w:r>
        <w:rPr>
          <w:rFonts w:eastAsia="方正仿宋_GBK"/>
          <w:sz w:val="32"/>
          <w:szCs w:val="32"/>
        </w:rPr>
        <w:t>15</w:t>
      </w:r>
      <w:r>
        <w:rPr>
          <w:rFonts w:hAnsi="方正仿宋_GBK" w:eastAsia="方正仿宋_GBK"/>
          <w:sz w:val="32"/>
          <w:szCs w:val="32"/>
        </w:rPr>
        <w:t>万元。</w:t>
      </w:r>
      <w:r>
        <w:rPr>
          <w:rFonts w:eastAsia="方正仿宋_GBK"/>
          <w:sz w:val="32"/>
          <w:szCs w:val="32"/>
        </w:rPr>
        <w:t>根据《四川省新冠肺炎监测技术方案（第四办）》（川疫指办发〔2022〕54号）《关于印发四川省常态化疫情防控重点人群及环境监测细则的通知》（川疫指办发〔2022〕69号）要求，每月对养老机构入住人员、工作人员及环境进行全员全覆盖核酸监测，全年累计核酸检测6000余人次，环境监测4000余次。</w:t>
      </w:r>
    </w:p>
    <w:p>
      <w:pPr>
        <w:spacing w:line="570" w:lineRule="exact"/>
        <w:ind w:firstLine="640" w:firstLineChars="200"/>
        <w:rPr>
          <w:rFonts w:eastAsia="方正仿宋_GBK"/>
          <w:sz w:val="32"/>
          <w:szCs w:val="32"/>
        </w:rPr>
      </w:pPr>
      <w:r>
        <w:rPr>
          <w:rFonts w:eastAsia="方正仿宋_GBK"/>
          <w:sz w:val="32"/>
          <w:szCs w:val="32"/>
        </w:rPr>
        <w:t>3.</w:t>
      </w:r>
      <w:r>
        <w:rPr>
          <w:rFonts w:hAnsi="方正仿宋_GBK" w:eastAsia="方正仿宋_GBK"/>
          <w:sz w:val="32"/>
          <w:szCs w:val="32"/>
        </w:rPr>
        <w:t>民办养老机构运营补贴</w:t>
      </w:r>
      <w:r>
        <w:rPr>
          <w:rFonts w:eastAsia="方正仿宋_GBK"/>
          <w:sz w:val="32"/>
          <w:szCs w:val="32"/>
        </w:rPr>
        <w:t>30</w:t>
      </w:r>
      <w:r>
        <w:rPr>
          <w:rFonts w:hAnsi="方正仿宋_GBK" w:eastAsia="方正仿宋_GBK"/>
          <w:sz w:val="32"/>
          <w:szCs w:val="32"/>
        </w:rPr>
        <w:t>万元。全区现运行民办养老机构床位</w:t>
      </w:r>
      <w:r>
        <w:rPr>
          <w:rFonts w:eastAsia="方正仿宋_GBK"/>
          <w:sz w:val="32"/>
          <w:szCs w:val="32"/>
        </w:rPr>
        <w:t>740</w:t>
      </w:r>
      <w:r>
        <w:rPr>
          <w:rFonts w:hAnsi="方正仿宋_GBK" w:eastAsia="方正仿宋_GBK"/>
          <w:sz w:val="32"/>
          <w:szCs w:val="32"/>
        </w:rPr>
        <w:t>张，入住老人</w:t>
      </w:r>
      <w:r>
        <w:rPr>
          <w:rFonts w:eastAsia="方正仿宋_GBK"/>
          <w:sz w:val="32"/>
          <w:szCs w:val="32"/>
        </w:rPr>
        <w:t>308</w:t>
      </w:r>
      <w:r>
        <w:rPr>
          <w:rFonts w:hAnsi="方正仿宋_GBK" w:eastAsia="方正仿宋_GBK"/>
          <w:sz w:val="32"/>
          <w:szCs w:val="32"/>
        </w:rPr>
        <w:t>人，</w:t>
      </w:r>
      <w:r>
        <w:rPr>
          <w:rFonts w:eastAsia="方正仿宋_GBK"/>
          <w:sz w:val="32"/>
          <w:szCs w:val="32"/>
        </w:rPr>
        <w:t>按省、市相关规定，民办养老服务机构年平均实际入住床位数每床每年0.1万元的标准给予运营补助。运营补贴主要用于改善老人的生活质量和居住环境，主要包括养老机构的基础设施改造、设备更新和添置，老人服务用品购置和其他为入住老人服务项目，不得擅自改变补贴资金用途。</w:t>
      </w:r>
    </w:p>
    <w:p>
      <w:pPr>
        <w:spacing w:line="570" w:lineRule="exact"/>
        <w:ind w:firstLine="640" w:firstLineChars="200"/>
        <w:rPr>
          <w:rFonts w:eastAsia="方正仿宋_GBK"/>
          <w:sz w:val="32"/>
          <w:szCs w:val="32"/>
        </w:rPr>
      </w:pPr>
      <w:r>
        <w:rPr>
          <w:rFonts w:eastAsia="方正仿宋_GBK"/>
          <w:sz w:val="32"/>
          <w:szCs w:val="32"/>
        </w:rPr>
        <w:t>4.</w:t>
      </w:r>
      <w:r>
        <w:rPr>
          <w:rFonts w:hAnsi="方正仿宋_GBK" w:eastAsia="方正仿宋_GBK"/>
          <w:sz w:val="32"/>
          <w:szCs w:val="32"/>
        </w:rPr>
        <w:t>居家养老服务</w:t>
      </w:r>
      <w:r>
        <w:rPr>
          <w:rFonts w:eastAsia="方正仿宋_GBK"/>
          <w:sz w:val="32"/>
          <w:szCs w:val="32"/>
        </w:rPr>
        <w:t>70</w:t>
      </w:r>
      <w:r>
        <w:rPr>
          <w:rFonts w:hAnsi="方正仿宋_GBK" w:eastAsia="方正仿宋_GBK"/>
          <w:sz w:val="32"/>
          <w:szCs w:val="32"/>
        </w:rPr>
        <w:t>万元。</w:t>
      </w:r>
      <w:r>
        <w:rPr>
          <w:rFonts w:eastAsia="方正仿宋_GBK"/>
          <w:sz w:val="32"/>
          <w:szCs w:val="32"/>
        </w:rPr>
        <w:t>通过对残疾人两项补贴系统、低保系统的梳理及卫健提供的失独家庭数据，2021-2022年居家养老服务人数为7000人，统筹2021年150万元，2022年切块补助资金70万元。项目由民政局按相关程序组织实施。</w:t>
      </w:r>
    </w:p>
    <w:p>
      <w:pPr>
        <w:spacing w:line="570" w:lineRule="exact"/>
        <w:ind w:firstLine="640" w:firstLineChars="200"/>
        <w:rPr>
          <w:rFonts w:eastAsia="方正仿宋_GBK"/>
          <w:sz w:val="32"/>
          <w:szCs w:val="32"/>
        </w:rPr>
      </w:pPr>
      <w:r>
        <w:rPr>
          <w:rFonts w:eastAsia="方正仿宋_GBK"/>
          <w:sz w:val="32"/>
          <w:szCs w:val="32"/>
        </w:rPr>
        <w:t>5.</w:t>
      </w:r>
      <w:r>
        <w:rPr>
          <w:rFonts w:hAnsi="方正仿宋_GBK" w:eastAsia="方正仿宋_GBK"/>
          <w:sz w:val="32"/>
          <w:szCs w:val="32"/>
        </w:rPr>
        <w:t>高龄老人补贴</w:t>
      </w:r>
      <w:r>
        <w:rPr>
          <w:rFonts w:eastAsia="方正仿宋_GBK"/>
          <w:sz w:val="32"/>
          <w:szCs w:val="32"/>
        </w:rPr>
        <w:t>31.4</w:t>
      </w:r>
      <w:r>
        <w:rPr>
          <w:rFonts w:hAnsi="方正仿宋_GBK" w:eastAsia="方正仿宋_GBK"/>
          <w:sz w:val="32"/>
          <w:szCs w:val="32"/>
        </w:rPr>
        <w:t>万元。</w:t>
      </w:r>
      <w:r>
        <w:rPr>
          <w:rFonts w:eastAsia="方正仿宋_GBK"/>
          <w:sz w:val="32"/>
          <w:szCs w:val="32"/>
        </w:rPr>
        <w:t>为户籍在巴州区的80周岁以上的高龄老人发放高龄生活补贴，四川省民政厅办公室《关于做好2022年养老服务业发展补助重点项目的通知》明确提出“养老服务定向财力补助，高龄津贴使用省级财政资金比例不得超过年度养老服务定向财力补助的10%”。该项资金由民政局通过“一卡通”发放到人。</w:t>
      </w:r>
    </w:p>
    <w:p>
      <w:pPr>
        <w:spacing w:line="570" w:lineRule="exact"/>
        <w:ind w:firstLine="640" w:firstLineChars="200"/>
        <w:rPr>
          <w:rFonts w:eastAsia="方正仿宋_GBK"/>
          <w:sz w:val="32"/>
          <w:szCs w:val="32"/>
        </w:rPr>
      </w:pPr>
      <w:r>
        <w:rPr>
          <w:rFonts w:eastAsia="方正仿宋_GBK"/>
          <w:sz w:val="32"/>
          <w:szCs w:val="32"/>
        </w:rPr>
        <w:t>6.</w:t>
      </w:r>
      <w:r>
        <w:rPr>
          <w:rFonts w:hAnsi="方正仿宋_GBK" w:eastAsia="方正仿宋_GBK"/>
          <w:sz w:val="32"/>
          <w:szCs w:val="32"/>
        </w:rPr>
        <w:t>城乡社区日间照料中心建设补贴</w:t>
      </w:r>
      <w:r>
        <w:rPr>
          <w:rFonts w:eastAsia="方正仿宋_GBK"/>
          <w:sz w:val="32"/>
          <w:szCs w:val="32"/>
        </w:rPr>
        <w:t>56</w:t>
      </w:r>
      <w:r>
        <w:rPr>
          <w:rFonts w:hAnsi="方正仿宋_GBK" w:eastAsia="方正仿宋_GBK"/>
          <w:sz w:val="32"/>
          <w:szCs w:val="32"/>
        </w:rPr>
        <w:t>万元。</w:t>
      </w:r>
      <w:r>
        <w:rPr>
          <w:rFonts w:eastAsia="方正仿宋_GBK"/>
          <w:sz w:val="32"/>
          <w:szCs w:val="32"/>
        </w:rPr>
        <w:t>根据创文下达的目标任务和试点推行农村互助养老模式，需建设天马山镇狮子寨村、后坝社区、龙泉社区、江北台社区日间照料中心，按照建设初期设计预算，狮子寨村30万元（市民政局定点打造），后坝社区15万元，龙泉社区6万元，江北台社区5万元（创文点位建设）。</w:t>
      </w:r>
    </w:p>
    <w:p>
      <w:pPr>
        <w:spacing w:line="570" w:lineRule="exact"/>
        <w:ind w:firstLine="640" w:firstLineChars="200"/>
        <w:rPr>
          <w:rFonts w:eastAsia="方正仿宋_GBK"/>
          <w:sz w:val="32"/>
          <w:szCs w:val="32"/>
        </w:rPr>
      </w:pPr>
      <w:r>
        <w:rPr>
          <w:rFonts w:eastAsia="方正仿宋_GBK"/>
          <w:sz w:val="32"/>
          <w:szCs w:val="32"/>
        </w:rPr>
        <w:t>建设内容：基础设施建设和维修及设施设备购置（休息室床、被子、衣柜、电视、空调、厨具、餐桌、冰箱、消毒柜、棋牌、书报等），由相关乡镇人民政府（街道办事处）按程序组织实施。</w:t>
      </w:r>
    </w:p>
    <w:p>
      <w:pPr>
        <w:spacing w:line="570" w:lineRule="exact"/>
        <w:ind w:firstLine="640" w:firstLineChars="200"/>
        <w:rPr>
          <w:rFonts w:eastAsia="方正仿宋_GBK"/>
          <w:sz w:val="32"/>
          <w:szCs w:val="32"/>
        </w:rPr>
      </w:pPr>
      <w:r>
        <w:rPr>
          <w:rFonts w:eastAsia="方正仿宋_GBK"/>
          <w:sz w:val="32"/>
          <w:szCs w:val="32"/>
        </w:rPr>
        <w:t>7.</w:t>
      </w:r>
      <w:r>
        <w:rPr>
          <w:rFonts w:hAnsi="方正仿宋_GBK" w:eastAsia="方正仿宋_GBK"/>
          <w:sz w:val="32"/>
          <w:szCs w:val="32"/>
        </w:rPr>
        <w:t>城乡社区日间照料中心运营补贴</w:t>
      </w:r>
      <w:r>
        <w:rPr>
          <w:rFonts w:eastAsia="方正仿宋_GBK"/>
          <w:sz w:val="32"/>
          <w:szCs w:val="32"/>
        </w:rPr>
        <w:t>70</w:t>
      </w:r>
      <w:r>
        <w:rPr>
          <w:rFonts w:hAnsi="方正仿宋_GBK" w:eastAsia="方正仿宋_GBK"/>
          <w:sz w:val="32"/>
          <w:szCs w:val="32"/>
        </w:rPr>
        <w:t>万元。</w:t>
      </w:r>
      <w:r>
        <w:rPr>
          <w:rFonts w:eastAsia="方正仿宋_GBK"/>
          <w:sz w:val="32"/>
          <w:szCs w:val="32"/>
        </w:rPr>
        <w:t>按省、市相关规定，城市社区日间照料中心按照2万元/个的标准给予运营补贴，农村日间照料中心按照1万元/个的标准给予运营补贴。运营补贴专项用于社区日间照料中心水电气通讯、场地使用、活动开展及专职服务人员服务费用等各项为老服务运营支出。由相关乡镇人民政府（街道办事处）按程序考核本辖区运营的日间照料中心，并根据考核结果向区民政局申请运营补贴。</w:t>
      </w:r>
    </w:p>
    <w:p>
      <w:pPr>
        <w:spacing w:line="570" w:lineRule="exact"/>
        <w:ind w:firstLine="800" w:firstLineChars="250"/>
        <w:rPr>
          <w:rFonts w:eastAsia="方正仿宋_GBK"/>
          <w:sz w:val="32"/>
          <w:szCs w:val="32"/>
        </w:rPr>
      </w:pPr>
      <w:r>
        <w:rPr>
          <w:rFonts w:eastAsia="方正仿宋_GBK"/>
          <w:sz w:val="32"/>
          <w:szCs w:val="32"/>
        </w:rPr>
        <w:t>8.</w:t>
      </w:r>
      <w:r>
        <w:rPr>
          <w:rFonts w:hAnsi="方正仿宋_GBK" w:eastAsia="方正仿宋_GBK"/>
          <w:sz w:val="32"/>
          <w:szCs w:val="32"/>
        </w:rPr>
        <w:t>公办养老机构责任险</w:t>
      </w:r>
      <w:r>
        <w:rPr>
          <w:rFonts w:eastAsia="方正仿宋_GBK"/>
          <w:sz w:val="32"/>
          <w:szCs w:val="32"/>
        </w:rPr>
        <w:t>4.44</w:t>
      </w:r>
      <w:r>
        <w:rPr>
          <w:rFonts w:hAnsi="方正仿宋_GBK" w:eastAsia="方正仿宋_GBK"/>
          <w:sz w:val="32"/>
          <w:szCs w:val="32"/>
        </w:rPr>
        <w:t>万元。</w:t>
      </w:r>
      <w:r>
        <w:rPr>
          <w:rFonts w:eastAsia="方正仿宋_GBK"/>
          <w:sz w:val="32"/>
          <w:szCs w:val="32"/>
        </w:rPr>
        <w:t>按照巴中市财政局巴中市民政局《关于下达2022年省级财政养老服务业发展补助资金的通知》（巴财社〔2022〕29号）要求，全区公办养老机构现有370床位，每床按120元的标准购买机构安全责任保险。</w:t>
      </w:r>
    </w:p>
    <w:p>
      <w:pPr>
        <w:spacing w:line="570" w:lineRule="exact"/>
        <w:ind w:firstLine="640" w:firstLineChars="200"/>
        <w:rPr>
          <w:rFonts w:eastAsia="方正仿宋_GBK"/>
          <w:sz w:val="32"/>
          <w:szCs w:val="32"/>
        </w:rPr>
      </w:pPr>
      <w:r>
        <w:rPr>
          <w:rFonts w:eastAsia="方正仿宋_GBK"/>
          <w:sz w:val="32"/>
          <w:szCs w:val="32"/>
        </w:rPr>
        <w:t>9.“</w:t>
      </w:r>
      <w:r>
        <w:rPr>
          <w:rFonts w:hAnsi="方正仿宋_GBK" w:eastAsia="方正仿宋_GBK"/>
          <w:sz w:val="32"/>
          <w:szCs w:val="32"/>
        </w:rPr>
        <w:t>互联网＋</w:t>
      </w:r>
      <w:r>
        <w:rPr>
          <w:rFonts w:eastAsia="方正仿宋_GBK"/>
          <w:sz w:val="32"/>
          <w:szCs w:val="32"/>
        </w:rPr>
        <w:t>”</w:t>
      </w:r>
      <w:r>
        <w:rPr>
          <w:rFonts w:hAnsi="方正仿宋_GBK" w:eastAsia="方正仿宋_GBK"/>
          <w:sz w:val="32"/>
          <w:szCs w:val="32"/>
        </w:rPr>
        <w:t>养老</w:t>
      </w:r>
      <w:r>
        <w:rPr>
          <w:rFonts w:eastAsia="方正仿宋_GBK"/>
          <w:sz w:val="32"/>
          <w:szCs w:val="32"/>
        </w:rPr>
        <w:t>6.8</w:t>
      </w:r>
      <w:r>
        <w:rPr>
          <w:rFonts w:hAnsi="方正仿宋_GBK" w:eastAsia="方正仿宋_GBK"/>
          <w:sz w:val="32"/>
          <w:szCs w:val="32"/>
        </w:rPr>
        <w:t>万元。</w:t>
      </w:r>
      <w:r>
        <w:rPr>
          <w:rFonts w:eastAsia="方正仿宋_GBK"/>
          <w:sz w:val="32"/>
          <w:szCs w:val="32"/>
        </w:rPr>
        <w:t>市居家养老服务信息平台为三县三区共建，按照协议约定每年服务费用由各县区分担。2022年度合同价款6.8万元。</w:t>
      </w:r>
    </w:p>
    <w:p>
      <w:pPr>
        <w:spacing w:line="570" w:lineRule="exact"/>
        <w:ind w:firstLine="640" w:firstLineChars="200"/>
        <w:rPr>
          <w:rFonts w:eastAsia="方正仿宋_GBK"/>
          <w:sz w:val="32"/>
          <w:szCs w:val="32"/>
        </w:rPr>
      </w:pPr>
      <w:r>
        <w:rPr>
          <w:rFonts w:eastAsia="方正仿宋_GBK"/>
          <w:sz w:val="32"/>
          <w:szCs w:val="32"/>
        </w:rPr>
        <w:t>10.</w:t>
      </w:r>
      <w:r>
        <w:rPr>
          <w:rFonts w:hAnsi="方正仿宋_GBK" w:eastAsia="方正仿宋_GBK"/>
          <w:sz w:val="32"/>
          <w:szCs w:val="32"/>
        </w:rPr>
        <w:t>居家养老服务线下绩效评估费</w:t>
      </w:r>
      <w:r>
        <w:rPr>
          <w:rFonts w:eastAsia="方正仿宋_GBK"/>
          <w:sz w:val="32"/>
          <w:szCs w:val="32"/>
        </w:rPr>
        <w:t>7.6</w:t>
      </w:r>
      <w:r>
        <w:rPr>
          <w:rFonts w:hAnsi="方正仿宋_GBK" w:eastAsia="方正仿宋_GBK"/>
          <w:sz w:val="32"/>
          <w:szCs w:val="32"/>
        </w:rPr>
        <w:t>万元。</w:t>
      </w:r>
      <w:r>
        <w:rPr>
          <w:rFonts w:eastAsia="方正仿宋_GBK"/>
          <w:sz w:val="32"/>
          <w:szCs w:val="32"/>
        </w:rPr>
        <w:t>巴中市财政局巴中市民政局关于印发《巴中市居家养老服务工作实施方案(试行)》的通知要求“根据年度政府购买居家养老服务目标任务，按照服务对象每人每年8元的标准预算评估经费”。2019—2020年政府购买居家养老的服务人数为9500人。</w:t>
      </w:r>
    </w:p>
    <w:p>
      <w:pPr>
        <w:spacing w:line="570" w:lineRule="exact"/>
        <w:ind w:firstLine="640" w:firstLineChars="200"/>
        <w:rPr>
          <w:rFonts w:eastAsia="方正仿宋_GBK"/>
          <w:sz w:val="32"/>
          <w:szCs w:val="32"/>
        </w:rPr>
      </w:pPr>
      <w:r>
        <w:rPr>
          <w:rFonts w:eastAsia="方正仿宋_GBK"/>
          <w:sz w:val="32"/>
          <w:szCs w:val="32"/>
        </w:rPr>
        <w:t>11.</w:t>
      </w:r>
      <w:r>
        <w:rPr>
          <w:rFonts w:hAnsi="方正仿宋_GBK" w:eastAsia="方正仿宋_GBK"/>
          <w:sz w:val="32"/>
          <w:szCs w:val="32"/>
        </w:rPr>
        <w:t>养老服务人才培训暨养老机构食品安全管理培训</w:t>
      </w:r>
      <w:r>
        <w:rPr>
          <w:rFonts w:eastAsia="方正仿宋_GBK"/>
          <w:sz w:val="32"/>
          <w:szCs w:val="32"/>
        </w:rPr>
        <w:t>4</w:t>
      </w:r>
      <w:r>
        <w:rPr>
          <w:rFonts w:hAnsi="方正仿宋_GBK" w:eastAsia="方正仿宋_GBK"/>
          <w:sz w:val="32"/>
          <w:szCs w:val="32"/>
        </w:rPr>
        <w:t>万元。</w:t>
      </w:r>
      <w:r>
        <w:rPr>
          <w:rFonts w:eastAsia="方正仿宋_GBK"/>
          <w:sz w:val="32"/>
          <w:szCs w:val="32"/>
        </w:rPr>
        <w:t>《巴中市民政局养老服务综合目标进度管理清单》明确要求“各县（区）培育培训养老师资4名，培育培训养老院院长巴州区11名、恩阳区10名、南江县9名、通江县19名、平昌县20名、经开区2名以上；养老护理员培育培训养巴州区、恩阳区、南江县、通江县、平昌县320人次以上，经开区30人次以上；涉老社会工作者巴州区、恩阳区、南江县、通江县、平昌县培育培训40人次以上，经开区20人次以上。每千名老年人配备1名社会工作者，每百张养老机构床位配备1名社会工作者。”培训机构培训费用、培训学员食宿、场地租赁费等。</w:t>
      </w:r>
    </w:p>
    <w:p>
      <w:pPr>
        <w:spacing w:line="570" w:lineRule="exact"/>
        <w:ind w:firstLine="640" w:firstLineChars="200"/>
        <w:rPr>
          <w:rFonts w:eastAsia="方正仿宋_GBK"/>
          <w:sz w:val="32"/>
          <w:szCs w:val="32"/>
        </w:rPr>
      </w:pPr>
      <w:r>
        <w:rPr>
          <w:rFonts w:eastAsia="方正仿宋_GBK"/>
          <w:sz w:val="32"/>
          <w:szCs w:val="32"/>
        </w:rPr>
        <w:t>12.</w:t>
      </w:r>
      <w:r>
        <w:rPr>
          <w:rFonts w:hAnsi="方正仿宋_GBK" w:eastAsia="方正仿宋_GBK"/>
          <w:sz w:val="32"/>
          <w:szCs w:val="32"/>
        </w:rPr>
        <w:t>农村互助养老试点</w:t>
      </w:r>
      <w:r>
        <w:rPr>
          <w:rFonts w:eastAsia="方正仿宋_GBK"/>
          <w:sz w:val="32"/>
          <w:szCs w:val="32"/>
        </w:rPr>
        <w:t>4</w:t>
      </w:r>
      <w:r>
        <w:rPr>
          <w:rFonts w:hAnsi="方正仿宋_GBK" w:eastAsia="方正仿宋_GBK"/>
          <w:sz w:val="32"/>
          <w:szCs w:val="32"/>
        </w:rPr>
        <w:t>万元。根据</w:t>
      </w:r>
      <w:r>
        <w:rPr>
          <w:rFonts w:eastAsia="方正仿宋_GBK"/>
          <w:sz w:val="32"/>
          <w:szCs w:val="32"/>
        </w:rPr>
        <w:t>《巴中市民政局关于开展农村互助养老的试点方案》要求“7月底前，每个县（区）至少选择2个试点乡镇，县（区）民政部门主要领导和分管领导分别挂帅1个试点乡镇”。为推行农村互助养老，每个试点乡镇预算2万元的试点经费。</w:t>
      </w:r>
    </w:p>
    <w:p>
      <w:pPr>
        <w:spacing w:line="570" w:lineRule="exact"/>
        <w:ind w:firstLine="640" w:firstLineChars="200"/>
        <w:rPr>
          <w:rFonts w:eastAsia="方正仿宋_GBK"/>
          <w:sz w:val="32"/>
          <w:szCs w:val="32"/>
        </w:rPr>
      </w:pPr>
      <w:r>
        <w:rPr>
          <w:rFonts w:eastAsia="方正仿宋_GBK"/>
          <w:sz w:val="32"/>
          <w:szCs w:val="32"/>
        </w:rPr>
        <w:t>13.</w:t>
      </w:r>
      <w:r>
        <w:rPr>
          <w:rFonts w:hAnsi="方正仿宋_GBK" w:eastAsia="方正仿宋_GBK"/>
          <w:sz w:val="32"/>
          <w:szCs w:val="32"/>
        </w:rPr>
        <w:t>社区为老服务助餐试点</w:t>
      </w:r>
      <w:r>
        <w:rPr>
          <w:rFonts w:eastAsia="方正仿宋_GBK"/>
          <w:sz w:val="32"/>
          <w:szCs w:val="32"/>
        </w:rPr>
        <w:t>2.76</w:t>
      </w:r>
      <w:r>
        <w:rPr>
          <w:rFonts w:hAnsi="方正仿宋_GBK" w:eastAsia="方正仿宋_GBK"/>
          <w:sz w:val="32"/>
          <w:szCs w:val="32"/>
        </w:rPr>
        <w:t>万元。</w:t>
      </w:r>
      <w:r>
        <w:rPr>
          <w:rFonts w:eastAsia="方正仿宋_GBK"/>
          <w:sz w:val="32"/>
          <w:szCs w:val="32"/>
        </w:rPr>
        <w:t>社区老年助餐是2022年全市民政系统重点推动的试点项目，我区在4个社区养老服务综合体推行，根据各点位推行实际情况，适当给予助餐补助。</w:t>
      </w:r>
    </w:p>
    <w:p>
      <w:pPr>
        <w:spacing w:line="570" w:lineRule="exact"/>
        <w:ind w:firstLine="640" w:firstLineChars="200"/>
        <w:rPr>
          <w:rFonts w:hint="eastAsia" w:ascii="方正黑体_GBK" w:eastAsia="方正黑体_GBK"/>
          <w:bCs/>
          <w:sz w:val="32"/>
          <w:szCs w:val="32"/>
        </w:rPr>
      </w:pPr>
      <w:r>
        <w:rPr>
          <w:rFonts w:hint="eastAsia" w:ascii="方正黑体_GBK" w:eastAsia="方正黑体_GBK"/>
          <w:bCs/>
          <w:sz w:val="32"/>
          <w:szCs w:val="32"/>
        </w:rPr>
        <w:t>三、工作要求</w:t>
      </w:r>
    </w:p>
    <w:p>
      <w:pPr>
        <w:spacing w:line="570" w:lineRule="exact"/>
        <w:ind w:firstLine="640" w:firstLineChars="200"/>
        <w:rPr>
          <w:rFonts w:eastAsia="方正仿宋_GBK"/>
          <w:sz w:val="32"/>
          <w:szCs w:val="32"/>
        </w:rPr>
      </w:pPr>
      <w:r>
        <w:rPr>
          <w:rFonts w:eastAsia="方正仿宋_GBK"/>
          <w:bCs/>
          <w:sz w:val="32"/>
          <w:szCs w:val="32"/>
        </w:rPr>
        <w:t>（一）</w:t>
      </w:r>
      <w:r>
        <w:rPr>
          <w:rFonts w:hint="eastAsia" w:ascii="方正楷体_GBK" w:eastAsia="方正楷体_GBK"/>
          <w:bCs/>
          <w:sz w:val="32"/>
          <w:szCs w:val="32"/>
        </w:rPr>
        <w:t>加强组织领导。</w:t>
      </w:r>
      <w:r>
        <w:rPr>
          <w:rFonts w:eastAsia="方正仿宋_GBK"/>
          <w:sz w:val="32"/>
          <w:szCs w:val="32"/>
        </w:rPr>
        <w:t>相关乡镇人民政府、街道办事处、业务股室是做好养老服务业发展补助重点项目工作的责任主体，要高度重视，加强领导，明确责任，落实举措,扎实抓好并完成本乡镇（街道）、单位养老服务业补助重点项目的各项工作和任务。</w:t>
      </w:r>
    </w:p>
    <w:p>
      <w:pPr>
        <w:spacing w:line="570" w:lineRule="exact"/>
        <w:ind w:firstLine="640" w:firstLineChars="200"/>
        <w:rPr>
          <w:rFonts w:eastAsia="方正仿宋_GBK"/>
          <w:sz w:val="32"/>
          <w:szCs w:val="32"/>
        </w:rPr>
      </w:pPr>
      <w:r>
        <w:rPr>
          <w:rFonts w:eastAsia="方正仿宋_GBK"/>
          <w:bCs/>
          <w:sz w:val="32"/>
          <w:szCs w:val="32"/>
        </w:rPr>
        <w:t>（二）</w:t>
      </w:r>
      <w:r>
        <w:rPr>
          <w:rFonts w:ascii="方正楷体_GBK" w:eastAsia="方正楷体_GBK"/>
          <w:bCs/>
          <w:sz w:val="32"/>
          <w:szCs w:val="32"/>
        </w:rPr>
        <w:t>制定实施方案。</w:t>
      </w:r>
      <w:r>
        <w:rPr>
          <w:rFonts w:eastAsia="方正仿宋_GBK"/>
          <w:sz w:val="32"/>
          <w:szCs w:val="32"/>
        </w:rPr>
        <w:t>相关乡镇人民政府、街道办事处、业务股室要研究重点项目建设的具体实施方案，明确责任单位和责任人，明确时间进度，明确督促检查和相关要求，确保工作按照时间节点有序推进。</w:t>
      </w:r>
    </w:p>
    <w:p>
      <w:pPr>
        <w:spacing w:line="570" w:lineRule="exact"/>
        <w:ind w:firstLine="640" w:firstLineChars="200"/>
        <w:rPr>
          <w:rFonts w:hint="eastAsia" w:ascii="仿宋_GB2312" w:eastAsia="仿宋_GB2312"/>
          <w:sz w:val="32"/>
          <w:szCs w:val="32"/>
        </w:rPr>
      </w:pPr>
      <w:r>
        <w:rPr>
          <w:rFonts w:eastAsia="方正仿宋_GBK"/>
          <w:bCs/>
          <w:sz w:val="32"/>
          <w:szCs w:val="32"/>
        </w:rPr>
        <w:t>（三）</w:t>
      </w:r>
      <w:r>
        <w:rPr>
          <w:rFonts w:ascii="方正楷体_GBK" w:eastAsia="方正楷体_GBK"/>
          <w:bCs/>
          <w:sz w:val="32"/>
          <w:szCs w:val="32"/>
        </w:rPr>
        <w:t>严守纪律规定。</w:t>
      </w:r>
      <w:r>
        <w:rPr>
          <w:rFonts w:eastAsia="方正仿宋_GBK"/>
          <w:sz w:val="32"/>
          <w:szCs w:val="32"/>
        </w:rPr>
        <w:t>相关乡镇人民政府、街道办事处、业务股室要按照下达的任务数确定项目建设的内容、进度安排，不得随意调整更改项目，不得将资金挪作他用，不得违规操作。</w:t>
      </w:r>
    </w:p>
    <w:sectPr>
      <w:headerReference r:id="rId3" w:type="default"/>
      <w:footerReference r:id="rId4" w:type="default"/>
      <w:footerReference r:id="rId5" w:type="even"/>
      <w:pgSz w:w="11906" w:h="16838"/>
      <w:pgMar w:top="2098" w:right="1474" w:bottom="1985" w:left="1588"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6833256"/>
      <w:docPartObj>
        <w:docPartGallery w:val="autotext"/>
      </w:docPartObj>
    </w:sdtPr>
    <w:sdtContent>
      <w:p>
        <w:pPr>
          <w:pStyle w:val="5"/>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posOffset>-3810</wp:posOffset>
              </wp:positionH>
              <wp:positionV relativeFrom="paragraph">
                <wp:posOffset>-196215</wp:posOffset>
              </wp:positionV>
              <wp:extent cx="650875" cy="230505"/>
              <wp:effectExtent l="0" t="0" r="0" b="0"/>
              <wp:wrapNone/>
              <wp:docPr id="1" name="文本框 3"/>
              <wp:cNvGraphicFramePr/>
              <a:graphic xmlns:a="http://schemas.openxmlformats.org/drawingml/2006/main">
                <a:graphicData uri="http://schemas.microsoft.com/office/word/2010/wordprocessingShape">
                  <wps:wsp>
                    <wps:cNvSpPr txBox="1"/>
                    <wps:spPr>
                      <a:xfrm>
                        <a:off x="0" y="0"/>
                        <a:ext cx="650875" cy="230505"/>
                      </a:xfrm>
                      <a:prstGeom prst="rect">
                        <a:avLst/>
                      </a:prstGeom>
                      <a:noFill/>
                      <a:ln>
                        <a:noFill/>
                      </a:ln>
                    </wps:spPr>
                    <wps:txbx>
                      <w:txbxContent>
                        <w:p>
                          <w:pPr>
                            <w:snapToGrid w:val="0"/>
                            <w:rPr>
                              <w:rFonts w:ascii="宋体" w:hAnsi="宋体"/>
                              <w:sz w:val="28"/>
                              <w:szCs w:val="28"/>
                            </w:rPr>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18</w:t>
                          </w:r>
                          <w:r>
                            <w:rPr>
                              <w:rFonts w:hint="eastAsia" w:ascii="宋体" w:hAnsi="宋体"/>
                              <w:sz w:val="28"/>
                              <w:szCs w:val="28"/>
                            </w:rPr>
                            <w:fldChar w:fldCharType="end"/>
                          </w:r>
                        </w:p>
                      </w:txbxContent>
                    </wps:txbx>
                    <wps:bodyPr lIns="0" tIns="0" rIns="0" bIns="0" upright="1">
                      <a:spAutoFit/>
                    </wps:bodyPr>
                  </wps:wsp>
                </a:graphicData>
              </a:graphic>
            </wp:anchor>
          </w:drawing>
        </mc:Choice>
        <mc:Fallback>
          <w:pict>
            <v:shape id="文本框 3" o:spid="_x0000_s1026" o:spt="202" type="#_x0000_t202" style="position:absolute;left:0pt;margin-left:-0.3pt;margin-top:-15.45pt;height:18.15pt;width:51.25pt;mso-position-horizontal-relative:margin;z-index:251659264;mso-width-relative:page;mso-height-relative:page;" filled="f" stroked="f" coordsize="21600,21600" o:gfxdata="UEsDBAoAAAAAAIdO4kAAAAAAAAAAAAAAAAAEAAAAZHJzL1BLAwQUAAAACACHTuJA2NgovNMAAAAH&#10;AQAADwAAAGRycy9kb3ducmV2LnhtbE2OMU/DMBCFdyT+g3VILKi1XSCiIU4HBAsbhYXNjY8kwj5H&#10;sZuE/nquE0zvnt7Tu6/aLcGLCcfURzKg1woEUhNdT62Bj/eX1QOIlC056yOhgR9MsKsvLypbujjT&#10;G0773AoeoVRaA13OQyllajoMNq3jgMTZVxyDzWzHVrrRzjwevNwoVchge+IPnR3wqcPme38MBorl&#10;ebh53eJmPjV+os+T1hm1MddXWj2CyLjkvzKc8RkdamY6xCO5JLyBVcFFllu1BXHOlebjYOD+DmRd&#10;yf/89S9QSwMEFAAAAAgAh07iQL0pZ6HGAQAAiwMAAA4AAABkcnMvZTJvRG9jLnhtbK1TzY7TMBC+&#10;I/EOlu/UaVddVlHTFahahIQAaZcHcB27seQ/edwmfQF4A05cuPNcfQ7GTtqF5bIHLs5kZvLN932e&#10;rG4Ha8hBRtDeNXQ+qyiRTvhWu11DvzzcvbqhBBJ3LTfeyYYeJdDb9csXqz7UcuE7b1oZCYI4qPvQ&#10;0C6lUDMGopOWw8wH6bCofLQ84WvcsTbyHtGtYYuquma9j22IXkgAzG7GIp0Q43MAvVJayI0Xeytd&#10;GlGjNDyhJOh0ALoubJWSIn1SCmQipqGoNJUTh2C8zSdbr3i9izx0WkwU+HMoPNFkuXY49AK14YmT&#10;fdT/QFktogev0kx4y0YhxRFUMa+eeHPf8SCLFrQawsV0+H+w4uPhcyS6xU2gxHGLF376/u3049fp&#10;51dyle3pA9TYdR+wLw1v/ZBbpzxgMqseVLT5iXoI1tHc48VcOSQiMHm9rG5eLykRWFpcVctqmVHY&#10;48chQnonvSU5aGjEuyuW8sMHSGPruSXPcv5OG4N5Xhv3VwIxc4Zl5iPDHKVhO0y0t749ohrz3qGT&#10;eSvOQTwH23OwD1HvOqQzL1wgvNknHFz4ZNQRahqGd1QUTfuUl+DP99L1+A+t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Y2Ci80wAAAAcBAAAPAAAAAAAAAAEAIAAAACIAAABkcnMvZG93bnJldi54&#10;bWxQSwECFAAUAAAACACHTuJAvSlnocYBAACLAwAADgAAAAAAAAABACAAAAAiAQAAZHJzL2Uyb0Rv&#10;Yy54bWxQSwUGAAAAAAYABgBZAQAAWgUAAAAA&#10;">
              <v:fill on="f" focussize="0,0"/>
              <v:stroke on="f"/>
              <v:imagedata o:title=""/>
              <o:lock v:ext="edit" aspectratio="f"/>
              <v:textbox inset="0mm,0mm,0mm,0mm" style="mso-fit-shape-to-text:t;">
                <w:txbxContent>
                  <w:p>
                    <w:pPr>
                      <w:snapToGrid w:val="0"/>
                      <w:rPr>
                        <w:rFonts w:ascii="宋体" w:hAnsi="宋体"/>
                        <w:sz w:val="28"/>
                        <w:szCs w:val="28"/>
                      </w:rPr>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18</w:t>
                    </w:r>
                    <w:r>
                      <w:rPr>
                        <w:rFonts w:hint="eastAsia" w:ascii="宋体" w:hAnsi="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iN2FhOGFiYjY4OThmMjI3YmJhZjc2N2E0OWI3NGIifQ=="/>
  </w:docVars>
  <w:rsids>
    <w:rsidRoot w:val="00C25A1A"/>
    <w:rsid w:val="0002040A"/>
    <w:rsid w:val="00046A6D"/>
    <w:rsid w:val="000575FC"/>
    <w:rsid w:val="000745F2"/>
    <w:rsid w:val="000812A9"/>
    <w:rsid w:val="00086CF2"/>
    <w:rsid w:val="0008720A"/>
    <w:rsid w:val="000B522D"/>
    <w:rsid w:val="000C7F1F"/>
    <w:rsid w:val="000D27CA"/>
    <w:rsid w:val="000E1120"/>
    <w:rsid w:val="000E1AD4"/>
    <w:rsid w:val="000E44FA"/>
    <w:rsid w:val="000E5C6B"/>
    <w:rsid w:val="00101435"/>
    <w:rsid w:val="00131AEA"/>
    <w:rsid w:val="00134028"/>
    <w:rsid w:val="00140B1C"/>
    <w:rsid w:val="0014273E"/>
    <w:rsid w:val="00151A7A"/>
    <w:rsid w:val="00153F2E"/>
    <w:rsid w:val="0015562B"/>
    <w:rsid w:val="00181E0A"/>
    <w:rsid w:val="00192D2B"/>
    <w:rsid w:val="001A03B1"/>
    <w:rsid w:val="001A1C90"/>
    <w:rsid w:val="001A5B13"/>
    <w:rsid w:val="001B230C"/>
    <w:rsid w:val="001B3D05"/>
    <w:rsid w:val="001B4727"/>
    <w:rsid w:val="001C3DF2"/>
    <w:rsid w:val="001D43F5"/>
    <w:rsid w:val="00201CAD"/>
    <w:rsid w:val="00222C08"/>
    <w:rsid w:val="00231115"/>
    <w:rsid w:val="002312D5"/>
    <w:rsid w:val="0023335A"/>
    <w:rsid w:val="00234266"/>
    <w:rsid w:val="00272D74"/>
    <w:rsid w:val="002772E2"/>
    <w:rsid w:val="00282324"/>
    <w:rsid w:val="00284B0B"/>
    <w:rsid w:val="002A1977"/>
    <w:rsid w:val="002B223D"/>
    <w:rsid w:val="002B4338"/>
    <w:rsid w:val="002D3861"/>
    <w:rsid w:val="002D582C"/>
    <w:rsid w:val="002F333A"/>
    <w:rsid w:val="00311E83"/>
    <w:rsid w:val="00317903"/>
    <w:rsid w:val="003725D2"/>
    <w:rsid w:val="003930B8"/>
    <w:rsid w:val="003A276C"/>
    <w:rsid w:val="003A320D"/>
    <w:rsid w:val="003C4A1E"/>
    <w:rsid w:val="003E1515"/>
    <w:rsid w:val="003F6887"/>
    <w:rsid w:val="00430AD4"/>
    <w:rsid w:val="00444251"/>
    <w:rsid w:val="00453254"/>
    <w:rsid w:val="00484273"/>
    <w:rsid w:val="004C327F"/>
    <w:rsid w:val="004E4AA7"/>
    <w:rsid w:val="004F7790"/>
    <w:rsid w:val="0050409E"/>
    <w:rsid w:val="005115AE"/>
    <w:rsid w:val="00537375"/>
    <w:rsid w:val="0054445A"/>
    <w:rsid w:val="0056009B"/>
    <w:rsid w:val="00566409"/>
    <w:rsid w:val="005845E2"/>
    <w:rsid w:val="00593F81"/>
    <w:rsid w:val="005A0C19"/>
    <w:rsid w:val="005A7703"/>
    <w:rsid w:val="005B4F4D"/>
    <w:rsid w:val="005F6DAF"/>
    <w:rsid w:val="00600E96"/>
    <w:rsid w:val="006057E5"/>
    <w:rsid w:val="00610795"/>
    <w:rsid w:val="00611764"/>
    <w:rsid w:val="006152CC"/>
    <w:rsid w:val="006347E8"/>
    <w:rsid w:val="006364E4"/>
    <w:rsid w:val="00645DB3"/>
    <w:rsid w:val="00667A73"/>
    <w:rsid w:val="00672E7F"/>
    <w:rsid w:val="006779EE"/>
    <w:rsid w:val="00681E78"/>
    <w:rsid w:val="006D639C"/>
    <w:rsid w:val="006D6BB2"/>
    <w:rsid w:val="007103EB"/>
    <w:rsid w:val="00713F19"/>
    <w:rsid w:val="00722352"/>
    <w:rsid w:val="00727BB7"/>
    <w:rsid w:val="007413BF"/>
    <w:rsid w:val="007456E2"/>
    <w:rsid w:val="00761A9C"/>
    <w:rsid w:val="00764D28"/>
    <w:rsid w:val="007662E0"/>
    <w:rsid w:val="007B3C78"/>
    <w:rsid w:val="007D7DAD"/>
    <w:rsid w:val="007F78C3"/>
    <w:rsid w:val="00804D19"/>
    <w:rsid w:val="00820F29"/>
    <w:rsid w:val="00843C59"/>
    <w:rsid w:val="00857E2B"/>
    <w:rsid w:val="00872892"/>
    <w:rsid w:val="00874D3F"/>
    <w:rsid w:val="00877CB8"/>
    <w:rsid w:val="008C12A3"/>
    <w:rsid w:val="008E192B"/>
    <w:rsid w:val="008F0790"/>
    <w:rsid w:val="009473A2"/>
    <w:rsid w:val="00950893"/>
    <w:rsid w:val="0095629A"/>
    <w:rsid w:val="00973F0C"/>
    <w:rsid w:val="00985315"/>
    <w:rsid w:val="00986F54"/>
    <w:rsid w:val="0099709F"/>
    <w:rsid w:val="009B1B1A"/>
    <w:rsid w:val="009B4401"/>
    <w:rsid w:val="009B6110"/>
    <w:rsid w:val="009C2596"/>
    <w:rsid w:val="009D2320"/>
    <w:rsid w:val="00A129F1"/>
    <w:rsid w:val="00A15969"/>
    <w:rsid w:val="00A23EFD"/>
    <w:rsid w:val="00A3787D"/>
    <w:rsid w:val="00A45980"/>
    <w:rsid w:val="00A54799"/>
    <w:rsid w:val="00A62567"/>
    <w:rsid w:val="00A654BB"/>
    <w:rsid w:val="00A74A04"/>
    <w:rsid w:val="00A8033F"/>
    <w:rsid w:val="00AC2A82"/>
    <w:rsid w:val="00AD099D"/>
    <w:rsid w:val="00AE17A4"/>
    <w:rsid w:val="00AF542C"/>
    <w:rsid w:val="00B2247D"/>
    <w:rsid w:val="00B26CD6"/>
    <w:rsid w:val="00B34354"/>
    <w:rsid w:val="00B34C88"/>
    <w:rsid w:val="00B50D70"/>
    <w:rsid w:val="00B73CBB"/>
    <w:rsid w:val="00B840AD"/>
    <w:rsid w:val="00B84102"/>
    <w:rsid w:val="00B87EFA"/>
    <w:rsid w:val="00B962AD"/>
    <w:rsid w:val="00BF5DD4"/>
    <w:rsid w:val="00C203F8"/>
    <w:rsid w:val="00C21715"/>
    <w:rsid w:val="00C25A1A"/>
    <w:rsid w:val="00C56D06"/>
    <w:rsid w:val="00C6095C"/>
    <w:rsid w:val="00C7462A"/>
    <w:rsid w:val="00C82E85"/>
    <w:rsid w:val="00C836A4"/>
    <w:rsid w:val="00C96B70"/>
    <w:rsid w:val="00CA3649"/>
    <w:rsid w:val="00CB20D6"/>
    <w:rsid w:val="00CB29D7"/>
    <w:rsid w:val="00CD4901"/>
    <w:rsid w:val="00CD7366"/>
    <w:rsid w:val="00CE63BA"/>
    <w:rsid w:val="00D16058"/>
    <w:rsid w:val="00D22B1A"/>
    <w:rsid w:val="00D30342"/>
    <w:rsid w:val="00D30528"/>
    <w:rsid w:val="00D35CCB"/>
    <w:rsid w:val="00D361C7"/>
    <w:rsid w:val="00D375F2"/>
    <w:rsid w:val="00D632AC"/>
    <w:rsid w:val="00D749EB"/>
    <w:rsid w:val="00D8400B"/>
    <w:rsid w:val="00DA4B25"/>
    <w:rsid w:val="00DA569F"/>
    <w:rsid w:val="00DB03AF"/>
    <w:rsid w:val="00DB740E"/>
    <w:rsid w:val="00DB79B5"/>
    <w:rsid w:val="00DD3F54"/>
    <w:rsid w:val="00DE5E74"/>
    <w:rsid w:val="00DF1F90"/>
    <w:rsid w:val="00DF2E74"/>
    <w:rsid w:val="00E03CBF"/>
    <w:rsid w:val="00E03E04"/>
    <w:rsid w:val="00E1664E"/>
    <w:rsid w:val="00E53AAC"/>
    <w:rsid w:val="00E62A7F"/>
    <w:rsid w:val="00E76453"/>
    <w:rsid w:val="00E819F3"/>
    <w:rsid w:val="00E84F45"/>
    <w:rsid w:val="00EA4DAE"/>
    <w:rsid w:val="00EB006B"/>
    <w:rsid w:val="00EB3008"/>
    <w:rsid w:val="00ED2C4D"/>
    <w:rsid w:val="00ED34A9"/>
    <w:rsid w:val="00EE6FB8"/>
    <w:rsid w:val="00F104E6"/>
    <w:rsid w:val="00F1425E"/>
    <w:rsid w:val="00F35B15"/>
    <w:rsid w:val="00F601B2"/>
    <w:rsid w:val="00F731F5"/>
    <w:rsid w:val="00F96FF6"/>
    <w:rsid w:val="00FA7CD7"/>
    <w:rsid w:val="00FB044C"/>
    <w:rsid w:val="00FB4F04"/>
    <w:rsid w:val="00FE6B28"/>
    <w:rsid w:val="00FF469A"/>
    <w:rsid w:val="01520974"/>
    <w:rsid w:val="029C0A26"/>
    <w:rsid w:val="02BC1D19"/>
    <w:rsid w:val="0317109F"/>
    <w:rsid w:val="034A13FB"/>
    <w:rsid w:val="03AA34EB"/>
    <w:rsid w:val="03D94AC6"/>
    <w:rsid w:val="04BD7A70"/>
    <w:rsid w:val="06092A76"/>
    <w:rsid w:val="06D86758"/>
    <w:rsid w:val="089335BC"/>
    <w:rsid w:val="095C71C2"/>
    <w:rsid w:val="09B56CF8"/>
    <w:rsid w:val="0B08465C"/>
    <w:rsid w:val="0C3354FB"/>
    <w:rsid w:val="0D716EEC"/>
    <w:rsid w:val="0DF30BC2"/>
    <w:rsid w:val="0E18365C"/>
    <w:rsid w:val="10781E32"/>
    <w:rsid w:val="10814881"/>
    <w:rsid w:val="11406CA2"/>
    <w:rsid w:val="12883DBD"/>
    <w:rsid w:val="147C2088"/>
    <w:rsid w:val="1661609C"/>
    <w:rsid w:val="16796DFE"/>
    <w:rsid w:val="184C27CB"/>
    <w:rsid w:val="193429E2"/>
    <w:rsid w:val="1A91738A"/>
    <w:rsid w:val="1D487DD0"/>
    <w:rsid w:val="1EBF4749"/>
    <w:rsid w:val="1EC7018C"/>
    <w:rsid w:val="1F136995"/>
    <w:rsid w:val="1F8E019B"/>
    <w:rsid w:val="20DA11C8"/>
    <w:rsid w:val="22D164CA"/>
    <w:rsid w:val="231950DE"/>
    <w:rsid w:val="23216AE8"/>
    <w:rsid w:val="23C65333"/>
    <w:rsid w:val="2432108D"/>
    <w:rsid w:val="248E4774"/>
    <w:rsid w:val="256572EE"/>
    <w:rsid w:val="261B4047"/>
    <w:rsid w:val="273162E1"/>
    <w:rsid w:val="27DC782A"/>
    <w:rsid w:val="27E3377F"/>
    <w:rsid w:val="27E55090"/>
    <w:rsid w:val="2AB71798"/>
    <w:rsid w:val="2BE109DF"/>
    <w:rsid w:val="2D9E3A57"/>
    <w:rsid w:val="2F074A4A"/>
    <w:rsid w:val="2F477A0A"/>
    <w:rsid w:val="30CD71AD"/>
    <w:rsid w:val="3168421C"/>
    <w:rsid w:val="32E50760"/>
    <w:rsid w:val="33CA34BE"/>
    <w:rsid w:val="345407A0"/>
    <w:rsid w:val="349B76F1"/>
    <w:rsid w:val="34EF7098"/>
    <w:rsid w:val="35000CC1"/>
    <w:rsid w:val="366C29F2"/>
    <w:rsid w:val="36FB7FFD"/>
    <w:rsid w:val="37BA2979"/>
    <w:rsid w:val="37E156DC"/>
    <w:rsid w:val="3A5611B1"/>
    <w:rsid w:val="3AF56EB0"/>
    <w:rsid w:val="3C592ED3"/>
    <w:rsid w:val="3CC31654"/>
    <w:rsid w:val="3D7F405F"/>
    <w:rsid w:val="3DE5259B"/>
    <w:rsid w:val="3F4C2DFD"/>
    <w:rsid w:val="3F755AAA"/>
    <w:rsid w:val="403B3911"/>
    <w:rsid w:val="414277B2"/>
    <w:rsid w:val="419159AA"/>
    <w:rsid w:val="42C1282F"/>
    <w:rsid w:val="438A368F"/>
    <w:rsid w:val="448F1188"/>
    <w:rsid w:val="47105171"/>
    <w:rsid w:val="47E67EE8"/>
    <w:rsid w:val="48B90024"/>
    <w:rsid w:val="49ED6F48"/>
    <w:rsid w:val="4B885336"/>
    <w:rsid w:val="4C795A03"/>
    <w:rsid w:val="4E491485"/>
    <w:rsid w:val="4FB03BCB"/>
    <w:rsid w:val="50D255DC"/>
    <w:rsid w:val="50D96D5B"/>
    <w:rsid w:val="51407C64"/>
    <w:rsid w:val="515848B7"/>
    <w:rsid w:val="51C62582"/>
    <w:rsid w:val="51EB217E"/>
    <w:rsid w:val="52FB71C8"/>
    <w:rsid w:val="53700A80"/>
    <w:rsid w:val="53A842ED"/>
    <w:rsid w:val="54F81784"/>
    <w:rsid w:val="55687FE0"/>
    <w:rsid w:val="55CC4F09"/>
    <w:rsid w:val="5641578E"/>
    <w:rsid w:val="56DD0421"/>
    <w:rsid w:val="579A55AB"/>
    <w:rsid w:val="58C224DA"/>
    <w:rsid w:val="5BF75D97"/>
    <w:rsid w:val="5CE90176"/>
    <w:rsid w:val="5D0C21BF"/>
    <w:rsid w:val="5D307184"/>
    <w:rsid w:val="5D8F04E8"/>
    <w:rsid w:val="5DB46BF4"/>
    <w:rsid w:val="604D1E59"/>
    <w:rsid w:val="616609FD"/>
    <w:rsid w:val="63661235"/>
    <w:rsid w:val="63842D6C"/>
    <w:rsid w:val="65922CEC"/>
    <w:rsid w:val="6636345C"/>
    <w:rsid w:val="66AC0E9C"/>
    <w:rsid w:val="671066BF"/>
    <w:rsid w:val="672B53B2"/>
    <w:rsid w:val="678372F7"/>
    <w:rsid w:val="67DA2C76"/>
    <w:rsid w:val="68891E3B"/>
    <w:rsid w:val="688E0EFD"/>
    <w:rsid w:val="69711BB7"/>
    <w:rsid w:val="6ACC32E3"/>
    <w:rsid w:val="6B2C7C9D"/>
    <w:rsid w:val="6C406667"/>
    <w:rsid w:val="6C786BE9"/>
    <w:rsid w:val="6CFA764D"/>
    <w:rsid w:val="6D493CBA"/>
    <w:rsid w:val="6D587AC7"/>
    <w:rsid w:val="6E24699B"/>
    <w:rsid w:val="6F733E2D"/>
    <w:rsid w:val="704C1EEA"/>
    <w:rsid w:val="70AB4A3B"/>
    <w:rsid w:val="70B4723F"/>
    <w:rsid w:val="73E0718B"/>
    <w:rsid w:val="76155154"/>
    <w:rsid w:val="76D6674A"/>
    <w:rsid w:val="775505E8"/>
    <w:rsid w:val="7775000D"/>
    <w:rsid w:val="79D873FC"/>
    <w:rsid w:val="7A050C47"/>
    <w:rsid w:val="7AAE31FC"/>
    <w:rsid w:val="7ACE4AC7"/>
    <w:rsid w:val="7B66161A"/>
    <w:rsid w:val="7C8D5344"/>
    <w:rsid w:val="7CC0170E"/>
    <w:rsid w:val="7E035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2"/>
    <w:qFormat/>
    <w:uiPriority w:val="0"/>
    <w:rPr>
      <w:rFonts w:ascii="宋体"/>
      <w:sz w:val="18"/>
      <w:szCs w:val="18"/>
    </w:rPr>
  </w:style>
  <w:style w:type="paragraph" w:styleId="3">
    <w:name w:val="Date"/>
    <w:basedOn w:val="1"/>
    <w:next w:val="1"/>
    <w:link w:val="13"/>
    <w:qFormat/>
    <w:uiPriority w:val="0"/>
    <w:pPr>
      <w:ind w:left="100" w:leftChars="2500"/>
    </w:pPr>
  </w:style>
  <w:style w:type="paragraph" w:styleId="4">
    <w:name w:val="Balloon Text"/>
    <w:basedOn w:val="1"/>
    <w:link w:val="14"/>
    <w:qFormat/>
    <w:uiPriority w:val="0"/>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iPriority w:val="0"/>
    <w:rPr>
      <w:color w:val="0000FF"/>
      <w:u w:val="single"/>
    </w:rPr>
  </w:style>
  <w:style w:type="character" w:customStyle="1" w:styleId="12">
    <w:name w:val="文档结构图 Char"/>
    <w:basedOn w:val="10"/>
    <w:link w:val="2"/>
    <w:qFormat/>
    <w:uiPriority w:val="0"/>
    <w:rPr>
      <w:rFonts w:ascii="宋体"/>
      <w:kern w:val="2"/>
      <w:sz w:val="18"/>
      <w:szCs w:val="18"/>
    </w:rPr>
  </w:style>
  <w:style w:type="character" w:customStyle="1" w:styleId="13">
    <w:name w:val="日期 Char"/>
    <w:basedOn w:val="10"/>
    <w:link w:val="3"/>
    <w:uiPriority w:val="0"/>
    <w:rPr>
      <w:kern w:val="2"/>
      <w:sz w:val="21"/>
      <w:szCs w:val="24"/>
    </w:rPr>
  </w:style>
  <w:style w:type="character" w:customStyle="1" w:styleId="14">
    <w:name w:val="批注框文本 Char"/>
    <w:basedOn w:val="10"/>
    <w:link w:val="4"/>
    <w:qFormat/>
    <w:uiPriority w:val="0"/>
    <w:rPr>
      <w:kern w:val="2"/>
      <w:sz w:val="18"/>
      <w:szCs w:val="18"/>
    </w:rPr>
  </w:style>
  <w:style w:type="character" w:customStyle="1" w:styleId="15">
    <w:name w:val="页脚 Char"/>
    <w:basedOn w:val="10"/>
    <w:link w:val="5"/>
    <w:uiPriority w:val="99"/>
    <w:rPr>
      <w:kern w:val="2"/>
      <w:sz w:val="18"/>
      <w:szCs w:val="18"/>
    </w:rPr>
  </w:style>
  <w:style w:type="character" w:customStyle="1" w:styleId="16">
    <w:name w:val="15"/>
    <w:basedOn w:val="10"/>
    <w:qFormat/>
    <w:uiPriority w:val="0"/>
    <w:rPr>
      <w:rFonts w:hint="default" w:ascii="Calibri" w:hAnsi="Calibri"/>
      <w:b/>
      <w:bCs/>
    </w:rPr>
  </w:style>
  <w:style w:type="paragraph" w:customStyle="1" w:styleId="17">
    <w:name w:val="正文1"/>
    <w:qFormat/>
    <w:uiPriority w:val="0"/>
    <w:pPr>
      <w:jc w:val="both"/>
    </w:pPr>
    <w:rPr>
      <w:rFonts w:ascii="Calibri" w:hAnsi="Calibri"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6</Pages>
  <Words>2670</Words>
  <Characters>2829</Characters>
  <Lines>34</Lines>
  <Paragraphs>9</Paragraphs>
  <TotalTime>4</TotalTime>
  <ScaleCrop>false</ScaleCrop>
  <LinksUpToDate>false</LinksUpToDate>
  <CharactersWithSpaces>2836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2022-07-18T09:27:00Z</dcterms:created>
  <dc:creator>微软用户</dc:creator>
  <cp:lastModifiedBy>伴，随。</cp:lastModifiedBy>
  <cp:lastPrinted>2022-07-15T03:46:00Z</cp:lastPrinted>
  <dcterms:modified xsi:type="dcterms:W3CDTF">2022-12-07T08:42:23Z</dcterms:modified>
  <dc:title>巴州区2017年党风廉政建设社会评价工作</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BE23D1056D6A4789B1323E7C26C57CC0</vt:lpwstr>
  </property>
</Properties>
</file>