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jc w:val="center"/>
        <w:rPr>
          <w:sz w:val="48"/>
          <w:szCs w:val="56"/>
        </w:rPr>
      </w:pPr>
      <w:bookmarkStart w:id="0" w:name="_Toc20612"/>
      <w:bookmarkStart w:id="1" w:name="_Toc8045"/>
      <w:bookmarkStart w:id="2" w:name="_Toc9577"/>
      <w:bookmarkStart w:id="3" w:name="_Toc4512"/>
      <w:bookmarkStart w:id="4" w:name="_Toc22499"/>
      <w:bookmarkStart w:id="5" w:name="_Toc5083"/>
      <w:bookmarkStart w:id="6" w:name="_Toc11251"/>
      <w:bookmarkStart w:id="7" w:name="_Toc23916"/>
    </w:p>
    <w:p>
      <w:pPr>
        <w:spacing w:line="480" w:lineRule="auto"/>
        <w:ind w:firstLine="0" w:firstLineChars="0"/>
        <w:jc w:val="center"/>
        <w:rPr>
          <w:sz w:val="48"/>
          <w:szCs w:val="56"/>
        </w:rPr>
      </w:pPr>
    </w:p>
    <w:p>
      <w:pPr>
        <w:ind w:firstLine="0" w:firstLineChars="0"/>
        <w:jc w:val="center"/>
        <w:rPr>
          <w:b/>
          <w:bCs/>
          <w:sz w:val="56"/>
          <w:szCs w:val="96"/>
        </w:rPr>
      </w:pPr>
      <w:r>
        <w:rPr>
          <w:rFonts w:hint="eastAsia"/>
          <w:b/>
          <w:bCs/>
          <w:sz w:val="56"/>
          <w:szCs w:val="96"/>
        </w:rPr>
        <w:t xml:space="preserve">巴中市 </w:t>
      </w:r>
      <w:r>
        <w:rPr>
          <w:b/>
          <w:bCs/>
          <w:sz w:val="56"/>
          <w:szCs w:val="96"/>
        </w:rPr>
        <w:t xml:space="preserve"> </w:t>
      </w:r>
      <w:r>
        <w:rPr>
          <w:rFonts w:hint="eastAsia"/>
          <w:b/>
          <w:bCs/>
          <w:sz w:val="56"/>
          <w:szCs w:val="96"/>
        </w:rPr>
        <w:t>巴州区</w:t>
      </w:r>
    </w:p>
    <w:p>
      <w:pPr>
        <w:ind w:firstLine="0" w:firstLineChars="0"/>
        <w:jc w:val="center"/>
        <w:rPr>
          <w:b/>
          <w:bCs/>
          <w:sz w:val="96"/>
          <w:szCs w:val="160"/>
        </w:rPr>
      </w:pPr>
      <w:r>
        <w:rPr>
          <w:rFonts w:hint="eastAsia"/>
          <w:b/>
          <w:bCs/>
          <w:sz w:val="96"/>
          <w:szCs w:val="160"/>
        </w:rPr>
        <w:t>寒溪寺水库扩建工程</w:t>
      </w:r>
    </w:p>
    <w:p>
      <w:pPr>
        <w:ind w:firstLine="0" w:firstLineChars="0"/>
        <w:jc w:val="center"/>
        <w:rPr>
          <w:b/>
          <w:bCs/>
          <w:sz w:val="72"/>
          <w:szCs w:val="144"/>
        </w:rPr>
      </w:pPr>
      <w:r>
        <w:rPr>
          <w:rFonts w:hint="eastAsia"/>
          <w:b/>
          <w:bCs/>
          <w:sz w:val="72"/>
          <w:szCs w:val="144"/>
        </w:rPr>
        <w:t>环境影响报告书</w:t>
      </w:r>
    </w:p>
    <w:p>
      <w:pPr>
        <w:spacing w:line="480" w:lineRule="auto"/>
        <w:ind w:firstLine="0" w:firstLineChars="0"/>
        <w:jc w:val="center"/>
        <w:rPr>
          <w:sz w:val="40"/>
          <w:szCs w:val="48"/>
        </w:rPr>
      </w:pPr>
    </w:p>
    <w:p>
      <w:pPr>
        <w:spacing w:line="480" w:lineRule="auto"/>
        <w:ind w:firstLine="0" w:firstLineChars="0"/>
        <w:jc w:val="center"/>
        <w:rPr>
          <w:sz w:val="40"/>
          <w:szCs w:val="48"/>
        </w:rPr>
      </w:pPr>
      <w:r>
        <w:rPr>
          <w:rFonts w:hint="eastAsia"/>
          <w:sz w:val="40"/>
          <w:szCs w:val="48"/>
        </w:rPr>
        <w:t>（</w:t>
      </w:r>
      <w:r>
        <w:rPr>
          <w:rFonts w:hint="eastAsia"/>
          <w:b/>
          <w:bCs/>
          <w:sz w:val="36"/>
          <w:szCs w:val="44"/>
        </w:rPr>
        <w:t>征求意见稿</w:t>
      </w:r>
      <w:r>
        <w:rPr>
          <w:rFonts w:hint="eastAsia"/>
          <w:sz w:val="40"/>
          <w:szCs w:val="48"/>
        </w:rPr>
        <w:t>）</w:t>
      </w: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p>
      <w:pPr>
        <w:spacing w:line="480" w:lineRule="auto"/>
        <w:ind w:firstLine="0" w:firstLineChars="0"/>
        <w:jc w:val="center"/>
        <w:rPr>
          <w:sz w:val="48"/>
          <w:szCs w:val="56"/>
        </w:rPr>
      </w:pPr>
    </w:p>
    <w:tbl>
      <w:tblPr>
        <w:tblStyle w:val="38"/>
        <w:tblW w:w="0" w:type="auto"/>
        <w:tblInd w:w="682" w:type="dxa"/>
        <w:tblLayout w:type="autofit"/>
        <w:tblCellMar>
          <w:top w:w="0" w:type="dxa"/>
          <w:left w:w="108" w:type="dxa"/>
          <w:bottom w:w="0" w:type="dxa"/>
          <w:right w:w="108" w:type="dxa"/>
        </w:tblCellMar>
      </w:tblPr>
      <w:tblGrid>
        <w:gridCol w:w="1984"/>
        <w:gridCol w:w="5387"/>
      </w:tblGrid>
      <w:tr>
        <w:tblPrEx>
          <w:tblCellMar>
            <w:top w:w="0" w:type="dxa"/>
            <w:left w:w="108" w:type="dxa"/>
            <w:bottom w:w="0" w:type="dxa"/>
            <w:right w:w="108" w:type="dxa"/>
          </w:tblCellMar>
        </w:tblPrEx>
        <w:tc>
          <w:tcPr>
            <w:tcW w:w="1984" w:type="dxa"/>
          </w:tcPr>
          <w:p>
            <w:pPr>
              <w:ind w:firstLine="0" w:firstLineChars="0"/>
              <w:jc w:val="distribute"/>
              <w:rPr>
                <w:b/>
                <w:bCs/>
                <w:sz w:val="32"/>
                <w:szCs w:val="40"/>
              </w:rPr>
            </w:pPr>
            <w:r>
              <w:rPr>
                <w:b/>
                <w:bCs/>
                <w:sz w:val="32"/>
                <w:szCs w:val="40"/>
              </w:rPr>
              <w:t>建设单位</w:t>
            </w:r>
            <w:r>
              <w:rPr>
                <w:rFonts w:hint="eastAsia"/>
                <w:b/>
                <w:bCs/>
                <w:sz w:val="32"/>
                <w:szCs w:val="40"/>
              </w:rPr>
              <w:t>：</w:t>
            </w:r>
          </w:p>
        </w:tc>
        <w:tc>
          <w:tcPr>
            <w:tcW w:w="5387" w:type="dxa"/>
          </w:tcPr>
          <w:p>
            <w:pPr>
              <w:ind w:firstLine="0" w:firstLineChars="0"/>
              <w:jc w:val="distribute"/>
              <w:rPr>
                <w:b/>
                <w:bCs/>
                <w:sz w:val="32"/>
                <w:szCs w:val="40"/>
              </w:rPr>
            </w:pPr>
            <w:r>
              <w:rPr>
                <w:rFonts w:hint="eastAsia"/>
                <w:b/>
                <w:bCs/>
                <w:sz w:val="32"/>
                <w:szCs w:val="40"/>
              </w:rPr>
              <w:t>巴中市巴州区小型水库运行保护中心</w:t>
            </w:r>
          </w:p>
        </w:tc>
      </w:tr>
      <w:tr>
        <w:tblPrEx>
          <w:tblCellMar>
            <w:top w:w="0" w:type="dxa"/>
            <w:left w:w="108" w:type="dxa"/>
            <w:bottom w:w="0" w:type="dxa"/>
            <w:right w:w="108" w:type="dxa"/>
          </w:tblCellMar>
        </w:tblPrEx>
        <w:tc>
          <w:tcPr>
            <w:tcW w:w="1984" w:type="dxa"/>
          </w:tcPr>
          <w:p>
            <w:pPr>
              <w:ind w:firstLine="0" w:firstLineChars="0"/>
              <w:jc w:val="distribute"/>
              <w:rPr>
                <w:b/>
                <w:bCs/>
                <w:sz w:val="32"/>
                <w:szCs w:val="40"/>
              </w:rPr>
            </w:pPr>
            <w:r>
              <w:rPr>
                <w:b/>
                <w:bCs/>
                <w:sz w:val="32"/>
                <w:szCs w:val="40"/>
              </w:rPr>
              <w:t>环评单位</w:t>
            </w:r>
            <w:r>
              <w:rPr>
                <w:rFonts w:hint="eastAsia"/>
                <w:b/>
                <w:bCs/>
                <w:sz w:val="32"/>
                <w:szCs w:val="40"/>
              </w:rPr>
              <w:t>：</w:t>
            </w:r>
          </w:p>
        </w:tc>
        <w:tc>
          <w:tcPr>
            <w:tcW w:w="5387" w:type="dxa"/>
          </w:tcPr>
          <w:p>
            <w:pPr>
              <w:ind w:firstLine="0" w:firstLineChars="0"/>
              <w:jc w:val="distribute"/>
              <w:rPr>
                <w:b/>
                <w:bCs/>
                <w:sz w:val="32"/>
                <w:szCs w:val="40"/>
              </w:rPr>
            </w:pPr>
            <w:r>
              <w:rPr>
                <w:rFonts w:hint="eastAsia"/>
                <w:b/>
                <w:bCs/>
                <w:sz w:val="32"/>
                <w:szCs w:val="40"/>
              </w:rPr>
              <w:t>四川鑫锦程工程咨询有限公司</w:t>
            </w:r>
          </w:p>
        </w:tc>
      </w:tr>
    </w:tbl>
    <w:p>
      <w:pPr>
        <w:ind w:firstLine="0" w:firstLineChars="0"/>
        <w:jc w:val="center"/>
      </w:pPr>
      <w:r>
        <w:rPr>
          <w:rFonts w:hint="eastAsia"/>
          <w:b/>
          <w:bCs/>
          <w:sz w:val="28"/>
          <w:szCs w:val="28"/>
        </w:rPr>
        <w:t>202</w:t>
      </w:r>
      <w:r>
        <w:rPr>
          <w:b/>
          <w:bCs/>
          <w:sz w:val="28"/>
          <w:szCs w:val="28"/>
        </w:rPr>
        <w:t>3</w:t>
      </w:r>
      <w:r>
        <w:rPr>
          <w:rFonts w:hint="eastAsia"/>
          <w:b/>
          <w:bCs/>
          <w:sz w:val="28"/>
          <w:szCs w:val="28"/>
        </w:rPr>
        <w:t>年3月</w:t>
      </w:r>
    </w:p>
    <w:p>
      <w:pPr>
        <w:spacing w:line="480" w:lineRule="auto"/>
        <w:ind w:firstLine="560"/>
        <w:jc w:val="left"/>
        <w:rPr>
          <w:sz w:val="28"/>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587" w:bottom="1440" w:left="1587" w:header="851" w:footer="992" w:gutter="0"/>
          <w:cols w:space="720" w:num="1"/>
          <w:titlePg/>
          <w:docGrid w:type="lines" w:linePitch="332" w:charSpace="0"/>
        </w:sectPr>
      </w:pPr>
    </w:p>
    <w:p>
      <w:pPr>
        <w:pStyle w:val="3"/>
        <w:ind w:firstLine="0" w:firstLineChars="0"/>
        <w:contextualSpacing/>
        <w:rPr>
          <w:rFonts w:ascii="Times New Roman" w:hAnsi="Times New Roman"/>
        </w:rPr>
      </w:pPr>
      <w:bookmarkStart w:id="8" w:name="_Toc130753399"/>
      <w:bookmarkStart w:id="9" w:name="_Toc21723"/>
      <w:bookmarkStart w:id="10" w:name="_Toc25001"/>
      <w:bookmarkStart w:id="11" w:name="_Toc31555"/>
      <w:r>
        <w:rPr>
          <w:rFonts w:ascii="Times New Roman" w:hAnsi="宋体"/>
        </w:rPr>
        <w:t>概述</w:t>
      </w:r>
      <w:bookmarkEnd w:id="8"/>
      <w:bookmarkEnd w:id="9"/>
      <w:bookmarkEnd w:id="10"/>
      <w:bookmarkEnd w:id="11"/>
    </w:p>
    <w:p>
      <w:pPr>
        <w:pStyle w:val="2"/>
        <w:spacing w:before="0"/>
        <w:ind w:left="0" w:firstLine="482"/>
        <w:contextualSpacing/>
        <w:jc w:val="left"/>
        <w:rPr>
          <w:rFonts w:ascii="Times New Roman" w:hAnsi="Times New Roman"/>
          <w:b/>
          <w:bCs/>
        </w:rPr>
      </w:pPr>
      <w:r>
        <w:rPr>
          <w:rFonts w:ascii="Times New Roman"/>
          <w:b/>
          <w:bCs/>
        </w:rPr>
        <w:t>一、项目概况</w:t>
      </w:r>
    </w:p>
    <w:p>
      <w:pPr>
        <w:ind w:firstLine="480"/>
        <w:contextualSpacing/>
        <w:jc w:val="left"/>
        <w:rPr>
          <w:rFonts w:hint="eastAsia" w:hAnsi="宋体"/>
        </w:rPr>
      </w:pPr>
      <w:r>
        <w:rPr>
          <w:rFonts w:hint="eastAsia" w:hAnsi="宋体"/>
        </w:rPr>
        <w:t>寒溪寺水库位于渠江左岸二级支流化成河支流蔡家河上，坝址位于巴州区玉堂街道古楼山村，控制蔡家河集水面积4.53km</w:t>
      </w:r>
      <w:r>
        <w:rPr>
          <w:rFonts w:hint="eastAsia" w:hAnsi="宋体"/>
          <w:vertAlign w:val="superscript"/>
        </w:rPr>
        <w:t>2</w:t>
      </w:r>
      <w:r>
        <w:rPr>
          <w:rFonts w:hint="eastAsia" w:hAnsi="宋体"/>
        </w:rPr>
        <w:t>，多年平均来水量264.6万m</w:t>
      </w:r>
      <w:r>
        <w:rPr>
          <w:rFonts w:hint="eastAsia" w:hAnsi="宋体"/>
          <w:vertAlign w:val="superscript"/>
        </w:rPr>
        <w:t>3</w:t>
      </w:r>
      <w:r>
        <w:rPr>
          <w:rFonts w:hint="eastAsia" w:hAnsi="宋体"/>
        </w:rPr>
        <w:t>。水库原设计为具有农业灌溉、乡镇供水功能的小（1）型水利工程，总库容512万m</w:t>
      </w:r>
      <w:r>
        <w:rPr>
          <w:rFonts w:hint="eastAsia" w:hAnsi="宋体"/>
          <w:vertAlign w:val="superscript"/>
        </w:rPr>
        <w:t>3</w:t>
      </w:r>
      <w:r>
        <w:rPr>
          <w:rFonts w:hint="eastAsia" w:hAnsi="宋体"/>
        </w:rPr>
        <w:t>，设计灌面2.26万亩。1976年，工程于建设中期停工，未达到设计规模，其后采取在已成坝体开挖溢洪道等措施，形成目前的小（2）型水库。水库现状坝顶高程668.30m，正常蓄水位666.30m，死水位660.35m，总库容12.1万m</w:t>
      </w:r>
      <w:r>
        <w:rPr>
          <w:rFonts w:hint="eastAsia" w:hAnsi="宋体"/>
          <w:vertAlign w:val="superscript"/>
        </w:rPr>
        <w:t>3</w:t>
      </w:r>
      <w:r>
        <w:rPr>
          <w:rFonts w:hint="eastAsia" w:hAnsi="宋体"/>
        </w:rPr>
        <w:t>，调节库容7.3万m</w:t>
      </w:r>
      <w:r>
        <w:rPr>
          <w:rFonts w:hint="eastAsia" w:hAnsi="宋体"/>
          <w:vertAlign w:val="superscript"/>
        </w:rPr>
        <w:t>3</w:t>
      </w:r>
      <w:r>
        <w:rPr>
          <w:rFonts w:hint="eastAsia" w:hAnsi="宋体"/>
        </w:rPr>
        <w:t>。目前，有代洛供水工程在库区取水，供水范围为玉堂街道印合社区、登高社区及周边村居，供水人口约0.62万人；白岩河供水工程在下游取水，供玉堂街道白岩河村，供水人口0.04万人。</w:t>
      </w:r>
    </w:p>
    <w:p>
      <w:pPr>
        <w:ind w:firstLine="480"/>
        <w:contextualSpacing/>
        <w:jc w:val="left"/>
        <w:rPr>
          <w:rFonts w:hAnsi="宋体"/>
        </w:rPr>
      </w:pPr>
      <w:r>
        <w:rPr>
          <w:rFonts w:hint="eastAsia" w:hAnsi="宋体"/>
        </w:rPr>
        <w:t>根据相关规划、水库建设条件以及周边综合利用要求，寒溪寺水库拟扩建为具有农业灌溉、乡镇和农业供水等综合利用的小（1）型水库。水库供水范围为灌区和拟改扩建的代洛供水工程供水区：灌区位于寒溪寺水库与天星桥水库间的河源集水区，涉及玉堂街道8个村两个社区和化成镇2个村，共10个村两个社区；供水区在灌区基础上，增加天马山镇2个村，共12个村2个社区。</w:t>
      </w:r>
    </w:p>
    <w:p>
      <w:pPr>
        <w:ind w:firstLine="480"/>
        <w:contextualSpacing/>
        <w:jc w:val="left"/>
        <w:rPr>
          <w:rFonts w:ascii="宋体" w:hAnsi="宋体"/>
        </w:rPr>
      </w:pPr>
      <w:r>
        <w:rPr>
          <w:rFonts w:ascii="宋体" w:hAnsi="宋体"/>
        </w:rPr>
        <w:t>拟扩建的寒溪寺水库规划供水范围为</w:t>
      </w:r>
      <w:r>
        <w:rPr>
          <w:rFonts w:hint="eastAsia" w:ascii="宋体" w:hAnsi="宋体"/>
        </w:rPr>
        <w:t>寒溪寺水库</w:t>
      </w:r>
      <w:r>
        <w:rPr>
          <w:rFonts w:ascii="宋体" w:hAnsi="宋体"/>
        </w:rPr>
        <w:t>与天星桥水库之间的分水岭地带，属两水库集水区的旱片死角。灌区耕地和人口大部分布在420.00m</w:t>
      </w:r>
      <w:r>
        <w:rPr>
          <w:rFonts w:hint="eastAsia" w:ascii="宋体" w:hAnsi="宋体"/>
        </w:rPr>
        <w:t>～</w:t>
      </w:r>
      <w:r>
        <w:rPr>
          <w:rFonts w:ascii="宋体" w:hAnsi="宋体"/>
        </w:rPr>
        <w:t>670.00m之间，区域水利设施以塘坝、窖池为主，抗旱能力极低。灌区大部分地处两座中型水库分水邻，河流源短流小，水资源可利用量有限。从周边可利用水源来看，就近有</w:t>
      </w:r>
      <w:r>
        <w:rPr>
          <w:rFonts w:hint="eastAsia" w:ascii="宋体" w:hAnsi="宋体"/>
        </w:rPr>
        <w:t>寒溪寺水库</w:t>
      </w:r>
      <w:r>
        <w:rPr>
          <w:rFonts w:ascii="宋体" w:hAnsi="宋体"/>
        </w:rPr>
        <w:t>和天星桥水库水源，略远有巴河干流水源，此外再无合适的水源可解决区域缺水问题。灌区相邻的</w:t>
      </w:r>
      <w:r>
        <w:rPr>
          <w:rFonts w:hint="eastAsia" w:ascii="宋体" w:hAnsi="宋体"/>
        </w:rPr>
        <w:t>寒溪寺水库</w:t>
      </w:r>
      <w:r>
        <w:rPr>
          <w:rFonts w:ascii="宋体" w:hAnsi="宋体"/>
        </w:rPr>
        <w:t>和天星桥水库控灌高程分别在420.00m以下和370.00m以下，若考虑由</w:t>
      </w:r>
      <w:r>
        <w:rPr>
          <w:rFonts w:hint="eastAsia" w:ascii="宋体" w:hAnsi="宋体"/>
        </w:rPr>
        <w:t>寒溪寺水库</w:t>
      </w:r>
      <w:r>
        <w:rPr>
          <w:rFonts w:ascii="宋体" w:hAnsi="宋体"/>
        </w:rPr>
        <w:t>或天星桥水库供水，最大提水扬程将分别达到250m和300m，且两水库有各自需承担的灌溉供水任务；若考虑自水源丰富的巴河干流提水，就近自枣林镇提水距离将近10km，最大提水扬程达到320m，供水运行成本难以承受。寒溪寺水库坝址位于</w:t>
      </w:r>
      <w:r>
        <w:rPr>
          <w:rFonts w:hint="eastAsia" w:ascii="宋体" w:hAnsi="宋体"/>
        </w:rPr>
        <w:t>寒溪寺水库</w:t>
      </w:r>
      <w:r>
        <w:rPr>
          <w:rFonts w:ascii="宋体" w:hAnsi="宋体"/>
        </w:rPr>
        <w:t>上游支流蔡家河上，两处补水枢纽位于</w:t>
      </w:r>
      <w:r>
        <w:rPr>
          <w:rFonts w:hint="eastAsia" w:ascii="宋体" w:hAnsi="宋体"/>
        </w:rPr>
        <w:t>寒溪寺水库</w:t>
      </w:r>
      <w:r>
        <w:rPr>
          <w:rFonts w:ascii="宋体" w:hAnsi="宋体"/>
        </w:rPr>
        <w:t>上游支流两长河支沟谭家沟、刘家沟，水库控灌高程在665.00m以上，扩建寒溪寺水库，调蓄</w:t>
      </w:r>
      <w:r>
        <w:rPr>
          <w:rFonts w:hint="eastAsia" w:ascii="宋体" w:hAnsi="宋体"/>
        </w:rPr>
        <w:t>寒溪寺水库</w:t>
      </w:r>
      <w:r>
        <w:rPr>
          <w:rFonts w:ascii="宋体" w:hAnsi="宋体"/>
        </w:rPr>
        <w:t>上游集水区来水，高水高用，符合</w:t>
      </w:r>
      <w:r>
        <w:rPr>
          <w:rFonts w:hint="eastAsia" w:ascii="宋体" w:hAnsi="宋体"/>
        </w:rPr>
        <w:t>“</w:t>
      </w:r>
      <w:r>
        <w:rPr>
          <w:rFonts w:ascii="宋体" w:hAnsi="宋体"/>
        </w:rPr>
        <w:t>优化配置</w:t>
      </w:r>
      <w:r>
        <w:rPr>
          <w:rFonts w:hint="eastAsia" w:ascii="宋体" w:hAnsi="宋体"/>
        </w:rPr>
        <w:t>”</w:t>
      </w:r>
      <w:r>
        <w:rPr>
          <w:rFonts w:ascii="宋体" w:hAnsi="宋体"/>
        </w:rPr>
        <w:t>、</w:t>
      </w:r>
      <w:r>
        <w:rPr>
          <w:rFonts w:hint="eastAsia" w:ascii="宋体" w:hAnsi="宋体"/>
        </w:rPr>
        <w:t>“</w:t>
      </w:r>
      <w:r>
        <w:rPr>
          <w:rFonts w:ascii="宋体" w:hAnsi="宋体"/>
        </w:rPr>
        <w:t>空间均衡</w:t>
      </w:r>
      <w:r>
        <w:rPr>
          <w:rFonts w:hint="eastAsia" w:ascii="宋体" w:hAnsi="宋体"/>
        </w:rPr>
        <w:t>”</w:t>
      </w:r>
      <w:r>
        <w:rPr>
          <w:rFonts w:ascii="宋体" w:hAnsi="宋体"/>
        </w:rPr>
        <w:t>的治水思路。</w:t>
      </w:r>
    </w:p>
    <w:p>
      <w:pPr>
        <w:pStyle w:val="72"/>
        <w:spacing w:line="360" w:lineRule="auto"/>
        <w:ind w:firstLine="480"/>
        <w:rPr>
          <w:rFonts w:eastAsia="宋体"/>
          <w:sz w:val="24"/>
          <w:szCs w:val="24"/>
        </w:rPr>
      </w:pPr>
      <w:r>
        <w:rPr>
          <w:rFonts w:eastAsia="宋体"/>
          <w:sz w:val="24"/>
          <w:szCs w:val="24"/>
        </w:rPr>
        <w:t>寒溪寺水库是以农业灌溉、乡村供水等综合利用的小（1）型水利工程。设计灌溉面积2.25万亩，水库正常蓄水位695.00m，总库容337.7万m</w:t>
      </w:r>
      <w:r>
        <w:rPr>
          <w:rFonts w:eastAsia="宋体"/>
          <w:sz w:val="24"/>
          <w:szCs w:val="24"/>
          <w:vertAlign w:val="superscript"/>
        </w:rPr>
        <w:t>3</w:t>
      </w:r>
      <w:r>
        <w:rPr>
          <w:rFonts w:eastAsia="宋体"/>
          <w:sz w:val="24"/>
          <w:szCs w:val="24"/>
        </w:rPr>
        <w:t>。</w:t>
      </w:r>
    </w:p>
    <w:p>
      <w:pPr>
        <w:pStyle w:val="72"/>
        <w:spacing w:line="360" w:lineRule="auto"/>
        <w:ind w:firstLine="480"/>
        <w:rPr>
          <w:rFonts w:eastAsia="宋体"/>
          <w:sz w:val="24"/>
          <w:szCs w:val="24"/>
        </w:rPr>
      </w:pPr>
      <w:r>
        <w:rPr>
          <w:rFonts w:eastAsia="宋体"/>
          <w:sz w:val="24"/>
          <w:szCs w:val="24"/>
        </w:rPr>
        <w:t>水库由枢纽工程、补水工程和灌区工程三部分组成。其中枢纽工程包括拦河大坝、溢洪道、左岸取水放空隧洞等建筑物，补水工程由底格拦栅坝取水枢纽和补水暗渠组成；渠道工程包括1条干渠，4条支渠，由管道、隧洞、渡槽等组成。</w:t>
      </w:r>
    </w:p>
    <w:p>
      <w:pPr>
        <w:pStyle w:val="72"/>
        <w:spacing w:line="360" w:lineRule="auto"/>
        <w:ind w:firstLine="480"/>
        <w:rPr>
          <w:rStyle w:val="71"/>
          <w:rFonts w:eastAsia="宋体"/>
          <w:bCs w:val="0"/>
          <w:sz w:val="24"/>
          <w:szCs w:val="24"/>
        </w:rPr>
      </w:pPr>
      <w:r>
        <w:rPr>
          <w:rStyle w:val="71"/>
          <w:rFonts w:eastAsia="宋体"/>
          <w:bCs w:val="0"/>
          <w:sz w:val="24"/>
          <w:szCs w:val="24"/>
        </w:rPr>
        <w:t>枢纽工程大坝采用沥青混凝土心墙石渣坝，坝轴线全长250.00m，坝顶高程697.00m，最大坝高52.00m，坝顶宽6.00m。上游坝坡从上至下坡比为1：2.25、1：2.50，下游坝坡从上至下坡比为1：2.00、1：2.25、1：1.50。沥青混凝土心墙厚0.60m，心墙上、下游各设2.50m厚的过渡层，大坝上、下游坝壳采用砂泥岩石渣填筑。溢洪道布置于大坝左岸，长298.00m，由侧槽段、调整段、泄槽段、消力池段及尾水渠组成。左岸取水放空隧洞由原已成放空隧洞改建，进口底板高程667.00m，同时施工期做导流洞使用。采用岸塔式取水，由进水口段、闸室段、消能段、无压隧洞段、出口明渠段、台阶式泄槽段组成，全长342.86m。</w:t>
      </w:r>
    </w:p>
    <w:p>
      <w:pPr>
        <w:pStyle w:val="72"/>
        <w:spacing w:line="360" w:lineRule="auto"/>
        <w:ind w:firstLine="480"/>
        <w:rPr>
          <w:rFonts w:eastAsia="宋体"/>
          <w:sz w:val="24"/>
          <w:szCs w:val="24"/>
        </w:rPr>
      </w:pPr>
      <w:r>
        <w:rPr>
          <w:rFonts w:eastAsia="宋体"/>
          <w:sz w:val="24"/>
          <w:szCs w:val="24"/>
        </w:rPr>
        <w:t>补水工程由2座补水枢纽和2条补水渠道组成。2座补水枢纽分别为谭家河补水枢纽和刘家河补水枢纽，2条补水渠道分别为谭家河补水渠道和刘家河补水渠道。谭家河补水枢纽（原1#底格拦栅坝）位于左支沟谭家河上李家碥处，补水坝采用底格拦栅坝，坝轴线处净宽18m，最大坝高6.50m。底格拦栅坝右岸进水闸后接补水渠道，全长1236.85m，末端接入刘家河补水渠道。刘家河补水枢纽（原2#底格拦栅坝）位于右支沟刘家河上中华咀处，补水坝底格拦栅坝坝轴线处净宽22m，最大坝高6.60m。底格拦栅坝右岸进水闸后接补水渠道，全长2360.24m（明、暗渠425.47m，隧洞 1934.77m），末端接入寒溪寺水库库尾河道，出口底板高程696.22m。</w:t>
      </w:r>
    </w:p>
    <w:p>
      <w:pPr>
        <w:pStyle w:val="72"/>
        <w:spacing w:line="360" w:lineRule="auto"/>
        <w:ind w:firstLine="480"/>
        <w:rPr>
          <w:rFonts w:eastAsia="宋体"/>
          <w:sz w:val="24"/>
          <w:szCs w:val="24"/>
        </w:rPr>
      </w:pPr>
      <w:r>
        <w:rPr>
          <w:rFonts w:eastAsia="宋体"/>
          <w:sz w:val="24"/>
          <w:szCs w:val="24"/>
        </w:rPr>
        <w:t>水库灌区范围为：北起尖佛山，西至龙潭子河东岸及天星桥水库，南止于原石门乡与兴文镇边界，东以</w:t>
      </w:r>
      <w:r>
        <w:rPr>
          <w:rFonts w:hint="eastAsia" w:eastAsia="宋体"/>
          <w:sz w:val="24"/>
          <w:szCs w:val="24"/>
        </w:rPr>
        <w:t>寒溪寺水库</w:t>
      </w:r>
      <w:r>
        <w:rPr>
          <w:rFonts w:eastAsia="宋体"/>
          <w:sz w:val="24"/>
          <w:szCs w:val="24"/>
        </w:rPr>
        <w:t>及其右干渠灌区为界。灌区范围涉及玉堂街道、化成镇和天马山镇3个乡镇17个村共2.25万亩耕园地，其中：新增1.47万亩，改善0.78万亩；供水人口2.33万人（其中场镇人口0.70万人）。灌区共布置干渠1条，支渠4条（不计入本次投资），渠道走向大致由北向南，由左岸取水隧洞出口后沿蔡家河左岸行至陈家山，建渡槽跨至右岸，之后干渠南行过岳家坡、尖佛山、何家塝、冯家梁，到达原凌云乡代洛山，建隧洞穿山进入石门乡，之后继续南行止于登高寨。灌区干渠总长7.887km。</w:t>
      </w:r>
    </w:p>
    <w:p>
      <w:pPr>
        <w:pStyle w:val="72"/>
        <w:spacing w:line="360" w:lineRule="auto"/>
        <w:ind w:firstLine="480"/>
        <w:rPr>
          <w:rFonts w:eastAsia="宋体"/>
          <w:sz w:val="24"/>
          <w:szCs w:val="24"/>
        </w:rPr>
      </w:pPr>
      <w:r>
        <w:rPr>
          <w:rFonts w:eastAsia="宋体"/>
          <w:sz w:val="24"/>
          <w:szCs w:val="24"/>
        </w:rPr>
        <w:t>工程建设总工期：枢纽及补水工程32个月，灌区工程23个月。</w:t>
      </w:r>
    </w:p>
    <w:p>
      <w:pPr>
        <w:pStyle w:val="72"/>
        <w:spacing w:line="360" w:lineRule="auto"/>
        <w:ind w:firstLine="480"/>
        <w:rPr>
          <w:rFonts w:eastAsia="宋体"/>
          <w:sz w:val="24"/>
          <w:szCs w:val="24"/>
        </w:rPr>
      </w:pPr>
      <w:r>
        <w:rPr>
          <w:rFonts w:eastAsia="宋体"/>
          <w:sz w:val="24"/>
          <w:szCs w:val="24"/>
        </w:rPr>
        <w:t>本工程概算总投资26266.01万元，其中枢纽工程21940.25万元、灌区工程4325.76万元。</w:t>
      </w:r>
    </w:p>
    <w:p>
      <w:pPr>
        <w:pStyle w:val="72"/>
        <w:spacing w:line="360" w:lineRule="auto"/>
        <w:ind w:firstLine="480"/>
        <w:rPr>
          <w:rFonts w:eastAsia="宋体"/>
          <w:sz w:val="24"/>
          <w:szCs w:val="24"/>
        </w:rPr>
      </w:pPr>
      <w:r>
        <w:rPr>
          <w:rFonts w:eastAsia="宋体"/>
          <w:sz w:val="24"/>
          <w:szCs w:val="24"/>
        </w:rPr>
        <w:t>工程经济净现值3496.93万元，内部回收率7.3%，效益费用比1.36。</w:t>
      </w:r>
    </w:p>
    <w:p>
      <w:pPr>
        <w:pStyle w:val="2"/>
        <w:spacing w:before="0"/>
        <w:ind w:left="0" w:firstLine="420" w:firstLineChars="0"/>
        <w:contextualSpacing/>
        <w:jc w:val="left"/>
        <w:rPr>
          <w:rFonts w:ascii="Times New Roman" w:hAnsi="Times New Roman"/>
          <w:b/>
          <w:bCs/>
        </w:rPr>
      </w:pPr>
      <w:r>
        <w:rPr>
          <w:rFonts w:ascii="Times New Roman"/>
          <w:b/>
          <w:bCs/>
        </w:rPr>
        <w:t>二、环境影响评价工作过程</w:t>
      </w:r>
    </w:p>
    <w:p>
      <w:pPr>
        <w:pStyle w:val="2"/>
        <w:spacing w:before="0"/>
        <w:ind w:left="0" w:firstLine="480"/>
        <w:contextualSpacing/>
        <w:jc w:val="left"/>
        <w:rPr>
          <w:rFonts w:ascii="Times New Roman" w:hAnsi="Times New Roman"/>
        </w:rPr>
      </w:pPr>
      <w:r>
        <w:rPr>
          <w:rFonts w:ascii="Times New Roman"/>
        </w:rPr>
        <w:t>巴中市巴州区小型水库运行保护中心委托</w:t>
      </w:r>
      <w:r>
        <w:rPr>
          <w:rFonts w:hint="eastAsia" w:ascii="Times New Roman"/>
        </w:rPr>
        <w:t>四川大学工程设计研究院有限公司、中国电建集团中南勘测设计研究院有限公司</w:t>
      </w:r>
      <w:r>
        <w:rPr>
          <w:rFonts w:ascii="Times New Roman"/>
        </w:rPr>
        <w:t>开展</w:t>
      </w:r>
      <w:r>
        <w:rPr>
          <w:rFonts w:hint="eastAsia" w:ascii="Times New Roman"/>
        </w:rPr>
        <w:t>寒溪寺</w:t>
      </w:r>
      <w:r>
        <w:rPr>
          <w:rFonts w:ascii="Times New Roman"/>
        </w:rPr>
        <w:t>水库</w:t>
      </w:r>
      <w:r>
        <w:rPr>
          <w:rFonts w:hint="eastAsia" w:ascii="Times New Roman"/>
        </w:rPr>
        <w:t>扩建</w:t>
      </w:r>
      <w:r>
        <w:rPr>
          <w:rFonts w:ascii="Times New Roman"/>
        </w:rPr>
        <w:t>工程前期勘察设计工作。</w:t>
      </w:r>
      <w:r>
        <w:rPr>
          <w:rFonts w:ascii="Times New Roman" w:hAnsi="Times New Roman"/>
        </w:rPr>
        <w:t>2021</w:t>
      </w:r>
      <w:r>
        <w:rPr>
          <w:rFonts w:ascii="Times New Roman"/>
        </w:rPr>
        <w:t>年</w:t>
      </w:r>
      <w:r>
        <w:rPr>
          <w:rFonts w:ascii="Times New Roman" w:hAnsi="Times New Roman"/>
        </w:rPr>
        <w:t>6</w:t>
      </w:r>
      <w:r>
        <w:rPr>
          <w:rFonts w:ascii="Times New Roman"/>
        </w:rPr>
        <w:t>月取得</w:t>
      </w:r>
      <w:r>
        <w:rPr>
          <w:rFonts w:hint="eastAsia" w:ascii="Times New Roman"/>
        </w:rPr>
        <w:t>巴中市</w:t>
      </w:r>
      <w:r>
        <w:rPr>
          <w:rFonts w:ascii="Times New Roman"/>
        </w:rPr>
        <w:t>发展和改革委员会《关于</w:t>
      </w:r>
      <w:r>
        <w:rPr>
          <w:rFonts w:hint="eastAsia" w:ascii="Times New Roman"/>
        </w:rPr>
        <w:t>巴中市巴州区寒溪寺水库扩建工程</w:t>
      </w:r>
      <w:r>
        <w:rPr>
          <w:rFonts w:ascii="Times New Roman"/>
        </w:rPr>
        <w:t>可行性研究报告的批复》（</w:t>
      </w:r>
      <w:r>
        <w:rPr>
          <w:rFonts w:hint="eastAsia" w:ascii="Times New Roman"/>
        </w:rPr>
        <w:t>巴发改审</w:t>
      </w:r>
      <w:r>
        <w:rPr>
          <w:rFonts w:ascii="Times New Roman" w:hAnsi="Times New Roman"/>
        </w:rPr>
        <w:t>〔2021〕9</w:t>
      </w:r>
      <w:r>
        <w:rPr>
          <w:rFonts w:ascii="Times New Roman"/>
        </w:rPr>
        <w:t>号）。</w:t>
      </w:r>
      <w:r>
        <w:rPr>
          <w:rFonts w:ascii="Times New Roman" w:hAnsi="Times New Roman"/>
        </w:rPr>
        <w:t>2021</w:t>
      </w:r>
      <w:r>
        <w:rPr>
          <w:rFonts w:ascii="Times New Roman"/>
        </w:rPr>
        <w:t>年</w:t>
      </w:r>
      <w:r>
        <w:rPr>
          <w:rFonts w:ascii="Times New Roman" w:hAnsi="Times New Roman"/>
        </w:rPr>
        <w:t>1</w:t>
      </w:r>
      <w:r>
        <w:rPr>
          <w:rFonts w:ascii="Times New Roman"/>
        </w:rPr>
        <w:t>月取得</w:t>
      </w:r>
      <w:r>
        <w:rPr>
          <w:rFonts w:hint="eastAsia" w:ascii="Times New Roman"/>
        </w:rPr>
        <w:t>巴中市巴州区水利局</w:t>
      </w:r>
      <w:r>
        <w:rPr>
          <w:rFonts w:ascii="Times New Roman"/>
        </w:rPr>
        <w:t>《关于</w:t>
      </w:r>
      <w:r>
        <w:rPr>
          <w:rFonts w:hint="eastAsia" w:ascii="Times New Roman"/>
        </w:rPr>
        <w:t>巴中市巴州区寒溪寺水库扩建工程</w:t>
      </w:r>
      <w:r>
        <w:rPr>
          <w:rFonts w:ascii="Times New Roman"/>
        </w:rPr>
        <w:t>初步设计的批复》（</w:t>
      </w:r>
      <w:r>
        <w:rPr>
          <w:rFonts w:hint="eastAsia" w:ascii="Times New Roman"/>
        </w:rPr>
        <w:t>巴区</w:t>
      </w:r>
      <w:r>
        <w:rPr>
          <w:rFonts w:ascii="Times New Roman"/>
        </w:rPr>
        <w:t>水函</w:t>
      </w:r>
      <w:r>
        <w:rPr>
          <w:rFonts w:ascii="Times New Roman" w:hAnsi="Times New Roman"/>
        </w:rPr>
        <w:t>〔2021〕92</w:t>
      </w:r>
      <w:r>
        <w:rPr>
          <w:rFonts w:ascii="Times New Roman"/>
        </w:rPr>
        <w:t>号）。</w:t>
      </w:r>
    </w:p>
    <w:p>
      <w:pPr>
        <w:pStyle w:val="2"/>
        <w:spacing w:before="0"/>
        <w:ind w:left="0" w:firstLine="480"/>
        <w:contextualSpacing/>
        <w:jc w:val="left"/>
        <w:rPr>
          <w:rFonts w:ascii="Times New Roman" w:hAnsi="Times New Roman"/>
        </w:rPr>
      </w:pPr>
      <w:r>
        <w:rPr>
          <w:rFonts w:ascii="Times New Roman" w:hAnsi="Times New Roman"/>
        </w:rPr>
        <w:t>2023</w:t>
      </w:r>
      <w:r>
        <w:rPr>
          <w:rFonts w:ascii="Times New Roman"/>
        </w:rPr>
        <w:t>年</w:t>
      </w:r>
      <w:r>
        <w:rPr>
          <w:rFonts w:ascii="Times New Roman" w:hAnsi="Times New Roman"/>
        </w:rPr>
        <w:t>2</w:t>
      </w:r>
      <w:r>
        <w:rPr>
          <w:rFonts w:ascii="Times New Roman"/>
        </w:rPr>
        <w:t>月，巴中市巴州区小型水库运行保护中心委托四川鑫锦程工程咨询有限公司开展</w:t>
      </w:r>
      <w:r>
        <w:rPr>
          <w:rFonts w:hint="eastAsia" w:ascii="Times New Roman"/>
        </w:rPr>
        <w:t>寒溪寺</w:t>
      </w:r>
      <w:r>
        <w:rPr>
          <w:rFonts w:ascii="Times New Roman"/>
        </w:rPr>
        <w:t>水库</w:t>
      </w:r>
      <w:r>
        <w:rPr>
          <w:rFonts w:hint="eastAsia" w:ascii="Times New Roman"/>
        </w:rPr>
        <w:t>扩建</w:t>
      </w:r>
      <w:r>
        <w:rPr>
          <w:rFonts w:ascii="Times New Roman"/>
        </w:rPr>
        <w:t>工程环境影响报告书的编制工作。评价单位在认真分析工程设计文件的基础上，组织专业技术人员对</w:t>
      </w:r>
      <w:r>
        <w:rPr>
          <w:rFonts w:hint="eastAsia" w:ascii="Times New Roman"/>
        </w:rPr>
        <w:t>寒溪寺</w:t>
      </w:r>
      <w:r>
        <w:rPr>
          <w:rFonts w:ascii="Times New Roman"/>
        </w:rPr>
        <w:t>水库工程坝区、库区、料场、渣场等工程区进行了多次现场查勘，结合前期环境影响研究成果，开展了水文情势影响及下游生态需水量、地表水环境影响、水温影响、水污染防治规划、地下水环境影响、栖息地保护、水生生态影响、陆生生态影响等专题研究及环境现状监测工作。</w:t>
      </w:r>
    </w:p>
    <w:p>
      <w:pPr>
        <w:pStyle w:val="2"/>
        <w:spacing w:before="0"/>
        <w:ind w:left="0" w:firstLine="482"/>
        <w:contextualSpacing/>
        <w:jc w:val="left"/>
        <w:rPr>
          <w:rFonts w:ascii="Times New Roman" w:hAnsi="Times New Roman"/>
          <w:b/>
          <w:bCs/>
        </w:rPr>
      </w:pPr>
      <w:r>
        <w:rPr>
          <w:rFonts w:ascii="Times New Roman"/>
          <w:b/>
          <w:bCs/>
        </w:rPr>
        <w:t>三、环境影响结论</w:t>
      </w:r>
    </w:p>
    <w:p>
      <w:pPr>
        <w:ind w:firstLine="480"/>
        <w:contextualSpacing/>
      </w:pPr>
      <w:r>
        <w:rPr>
          <w:rFonts w:hAnsi="宋体"/>
        </w:rPr>
        <w:t>工程实施会对工程影响区的水文情势、水环境、水生生态、陆生生态、土地资源等带来一定的影响，施工</w:t>
      </w:r>
      <w:r>
        <w:t>“</w:t>
      </w:r>
      <w:r>
        <w:rPr>
          <w:rFonts w:hAnsi="宋体"/>
        </w:rPr>
        <w:t>三废</w:t>
      </w:r>
      <w:r>
        <w:t>”</w:t>
      </w:r>
      <w:r>
        <w:rPr>
          <w:rFonts w:hAnsi="宋体"/>
        </w:rPr>
        <w:t>和噪声对区域环境质量也会带来一定的影响，在认真落实生态调度、鱼类栖息地保护与河流连通性恢复、分层取水、人工增殖放流、生态补偿与修复、水污染防治等相关措施后，可有效减缓工程带来的不利环境影响。</w:t>
      </w:r>
      <w:r>
        <w:t>从环境保护角度综合分析，工程建设在环境上是可行的。</w:t>
      </w:r>
    </w:p>
    <w:p>
      <w:pPr>
        <w:pStyle w:val="2"/>
        <w:spacing w:before="0"/>
        <w:ind w:left="0" w:firstLine="482"/>
        <w:contextualSpacing/>
        <w:jc w:val="left"/>
        <w:rPr>
          <w:rFonts w:ascii="Times New Roman" w:hAnsi="Times New Roman"/>
          <w:b/>
          <w:bCs/>
        </w:rPr>
      </w:pPr>
      <w:r>
        <w:rPr>
          <w:rFonts w:ascii="Times New Roman"/>
          <w:b/>
          <w:bCs/>
        </w:rPr>
        <w:t>四、致谢</w:t>
      </w:r>
    </w:p>
    <w:p>
      <w:pPr>
        <w:pStyle w:val="2"/>
        <w:spacing w:before="0"/>
        <w:ind w:left="0" w:firstLine="480"/>
        <w:contextualSpacing/>
        <w:jc w:val="left"/>
        <w:rPr>
          <w:rFonts w:ascii="Times New Roman"/>
        </w:rPr>
      </w:pPr>
      <w:r>
        <w:rPr>
          <w:rFonts w:hint="eastAsia" w:ascii="Times New Roman"/>
        </w:rPr>
        <w:t>巴中市巴州区寒溪寺水库扩建工程</w:t>
      </w:r>
      <w:r>
        <w:rPr>
          <w:rFonts w:ascii="Times New Roman"/>
        </w:rPr>
        <w:t>环境影响报告书的编制工作中，</w:t>
      </w:r>
      <w:r>
        <w:rPr>
          <w:rFonts w:hint="eastAsia" w:ascii="Times New Roman"/>
        </w:rPr>
        <w:t>得到巴中市</w:t>
      </w:r>
      <w:r>
        <w:rPr>
          <w:rFonts w:ascii="Times New Roman"/>
        </w:rPr>
        <w:t>生态环境</w:t>
      </w:r>
      <w:r>
        <w:rPr>
          <w:rFonts w:hint="eastAsia" w:ascii="Times New Roman"/>
        </w:rPr>
        <w:t>局</w:t>
      </w:r>
      <w:r>
        <w:rPr>
          <w:rFonts w:ascii="Times New Roman"/>
        </w:rPr>
        <w:t>、</w:t>
      </w:r>
      <w:r>
        <w:rPr>
          <w:rFonts w:hint="eastAsia" w:ascii="Times New Roman"/>
        </w:rPr>
        <w:t>巴中市水利局、自然资源和规划局，巴中市巴州生态环境局、水利局、自然资源和规划局，以及巴州区人民政府及相关部门，建设单位</w:t>
      </w:r>
      <w:r>
        <w:rPr>
          <w:rFonts w:ascii="Times New Roman"/>
        </w:rPr>
        <w:t>巴中市巴州区小型水库运行保护中心</w:t>
      </w:r>
      <w:r>
        <w:rPr>
          <w:rFonts w:hint="eastAsia" w:ascii="Times New Roman"/>
        </w:rPr>
        <w:t>等单位部门的</w:t>
      </w:r>
      <w:r>
        <w:rPr>
          <w:rFonts w:ascii="Times New Roman"/>
        </w:rPr>
        <w:t>大力支持与帮助，在此一并表示衷心的感谢！</w:t>
      </w:r>
      <w:r>
        <w:rPr>
          <w:rFonts w:hint="eastAsia" w:ascii="Times New Roman"/>
        </w:rPr>
        <w:t>！</w:t>
      </w:r>
    </w:p>
    <w:p>
      <w:pPr>
        <w:pStyle w:val="2"/>
        <w:spacing w:before="0"/>
        <w:ind w:left="0" w:firstLine="480"/>
        <w:contextualSpacing/>
        <w:jc w:val="left"/>
        <w:rPr>
          <w:rFonts w:hint="eastAsia"/>
        </w:rPr>
        <w:sectPr>
          <w:headerReference r:id="rId11" w:type="first"/>
          <w:footerReference r:id="rId13" w:type="first"/>
          <w:footerReference r:id="rId12" w:type="default"/>
          <w:pgSz w:w="11906" w:h="16838"/>
          <w:pgMar w:top="1440" w:right="1587" w:bottom="1440" w:left="1587" w:header="851" w:footer="992" w:gutter="0"/>
          <w:pgNumType w:fmt="upperRoman" w:start="1"/>
          <w:cols w:space="720" w:num="1"/>
          <w:titlePg/>
          <w:docGrid w:type="lines" w:linePitch="332" w:charSpace="0"/>
        </w:sectPr>
      </w:pPr>
    </w:p>
    <w:p>
      <w:pPr>
        <w:pStyle w:val="2"/>
        <w:ind w:left="0" w:firstLine="0" w:firstLineChars="0"/>
        <w:jc w:val="center"/>
        <w:rPr>
          <w:sz w:val="32"/>
          <w:szCs w:val="32"/>
        </w:rPr>
      </w:pPr>
      <w:r>
        <w:rPr>
          <w:rFonts w:hint="eastAsia"/>
          <w:sz w:val="32"/>
          <w:szCs w:val="32"/>
        </w:rPr>
        <w:t>目 录</w:t>
      </w:r>
    </w:p>
    <w:p>
      <w:pPr>
        <w:pStyle w:val="27"/>
        <w:tabs>
          <w:tab w:val="right" w:leader="dot" w:pos="8722"/>
        </w:tabs>
        <w:ind w:firstLine="480"/>
        <w:rPr>
          <w:rFonts w:ascii="等线" w:hAnsi="等线" w:eastAsia="等线"/>
          <w:sz w:val="21"/>
        </w:rPr>
      </w:pPr>
      <w:r>
        <w:fldChar w:fldCharType="begin"/>
      </w:r>
      <w:r>
        <w:instrText xml:space="preserve">TOC \o "1-2" \h \u </w:instrText>
      </w:r>
      <w:r>
        <w:fldChar w:fldCharType="separate"/>
      </w:r>
      <w:r>
        <w:fldChar w:fldCharType="begin"/>
      </w:r>
      <w:r>
        <w:instrText xml:space="preserve"> HYPERLINK \l "_Toc130753399" </w:instrText>
      </w:r>
      <w:r>
        <w:fldChar w:fldCharType="separate"/>
      </w:r>
      <w:r>
        <w:rPr>
          <w:rStyle w:val="43"/>
          <w:rFonts w:hAnsi="宋体"/>
        </w:rPr>
        <w:t>概述</w:t>
      </w:r>
      <w:r>
        <w:tab/>
      </w:r>
      <w:r>
        <w:fldChar w:fldCharType="begin"/>
      </w:r>
      <w:r>
        <w:instrText xml:space="preserve"> PAGEREF _Toc130753399 \h </w:instrText>
      </w:r>
      <w:r>
        <w:fldChar w:fldCharType="separate"/>
      </w:r>
      <w:r>
        <w:t>I</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"_Toc130753400" </w:instrText>
      </w:r>
      <w:r>
        <w:fldChar w:fldCharType="separate"/>
      </w:r>
      <w:r>
        <w:rPr>
          <w:rStyle w:val="43"/>
        </w:rPr>
        <w:t>1</w:t>
      </w:r>
      <w:r>
        <w:rPr>
          <w:rStyle w:val="43"/>
          <w:rFonts w:hAnsi="宋体"/>
        </w:rPr>
        <w:t>总则</w:t>
      </w:r>
      <w:r>
        <w:tab/>
      </w:r>
      <w:r>
        <w:fldChar w:fldCharType="begin"/>
      </w:r>
      <w:r>
        <w:instrText xml:space="preserve"> PAGEREF _Toc130753400 \h </w:instrText>
      </w:r>
      <w:r>
        <w:fldChar w:fldCharType="separate"/>
      </w:r>
      <w:r>
        <w:t>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"_Toc130753401" </w:instrText>
      </w:r>
      <w:r>
        <w:fldChar w:fldCharType="separate"/>
      </w:r>
      <w:r>
        <w:rPr>
          <w:rStyle w:val="43"/>
        </w:rPr>
        <w:t>1.1</w:t>
      </w:r>
      <w:r>
        <w:rPr>
          <w:rStyle w:val="43"/>
          <w:rFonts w:hAnsi="宋体"/>
        </w:rPr>
        <w:t>编制目的</w:t>
      </w:r>
      <w:r>
        <w:tab/>
      </w:r>
      <w:r>
        <w:fldChar w:fldCharType="begin"/>
      </w:r>
      <w:r>
        <w:instrText xml:space="preserve"> PAGEREF _Toc130753401 \h </w:instrText>
      </w:r>
      <w:r>
        <w:fldChar w:fldCharType="separate"/>
      </w:r>
      <w:r>
        <w:t>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"_Toc130753402" </w:instrText>
      </w:r>
      <w:r>
        <w:fldChar w:fldCharType="separate"/>
      </w:r>
      <w:r>
        <w:rPr>
          <w:rStyle w:val="43"/>
        </w:rPr>
        <w:t>1.2</w:t>
      </w:r>
      <w:r>
        <w:rPr>
          <w:rStyle w:val="43"/>
          <w:rFonts w:hAnsi="宋体"/>
        </w:rPr>
        <w:t>编制依据</w:t>
      </w:r>
      <w:r>
        <w:tab/>
      </w:r>
      <w:r>
        <w:fldChar w:fldCharType="begin"/>
      </w:r>
      <w:r>
        <w:instrText xml:space="preserve"> PAGEREF _Toc130753402 \h </w:instrText>
      </w:r>
      <w:r>
        <w:fldChar w:fldCharType="separate"/>
      </w:r>
      <w:r>
        <w:t>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"_Toc130753403" </w:instrText>
      </w:r>
      <w:r>
        <w:fldChar w:fldCharType="separate"/>
      </w:r>
      <w:r>
        <w:rPr>
          <w:rStyle w:val="43"/>
        </w:rPr>
        <w:t>1.3</w:t>
      </w:r>
      <w:r>
        <w:rPr>
          <w:rStyle w:val="43"/>
          <w:rFonts w:hAnsi="宋体"/>
        </w:rPr>
        <w:t>评价标准</w:t>
      </w:r>
      <w:r>
        <w:tab/>
      </w:r>
      <w:r>
        <w:fldChar w:fldCharType="begin"/>
      </w:r>
      <w:r>
        <w:instrText xml:space="preserve"> PAGEREF _Toc130753403 \h </w:instrText>
      </w:r>
      <w:r>
        <w:fldChar w:fldCharType="separate"/>
      </w:r>
      <w:r>
        <w:t>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"_Toc130753404" </w:instrText>
      </w:r>
      <w:r>
        <w:fldChar w:fldCharType="separate"/>
      </w:r>
      <w:r>
        <w:rPr>
          <w:rStyle w:val="43"/>
        </w:rPr>
        <w:t>1.4</w:t>
      </w:r>
      <w:r>
        <w:rPr>
          <w:rStyle w:val="43"/>
          <w:rFonts w:hAnsi="宋体"/>
        </w:rPr>
        <w:t>评价等级</w:t>
      </w:r>
      <w:r>
        <w:tab/>
      </w:r>
      <w:r>
        <w:fldChar w:fldCharType="begin"/>
      </w:r>
      <w:r>
        <w:instrText xml:space="preserve"> PAGEREF _Toc130753404 \h </w:instrText>
      </w:r>
      <w:r>
        <w:fldChar w:fldCharType="separate"/>
      </w:r>
      <w:r>
        <w:t>11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"_Toc130753405" </w:instrText>
      </w:r>
      <w:r>
        <w:fldChar w:fldCharType="separate"/>
      </w:r>
      <w:r>
        <w:rPr>
          <w:rStyle w:val="43"/>
        </w:rPr>
        <w:t>1.5</w:t>
      </w:r>
      <w:r>
        <w:rPr>
          <w:rStyle w:val="43"/>
          <w:rFonts w:hAnsi="宋体"/>
        </w:rPr>
        <w:t>评价范围</w:t>
      </w:r>
      <w:r>
        <w:tab/>
      </w:r>
      <w:r>
        <w:fldChar w:fldCharType="begin"/>
      </w:r>
      <w:r>
        <w:instrText xml:space="preserve"> PAGEREF _Toc130753405 \h </w:instrText>
      </w:r>
      <w:r>
        <w:fldChar w:fldCharType="separate"/>
      </w:r>
      <w:r>
        <w:t>14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"_Toc130753406" </w:instrText>
      </w:r>
      <w:r>
        <w:fldChar w:fldCharType="separate"/>
      </w:r>
      <w:r>
        <w:rPr>
          <w:rStyle w:val="43"/>
        </w:rPr>
        <w:t>1.6</w:t>
      </w:r>
      <w:r>
        <w:rPr>
          <w:rStyle w:val="43"/>
          <w:rFonts w:hAnsi="宋体"/>
        </w:rPr>
        <w:t>环境保护目标和要求</w:t>
      </w:r>
      <w:r>
        <w:tab/>
      </w:r>
      <w:r>
        <w:fldChar w:fldCharType="begin"/>
      </w:r>
      <w:r>
        <w:instrText xml:space="preserve"> PAGEREF _Toc130753406 \h </w:instrText>
      </w:r>
      <w:r>
        <w:fldChar w:fldCharType="separate"/>
      </w:r>
      <w:r>
        <w:t>15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"_Toc130753407" </w:instrText>
      </w:r>
      <w:r>
        <w:fldChar w:fldCharType="separate"/>
      </w:r>
      <w:r>
        <w:rPr>
          <w:rStyle w:val="43"/>
        </w:rPr>
        <w:t>1.7</w:t>
      </w:r>
      <w:r>
        <w:rPr>
          <w:rStyle w:val="43"/>
          <w:rFonts w:hAnsi="宋体"/>
        </w:rPr>
        <w:t>环境影响识别及评价重点</w:t>
      </w:r>
      <w:r>
        <w:tab/>
      </w:r>
      <w:r>
        <w:fldChar w:fldCharType="begin"/>
      </w:r>
      <w:r>
        <w:instrText xml:space="preserve"> PAGEREF _Toc130753407 \h </w:instrText>
      </w:r>
      <w:r>
        <w:fldChar w:fldCharType="separate"/>
      </w:r>
      <w:r>
        <w:t>20</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"_Toc130753408" </w:instrText>
      </w:r>
      <w:r>
        <w:fldChar w:fldCharType="separate"/>
      </w:r>
      <w:r>
        <w:rPr>
          <w:rStyle w:val="43"/>
        </w:rPr>
        <w:t>1.8</w:t>
      </w:r>
      <w:r>
        <w:rPr>
          <w:rStyle w:val="43"/>
          <w:rFonts w:hAnsi="宋体"/>
        </w:rPr>
        <w:t>评价时段和评价重点</w:t>
      </w:r>
      <w:r>
        <w:tab/>
      </w:r>
      <w:r>
        <w:fldChar w:fldCharType="begin"/>
      </w:r>
      <w:r>
        <w:instrText xml:space="preserve"> PAGEREF _Toc130753408 \h </w:instrText>
      </w:r>
      <w:r>
        <w:fldChar w:fldCharType="separate"/>
      </w:r>
      <w:r>
        <w:t>21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"_Toc130753409" </w:instrText>
      </w:r>
      <w:r>
        <w:fldChar w:fldCharType="separate"/>
      </w:r>
      <w:r>
        <w:rPr>
          <w:rStyle w:val="43"/>
        </w:rPr>
        <w:t>1.9</w:t>
      </w:r>
      <w:r>
        <w:rPr>
          <w:rStyle w:val="43"/>
          <w:rFonts w:hAnsi="宋体"/>
        </w:rPr>
        <w:t>环境影响评价程序</w:t>
      </w:r>
      <w:r>
        <w:tab/>
      </w:r>
      <w:r>
        <w:fldChar w:fldCharType="begin"/>
      </w:r>
      <w:r>
        <w:instrText xml:space="preserve"> PAGEREF _Toc130753409 \h </w:instrText>
      </w:r>
      <w:r>
        <w:fldChar w:fldCharType="separate"/>
      </w:r>
      <w:r>
        <w:t>21</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"_Toc130753410" </w:instrText>
      </w:r>
      <w:r>
        <w:fldChar w:fldCharType="separate"/>
      </w:r>
      <w:r>
        <w:rPr>
          <w:rStyle w:val="43"/>
        </w:rPr>
        <w:t>2</w:t>
      </w:r>
      <w:r>
        <w:rPr>
          <w:rStyle w:val="43"/>
          <w:rFonts w:hAnsi="宋体"/>
        </w:rPr>
        <w:t>工程概况</w:t>
      </w:r>
      <w:r>
        <w:tab/>
      </w:r>
      <w:r>
        <w:fldChar w:fldCharType="begin"/>
      </w:r>
      <w:r>
        <w:instrText xml:space="preserve"> PAGEREF _Toc130753410 \h </w:instrText>
      </w:r>
      <w:r>
        <w:fldChar w:fldCharType="separate"/>
      </w:r>
      <w:r>
        <w:t>24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"_Toc130753411" </w:instrText>
      </w:r>
      <w:r>
        <w:fldChar w:fldCharType="separate"/>
      </w:r>
      <w:r>
        <w:rPr>
          <w:rStyle w:val="43"/>
        </w:rPr>
        <w:t>2.1</w:t>
      </w:r>
      <w:r>
        <w:rPr>
          <w:rStyle w:val="43"/>
          <w:rFonts w:hAnsi="宋体"/>
        </w:rPr>
        <w:t>流域概况</w:t>
      </w:r>
      <w:r>
        <w:tab/>
      </w:r>
      <w:r>
        <w:fldChar w:fldCharType="begin"/>
      </w:r>
      <w:r>
        <w:instrText xml:space="preserve"> PAGEREF _Toc130753411 \h </w:instrText>
      </w:r>
      <w:r>
        <w:fldChar w:fldCharType="separate"/>
      </w:r>
      <w:r>
        <w:t>24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"_Toc130753412" </w:instrText>
      </w:r>
      <w:r>
        <w:fldChar w:fldCharType="separate"/>
      </w:r>
      <w:r>
        <w:rPr>
          <w:rStyle w:val="43"/>
        </w:rPr>
        <w:t>2.2</w:t>
      </w:r>
      <w:r>
        <w:rPr>
          <w:rStyle w:val="43"/>
          <w:rFonts w:hAnsi="宋体"/>
        </w:rPr>
        <w:t>工程概况</w:t>
      </w:r>
      <w:r>
        <w:tab/>
      </w:r>
      <w:r>
        <w:fldChar w:fldCharType="begin"/>
      </w:r>
      <w:r>
        <w:instrText xml:space="preserve"> PAGEREF _Toc130753412 \h </w:instrText>
      </w:r>
      <w:r>
        <w:fldChar w:fldCharType="separate"/>
      </w:r>
      <w:r>
        <w:t>30</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"_Toc130753413" </w:instrText>
      </w:r>
      <w:r>
        <w:fldChar w:fldCharType="separate"/>
      </w:r>
      <w:r>
        <w:rPr>
          <w:rStyle w:val="43"/>
        </w:rPr>
        <w:t>2.3</w:t>
      </w:r>
      <w:r>
        <w:rPr>
          <w:rStyle w:val="43"/>
          <w:rFonts w:hAnsi="宋体"/>
        </w:rPr>
        <w:t>施工规划</w:t>
      </w:r>
      <w:r>
        <w:tab/>
      </w:r>
      <w:r>
        <w:fldChar w:fldCharType="begin"/>
      </w:r>
      <w:r>
        <w:instrText xml:space="preserve"> PAGEREF _Toc130753413 \h </w:instrText>
      </w:r>
      <w:r>
        <w:fldChar w:fldCharType="separate"/>
      </w:r>
      <w:r>
        <w:t>40</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"_Toc130753414" </w:instrText>
      </w:r>
      <w:r>
        <w:fldChar w:fldCharType="separate"/>
      </w:r>
      <w:r>
        <w:rPr>
          <w:rStyle w:val="43"/>
        </w:rPr>
        <w:t>2.4</w:t>
      </w:r>
      <w:r>
        <w:rPr>
          <w:rStyle w:val="43"/>
          <w:rFonts w:hAnsi="宋体"/>
        </w:rPr>
        <w:t>建设征地及移民安置</w:t>
      </w:r>
      <w:r>
        <w:tab/>
      </w:r>
      <w:r>
        <w:fldChar w:fldCharType="begin"/>
      </w:r>
      <w:r>
        <w:instrText xml:space="preserve"> PAGEREF _Toc130753414 \h </w:instrText>
      </w:r>
      <w:r>
        <w:fldChar w:fldCharType="separate"/>
      </w:r>
      <w:r>
        <w:t>66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"_Toc130753415" </w:instrText>
      </w:r>
      <w:r>
        <w:fldChar w:fldCharType="separate"/>
      </w:r>
      <w:r>
        <w:rPr>
          <w:rStyle w:val="43"/>
        </w:rPr>
        <w:t>2.5</w:t>
      </w:r>
      <w:r>
        <w:rPr>
          <w:rStyle w:val="43"/>
          <w:rFonts w:hAnsi="宋体"/>
        </w:rPr>
        <w:t>工程运行调度方案</w:t>
      </w:r>
      <w:r>
        <w:tab/>
      </w:r>
      <w:r>
        <w:fldChar w:fldCharType="begin"/>
      </w:r>
      <w:r>
        <w:instrText xml:space="preserve"> PAGEREF _Toc130753415 \h </w:instrText>
      </w:r>
      <w:r>
        <w:fldChar w:fldCharType="separate"/>
      </w:r>
      <w:r>
        <w:t>69</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"_Toc130753416" </w:instrText>
      </w:r>
      <w:r>
        <w:fldChar w:fldCharType="separate"/>
      </w:r>
      <w:r>
        <w:rPr>
          <w:rStyle w:val="43"/>
        </w:rPr>
        <w:t>3</w:t>
      </w:r>
      <w:r>
        <w:rPr>
          <w:rStyle w:val="43"/>
          <w:rFonts w:hAnsi="宋体"/>
        </w:rPr>
        <w:t>工程分析</w:t>
      </w:r>
      <w:r>
        <w:tab/>
      </w:r>
      <w:r>
        <w:fldChar w:fldCharType="begin"/>
      </w:r>
      <w:r>
        <w:instrText xml:space="preserve"> PAGEREF _Toc130753416 \h </w:instrText>
      </w:r>
      <w:r>
        <w:fldChar w:fldCharType="separate"/>
      </w:r>
      <w:r>
        <w:t>77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"_Toc130753417" </w:instrText>
      </w:r>
      <w:r>
        <w:fldChar w:fldCharType="separate"/>
      </w:r>
      <w:r>
        <w:rPr>
          <w:rStyle w:val="43"/>
        </w:rPr>
        <w:t>3.1</w:t>
      </w:r>
      <w:r>
        <w:rPr>
          <w:rStyle w:val="43"/>
          <w:rFonts w:hAnsi="宋体"/>
        </w:rPr>
        <w:t>工程与相关政策规划符合性分析</w:t>
      </w:r>
      <w:r>
        <w:tab/>
      </w:r>
      <w:r>
        <w:fldChar w:fldCharType="begin"/>
      </w:r>
      <w:r>
        <w:instrText xml:space="preserve"> PAGEREF _Toc130753417 \h </w:instrText>
      </w:r>
      <w:r>
        <w:fldChar w:fldCharType="separate"/>
      </w:r>
      <w:r>
        <w:t>77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"_Toc130753418" </w:instrText>
      </w:r>
      <w:r>
        <w:fldChar w:fldCharType="separate"/>
      </w:r>
      <w:r>
        <w:rPr>
          <w:rStyle w:val="43"/>
        </w:rPr>
        <w:t>3.2</w:t>
      </w:r>
      <w:r>
        <w:rPr>
          <w:rStyle w:val="43"/>
          <w:rFonts w:hAnsi="宋体"/>
        </w:rPr>
        <w:t>工程总体布置合理性分析</w:t>
      </w:r>
      <w:r>
        <w:tab/>
      </w:r>
      <w:r>
        <w:fldChar w:fldCharType="begin"/>
      </w:r>
      <w:r>
        <w:instrText xml:space="preserve"> PAGEREF _Toc130753418 \h </w:instrText>
      </w:r>
      <w:r>
        <w:fldChar w:fldCharType="separate"/>
      </w:r>
      <w:r>
        <w:t>94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"_Toc130753419" </w:instrText>
      </w:r>
      <w:r>
        <w:fldChar w:fldCharType="separate"/>
      </w:r>
      <w:r>
        <w:rPr>
          <w:rStyle w:val="43"/>
        </w:rPr>
        <w:t>3.3工程施工影响源分析</w:t>
      </w:r>
      <w:r>
        <w:tab/>
      </w:r>
      <w:r>
        <w:fldChar w:fldCharType="begin"/>
      </w:r>
      <w:r>
        <w:instrText xml:space="preserve"> PAGEREF _Toc130753419 \h </w:instrText>
      </w:r>
      <w:r>
        <w:fldChar w:fldCharType="separate"/>
      </w:r>
      <w:r>
        <w:t>107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"_Toc130753420" </w:instrText>
      </w:r>
      <w:r>
        <w:fldChar w:fldCharType="separate"/>
      </w:r>
      <w:r>
        <w:rPr>
          <w:rStyle w:val="43"/>
        </w:rPr>
        <w:t>3.4工程运行影响源分析</w:t>
      </w:r>
      <w:r>
        <w:tab/>
      </w:r>
      <w:r>
        <w:fldChar w:fldCharType="begin"/>
      </w:r>
      <w:r>
        <w:instrText xml:space="preserve"> PAGEREF _Toc130753420 \h </w:instrText>
      </w:r>
      <w:r>
        <w:fldChar w:fldCharType="separate"/>
      </w:r>
      <w:r>
        <w:t>116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"_Toc130753421" </w:instrText>
      </w:r>
      <w:r>
        <w:fldChar w:fldCharType="separate"/>
      </w:r>
      <w:r>
        <w:rPr>
          <w:rStyle w:val="43"/>
        </w:rPr>
        <w:t>3.5环境影响识别和评价因子筛选</w:t>
      </w:r>
      <w:r>
        <w:tab/>
      </w:r>
      <w:r>
        <w:fldChar w:fldCharType="begin"/>
      </w:r>
      <w:r>
        <w:instrText xml:space="preserve"> PAGEREF _Toc130753421 \h </w:instrText>
      </w:r>
      <w:r>
        <w:fldChar w:fldCharType="separate"/>
      </w:r>
      <w:r>
        <w:t>121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"_Toc130753422" </w:instrText>
      </w:r>
      <w:r>
        <w:fldChar w:fldCharType="separate"/>
      </w:r>
      <w:r>
        <w:rPr>
          <w:rStyle w:val="43"/>
        </w:rPr>
        <w:t>3.6工程分析结论</w:t>
      </w:r>
      <w:r>
        <w:tab/>
      </w:r>
      <w:r>
        <w:fldChar w:fldCharType="begin"/>
      </w:r>
      <w:r>
        <w:instrText xml:space="preserve"> PAGEREF _Toc130753422 \h </w:instrText>
      </w:r>
      <w:r>
        <w:fldChar w:fldCharType="separate"/>
      </w:r>
      <w:r>
        <w:t>122</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"_Toc130753423" </w:instrText>
      </w:r>
      <w:r>
        <w:fldChar w:fldCharType="separate"/>
      </w:r>
      <w:r>
        <w:rPr>
          <w:rStyle w:val="43"/>
        </w:rPr>
        <w:t>4环境现状</w:t>
      </w:r>
      <w:r>
        <w:tab/>
      </w:r>
      <w:r>
        <w:fldChar w:fldCharType="begin"/>
      </w:r>
      <w:r>
        <w:instrText xml:space="preserve"> PAGEREF _Toc130753423 \h </w:instrText>
      </w:r>
      <w:r>
        <w:fldChar w:fldCharType="separate"/>
      </w:r>
      <w:r>
        <w:t>124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"_Toc130753424" </w:instrText>
      </w:r>
      <w:r>
        <w:fldChar w:fldCharType="separate"/>
      </w:r>
      <w:r>
        <w:rPr>
          <w:rStyle w:val="43"/>
        </w:rPr>
        <w:t>4.1地质</w:t>
      </w:r>
      <w:r>
        <w:tab/>
      </w:r>
      <w:r>
        <w:fldChar w:fldCharType="begin"/>
      </w:r>
      <w:r>
        <w:instrText xml:space="preserve"> PAGEREF _Toc130753424 \h </w:instrText>
      </w:r>
      <w:r>
        <w:fldChar w:fldCharType="separate"/>
      </w:r>
      <w:r>
        <w:t>124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"_Toc130753425" </w:instrText>
      </w:r>
      <w:r>
        <w:fldChar w:fldCharType="separate"/>
      </w:r>
      <w:r>
        <w:rPr>
          <w:rStyle w:val="43"/>
        </w:rPr>
        <w:t>4.2气象</w:t>
      </w:r>
      <w:r>
        <w:tab/>
      </w:r>
      <w:r>
        <w:fldChar w:fldCharType="begin"/>
      </w:r>
      <w:r>
        <w:instrText xml:space="preserve"> PAGEREF _Toc130753425 \h </w:instrText>
      </w:r>
      <w:r>
        <w:fldChar w:fldCharType="separate"/>
      </w:r>
      <w:r>
        <w:t>135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"_Toc130753426" </w:instrText>
      </w:r>
      <w:r>
        <w:fldChar w:fldCharType="separate"/>
      </w:r>
      <w:r>
        <w:rPr>
          <w:rStyle w:val="43"/>
        </w:rPr>
        <w:t>4.3水文泥沙</w:t>
      </w:r>
      <w:r>
        <w:tab/>
      </w:r>
      <w:r>
        <w:fldChar w:fldCharType="begin"/>
      </w:r>
      <w:r>
        <w:instrText xml:space="preserve"> PAGEREF _Toc130753426 \h </w:instrText>
      </w:r>
      <w:r>
        <w:fldChar w:fldCharType="separate"/>
      </w:r>
      <w:r>
        <w:t>135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"_Toc130753427" </w:instrText>
      </w:r>
      <w:r>
        <w:fldChar w:fldCharType="separate"/>
      </w:r>
      <w:r>
        <w:rPr>
          <w:rStyle w:val="43"/>
        </w:rPr>
        <w:t>4.4土壤</w:t>
      </w:r>
      <w:r>
        <w:tab/>
      </w:r>
      <w:r>
        <w:fldChar w:fldCharType="begin"/>
      </w:r>
      <w:r>
        <w:instrText xml:space="preserve"> PAGEREF _Toc130753427 \h </w:instrText>
      </w:r>
      <w:r>
        <w:fldChar w:fldCharType="separate"/>
      </w:r>
      <w:r>
        <w:t>137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"_Toc130753428" </w:instrText>
      </w:r>
      <w:r>
        <w:fldChar w:fldCharType="separate"/>
      </w:r>
      <w:r>
        <w:rPr>
          <w:rStyle w:val="43"/>
        </w:rPr>
        <w:t>4.5水环境</w:t>
      </w:r>
      <w:r>
        <w:tab/>
      </w:r>
      <w:r>
        <w:fldChar w:fldCharType="begin"/>
      </w:r>
      <w:r>
        <w:instrText xml:space="preserve"> PAGEREF _Toc130753428 \h </w:instrText>
      </w:r>
      <w:r>
        <w:fldChar w:fldCharType="separate"/>
      </w:r>
      <w:r>
        <w:t>138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"_Toc130753429" </w:instrText>
      </w:r>
      <w:r>
        <w:fldChar w:fldCharType="separate"/>
      </w:r>
      <w:r>
        <w:rPr>
          <w:rStyle w:val="43"/>
        </w:rPr>
        <w:t>4.6陆生生态</w:t>
      </w:r>
      <w:r>
        <w:tab/>
      </w:r>
      <w:r>
        <w:fldChar w:fldCharType="begin"/>
      </w:r>
      <w:r>
        <w:instrText xml:space="preserve"> PAGEREF _Toc130753429 \h </w:instrText>
      </w:r>
      <w:r>
        <w:fldChar w:fldCharType="separate"/>
      </w:r>
      <w:r>
        <w:t>151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"_Toc130753430" </w:instrText>
      </w:r>
      <w:r>
        <w:fldChar w:fldCharType="separate"/>
      </w:r>
      <w:r>
        <w:rPr>
          <w:rStyle w:val="43"/>
        </w:rPr>
        <w:t>4.7水生生态</w:t>
      </w:r>
      <w:r>
        <w:tab/>
      </w:r>
      <w:r>
        <w:fldChar w:fldCharType="begin"/>
      </w:r>
      <w:r>
        <w:instrText xml:space="preserve"> PAGEREF _Toc130753430 \h </w:instrText>
      </w:r>
      <w:r>
        <w:fldChar w:fldCharType="separate"/>
      </w:r>
      <w:r>
        <w:t>175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"_Toc130753431" </w:instrText>
      </w:r>
      <w:r>
        <w:fldChar w:fldCharType="separate"/>
      </w:r>
      <w:r>
        <w:rPr>
          <w:rStyle w:val="43"/>
        </w:rPr>
        <w:t>4.8大气与声环境</w:t>
      </w:r>
      <w:r>
        <w:tab/>
      </w:r>
      <w:r>
        <w:fldChar w:fldCharType="begin"/>
      </w:r>
      <w:r>
        <w:instrText xml:space="preserve"> PAGEREF _Toc130753431 \h </w:instrText>
      </w:r>
      <w:r>
        <w:fldChar w:fldCharType="separate"/>
      </w:r>
      <w:r>
        <w:t>182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"_Toc130753432" </w:instrText>
      </w:r>
      <w:r>
        <w:fldChar w:fldCharType="separate"/>
      </w:r>
      <w:r>
        <w:rPr>
          <w:rStyle w:val="43"/>
        </w:rPr>
        <w:t>4.9区域主要环境问题</w:t>
      </w:r>
      <w:r>
        <w:tab/>
      </w:r>
      <w:r>
        <w:fldChar w:fldCharType="begin"/>
      </w:r>
      <w:r>
        <w:instrText xml:space="preserve"> PAGEREF _Toc130753432 \h </w:instrText>
      </w:r>
      <w:r>
        <w:fldChar w:fldCharType="separate"/>
      </w:r>
      <w:r>
        <w:t>184</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"_Toc130753433" </w:instrText>
      </w:r>
      <w:r>
        <w:fldChar w:fldCharType="separate"/>
      </w:r>
      <w:r>
        <w:rPr>
          <w:rStyle w:val="43"/>
        </w:rPr>
        <w:t>5环境影响预测与评价</w:t>
      </w:r>
      <w:r>
        <w:tab/>
      </w:r>
      <w:r>
        <w:fldChar w:fldCharType="begin"/>
      </w:r>
      <w:r>
        <w:instrText xml:space="preserve"> PAGEREF _Toc130753433 \h </w:instrText>
      </w:r>
      <w:r>
        <w:fldChar w:fldCharType="separate"/>
      </w:r>
      <w:r>
        <w:t>186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"_Toc130753434" </w:instrText>
      </w:r>
      <w:r>
        <w:fldChar w:fldCharType="separate"/>
      </w:r>
      <w:r>
        <w:rPr>
          <w:rStyle w:val="43"/>
        </w:rPr>
        <w:t>5.1水文情势影响分析</w:t>
      </w:r>
      <w:r>
        <w:tab/>
      </w:r>
      <w:r>
        <w:fldChar w:fldCharType="begin"/>
      </w:r>
      <w:r>
        <w:instrText xml:space="preserve"> PAGEREF _Toc130753434 \h </w:instrText>
      </w:r>
      <w:r>
        <w:fldChar w:fldCharType="separate"/>
      </w:r>
      <w:r>
        <w:t>186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"_Toc130753435" </w:instrText>
      </w:r>
      <w:r>
        <w:fldChar w:fldCharType="separate"/>
      </w:r>
      <w:r>
        <w:rPr>
          <w:rStyle w:val="43"/>
        </w:rPr>
        <w:t>5.2 水环境影响预测评价</w:t>
      </w:r>
      <w:r>
        <w:tab/>
      </w:r>
      <w:r>
        <w:fldChar w:fldCharType="begin"/>
      </w:r>
      <w:r>
        <w:instrText xml:space="preserve"> PAGEREF _Toc130753435 \h </w:instrText>
      </w:r>
      <w:r>
        <w:fldChar w:fldCharType="separate"/>
      </w:r>
      <w:r>
        <w:t>192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"_Toc130753436" </w:instrText>
      </w:r>
      <w:r>
        <w:fldChar w:fldCharType="separate"/>
      </w:r>
      <w:r>
        <w:rPr>
          <w:rStyle w:val="43"/>
        </w:rPr>
        <w:t>5.3生态环境影响评价</w:t>
      </w:r>
      <w:r>
        <w:tab/>
      </w:r>
      <w:r>
        <w:fldChar w:fldCharType="begin"/>
      </w:r>
      <w:r>
        <w:instrText xml:space="preserve"> PAGEREF _Toc130753436 \h </w:instrText>
      </w:r>
      <w:r>
        <w:fldChar w:fldCharType="separate"/>
      </w:r>
      <w:r>
        <w:t>227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"_Toc130753437" </w:instrText>
      </w:r>
      <w:r>
        <w:fldChar w:fldCharType="separate"/>
      </w:r>
      <w:r>
        <w:rPr>
          <w:rStyle w:val="43"/>
        </w:rPr>
        <w:t>5.4大气环境影响预测评价</w:t>
      </w:r>
      <w:r>
        <w:tab/>
      </w:r>
      <w:r>
        <w:fldChar w:fldCharType="begin"/>
      </w:r>
      <w:r>
        <w:instrText xml:space="preserve"> PAGEREF _Toc130753437 \h </w:instrText>
      </w:r>
      <w:r>
        <w:fldChar w:fldCharType="separate"/>
      </w:r>
      <w:r>
        <w:t>245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"_Toc130753438" </w:instrText>
      </w:r>
      <w:r>
        <w:fldChar w:fldCharType="separate"/>
      </w:r>
      <w:r>
        <w:rPr>
          <w:rStyle w:val="43"/>
        </w:rPr>
        <w:t>5.5声环境影响预测评价</w:t>
      </w:r>
      <w:r>
        <w:tab/>
      </w:r>
      <w:r>
        <w:fldChar w:fldCharType="begin"/>
      </w:r>
      <w:r>
        <w:instrText xml:space="preserve"> PAGEREF _Toc130753438 \h </w:instrText>
      </w:r>
      <w:r>
        <w:fldChar w:fldCharType="separate"/>
      </w:r>
      <w:r>
        <w:t>248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"_Toc130753439" </w:instrText>
      </w:r>
      <w:r>
        <w:fldChar w:fldCharType="separate"/>
      </w:r>
      <w:r>
        <w:rPr>
          <w:rStyle w:val="43"/>
        </w:rPr>
        <w:t>5.6固体废物影响分析</w:t>
      </w:r>
      <w:r>
        <w:tab/>
      </w:r>
      <w:r>
        <w:fldChar w:fldCharType="begin"/>
      </w:r>
      <w:r>
        <w:instrText xml:space="preserve"> PAGEREF _Toc130753439 \h </w:instrText>
      </w:r>
      <w:r>
        <w:fldChar w:fldCharType="separate"/>
      </w:r>
      <w:r>
        <w:t>253</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"_Toc130753440" </w:instrText>
      </w:r>
      <w:r>
        <w:fldChar w:fldCharType="separate"/>
      </w:r>
      <w:r>
        <w:rPr>
          <w:rStyle w:val="43"/>
        </w:rPr>
        <w:t>5.7土壤环境影响分析</w:t>
      </w:r>
      <w:r>
        <w:tab/>
      </w:r>
      <w:r>
        <w:fldChar w:fldCharType="begin"/>
      </w:r>
      <w:r>
        <w:instrText xml:space="preserve"> PAGEREF _Toc130753440 \h </w:instrText>
      </w:r>
      <w:r>
        <w:fldChar w:fldCharType="separate"/>
      </w:r>
      <w:r>
        <w:t>253</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"_Toc130753441" </w:instrText>
      </w:r>
      <w:r>
        <w:fldChar w:fldCharType="separate"/>
      </w:r>
      <w:r>
        <w:rPr>
          <w:rStyle w:val="43"/>
        </w:rPr>
        <w:t>5.8水土流失影响</w:t>
      </w:r>
      <w:r>
        <w:tab/>
      </w:r>
      <w:r>
        <w:fldChar w:fldCharType="begin"/>
      </w:r>
      <w:r>
        <w:instrText xml:space="preserve"> PAGEREF _Toc130753441 \h </w:instrText>
      </w:r>
      <w:r>
        <w:fldChar w:fldCharType="separate"/>
      </w:r>
      <w:r>
        <w:t>257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"_Toc130753442" </w:instrText>
      </w:r>
      <w:r>
        <w:fldChar w:fldCharType="separate"/>
      </w:r>
      <w:r>
        <w:rPr>
          <w:rStyle w:val="43"/>
        </w:rPr>
        <w:t>5.9建设征地和移民安置的环境影响分析</w:t>
      </w:r>
      <w:r>
        <w:tab/>
      </w:r>
      <w:r>
        <w:fldChar w:fldCharType="begin"/>
      </w:r>
      <w:r>
        <w:instrText xml:space="preserve"> PAGEREF _Toc130753442 \h </w:instrText>
      </w:r>
      <w:r>
        <w:fldChar w:fldCharType="separate"/>
      </w:r>
      <w:r>
        <w:t>258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"_Toc130753443" </w:instrText>
      </w:r>
      <w:r>
        <w:fldChar w:fldCharType="separate"/>
      </w:r>
      <w:r>
        <w:rPr>
          <w:rStyle w:val="43"/>
        </w:rPr>
        <w:t>5.10其他环境影响分析</w:t>
      </w:r>
      <w:r>
        <w:tab/>
      </w:r>
      <w:r>
        <w:fldChar w:fldCharType="begin"/>
      </w:r>
      <w:r>
        <w:instrText xml:space="preserve"> PAGEREF _Toc130753443 \h </w:instrText>
      </w:r>
      <w:r>
        <w:fldChar w:fldCharType="separate"/>
      </w:r>
      <w:r>
        <w:t>260</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"_Toc130753444" </w:instrText>
      </w:r>
      <w:r>
        <w:fldChar w:fldCharType="separate"/>
      </w:r>
      <w:r>
        <w:rPr>
          <w:rStyle w:val="43"/>
        </w:rPr>
        <w:t>6环境保护措施</w:t>
      </w:r>
      <w:r>
        <w:tab/>
      </w:r>
      <w:r>
        <w:fldChar w:fldCharType="begin"/>
      </w:r>
      <w:r>
        <w:instrText xml:space="preserve"> PAGEREF _Toc130753444 \h </w:instrText>
      </w:r>
      <w:r>
        <w:fldChar w:fldCharType="separate"/>
      </w:r>
      <w:r>
        <w:t>262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"_Toc130753445" </w:instrText>
      </w:r>
      <w:r>
        <w:fldChar w:fldCharType="separate"/>
      </w:r>
      <w:r>
        <w:rPr>
          <w:rStyle w:val="43"/>
        </w:rPr>
        <w:t>6.1设计原则、任务、目标</w:t>
      </w:r>
      <w:r>
        <w:tab/>
      </w:r>
      <w:r>
        <w:fldChar w:fldCharType="begin"/>
      </w:r>
      <w:r>
        <w:instrText xml:space="preserve"> PAGEREF _Toc130753445 \h </w:instrText>
      </w:r>
      <w:r>
        <w:fldChar w:fldCharType="separate"/>
      </w:r>
      <w:r>
        <w:t>262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"_Toc130753446" </w:instrText>
      </w:r>
      <w:r>
        <w:fldChar w:fldCharType="separate"/>
      </w:r>
      <w:r>
        <w:rPr>
          <w:rStyle w:val="43"/>
        </w:rPr>
        <w:t>6.2水环境保护措施</w:t>
      </w:r>
      <w:r>
        <w:tab/>
      </w:r>
      <w:r>
        <w:fldChar w:fldCharType="begin"/>
      </w:r>
      <w:r>
        <w:instrText xml:space="preserve"> PAGEREF _Toc130753446 \h </w:instrText>
      </w:r>
      <w:r>
        <w:fldChar w:fldCharType="separate"/>
      </w:r>
      <w:r>
        <w:t>262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"_Toc130753447" </w:instrText>
      </w:r>
      <w:r>
        <w:fldChar w:fldCharType="separate"/>
      </w:r>
      <w:r>
        <w:rPr>
          <w:rStyle w:val="43"/>
        </w:rPr>
        <w:t>6.3生态保护措施</w:t>
      </w:r>
      <w:r>
        <w:tab/>
      </w:r>
      <w:r>
        <w:fldChar w:fldCharType="begin"/>
      </w:r>
      <w:r>
        <w:instrText xml:space="preserve"> PAGEREF _Toc130753447 \h </w:instrText>
      </w:r>
      <w:r>
        <w:fldChar w:fldCharType="separate"/>
      </w:r>
      <w:r>
        <w:t>279</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"_Toc130753448" </w:instrText>
      </w:r>
      <w:r>
        <w:fldChar w:fldCharType="separate"/>
      </w:r>
      <w:r>
        <w:rPr>
          <w:rStyle w:val="43"/>
        </w:rPr>
        <w:t>6.4大气环境保护措施</w:t>
      </w:r>
      <w:r>
        <w:tab/>
      </w:r>
      <w:r>
        <w:fldChar w:fldCharType="begin"/>
      </w:r>
      <w:r>
        <w:instrText xml:space="preserve"> PAGEREF _Toc130753448 \h </w:instrText>
      </w:r>
      <w:r>
        <w:fldChar w:fldCharType="separate"/>
      </w:r>
      <w:r>
        <w:t>291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"_Toc130753449" </w:instrText>
      </w:r>
      <w:r>
        <w:fldChar w:fldCharType="separate"/>
      </w:r>
      <w:r>
        <w:rPr>
          <w:rStyle w:val="43"/>
        </w:rPr>
        <w:t>6.5声环境保护措施</w:t>
      </w:r>
      <w:r>
        <w:tab/>
      </w:r>
      <w:r>
        <w:fldChar w:fldCharType="begin"/>
      </w:r>
      <w:r>
        <w:instrText xml:space="preserve"> PAGEREF _Toc130753449 \h </w:instrText>
      </w:r>
      <w:r>
        <w:fldChar w:fldCharType="separate"/>
      </w:r>
      <w:r>
        <w:t>293</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"_Toc130753450" </w:instrText>
      </w:r>
      <w:r>
        <w:fldChar w:fldCharType="separate"/>
      </w:r>
      <w:r>
        <w:rPr>
          <w:rStyle w:val="43"/>
        </w:rPr>
        <w:t>6.6固体废物处置措施</w:t>
      </w:r>
      <w:r>
        <w:tab/>
      </w:r>
      <w:r>
        <w:fldChar w:fldCharType="begin"/>
      </w:r>
      <w:r>
        <w:instrText xml:space="preserve"> PAGEREF _Toc130753450 \h </w:instrText>
      </w:r>
      <w:r>
        <w:fldChar w:fldCharType="separate"/>
      </w:r>
      <w:r>
        <w:t>295</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"_Toc130753451" </w:instrText>
      </w:r>
      <w:r>
        <w:fldChar w:fldCharType="separate"/>
      </w:r>
      <w:r>
        <w:rPr>
          <w:rStyle w:val="43"/>
        </w:rPr>
        <w:t>6.7土壤环境保护措施</w:t>
      </w:r>
      <w:r>
        <w:tab/>
      </w:r>
      <w:r>
        <w:fldChar w:fldCharType="begin"/>
      </w:r>
      <w:r>
        <w:instrText xml:space="preserve"> PAGEREF _Toc130753451 \h </w:instrText>
      </w:r>
      <w:r>
        <w:fldChar w:fldCharType="separate"/>
      </w:r>
      <w:r>
        <w:t>297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"_Toc130753452" </w:instrText>
      </w:r>
      <w:r>
        <w:fldChar w:fldCharType="separate"/>
      </w:r>
      <w:r>
        <w:rPr>
          <w:rStyle w:val="43"/>
        </w:rPr>
        <w:t>6.8移民安置环境保护措施</w:t>
      </w:r>
      <w:r>
        <w:tab/>
      </w:r>
      <w:r>
        <w:fldChar w:fldCharType="begin"/>
      </w:r>
      <w:r>
        <w:instrText xml:space="preserve"> PAGEREF _Toc130753452 \h </w:instrText>
      </w:r>
      <w:r>
        <w:fldChar w:fldCharType="separate"/>
      </w:r>
      <w:r>
        <w:t>297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"_Toc130753453" </w:instrText>
      </w:r>
      <w:r>
        <w:fldChar w:fldCharType="separate"/>
      </w:r>
      <w:r>
        <w:rPr>
          <w:rStyle w:val="43"/>
        </w:rPr>
        <w:t>6.9人群健康保护措施</w:t>
      </w:r>
      <w:r>
        <w:tab/>
      </w:r>
      <w:r>
        <w:fldChar w:fldCharType="begin"/>
      </w:r>
      <w:r>
        <w:instrText xml:space="preserve"> PAGEREF _Toc130753453 \h </w:instrText>
      </w:r>
      <w:r>
        <w:fldChar w:fldCharType="separate"/>
      </w:r>
      <w:r>
        <w:t>299</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"_Toc130753454" </w:instrText>
      </w:r>
      <w:r>
        <w:fldChar w:fldCharType="separate"/>
      </w:r>
      <w:r>
        <w:rPr>
          <w:rStyle w:val="43"/>
        </w:rPr>
        <w:t>6.10环境保护措施进度安排</w:t>
      </w:r>
      <w:r>
        <w:tab/>
      </w:r>
      <w:r>
        <w:fldChar w:fldCharType="begin"/>
      </w:r>
      <w:r>
        <w:instrText xml:space="preserve"> PAGEREF _Toc130753454 \h </w:instrText>
      </w:r>
      <w:r>
        <w:fldChar w:fldCharType="separate"/>
      </w:r>
      <w:r>
        <w:t>301</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"_Toc130753455" </w:instrText>
      </w:r>
      <w:r>
        <w:fldChar w:fldCharType="separate"/>
      </w:r>
      <w:r>
        <w:rPr>
          <w:rStyle w:val="43"/>
        </w:rPr>
        <w:t>7环境风险分析</w:t>
      </w:r>
      <w:r>
        <w:tab/>
      </w:r>
      <w:r>
        <w:fldChar w:fldCharType="begin"/>
      </w:r>
      <w:r>
        <w:instrText xml:space="preserve"> PAGEREF _Toc130753455 \h </w:instrText>
      </w:r>
      <w:r>
        <w:fldChar w:fldCharType="separate"/>
      </w:r>
      <w:r>
        <w:t>302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"_Toc130753456" </w:instrText>
      </w:r>
      <w:r>
        <w:fldChar w:fldCharType="separate"/>
      </w:r>
      <w:r>
        <w:rPr>
          <w:rStyle w:val="43"/>
        </w:rPr>
        <w:t>7.1评价目的与程序</w:t>
      </w:r>
      <w:r>
        <w:tab/>
      </w:r>
      <w:r>
        <w:fldChar w:fldCharType="begin"/>
      </w:r>
      <w:r>
        <w:instrText xml:space="preserve"> PAGEREF _Toc130753456 \h </w:instrText>
      </w:r>
      <w:r>
        <w:fldChar w:fldCharType="separate"/>
      </w:r>
      <w:r>
        <w:t>302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"_Toc130753457" </w:instrText>
      </w:r>
      <w:r>
        <w:fldChar w:fldCharType="separate"/>
      </w:r>
      <w:r>
        <w:rPr>
          <w:rStyle w:val="43"/>
        </w:rPr>
        <w:t>7.2环境风险潜势初判</w:t>
      </w:r>
      <w:r>
        <w:tab/>
      </w:r>
      <w:r>
        <w:fldChar w:fldCharType="begin"/>
      </w:r>
      <w:r>
        <w:instrText xml:space="preserve"> PAGEREF _Toc130753457 \h </w:instrText>
      </w:r>
      <w:r>
        <w:fldChar w:fldCharType="separate"/>
      </w:r>
      <w:r>
        <w:t>303</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"_Toc130753458" </w:instrText>
      </w:r>
      <w:r>
        <w:fldChar w:fldCharType="separate"/>
      </w:r>
      <w:r>
        <w:rPr>
          <w:rStyle w:val="43"/>
        </w:rPr>
        <w:t>7.3环境风险评价等级</w:t>
      </w:r>
      <w:r>
        <w:tab/>
      </w:r>
      <w:r>
        <w:fldChar w:fldCharType="begin"/>
      </w:r>
      <w:r>
        <w:instrText xml:space="preserve"> PAGEREF _Toc130753458 \h </w:instrText>
      </w:r>
      <w:r>
        <w:fldChar w:fldCharType="separate"/>
      </w:r>
      <w:r>
        <w:t>304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"_Toc130753459" </w:instrText>
      </w:r>
      <w:r>
        <w:fldChar w:fldCharType="separate"/>
      </w:r>
      <w:r>
        <w:rPr>
          <w:rStyle w:val="43"/>
        </w:rPr>
        <w:t>7.4施工期环境风险分析</w:t>
      </w:r>
      <w:r>
        <w:tab/>
      </w:r>
      <w:r>
        <w:fldChar w:fldCharType="begin"/>
      </w:r>
      <w:r>
        <w:instrText xml:space="preserve"> PAGEREF _Toc130753459 \h </w:instrText>
      </w:r>
      <w:r>
        <w:fldChar w:fldCharType="separate"/>
      </w:r>
      <w:r>
        <w:t>304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"_Toc130753460" </w:instrText>
      </w:r>
      <w:r>
        <w:fldChar w:fldCharType="separate"/>
      </w:r>
      <w:r>
        <w:rPr>
          <w:rStyle w:val="43"/>
        </w:rPr>
        <w:t>7.5运行期环境风险分析</w:t>
      </w:r>
      <w:r>
        <w:tab/>
      </w:r>
      <w:r>
        <w:fldChar w:fldCharType="begin"/>
      </w:r>
      <w:r>
        <w:instrText xml:space="preserve"> PAGEREF _Toc130753460 \h </w:instrText>
      </w:r>
      <w:r>
        <w:fldChar w:fldCharType="separate"/>
      </w:r>
      <w:r>
        <w:t>307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"_Toc130753461" </w:instrText>
      </w:r>
      <w:r>
        <w:fldChar w:fldCharType="separate"/>
      </w:r>
      <w:r>
        <w:rPr>
          <w:rStyle w:val="43"/>
        </w:rPr>
        <w:t>7.6应急预案</w:t>
      </w:r>
      <w:r>
        <w:tab/>
      </w:r>
      <w:r>
        <w:fldChar w:fldCharType="begin"/>
      </w:r>
      <w:r>
        <w:instrText xml:space="preserve"> PAGEREF _Toc130753461 \h </w:instrText>
      </w:r>
      <w:r>
        <w:fldChar w:fldCharType="separate"/>
      </w:r>
      <w:r>
        <w:t>307</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"_Toc130753462" </w:instrText>
      </w:r>
      <w:r>
        <w:fldChar w:fldCharType="separate"/>
      </w:r>
      <w:r>
        <w:rPr>
          <w:rStyle w:val="43"/>
        </w:rPr>
        <w:t>7.7风险评价结论</w:t>
      </w:r>
      <w:r>
        <w:tab/>
      </w:r>
      <w:r>
        <w:fldChar w:fldCharType="begin"/>
      </w:r>
      <w:r>
        <w:instrText xml:space="preserve"> PAGEREF _Toc130753462 \h </w:instrText>
      </w:r>
      <w:r>
        <w:fldChar w:fldCharType="separate"/>
      </w:r>
      <w:r>
        <w:t>314</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"_Toc130753463" </w:instrText>
      </w:r>
      <w:r>
        <w:fldChar w:fldCharType="separate"/>
      </w:r>
      <w:r>
        <w:rPr>
          <w:rStyle w:val="43"/>
        </w:rPr>
        <w:t>8环境管理、监理和监测</w:t>
      </w:r>
      <w:r>
        <w:tab/>
      </w:r>
      <w:r>
        <w:fldChar w:fldCharType="begin"/>
      </w:r>
      <w:r>
        <w:instrText xml:space="preserve"> PAGEREF _Toc130753463 \h </w:instrText>
      </w:r>
      <w:r>
        <w:fldChar w:fldCharType="separate"/>
      </w:r>
      <w:r>
        <w:t>316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"_Toc130753464" </w:instrText>
      </w:r>
      <w:r>
        <w:fldChar w:fldCharType="separate"/>
      </w:r>
      <w:r>
        <w:rPr>
          <w:rStyle w:val="43"/>
        </w:rPr>
        <w:t>8.1环境管理</w:t>
      </w:r>
      <w:r>
        <w:tab/>
      </w:r>
      <w:r>
        <w:fldChar w:fldCharType="begin"/>
      </w:r>
      <w:r>
        <w:instrText xml:space="preserve"> PAGEREF _Toc130753464 \h </w:instrText>
      </w:r>
      <w:r>
        <w:fldChar w:fldCharType="separate"/>
      </w:r>
      <w:r>
        <w:t>316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"_Toc130753465" </w:instrText>
      </w:r>
      <w:r>
        <w:fldChar w:fldCharType="separate"/>
      </w:r>
      <w:r>
        <w:rPr>
          <w:rStyle w:val="43"/>
        </w:rPr>
        <w:t>8.2环境监理</w:t>
      </w:r>
      <w:r>
        <w:tab/>
      </w:r>
      <w:r>
        <w:fldChar w:fldCharType="begin"/>
      </w:r>
      <w:r>
        <w:instrText xml:space="preserve"> PAGEREF _Toc130753465 \h </w:instrText>
      </w:r>
      <w:r>
        <w:fldChar w:fldCharType="separate"/>
      </w:r>
      <w:r>
        <w:t>322</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"_Toc130753466" </w:instrText>
      </w:r>
      <w:r>
        <w:fldChar w:fldCharType="separate"/>
      </w:r>
      <w:r>
        <w:rPr>
          <w:rStyle w:val="43"/>
        </w:rPr>
        <w:t>8.3环境监测</w:t>
      </w:r>
      <w:r>
        <w:tab/>
      </w:r>
      <w:r>
        <w:fldChar w:fldCharType="begin"/>
      </w:r>
      <w:r>
        <w:instrText xml:space="preserve"> PAGEREF _Toc130753466 \h </w:instrText>
      </w:r>
      <w:r>
        <w:fldChar w:fldCharType="separate"/>
      </w:r>
      <w:r>
        <w:t>328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"_Toc130753467" </w:instrText>
      </w:r>
      <w:r>
        <w:fldChar w:fldCharType="separate"/>
      </w:r>
      <w:r>
        <w:rPr>
          <w:rStyle w:val="43"/>
        </w:rPr>
        <w:t>8.4环境保护竣工验收</w:t>
      </w:r>
      <w:r>
        <w:tab/>
      </w:r>
      <w:r>
        <w:fldChar w:fldCharType="begin"/>
      </w:r>
      <w:r>
        <w:instrText xml:space="preserve"> PAGEREF _Toc130753467 \h </w:instrText>
      </w:r>
      <w:r>
        <w:fldChar w:fldCharType="separate"/>
      </w:r>
      <w:r>
        <w:t>338</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"_Toc130753468" </w:instrText>
      </w:r>
      <w:r>
        <w:fldChar w:fldCharType="separate"/>
      </w:r>
      <w:r>
        <w:rPr>
          <w:rStyle w:val="43"/>
        </w:rPr>
        <w:t>9环境保护投资估算与经济损益分析</w:t>
      </w:r>
      <w:r>
        <w:tab/>
      </w:r>
      <w:r>
        <w:fldChar w:fldCharType="begin"/>
      </w:r>
      <w:r>
        <w:instrText xml:space="preserve"> PAGEREF _Toc130753468 \h </w:instrText>
      </w:r>
      <w:r>
        <w:fldChar w:fldCharType="separate"/>
      </w:r>
      <w:r>
        <w:t>341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"_Toc130753469" </w:instrText>
      </w:r>
      <w:r>
        <w:fldChar w:fldCharType="separate"/>
      </w:r>
      <w:r>
        <w:rPr>
          <w:rStyle w:val="43"/>
        </w:rPr>
        <w:t>9.1环境保护投资估算</w:t>
      </w:r>
      <w:r>
        <w:tab/>
      </w:r>
      <w:r>
        <w:fldChar w:fldCharType="begin"/>
      </w:r>
      <w:r>
        <w:instrText xml:space="preserve"> PAGEREF _Toc130753469 \h </w:instrText>
      </w:r>
      <w:r>
        <w:fldChar w:fldCharType="separate"/>
      </w:r>
      <w:r>
        <w:t>341</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"_Toc130753470" </w:instrText>
      </w:r>
      <w:r>
        <w:fldChar w:fldCharType="separate"/>
      </w:r>
      <w:r>
        <w:rPr>
          <w:rStyle w:val="43"/>
        </w:rPr>
        <w:t>9.2环境影响经济损益分析</w:t>
      </w:r>
      <w:r>
        <w:tab/>
      </w:r>
      <w:r>
        <w:fldChar w:fldCharType="begin"/>
      </w:r>
      <w:r>
        <w:instrText xml:space="preserve"> PAGEREF _Toc130753470 \h </w:instrText>
      </w:r>
      <w:r>
        <w:fldChar w:fldCharType="separate"/>
      </w:r>
      <w:r>
        <w:t>344</w:t>
      </w:r>
      <w:r>
        <w:fldChar w:fldCharType="end"/>
      </w:r>
      <w:r>
        <w:fldChar w:fldCharType="end"/>
      </w:r>
    </w:p>
    <w:p>
      <w:pPr>
        <w:pStyle w:val="27"/>
        <w:tabs>
          <w:tab w:val="right" w:leader="dot" w:pos="8722"/>
        </w:tabs>
        <w:ind w:firstLine="480"/>
        <w:rPr>
          <w:rFonts w:ascii="等线" w:hAnsi="等线" w:eastAsia="等线"/>
          <w:sz w:val="21"/>
        </w:rPr>
      </w:pPr>
      <w:r>
        <w:fldChar w:fldCharType="begin"/>
      </w:r>
      <w:r>
        <w:instrText xml:space="preserve"> HYPERLINK \l "_Toc130753471" </w:instrText>
      </w:r>
      <w:r>
        <w:fldChar w:fldCharType="separate"/>
      </w:r>
      <w:r>
        <w:rPr>
          <w:rStyle w:val="43"/>
          <w:b/>
          <w:kern w:val="44"/>
        </w:rPr>
        <w:t>10评价结论和建议</w:t>
      </w:r>
      <w:r>
        <w:tab/>
      </w:r>
      <w:r>
        <w:fldChar w:fldCharType="begin"/>
      </w:r>
      <w:r>
        <w:instrText xml:space="preserve"> PAGEREF _Toc130753471 \h </w:instrText>
      </w:r>
      <w:r>
        <w:fldChar w:fldCharType="separate"/>
      </w:r>
      <w:r>
        <w:t>346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"_Toc130753472" </w:instrText>
      </w:r>
      <w:r>
        <w:fldChar w:fldCharType="separate"/>
      </w:r>
      <w:r>
        <w:rPr>
          <w:rStyle w:val="43"/>
        </w:rPr>
        <w:t>10.1工程概况</w:t>
      </w:r>
      <w:r>
        <w:tab/>
      </w:r>
      <w:r>
        <w:fldChar w:fldCharType="begin"/>
      </w:r>
      <w:r>
        <w:instrText xml:space="preserve"> PAGEREF _Toc130753472 \h </w:instrText>
      </w:r>
      <w:r>
        <w:fldChar w:fldCharType="separate"/>
      </w:r>
      <w:r>
        <w:t>346</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"_Toc130753473" </w:instrText>
      </w:r>
      <w:r>
        <w:fldChar w:fldCharType="separate"/>
      </w:r>
      <w:r>
        <w:rPr>
          <w:rStyle w:val="43"/>
        </w:rPr>
        <w:t>10.2环境现状评价</w:t>
      </w:r>
      <w:r>
        <w:tab/>
      </w:r>
      <w:r>
        <w:fldChar w:fldCharType="begin"/>
      </w:r>
      <w:r>
        <w:instrText xml:space="preserve"> PAGEREF _Toc130753473 \h </w:instrText>
      </w:r>
      <w:r>
        <w:fldChar w:fldCharType="separate"/>
      </w:r>
      <w:r>
        <w:t>348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"_Toc130753474" </w:instrText>
      </w:r>
      <w:r>
        <w:fldChar w:fldCharType="separate"/>
      </w:r>
      <w:r>
        <w:rPr>
          <w:rStyle w:val="43"/>
        </w:rPr>
        <w:t>10.3环境影响评价与环保对策措施</w:t>
      </w:r>
      <w:r>
        <w:tab/>
      </w:r>
      <w:r>
        <w:fldChar w:fldCharType="begin"/>
      </w:r>
      <w:r>
        <w:instrText xml:space="preserve"> PAGEREF _Toc130753474 \h </w:instrText>
      </w:r>
      <w:r>
        <w:fldChar w:fldCharType="separate"/>
      </w:r>
      <w:r>
        <w:t>348</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"_Toc130753475" </w:instrText>
      </w:r>
      <w:r>
        <w:fldChar w:fldCharType="separate"/>
      </w:r>
      <w:r>
        <w:rPr>
          <w:rStyle w:val="43"/>
        </w:rPr>
        <w:t>10.4环境监测与管理计划</w:t>
      </w:r>
      <w:r>
        <w:tab/>
      </w:r>
      <w:r>
        <w:fldChar w:fldCharType="begin"/>
      </w:r>
      <w:r>
        <w:instrText xml:space="preserve"> PAGEREF _Toc130753475 \h </w:instrText>
      </w:r>
      <w:r>
        <w:fldChar w:fldCharType="separate"/>
      </w:r>
      <w:r>
        <w:t>353</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"_Toc130753476" </w:instrText>
      </w:r>
      <w:r>
        <w:fldChar w:fldCharType="separate"/>
      </w:r>
      <w:r>
        <w:rPr>
          <w:rStyle w:val="43"/>
        </w:rPr>
        <w:t>10.5环境风险分析与应急措施</w:t>
      </w:r>
      <w:r>
        <w:tab/>
      </w:r>
      <w:r>
        <w:fldChar w:fldCharType="begin"/>
      </w:r>
      <w:r>
        <w:instrText xml:space="preserve"> PAGEREF _Toc130753476 \h </w:instrText>
      </w:r>
      <w:r>
        <w:fldChar w:fldCharType="separate"/>
      </w:r>
      <w:r>
        <w:t>354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"_Toc130753477" </w:instrText>
      </w:r>
      <w:r>
        <w:fldChar w:fldCharType="separate"/>
      </w:r>
      <w:r>
        <w:rPr>
          <w:rStyle w:val="43"/>
        </w:rPr>
        <w:t>10.6环保措施投资</w:t>
      </w:r>
      <w:r>
        <w:tab/>
      </w:r>
      <w:r>
        <w:fldChar w:fldCharType="begin"/>
      </w:r>
      <w:r>
        <w:instrText xml:space="preserve"> PAGEREF _Toc130753477 \h </w:instrText>
      </w:r>
      <w:r>
        <w:fldChar w:fldCharType="separate"/>
      </w:r>
      <w:r>
        <w:t>354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"_Toc130753478" </w:instrText>
      </w:r>
      <w:r>
        <w:fldChar w:fldCharType="separate"/>
      </w:r>
      <w:r>
        <w:rPr>
          <w:rStyle w:val="43"/>
        </w:rPr>
        <w:t>10.7公众参与</w:t>
      </w:r>
      <w:r>
        <w:tab/>
      </w:r>
      <w:r>
        <w:fldChar w:fldCharType="begin"/>
      </w:r>
      <w:r>
        <w:instrText xml:space="preserve"> PAGEREF _Toc130753478 \h </w:instrText>
      </w:r>
      <w:r>
        <w:fldChar w:fldCharType="separate"/>
      </w:r>
      <w:r>
        <w:t>354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"_Toc130753479" </w:instrText>
      </w:r>
      <w:r>
        <w:fldChar w:fldCharType="separate"/>
      </w:r>
      <w:r>
        <w:rPr>
          <w:rStyle w:val="43"/>
        </w:rPr>
        <w:t>10.7综合评价结论</w:t>
      </w:r>
      <w:r>
        <w:tab/>
      </w:r>
      <w:r>
        <w:fldChar w:fldCharType="begin"/>
      </w:r>
      <w:r>
        <w:instrText xml:space="preserve"> PAGEREF _Toc130753479 \h </w:instrText>
      </w:r>
      <w:r>
        <w:fldChar w:fldCharType="separate"/>
      </w:r>
      <w:r>
        <w:t>354</w:t>
      </w:r>
      <w:r>
        <w:fldChar w:fldCharType="end"/>
      </w:r>
      <w:r>
        <w:fldChar w:fldCharType="end"/>
      </w:r>
    </w:p>
    <w:p>
      <w:pPr>
        <w:pStyle w:val="33"/>
        <w:tabs>
          <w:tab w:val="right" w:leader="dot" w:pos="8722"/>
        </w:tabs>
        <w:ind w:left="480" w:firstLine="480"/>
        <w:rPr>
          <w:rFonts w:ascii="等线" w:hAnsi="等线" w:eastAsia="等线"/>
          <w:sz w:val="21"/>
        </w:rPr>
      </w:pPr>
      <w:r>
        <w:fldChar w:fldCharType="begin"/>
      </w:r>
      <w:r>
        <w:instrText xml:space="preserve"> HYPERLINK \l "_Toc130753480" </w:instrText>
      </w:r>
      <w:r>
        <w:fldChar w:fldCharType="separate"/>
      </w:r>
      <w:r>
        <w:rPr>
          <w:rStyle w:val="43"/>
        </w:rPr>
        <w:t>10.8建议</w:t>
      </w:r>
      <w:r>
        <w:tab/>
      </w:r>
      <w:r>
        <w:fldChar w:fldCharType="begin"/>
      </w:r>
      <w:r>
        <w:instrText xml:space="preserve"> PAGEREF _Toc130753480 \h </w:instrText>
      </w:r>
      <w:r>
        <w:fldChar w:fldCharType="separate"/>
      </w:r>
      <w:r>
        <w:t>355</w:t>
      </w:r>
      <w:r>
        <w:fldChar w:fldCharType="end"/>
      </w:r>
      <w:r>
        <w:fldChar w:fldCharType="end"/>
      </w:r>
    </w:p>
    <w:p>
      <w:pPr>
        <w:pStyle w:val="2"/>
        <w:spacing w:before="0"/>
        <w:ind w:left="0" w:firstLine="0" w:firstLineChars="0"/>
        <w:contextualSpacing/>
        <w:jc w:val="center"/>
        <w:sectPr>
          <w:footerReference r:id="rId15" w:type="first"/>
          <w:footerReference r:id="rId14" w:type="default"/>
          <w:pgSz w:w="11906" w:h="16838"/>
          <w:pgMar w:top="1440" w:right="1587" w:bottom="1440" w:left="1587" w:header="851" w:footer="992" w:gutter="0"/>
          <w:pgNumType w:fmt="upperRoman"/>
          <w:cols w:space="720" w:num="1"/>
          <w:titlePg/>
          <w:docGrid w:type="lines" w:linePitch="332" w:charSpace="0"/>
        </w:sectPr>
      </w:pPr>
      <w:r>
        <w:fldChar w:fldCharType="end"/>
      </w:r>
    </w:p>
    <w:p>
      <w:pPr>
        <w:pStyle w:val="3"/>
        <w:ind w:firstLine="0" w:firstLineChars="0"/>
        <w:contextualSpacing/>
        <w:rPr>
          <w:rFonts w:ascii="Times New Roman" w:hAnsi="Times New Roman"/>
        </w:rPr>
      </w:pPr>
      <w:bookmarkStart w:id="12" w:name="_Toc130753400"/>
      <w:r>
        <w:rPr>
          <w:rFonts w:ascii="Times New Roman" w:hAnsi="Times New Roman"/>
        </w:rPr>
        <w:t>1</w:t>
      </w:r>
      <w:r>
        <w:rPr>
          <w:rFonts w:ascii="Times New Roman" w:hAnsi="宋体"/>
        </w:rPr>
        <w:t>总则</w:t>
      </w:r>
      <w:bookmarkEnd w:id="0"/>
      <w:bookmarkEnd w:id="1"/>
      <w:bookmarkEnd w:id="2"/>
      <w:bookmarkEnd w:id="3"/>
      <w:bookmarkEnd w:id="4"/>
      <w:bookmarkEnd w:id="5"/>
      <w:bookmarkEnd w:id="6"/>
      <w:bookmarkEnd w:id="7"/>
      <w:bookmarkEnd w:id="12"/>
    </w:p>
    <w:p>
      <w:pPr>
        <w:pStyle w:val="4"/>
        <w:ind w:firstLine="0" w:firstLineChars="0"/>
        <w:contextualSpacing/>
      </w:pPr>
      <w:bookmarkStart w:id="13" w:name="_Toc26648"/>
      <w:bookmarkStart w:id="14" w:name="_Toc13076"/>
      <w:bookmarkStart w:id="15" w:name="_Toc130753401"/>
      <w:bookmarkStart w:id="16" w:name="_Toc31077"/>
      <w:bookmarkStart w:id="17" w:name="_Toc14997"/>
      <w:bookmarkStart w:id="18" w:name="_Toc16771"/>
      <w:bookmarkStart w:id="19" w:name="_Toc6422"/>
      <w:bookmarkStart w:id="20" w:name="_Toc4995"/>
      <w:bookmarkStart w:id="21" w:name="_Toc32105"/>
      <w:bookmarkStart w:id="22" w:name="_Toc15928"/>
      <w:r>
        <w:t>1.1</w:t>
      </w:r>
      <w:r>
        <w:rPr>
          <w:rFonts w:hAnsi="宋体"/>
        </w:rPr>
        <w:t>编制目的</w:t>
      </w:r>
      <w:bookmarkEnd w:id="13"/>
      <w:bookmarkEnd w:id="14"/>
      <w:bookmarkEnd w:id="15"/>
      <w:bookmarkEnd w:id="16"/>
      <w:bookmarkEnd w:id="17"/>
      <w:bookmarkEnd w:id="18"/>
      <w:bookmarkEnd w:id="19"/>
      <w:bookmarkEnd w:id="20"/>
      <w:bookmarkEnd w:id="21"/>
      <w:bookmarkEnd w:id="22"/>
    </w:p>
    <w:p>
      <w:pPr>
        <w:ind w:firstLine="480"/>
        <w:contextualSpacing/>
      </w:pPr>
      <w:r>
        <w:rPr>
          <w:rFonts w:hAnsi="宋体"/>
        </w:rPr>
        <w:t>根据巴中市巴州区寒溪寺水库扩建工程的工程特性及工程所在地区的环境特点，按照国家相关法律法规要求，确定本项目环境影响评价的主要目的如下：</w:t>
      </w:r>
    </w:p>
    <w:p>
      <w:pPr>
        <w:ind w:firstLine="480"/>
        <w:contextualSpacing/>
      </w:pPr>
      <w:r>
        <w:rPr>
          <w:rFonts w:hAnsi="宋体"/>
        </w:rPr>
        <w:t>（</w:t>
      </w:r>
      <w:r>
        <w:t>1</w:t>
      </w:r>
      <w:r>
        <w:rPr>
          <w:rFonts w:hAnsi="宋体"/>
        </w:rPr>
        <w:t>）详细调查工程涉及区域的水资源综合利用规划、环境保护规划和各类专项规划以及国家、地方有关环境保护的政策法规，分析工程建设的必要性和环境合理性，对工程规模、坝址及线路布置、工程设计与相关规划提出建议；</w:t>
      </w:r>
    </w:p>
    <w:p>
      <w:pPr>
        <w:ind w:firstLine="480"/>
        <w:contextualSpacing/>
      </w:pPr>
      <w:r>
        <w:rPr>
          <w:rFonts w:hAnsi="宋体"/>
        </w:rPr>
        <w:t>（</w:t>
      </w:r>
      <w:r>
        <w:t>2</w:t>
      </w:r>
      <w:r>
        <w:rPr>
          <w:rFonts w:hAnsi="宋体"/>
        </w:rPr>
        <w:t>）调查工程影响区地表水水环境、地下水环境、生态环境、环境空气、声环境、土壤环境和社会环境现状，明确工程影响区的环境功能目标、环境保护敏感目标以及是否存在重大环境制约因素，识别存在的主要环境问题。</w:t>
      </w:r>
    </w:p>
    <w:p>
      <w:pPr>
        <w:ind w:firstLine="480"/>
        <w:contextualSpacing/>
      </w:pPr>
      <w:r>
        <w:rPr>
          <w:rFonts w:hAnsi="宋体"/>
        </w:rPr>
        <w:t>（</w:t>
      </w:r>
      <w:r>
        <w:t>3</w:t>
      </w:r>
      <w:r>
        <w:rPr>
          <w:rFonts w:hAnsi="宋体"/>
        </w:rPr>
        <w:t>）根据工程性质、运行特点及施工工艺、方法，预测评价工程施工和运行对工程区及影响区的有利与不利环境影响。</w:t>
      </w:r>
    </w:p>
    <w:p>
      <w:pPr>
        <w:ind w:firstLine="480"/>
        <w:contextualSpacing/>
      </w:pPr>
      <w:r>
        <w:rPr>
          <w:rFonts w:hAnsi="宋体"/>
        </w:rPr>
        <w:t>（</w:t>
      </w:r>
      <w:r>
        <w:t>4</w:t>
      </w:r>
      <w:r>
        <w:rPr>
          <w:rFonts w:hAnsi="宋体"/>
        </w:rPr>
        <w:t>）针对工程建设、运行可能对环境带来的不利影响，制定切实可行的环境保护对策措施，使区域环境质量不因工程建设和运行而下降，生态系统、生物多样性得到有效保护，充分发挥工程的经济效益、社会效益和环境效益，促进工程区经济、社会、资源环境的协调可持续发展。</w:t>
      </w:r>
    </w:p>
    <w:p>
      <w:pPr>
        <w:ind w:firstLine="480"/>
        <w:contextualSpacing/>
      </w:pPr>
      <w:r>
        <w:rPr>
          <w:rFonts w:hAnsi="宋体"/>
        </w:rPr>
        <w:t>（</w:t>
      </w:r>
      <w:r>
        <w:t>5</w:t>
      </w:r>
      <w:r>
        <w:rPr>
          <w:rFonts w:hAnsi="宋体"/>
        </w:rPr>
        <w:t>）拟定工程施工期及运行期的环境监测方案，动态掌握工程环境影响状况并作出反馈，对环境保护措施进行调整和优化，保证工程环境保护措施的实施效果达到相应环保要求。</w:t>
      </w:r>
    </w:p>
    <w:p>
      <w:pPr>
        <w:ind w:firstLine="480"/>
        <w:contextualSpacing/>
      </w:pPr>
      <w:r>
        <w:rPr>
          <w:rFonts w:hAnsi="宋体"/>
        </w:rPr>
        <w:t>（</w:t>
      </w:r>
      <w:r>
        <w:t>6</w:t>
      </w:r>
      <w:r>
        <w:rPr>
          <w:rFonts w:hAnsi="宋体"/>
        </w:rPr>
        <w:t>）提出环境保护投资概算，为环境保护措施的实施提供资金保障，对工程采取的环境保护措施和工程带来的环境影响进行经济损益分析；</w:t>
      </w:r>
    </w:p>
    <w:p>
      <w:pPr>
        <w:ind w:firstLine="480"/>
        <w:contextualSpacing/>
      </w:pPr>
      <w:r>
        <w:rPr>
          <w:rFonts w:hAnsi="宋体"/>
        </w:rPr>
        <w:t>（</w:t>
      </w:r>
      <w:r>
        <w:t>7</w:t>
      </w:r>
      <w:r>
        <w:rPr>
          <w:rFonts w:hAnsi="宋体"/>
        </w:rPr>
        <w:t>）分析、预测环境保护措施实施后，工程涉及区域环境质量的总体变化趋势，从环境影响角度分析本工程建设的可行性，为工程方案论证、环境管理和项目决策提供科学依据。</w:t>
      </w:r>
    </w:p>
    <w:p>
      <w:pPr>
        <w:pStyle w:val="4"/>
        <w:ind w:firstLine="0" w:firstLineChars="0"/>
        <w:contextualSpacing/>
      </w:pPr>
      <w:bookmarkStart w:id="23" w:name="_Toc130753402"/>
      <w:bookmarkStart w:id="24" w:name="_Toc27794"/>
      <w:bookmarkStart w:id="25" w:name="_Toc13145"/>
      <w:bookmarkStart w:id="26" w:name="_Toc17640"/>
      <w:bookmarkStart w:id="27" w:name="_Toc25463"/>
      <w:bookmarkStart w:id="28" w:name="_Toc22585"/>
      <w:bookmarkStart w:id="29" w:name="_Toc7481"/>
      <w:bookmarkStart w:id="30" w:name="_Toc10924"/>
      <w:bookmarkStart w:id="31" w:name="_Toc16247"/>
      <w:bookmarkStart w:id="32" w:name="_Toc28192"/>
      <w:r>
        <w:t>1.2</w:t>
      </w:r>
      <w:r>
        <w:rPr>
          <w:rFonts w:hAnsi="宋体"/>
        </w:rPr>
        <w:t>编制依据</w:t>
      </w:r>
      <w:bookmarkEnd w:id="23"/>
      <w:bookmarkEnd w:id="24"/>
      <w:bookmarkEnd w:id="25"/>
      <w:bookmarkEnd w:id="26"/>
      <w:bookmarkEnd w:id="27"/>
      <w:bookmarkEnd w:id="28"/>
      <w:bookmarkEnd w:id="29"/>
      <w:bookmarkEnd w:id="30"/>
      <w:bookmarkEnd w:id="31"/>
      <w:bookmarkEnd w:id="32"/>
    </w:p>
    <w:p>
      <w:pPr>
        <w:pStyle w:val="5"/>
        <w:ind w:firstLine="0" w:firstLineChars="0"/>
        <w:contextualSpacing/>
        <w:rPr>
          <w:rFonts w:ascii="Times New Roman" w:hAnsi="Times New Roman"/>
        </w:rPr>
      </w:pPr>
      <w:bookmarkStart w:id="33" w:name="_Toc27876"/>
      <w:bookmarkStart w:id="34" w:name="_Toc9275"/>
      <w:bookmarkStart w:id="35" w:name="_Toc6654"/>
      <w:bookmarkStart w:id="36" w:name="_Toc29813"/>
      <w:bookmarkStart w:id="37" w:name="_Toc1877"/>
      <w:bookmarkStart w:id="38" w:name="_Toc2783"/>
      <w:bookmarkStart w:id="39" w:name="_Toc16842"/>
      <w:bookmarkStart w:id="40" w:name="_Toc24637"/>
      <w:bookmarkStart w:id="41" w:name="_Toc216"/>
      <w:r>
        <w:rPr>
          <w:rFonts w:ascii="Times New Roman" w:hAnsi="Times New Roman"/>
        </w:rPr>
        <w:t>1.2.1</w:t>
      </w:r>
      <w:r>
        <w:rPr>
          <w:rFonts w:ascii="Times New Roman" w:hAnsi="宋体"/>
        </w:rPr>
        <w:t>法律、法规</w:t>
      </w:r>
      <w:bookmarkEnd w:id="33"/>
      <w:bookmarkEnd w:id="34"/>
      <w:bookmarkEnd w:id="35"/>
      <w:bookmarkEnd w:id="36"/>
      <w:bookmarkEnd w:id="37"/>
      <w:bookmarkEnd w:id="38"/>
      <w:bookmarkEnd w:id="39"/>
      <w:bookmarkEnd w:id="40"/>
      <w:bookmarkEnd w:id="41"/>
    </w:p>
    <w:p>
      <w:pPr>
        <w:ind w:firstLine="480"/>
        <w:contextualSpacing/>
      </w:pPr>
      <w:r>
        <w:rPr>
          <w:rFonts w:hAnsi="宋体"/>
        </w:rPr>
        <w:t>（</w:t>
      </w:r>
      <w:r>
        <w:t>1</w:t>
      </w:r>
      <w:r>
        <w:rPr>
          <w:rFonts w:hAnsi="宋体"/>
        </w:rPr>
        <w:t>）《中华人民共和国环境保护法》，</w:t>
      </w:r>
      <w:r>
        <w:t>2015</w:t>
      </w:r>
      <w:r>
        <w:rPr>
          <w:rFonts w:hAnsi="宋体"/>
        </w:rPr>
        <w:t>年</w:t>
      </w:r>
      <w:r>
        <w:t>1</w:t>
      </w:r>
      <w:r>
        <w:rPr>
          <w:rFonts w:hAnsi="宋体"/>
        </w:rPr>
        <w:t>月</w:t>
      </w:r>
      <w:r>
        <w:t>1</w:t>
      </w:r>
      <w:r>
        <w:rPr>
          <w:rFonts w:hAnsi="宋体"/>
        </w:rPr>
        <w:t>日起施行；</w:t>
      </w:r>
    </w:p>
    <w:p>
      <w:pPr>
        <w:ind w:firstLine="480"/>
        <w:contextualSpacing/>
      </w:pPr>
      <w:r>
        <w:rPr>
          <w:rFonts w:hAnsi="宋体"/>
        </w:rPr>
        <w:t>（</w:t>
      </w:r>
      <w:r>
        <w:t>2</w:t>
      </w:r>
      <w:r>
        <w:rPr>
          <w:rFonts w:hAnsi="宋体"/>
        </w:rPr>
        <w:t>）《中华人民共和国环境影响评价法》，</w:t>
      </w:r>
      <w:r>
        <w:t>2019</w:t>
      </w:r>
      <w:r>
        <w:rPr>
          <w:rFonts w:hAnsi="宋体"/>
        </w:rPr>
        <w:t>年</w:t>
      </w:r>
      <w:r>
        <w:t>1</w:t>
      </w:r>
      <w:r>
        <w:rPr>
          <w:rFonts w:hAnsi="宋体"/>
        </w:rPr>
        <w:t>月</w:t>
      </w:r>
      <w:r>
        <w:t>1</w:t>
      </w:r>
      <w:r>
        <w:rPr>
          <w:rFonts w:hAnsi="宋体"/>
        </w:rPr>
        <w:t>日起施行；</w:t>
      </w:r>
    </w:p>
    <w:p>
      <w:pPr>
        <w:ind w:firstLine="480"/>
        <w:contextualSpacing/>
      </w:pPr>
      <w:r>
        <w:rPr>
          <w:rFonts w:hAnsi="宋体"/>
        </w:rPr>
        <w:t>（</w:t>
      </w:r>
      <w:r>
        <w:t>3</w:t>
      </w:r>
      <w:r>
        <w:rPr>
          <w:rFonts w:hAnsi="宋体"/>
        </w:rPr>
        <w:t>）《中华人民共和国水法》，</w:t>
      </w:r>
      <w:r>
        <w:t>2016</w:t>
      </w:r>
      <w:r>
        <w:rPr>
          <w:rFonts w:hAnsi="宋体"/>
        </w:rPr>
        <w:t>年</w:t>
      </w:r>
      <w:r>
        <w:t>9</w:t>
      </w:r>
      <w:r>
        <w:rPr>
          <w:rFonts w:hAnsi="宋体"/>
        </w:rPr>
        <w:t>月</w:t>
      </w:r>
      <w:r>
        <w:t>1</w:t>
      </w:r>
      <w:r>
        <w:rPr>
          <w:rFonts w:hAnsi="宋体"/>
        </w:rPr>
        <w:t>日起施行；</w:t>
      </w:r>
    </w:p>
    <w:p>
      <w:pPr>
        <w:ind w:firstLine="480"/>
        <w:contextualSpacing/>
      </w:pPr>
      <w:r>
        <w:rPr>
          <w:rFonts w:hAnsi="宋体"/>
        </w:rPr>
        <w:t>（</w:t>
      </w:r>
      <w:r>
        <w:t>4</w:t>
      </w:r>
      <w:r>
        <w:rPr>
          <w:rFonts w:hAnsi="宋体"/>
        </w:rPr>
        <w:t>）《中华人民共和国水污染防治法》，</w:t>
      </w:r>
      <w:r>
        <w:t>2018</w:t>
      </w:r>
      <w:r>
        <w:rPr>
          <w:rFonts w:hAnsi="宋体"/>
        </w:rPr>
        <w:t>年</w:t>
      </w:r>
      <w:r>
        <w:t>1</w:t>
      </w:r>
      <w:r>
        <w:rPr>
          <w:rFonts w:hAnsi="宋体"/>
        </w:rPr>
        <w:t>月</w:t>
      </w:r>
      <w:r>
        <w:t>1</w:t>
      </w:r>
      <w:r>
        <w:rPr>
          <w:rFonts w:hAnsi="宋体"/>
        </w:rPr>
        <w:t>日起施行；</w:t>
      </w:r>
    </w:p>
    <w:p>
      <w:pPr>
        <w:ind w:firstLine="480"/>
        <w:contextualSpacing/>
      </w:pPr>
      <w:r>
        <w:rPr>
          <w:rFonts w:hAnsi="宋体"/>
        </w:rPr>
        <w:t>（</w:t>
      </w:r>
      <w:r>
        <w:t>5</w:t>
      </w:r>
      <w:r>
        <w:rPr>
          <w:rFonts w:hAnsi="宋体"/>
        </w:rPr>
        <w:t>）《中华人民共和国大气污染防治法》，</w:t>
      </w:r>
      <w:r>
        <w:t>2016</w:t>
      </w:r>
      <w:r>
        <w:rPr>
          <w:rFonts w:hAnsi="宋体"/>
        </w:rPr>
        <w:t>年</w:t>
      </w:r>
      <w:r>
        <w:t>1</w:t>
      </w:r>
      <w:r>
        <w:rPr>
          <w:rFonts w:hAnsi="宋体"/>
        </w:rPr>
        <w:t>月</w:t>
      </w:r>
      <w:r>
        <w:t>1</w:t>
      </w:r>
      <w:r>
        <w:rPr>
          <w:rFonts w:hAnsi="宋体"/>
        </w:rPr>
        <w:t>日起施行；</w:t>
      </w:r>
    </w:p>
    <w:p>
      <w:pPr>
        <w:ind w:firstLine="480"/>
        <w:contextualSpacing/>
      </w:pPr>
      <w:r>
        <w:rPr>
          <w:rFonts w:hAnsi="宋体"/>
        </w:rPr>
        <w:t>（</w:t>
      </w:r>
      <w:r>
        <w:t>6</w:t>
      </w:r>
      <w:r>
        <w:rPr>
          <w:rFonts w:hAnsi="宋体"/>
        </w:rPr>
        <w:t>）《中华人民共和国噪声污染防治法》，</w:t>
      </w:r>
      <w:r>
        <w:t>2022</w:t>
      </w:r>
      <w:r>
        <w:rPr>
          <w:rFonts w:hAnsi="宋体"/>
        </w:rPr>
        <w:t>年</w:t>
      </w:r>
      <w:r>
        <w:t>6</w:t>
      </w:r>
      <w:r>
        <w:rPr>
          <w:rFonts w:hAnsi="宋体"/>
        </w:rPr>
        <w:t>月</w:t>
      </w:r>
      <w:r>
        <w:t>5</w:t>
      </w:r>
      <w:r>
        <w:rPr>
          <w:rFonts w:hAnsi="宋体"/>
        </w:rPr>
        <w:t>日起施行；</w:t>
      </w:r>
    </w:p>
    <w:p>
      <w:pPr>
        <w:ind w:firstLine="480"/>
        <w:contextualSpacing/>
      </w:pPr>
      <w:r>
        <w:rPr>
          <w:rFonts w:hAnsi="宋体"/>
        </w:rPr>
        <w:t>（</w:t>
      </w:r>
      <w:r>
        <w:t>7</w:t>
      </w:r>
      <w:r>
        <w:rPr>
          <w:rFonts w:hAnsi="宋体"/>
        </w:rPr>
        <w:t>）《中华人民共和国固体废物污染环境防治法》，</w:t>
      </w:r>
      <w:r>
        <w:t>2020</w:t>
      </w:r>
      <w:r>
        <w:rPr>
          <w:rFonts w:hAnsi="宋体"/>
        </w:rPr>
        <w:t>年</w:t>
      </w:r>
      <w:r>
        <w:t>9</w:t>
      </w:r>
      <w:r>
        <w:rPr>
          <w:rFonts w:hAnsi="宋体"/>
        </w:rPr>
        <w:t>月</w:t>
      </w:r>
      <w:r>
        <w:t>1</w:t>
      </w:r>
      <w:r>
        <w:rPr>
          <w:rFonts w:hAnsi="宋体"/>
        </w:rPr>
        <w:t>日起施行；</w:t>
      </w:r>
    </w:p>
    <w:p>
      <w:pPr>
        <w:ind w:firstLine="480"/>
        <w:contextualSpacing/>
      </w:pPr>
      <w:r>
        <w:rPr>
          <w:rFonts w:hAnsi="宋体"/>
        </w:rPr>
        <w:t>（</w:t>
      </w:r>
      <w:r>
        <w:t>8</w:t>
      </w:r>
      <w:r>
        <w:rPr>
          <w:rFonts w:hAnsi="宋体"/>
        </w:rPr>
        <w:t>）《中华人民共和国土壤污染环境防治法》，</w:t>
      </w:r>
      <w:r>
        <w:t>2019</w:t>
      </w:r>
      <w:r>
        <w:rPr>
          <w:rFonts w:hAnsi="宋体"/>
        </w:rPr>
        <w:t>年</w:t>
      </w:r>
      <w:r>
        <w:t>1</w:t>
      </w:r>
      <w:r>
        <w:rPr>
          <w:rFonts w:hAnsi="宋体"/>
        </w:rPr>
        <w:t>月</w:t>
      </w:r>
      <w:r>
        <w:t>1</w:t>
      </w:r>
      <w:r>
        <w:rPr>
          <w:rFonts w:hAnsi="宋体"/>
        </w:rPr>
        <w:t>日起施行；</w:t>
      </w:r>
    </w:p>
    <w:p>
      <w:pPr>
        <w:ind w:firstLine="480"/>
        <w:contextualSpacing/>
      </w:pPr>
      <w:r>
        <w:rPr>
          <w:rFonts w:hAnsi="宋体"/>
        </w:rPr>
        <w:t>（</w:t>
      </w:r>
      <w:r>
        <w:t>9</w:t>
      </w:r>
      <w:r>
        <w:rPr>
          <w:rFonts w:hAnsi="宋体"/>
        </w:rPr>
        <w:t>）《中华人民共和国土地管理法》，</w:t>
      </w:r>
      <w:r>
        <w:t>2019</w:t>
      </w:r>
      <w:r>
        <w:rPr>
          <w:rFonts w:hAnsi="宋体"/>
        </w:rPr>
        <w:t>修改，</w:t>
      </w:r>
      <w:r>
        <w:t>2020</w:t>
      </w:r>
      <w:r>
        <w:rPr>
          <w:rFonts w:hAnsi="宋体"/>
        </w:rPr>
        <w:t>年</w:t>
      </w:r>
      <w:r>
        <w:t>1</w:t>
      </w:r>
      <w:r>
        <w:rPr>
          <w:rFonts w:hAnsi="宋体"/>
        </w:rPr>
        <w:t>月</w:t>
      </w:r>
      <w:r>
        <w:t>1</w:t>
      </w:r>
      <w:r>
        <w:rPr>
          <w:rFonts w:hAnsi="宋体"/>
        </w:rPr>
        <w:t>日起施行；</w:t>
      </w:r>
    </w:p>
    <w:p>
      <w:pPr>
        <w:ind w:firstLine="480"/>
        <w:contextualSpacing/>
      </w:pPr>
      <w:r>
        <w:rPr>
          <w:rFonts w:hAnsi="宋体"/>
        </w:rPr>
        <w:t>（</w:t>
      </w:r>
      <w:r>
        <w:t>10</w:t>
      </w:r>
      <w:r>
        <w:rPr>
          <w:rFonts w:hAnsi="宋体"/>
        </w:rPr>
        <w:t>）《中华人民共和国水土保持法》，</w:t>
      </w:r>
      <w:r>
        <w:t>2011</w:t>
      </w:r>
      <w:r>
        <w:rPr>
          <w:rFonts w:hAnsi="宋体"/>
        </w:rPr>
        <w:t>年</w:t>
      </w:r>
      <w:r>
        <w:t>3</w:t>
      </w:r>
      <w:r>
        <w:rPr>
          <w:rFonts w:hAnsi="宋体"/>
        </w:rPr>
        <w:t>月</w:t>
      </w:r>
      <w:r>
        <w:t>1</w:t>
      </w:r>
      <w:r>
        <w:rPr>
          <w:rFonts w:hAnsi="宋体"/>
        </w:rPr>
        <w:t>日起施行；</w:t>
      </w:r>
    </w:p>
    <w:p>
      <w:pPr>
        <w:ind w:firstLine="480"/>
        <w:contextualSpacing/>
      </w:pPr>
      <w:r>
        <w:rPr>
          <w:rFonts w:hAnsi="宋体"/>
        </w:rPr>
        <w:t>（</w:t>
      </w:r>
      <w:r>
        <w:t>11</w:t>
      </w:r>
      <w:r>
        <w:rPr>
          <w:rFonts w:hAnsi="宋体"/>
        </w:rPr>
        <w:t>）《中华人民共和国森林法》，</w:t>
      </w:r>
      <w:r>
        <w:t>2019</w:t>
      </w:r>
      <w:r>
        <w:rPr>
          <w:rFonts w:hAnsi="宋体"/>
        </w:rPr>
        <w:t>年</w:t>
      </w:r>
      <w:r>
        <w:t>12</w:t>
      </w:r>
      <w:r>
        <w:rPr>
          <w:rFonts w:hAnsi="宋体"/>
        </w:rPr>
        <w:t>月</w:t>
      </w:r>
      <w:r>
        <w:t>28</w:t>
      </w:r>
      <w:r>
        <w:rPr>
          <w:rFonts w:hAnsi="宋体"/>
        </w:rPr>
        <w:t>日起施行；</w:t>
      </w:r>
    </w:p>
    <w:p>
      <w:pPr>
        <w:ind w:firstLine="480"/>
        <w:contextualSpacing/>
      </w:pPr>
      <w:r>
        <w:rPr>
          <w:rFonts w:hAnsi="宋体"/>
        </w:rPr>
        <w:t>（</w:t>
      </w:r>
      <w:r>
        <w:t>12</w:t>
      </w:r>
      <w:r>
        <w:rPr>
          <w:rFonts w:hAnsi="宋体"/>
        </w:rPr>
        <w:t>）《中华人民共和国农业法》，</w:t>
      </w:r>
      <w:r>
        <w:t>2013</w:t>
      </w:r>
      <w:r>
        <w:rPr>
          <w:rFonts w:hAnsi="宋体"/>
        </w:rPr>
        <w:t>年</w:t>
      </w:r>
      <w:r>
        <w:t>1</w:t>
      </w:r>
      <w:r>
        <w:rPr>
          <w:rFonts w:hAnsi="宋体"/>
        </w:rPr>
        <w:t>月</w:t>
      </w:r>
      <w:r>
        <w:t>1</w:t>
      </w:r>
      <w:r>
        <w:rPr>
          <w:rFonts w:hAnsi="宋体"/>
        </w:rPr>
        <w:t>日起施行</w:t>
      </w:r>
    </w:p>
    <w:p>
      <w:pPr>
        <w:ind w:firstLine="480"/>
        <w:contextualSpacing/>
      </w:pPr>
      <w:r>
        <w:rPr>
          <w:rFonts w:hAnsi="宋体"/>
        </w:rPr>
        <w:t>（</w:t>
      </w:r>
      <w:r>
        <w:t>13</w:t>
      </w:r>
      <w:r>
        <w:rPr>
          <w:rFonts w:hAnsi="宋体"/>
        </w:rPr>
        <w:t>）《中华人民共和国野生动物保护法》，</w:t>
      </w:r>
      <w:r>
        <w:t>2018</w:t>
      </w:r>
      <w:r>
        <w:rPr>
          <w:rFonts w:hAnsi="宋体"/>
        </w:rPr>
        <w:t>年</w:t>
      </w:r>
      <w:r>
        <w:t>10</w:t>
      </w:r>
      <w:r>
        <w:rPr>
          <w:rFonts w:hAnsi="宋体"/>
        </w:rPr>
        <w:t>月</w:t>
      </w:r>
      <w:r>
        <w:t>26</w:t>
      </w:r>
      <w:r>
        <w:rPr>
          <w:rFonts w:hAnsi="宋体"/>
        </w:rPr>
        <w:t>日修订；</w:t>
      </w:r>
    </w:p>
    <w:p>
      <w:pPr>
        <w:ind w:firstLine="480"/>
        <w:contextualSpacing/>
      </w:pPr>
      <w:r>
        <w:rPr>
          <w:rFonts w:hAnsi="宋体"/>
        </w:rPr>
        <w:t>（</w:t>
      </w:r>
      <w:r>
        <w:t>14</w:t>
      </w:r>
      <w:r>
        <w:rPr>
          <w:rFonts w:hAnsi="宋体"/>
        </w:rPr>
        <w:t>）《中华人民共和国渔业法》，</w:t>
      </w:r>
      <w:r>
        <w:t>2013</w:t>
      </w:r>
      <w:r>
        <w:rPr>
          <w:rFonts w:hAnsi="宋体"/>
        </w:rPr>
        <w:t>年</w:t>
      </w:r>
      <w:r>
        <w:t>12</w:t>
      </w:r>
      <w:r>
        <w:rPr>
          <w:rFonts w:hAnsi="宋体"/>
        </w:rPr>
        <w:t>月</w:t>
      </w:r>
      <w:r>
        <w:t>28</w:t>
      </w:r>
      <w:r>
        <w:rPr>
          <w:rFonts w:hAnsi="宋体"/>
        </w:rPr>
        <w:t>日修订；</w:t>
      </w:r>
    </w:p>
    <w:p>
      <w:pPr>
        <w:ind w:firstLine="480"/>
        <w:contextualSpacing/>
      </w:pPr>
      <w:r>
        <w:rPr>
          <w:rFonts w:hAnsi="宋体"/>
        </w:rPr>
        <w:t>（</w:t>
      </w:r>
      <w:r>
        <w:t>15</w:t>
      </w:r>
      <w:r>
        <w:rPr>
          <w:rFonts w:hAnsi="宋体"/>
        </w:rPr>
        <w:t>）《中华人民共和国土地管理法》，</w:t>
      </w:r>
      <w:r>
        <w:t>2019</w:t>
      </w:r>
      <w:r>
        <w:rPr>
          <w:rFonts w:hAnsi="宋体"/>
        </w:rPr>
        <w:t>年</w:t>
      </w:r>
      <w:r>
        <w:t>8</w:t>
      </w:r>
      <w:r>
        <w:rPr>
          <w:rFonts w:hAnsi="宋体"/>
        </w:rPr>
        <w:t>月修订；</w:t>
      </w:r>
    </w:p>
    <w:p>
      <w:pPr>
        <w:ind w:firstLine="480"/>
        <w:contextualSpacing/>
      </w:pPr>
      <w:r>
        <w:rPr>
          <w:rFonts w:hAnsi="宋体"/>
        </w:rPr>
        <w:t>（</w:t>
      </w:r>
      <w:r>
        <w:t>16</w:t>
      </w:r>
      <w:r>
        <w:rPr>
          <w:rFonts w:hAnsi="宋体"/>
        </w:rPr>
        <w:t>）《中华人民共和国长江保护法》，</w:t>
      </w:r>
      <w:r>
        <w:t>2021</w:t>
      </w:r>
      <w:r>
        <w:rPr>
          <w:rFonts w:hAnsi="宋体"/>
        </w:rPr>
        <w:t>年</w:t>
      </w:r>
      <w:r>
        <w:t>3</w:t>
      </w:r>
      <w:r>
        <w:rPr>
          <w:rFonts w:hAnsi="宋体"/>
        </w:rPr>
        <w:t>月</w:t>
      </w:r>
      <w:r>
        <w:t>1</w:t>
      </w:r>
      <w:r>
        <w:rPr>
          <w:rFonts w:hAnsi="宋体"/>
        </w:rPr>
        <w:t>日起施行；</w:t>
      </w:r>
    </w:p>
    <w:p>
      <w:pPr>
        <w:ind w:firstLine="480"/>
        <w:contextualSpacing/>
      </w:pPr>
      <w:r>
        <w:rPr>
          <w:rFonts w:hAnsi="宋体"/>
        </w:rPr>
        <w:t>（</w:t>
      </w:r>
      <w:r>
        <w:t>17</w:t>
      </w:r>
      <w:r>
        <w:rPr>
          <w:rFonts w:hAnsi="宋体"/>
        </w:rPr>
        <w:t>）《中华人民共和国文物保护法》，</w:t>
      </w:r>
      <w:r>
        <w:t>2017</w:t>
      </w:r>
      <w:r>
        <w:rPr>
          <w:rFonts w:hAnsi="宋体"/>
        </w:rPr>
        <w:t>年</w:t>
      </w:r>
      <w:r>
        <w:t>11</w:t>
      </w:r>
      <w:r>
        <w:rPr>
          <w:rFonts w:hAnsi="宋体"/>
        </w:rPr>
        <w:t>月</w:t>
      </w:r>
      <w:r>
        <w:t>4</w:t>
      </w:r>
      <w:r>
        <w:rPr>
          <w:rFonts w:hAnsi="宋体"/>
        </w:rPr>
        <w:t>日起施行；</w:t>
      </w:r>
    </w:p>
    <w:p>
      <w:pPr>
        <w:ind w:firstLine="480"/>
        <w:contextualSpacing/>
      </w:pPr>
      <w:r>
        <w:rPr>
          <w:rFonts w:hAnsi="宋体"/>
        </w:rPr>
        <w:t>（</w:t>
      </w:r>
      <w:r>
        <w:t>18</w:t>
      </w:r>
      <w:r>
        <w:rPr>
          <w:rFonts w:hAnsi="宋体"/>
        </w:rPr>
        <w:t>）《建设项目环境保护管理条例》，国务院令第</w:t>
      </w:r>
      <w:r>
        <w:t>682</w:t>
      </w:r>
      <w:r>
        <w:rPr>
          <w:rFonts w:hAnsi="宋体"/>
        </w:rPr>
        <w:t>号，</w:t>
      </w:r>
      <w:r>
        <w:t>2017</w:t>
      </w:r>
      <w:r>
        <w:rPr>
          <w:rFonts w:hAnsi="宋体"/>
        </w:rPr>
        <w:t>年</w:t>
      </w:r>
      <w:r>
        <w:t>10</w:t>
      </w:r>
      <w:r>
        <w:rPr>
          <w:rFonts w:hAnsi="宋体"/>
        </w:rPr>
        <w:t>月</w:t>
      </w:r>
      <w:r>
        <w:t>1</w:t>
      </w:r>
      <w:r>
        <w:rPr>
          <w:rFonts w:hAnsi="宋体"/>
        </w:rPr>
        <w:t>日起施行；</w:t>
      </w:r>
    </w:p>
    <w:p>
      <w:pPr>
        <w:ind w:firstLine="480"/>
        <w:contextualSpacing/>
      </w:pPr>
      <w:r>
        <w:rPr>
          <w:rFonts w:hAnsi="宋体"/>
        </w:rPr>
        <w:t>（</w:t>
      </w:r>
      <w:r>
        <w:t>19</w:t>
      </w:r>
      <w:r>
        <w:rPr>
          <w:rFonts w:hAnsi="宋体"/>
        </w:rPr>
        <w:t>）《风景名胜区管理条例》，</w:t>
      </w:r>
      <w:r>
        <w:t>2006</w:t>
      </w:r>
      <w:r>
        <w:rPr>
          <w:rFonts w:hAnsi="宋体"/>
        </w:rPr>
        <w:t>年</w:t>
      </w:r>
      <w:r>
        <w:t>12</w:t>
      </w:r>
      <w:r>
        <w:rPr>
          <w:rFonts w:hAnsi="宋体"/>
        </w:rPr>
        <w:t>月</w:t>
      </w:r>
      <w:r>
        <w:t>1</w:t>
      </w:r>
      <w:r>
        <w:rPr>
          <w:rFonts w:hAnsi="宋体"/>
        </w:rPr>
        <w:t>日起施行；</w:t>
      </w:r>
    </w:p>
    <w:p>
      <w:pPr>
        <w:ind w:firstLine="480"/>
        <w:contextualSpacing/>
      </w:pPr>
      <w:r>
        <w:rPr>
          <w:rFonts w:hAnsi="宋体"/>
        </w:rPr>
        <w:t>（</w:t>
      </w:r>
      <w:r>
        <w:t>20</w:t>
      </w:r>
      <w:r>
        <w:rPr>
          <w:rFonts w:hAnsi="宋体"/>
        </w:rPr>
        <w:t>）《基本农田保护条例》，</w:t>
      </w:r>
      <w:r>
        <w:t>2011</w:t>
      </w:r>
      <w:r>
        <w:rPr>
          <w:rFonts w:hAnsi="宋体"/>
        </w:rPr>
        <w:t>年</w:t>
      </w:r>
      <w:r>
        <w:t>1</w:t>
      </w:r>
      <w:r>
        <w:rPr>
          <w:rFonts w:hAnsi="宋体"/>
        </w:rPr>
        <w:t>月修订；</w:t>
      </w:r>
    </w:p>
    <w:p>
      <w:pPr>
        <w:ind w:firstLine="480"/>
        <w:contextualSpacing/>
      </w:pPr>
      <w:r>
        <w:rPr>
          <w:rFonts w:hAnsi="宋体"/>
        </w:rPr>
        <w:t>（</w:t>
      </w:r>
      <w:r>
        <w:t>21</w:t>
      </w:r>
      <w:r>
        <w:rPr>
          <w:rFonts w:hAnsi="宋体"/>
        </w:rPr>
        <w:t>）《中华人民共和国河道管理条例》，</w:t>
      </w:r>
      <w:r>
        <w:t>2018</w:t>
      </w:r>
      <w:r>
        <w:rPr>
          <w:rFonts w:hAnsi="宋体"/>
        </w:rPr>
        <w:t>年</w:t>
      </w:r>
      <w:r>
        <w:t>3</w:t>
      </w:r>
      <w:r>
        <w:rPr>
          <w:rFonts w:hAnsi="宋体"/>
        </w:rPr>
        <w:t>月修订；</w:t>
      </w:r>
    </w:p>
    <w:p>
      <w:pPr>
        <w:ind w:firstLine="480"/>
        <w:contextualSpacing/>
      </w:pPr>
      <w:r>
        <w:rPr>
          <w:rFonts w:hAnsi="宋体"/>
        </w:rPr>
        <w:t>（</w:t>
      </w:r>
      <w:r>
        <w:t>22</w:t>
      </w:r>
      <w:r>
        <w:rPr>
          <w:rFonts w:hAnsi="宋体"/>
        </w:rPr>
        <w:t>）《中华人民共和国水生野生动物保护实施条例》，</w:t>
      </w:r>
      <w:r>
        <w:t>2013</w:t>
      </w:r>
      <w:r>
        <w:rPr>
          <w:rFonts w:hAnsi="宋体"/>
        </w:rPr>
        <w:t>年</w:t>
      </w:r>
      <w:r>
        <w:t>12</w:t>
      </w:r>
      <w:r>
        <w:rPr>
          <w:rFonts w:hAnsi="宋体"/>
        </w:rPr>
        <w:t>月修订；</w:t>
      </w:r>
    </w:p>
    <w:p>
      <w:pPr>
        <w:ind w:firstLine="480"/>
        <w:contextualSpacing/>
      </w:pPr>
      <w:r>
        <w:rPr>
          <w:rFonts w:hAnsi="宋体"/>
        </w:rPr>
        <w:t>（</w:t>
      </w:r>
      <w:r>
        <w:t>23</w:t>
      </w:r>
      <w:r>
        <w:rPr>
          <w:rFonts w:hAnsi="宋体"/>
        </w:rPr>
        <w:t>）《中华人民共和国陆生野生动物保护实施条例》，</w:t>
      </w:r>
      <w:r>
        <w:t>2016</w:t>
      </w:r>
      <w:r>
        <w:rPr>
          <w:rFonts w:hAnsi="宋体"/>
        </w:rPr>
        <w:t>年</w:t>
      </w:r>
      <w:r>
        <w:t>2</w:t>
      </w:r>
      <w:r>
        <w:rPr>
          <w:rFonts w:hAnsi="宋体"/>
        </w:rPr>
        <w:t>月修订；</w:t>
      </w:r>
    </w:p>
    <w:p>
      <w:pPr>
        <w:ind w:firstLine="480"/>
        <w:contextualSpacing/>
      </w:pPr>
      <w:r>
        <w:rPr>
          <w:rFonts w:hAnsi="宋体"/>
        </w:rPr>
        <w:t>（</w:t>
      </w:r>
      <w:r>
        <w:t>24</w:t>
      </w:r>
      <w:r>
        <w:rPr>
          <w:rFonts w:hAnsi="宋体"/>
        </w:rPr>
        <w:t>）《中华人民共和国野生植物保护条例》，</w:t>
      </w:r>
      <w:r>
        <w:t>2017</w:t>
      </w:r>
      <w:r>
        <w:rPr>
          <w:rFonts w:hAnsi="宋体"/>
        </w:rPr>
        <w:t>年</w:t>
      </w:r>
      <w:r>
        <w:t>10</w:t>
      </w:r>
      <w:r>
        <w:rPr>
          <w:rFonts w:hAnsi="宋体"/>
        </w:rPr>
        <w:t>月实施；</w:t>
      </w:r>
    </w:p>
    <w:p>
      <w:pPr>
        <w:ind w:firstLine="480"/>
        <w:contextualSpacing/>
      </w:pPr>
      <w:r>
        <w:rPr>
          <w:rFonts w:hAnsi="宋体"/>
        </w:rPr>
        <w:t>（</w:t>
      </w:r>
      <w:r>
        <w:t>25</w:t>
      </w:r>
      <w:r>
        <w:rPr>
          <w:rFonts w:hAnsi="宋体"/>
        </w:rPr>
        <w:t>）《中华人民共和国水土保持法实施条例》，</w:t>
      </w:r>
      <w:r>
        <w:t>2011</w:t>
      </w:r>
      <w:r>
        <w:rPr>
          <w:rFonts w:hAnsi="宋体"/>
        </w:rPr>
        <w:t>年</w:t>
      </w:r>
      <w:r>
        <w:t>1</w:t>
      </w:r>
      <w:r>
        <w:rPr>
          <w:rFonts w:hAnsi="宋体"/>
        </w:rPr>
        <w:t>月修订；</w:t>
      </w:r>
    </w:p>
    <w:p>
      <w:pPr>
        <w:pStyle w:val="5"/>
        <w:ind w:firstLine="0" w:firstLineChars="0"/>
        <w:contextualSpacing/>
        <w:rPr>
          <w:rFonts w:ascii="Times New Roman" w:hAnsi="Times New Roman"/>
        </w:rPr>
      </w:pPr>
      <w:bookmarkStart w:id="42" w:name="_Toc8184"/>
      <w:bookmarkStart w:id="43" w:name="_Toc2014"/>
      <w:bookmarkStart w:id="44" w:name="_Toc26270"/>
      <w:bookmarkStart w:id="45" w:name="_Toc21601"/>
      <w:r>
        <w:rPr>
          <w:rFonts w:ascii="Times New Roman" w:hAnsi="Times New Roman"/>
        </w:rPr>
        <w:t>1.2.2</w:t>
      </w:r>
      <w:r>
        <w:rPr>
          <w:rFonts w:ascii="Times New Roman" w:hAnsi="宋体"/>
        </w:rPr>
        <w:t>部门规章、规范性文件</w:t>
      </w:r>
      <w:bookmarkEnd w:id="42"/>
      <w:bookmarkEnd w:id="43"/>
      <w:bookmarkEnd w:id="44"/>
      <w:bookmarkEnd w:id="45"/>
    </w:p>
    <w:p>
      <w:pPr>
        <w:ind w:firstLine="480"/>
        <w:contextualSpacing/>
      </w:pPr>
      <w:r>
        <w:rPr>
          <w:rFonts w:hAnsi="宋体"/>
        </w:rPr>
        <w:t>（</w:t>
      </w:r>
      <w:r>
        <w:t>1</w:t>
      </w:r>
      <w:r>
        <w:rPr>
          <w:rFonts w:hAnsi="宋体"/>
        </w:rPr>
        <w:t>）《全国生态环境保护纲要》（国发</w:t>
      </w:r>
      <w:r>
        <w:t>〔2000〕38</w:t>
      </w:r>
      <w:r>
        <w:rPr>
          <w:rFonts w:hAnsi="宋体"/>
        </w:rPr>
        <w:t>号）；</w:t>
      </w:r>
    </w:p>
    <w:p>
      <w:pPr>
        <w:ind w:firstLine="480"/>
        <w:contextualSpacing/>
      </w:pPr>
      <w:r>
        <w:rPr>
          <w:rFonts w:hAnsi="宋体"/>
        </w:rPr>
        <w:t>（</w:t>
      </w:r>
      <w:r>
        <w:t>2</w:t>
      </w:r>
      <w:r>
        <w:rPr>
          <w:rFonts w:hAnsi="宋体"/>
        </w:rPr>
        <w:t>）《全国主体功能区规划》（国发</w:t>
      </w:r>
      <w:r>
        <w:t>〔2010〕46</w:t>
      </w:r>
      <w:r>
        <w:rPr>
          <w:rFonts w:hAnsi="宋体"/>
        </w:rPr>
        <w:t>号）；</w:t>
      </w:r>
    </w:p>
    <w:p>
      <w:pPr>
        <w:ind w:firstLine="480"/>
        <w:contextualSpacing/>
      </w:pPr>
      <w:r>
        <w:rPr>
          <w:rFonts w:hAnsi="宋体"/>
        </w:rPr>
        <w:t>（</w:t>
      </w:r>
      <w:r>
        <w:t>3</w:t>
      </w:r>
      <w:r>
        <w:rPr>
          <w:rFonts w:hAnsi="宋体"/>
        </w:rPr>
        <w:t>）《全国生态功能区划（修编版）》（环境保护部中国科学院公告</w:t>
      </w:r>
      <w:r>
        <w:t>2015</w:t>
      </w:r>
      <w:r>
        <w:rPr>
          <w:rFonts w:hAnsi="宋体"/>
        </w:rPr>
        <w:t>年第</w:t>
      </w:r>
      <w:r>
        <w:t>61</w:t>
      </w:r>
      <w:r>
        <w:rPr>
          <w:rFonts w:hAnsi="宋体"/>
        </w:rPr>
        <w:t>号，</w:t>
      </w:r>
      <w:r>
        <w:t>2015</w:t>
      </w:r>
      <w:r>
        <w:rPr>
          <w:rFonts w:hAnsi="宋体"/>
        </w:rPr>
        <w:t>年</w:t>
      </w:r>
      <w:r>
        <w:t>11</w:t>
      </w:r>
      <w:r>
        <w:rPr>
          <w:rFonts w:hAnsi="宋体"/>
        </w:rPr>
        <w:t>月）；</w:t>
      </w:r>
    </w:p>
    <w:p>
      <w:pPr>
        <w:ind w:firstLine="480"/>
        <w:contextualSpacing/>
      </w:pPr>
      <w:r>
        <w:rPr>
          <w:rFonts w:hAnsi="宋体"/>
        </w:rPr>
        <w:t>（</w:t>
      </w:r>
      <w:r>
        <w:t>4</w:t>
      </w:r>
      <w:r>
        <w:rPr>
          <w:rFonts w:hAnsi="宋体"/>
        </w:rPr>
        <w:t>）《国务院关于实行最严格水资源管理制度的意见》（国发</w:t>
      </w:r>
      <w:r>
        <w:t>〔2012〕3</w:t>
      </w:r>
      <w:r>
        <w:rPr>
          <w:rFonts w:hAnsi="宋体"/>
        </w:rPr>
        <w:t>号）；</w:t>
      </w:r>
    </w:p>
    <w:p>
      <w:pPr>
        <w:ind w:firstLine="480"/>
        <w:contextualSpacing/>
      </w:pPr>
      <w:r>
        <w:rPr>
          <w:rFonts w:hAnsi="宋体"/>
        </w:rPr>
        <w:t>（</w:t>
      </w:r>
      <w:r>
        <w:t>5</w:t>
      </w:r>
      <w:r>
        <w:rPr>
          <w:rFonts w:hAnsi="宋体"/>
        </w:rPr>
        <w:t>）《国务院关于印发水污染防治行动计划的通知》（国发</w:t>
      </w:r>
      <w:r>
        <w:t>〔2015〕17</w:t>
      </w:r>
      <w:r>
        <w:rPr>
          <w:rFonts w:hAnsi="宋体"/>
        </w:rPr>
        <w:t>号，</w:t>
      </w:r>
      <w:r>
        <w:t>2015</w:t>
      </w:r>
      <w:r>
        <w:rPr>
          <w:rFonts w:hAnsi="宋体"/>
        </w:rPr>
        <w:t>年</w:t>
      </w:r>
      <w:r>
        <w:t>4</w:t>
      </w:r>
      <w:r>
        <w:rPr>
          <w:rFonts w:hAnsi="宋体"/>
        </w:rPr>
        <w:t>月）；</w:t>
      </w:r>
    </w:p>
    <w:p>
      <w:pPr>
        <w:ind w:firstLine="480"/>
        <w:contextualSpacing/>
      </w:pPr>
      <w:r>
        <w:rPr>
          <w:rFonts w:hAnsi="宋体"/>
        </w:rPr>
        <w:t>（</w:t>
      </w:r>
      <w:r>
        <w:t>6</w:t>
      </w:r>
      <w:r>
        <w:rPr>
          <w:rFonts w:hAnsi="宋体"/>
        </w:rPr>
        <w:t>）《全国重要江河湖泊水功能区划（</w:t>
      </w:r>
      <w:r>
        <w:t>2011-2030</w:t>
      </w:r>
      <w:r>
        <w:rPr>
          <w:rFonts w:hAnsi="宋体"/>
        </w:rPr>
        <w:t>年）》（国函</w:t>
      </w:r>
      <w:r>
        <w:t>〔2011〕167</w:t>
      </w:r>
      <w:r>
        <w:rPr>
          <w:rFonts w:hAnsi="宋体"/>
        </w:rPr>
        <w:t>号）；</w:t>
      </w:r>
    </w:p>
    <w:p>
      <w:pPr>
        <w:ind w:firstLine="480"/>
        <w:contextualSpacing/>
      </w:pPr>
      <w:r>
        <w:rPr>
          <w:rFonts w:hAnsi="宋体"/>
        </w:rPr>
        <w:t>（</w:t>
      </w:r>
      <w:r>
        <w:t>7</w:t>
      </w:r>
      <w:r>
        <w:rPr>
          <w:rFonts w:hAnsi="宋体"/>
        </w:rPr>
        <w:t>）《中共中央国务院关于全面加强生态环境保护坚决打好污染防治攻坚战的意见》（</w:t>
      </w:r>
      <w:r>
        <w:t>2018</w:t>
      </w:r>
      <w:r>
        <w:rPr>
          <w:rFonts w:hAnsi="宋体"/>
        </w:rPr>
        <w:t>年</w:t>
      </w:r>
      <w:r>
        <w:t>6</w:t>
      </w:r>
      <w:r>
        <w:rPr>
          <w:rFonts w:hAnsi="宋体"/>
        </w:rPr>
        <w:t>月</w:t>
      </w:r>
      <w:r>
        <w:t>16</w:t>
      </w:r>
      <w:r>
        <w:rPr>
          <w:rFonts w:hAnsi="宋体"/>
        </w:rPr>
        <w:t>日）；</w:t>
      </w:r>
    </w:p>
    <w:p>
      <w:pPr>
        <w:ind w:firstLine="480"/>
        <w:contextualSpacing/>
      </w:pPr>
      <w:r>
        <w:rPr>
          <w:rFonts w:hAnsi="宋体"/>
        </w:rPr>
        <w:t>（</w:t>
      </w:r>
      <w:r>
        <w:t>8</w:t>
      </w:r>
      <w:r>
        <w:rPr>
          <w:rFonts w:hAnsi="宋体"/>
        </w:rPr>
        <w:t>）《中共中央国务院关于打赢脱贫攻坚战三年行动的指导意见》（</w:t>
      </w:r>
      <w:r>
        <w:t>2018</w:t>
      </w:r>
      <w:r>
        <w:rPr>
          <w:rFonts w:hAnsi="宋体"/>
        </w:rPr>
        <w:t>年</w:t>
      </w:r>
      <w:r>
        <w:t>6</w:t>
      </w:r>
      <w:r>
        <w:rPr>
          <w:rFonts w:hAnsi="宋体"/>
        </w:rPr>
        <w:t>月</w:t>
      </w:r>
      <w:r>
        <w:t>15</w:t>
      </w:r>
      <w:r>
        <w:rPr>
          <w:rFonts w:hAnsi="宋体"/>
        </w:rPr>
        <w:t>日）；</w:t>
      </w:r>
    </w:p>
    <w:p>
      <w:pPr>
        <w:ind w:firstLine="480"/>
        <w:contextualSpacing/>
      </w:pPr>
      <w:r>
        <w:rPr>
          <w:rFonts w:hAnsi="宋体"/>
        </w:rPr>
        <w:t>（</w:t>
      </w:r>
      <w:r>
        <w:t>9</w:t>
      </w:r>
      <w:r>
        <w:rPr>
          <w:rFonts w:hAnsi="宋体"/>
        </w:rPr>
        <w:t>）《国务院关于落实科学发展观加强环境保护的决定》（国发</w:t>
      </w:r>
      <w:r>
        <w:t>〔2005〕39</w:t>
      </w:r>
      <w:r>
        <w:rPr>
          <w:rFonts w:hAnsi="宋体"/>
        </w:rPr>
        <w:t>号）；</w:t>
      </w:r>
    </w:p>
    <w:p>
      <w:pPr>
        <w:ind w:firstLine="480"/>
        <w:contextualSpacing/>
      </w:pPr>
      <w:r>
        <w:rPr>
          <w:rFonts w:hAnsi="宋体"/>
        </w:rPr>
        <w:t>（</w:t>
      </w:r>
      <w:r>
        <w:t>10</w:t>
      </w:r>
      <w:r>
        <w:rPr>
          <w:rFonts w:hAnsi="宋体"/>
        </w:rPr>
        <w:t>）《长江经济带生态环境保护规划》（</w:t>
      </w:r>
      <w:r>
        <w:t>2017</w:t>
      </w:r>
      <w:r>
        <w:rPr>
          <w:rFonts w:hAnsi="宋体"/>
        </w:rPr>
        <w:t>年</w:t>
      </w:r>
      <w:r>
        <w:t>7</w:t>
      </w:r>
      <w:r>
        <w:rPr>
          <w:rFonts w:hAnsi="宋体"/>
        </w:rPr>
        <w:t>月）；</w:t>
      </w:r>
    </w:p>
    <w:p>
      <w:pPr>
        <w:ind w:firstLine="480"/>
        <w:contextualSpacing/>
      </w:pPr>
      <w:r>
        <w:rPr>
          <w:rFonts w:hAnsi="宋体"/>
        </w:rPr>
        <w:t>（</w:t>
      </w:r>
      <w:r>
        <w:t>11</w:t>
      </w:r>
      <w:r>
        <w:rPr>
          <w:rFonts w:hAnsi="宋体"/>
        </w:rPr>
        <w:t>）《长江保护修复攻坚战行动计划》（环水体</w:t>
      </w:r>
      <w:r>
        <w:t>〔2018〕181</w:t>
      </w:r>
      <w:r>
        <w:rPr>
          <w:rFonts w:hAnsi="宋体"/>
        </w:rPr>
        <w:t>号）；</w:t>
      </w:r>
    </w:p>
    <w:p>
      <w:pPr>
        <w:ind w:firstLine="480"/>
        <w:contextualSpacing/>
      </w:pPr>
      <w:r>
        <w:rPr>
          <w:rFonts w:hAnsi="宋体"/>
        </w:rPr>
        <w:t>（</w:t>
      </w:r>
      <w:r>
        <w:t>12</w:t>
      </w:r>
      <w:r>
        <w:rPr>
          <w:rFonts w:hAnsi="宋体"/>
        </w:rPr>
        <w:t>）《关于西部大开发中加强建设项目环境保护管理的若干意见》（环发</w:t>
      </w:r>
      <w:r>
        <w:t>〔2001〕4</w:t>
      </w:r>
      <w:r>
        <w:rPr>
          <w:rFonts w:hAnsi="宋体"/>
        </w:rPr>
        <w:t>号）；</w:t>
      </w:r>
    </w:p>
    <w:p>
      <w:pPr>
        <w:ind w:firstLine="480"/>
        <w:contextualSpacing/>
      </w:pPr>
      <w:r>
        <w:rPr>
          <w:rFonts w:hAnsi="宋体"/>
        </w:rPr>
        <w:t>（</w:t>
      </w:r>
      <w:r>
        <w:t>13</w:t>
      </w:r>
      <w:r>
        <w:rPr>
          <w:rFonts w:hAnsi="宋体"/>
        </w:rPr>
        <w:t>）《关于加强西部地区环境影响评价工作的通知》（环发</w:t>
      </w:r>
      <w:r>
        <w:t>〔2011〕150</w:t>
      </w:r>
      <w:r>
        <w:rPr>
          <w:rFonts w:hAnsi="宋体"/>
        </w:rPr>
        <w:t>号）；</w:t>
      </w:r>
    </w:p>
    <w:p>
      <w:pPr>
        <w:ind w:firstLine="480"/>
        <w:contextualSpacing/>
      </w:pPr>
      <w:r>
        <w:rPr>
          <w:rFonts w:hAnsi="宋体"/>
        </w:rPr>
        <w:t>（</w:t>
      </w:r>
      <w:r>
        <w:t>14</w:t>
      </w:r>
      <w:r>
        <w:rPr>
          <w:rFonts w:hAnsi="宋体"/>
        </w:rPr>
        <w:t>）《关于进一步加强环境影响评价管理防范环境风险的通知》（环发</w:t>
      </w:r>
      <w:r>
        <w:t>〔2012〕77</w:t>
      </w:r>
      <w:r>
        <w:rPr>
          <w:rFonts w:hAnsi="宋体"/>
        </w:rPr>
        <w:t>号）；</w:t>
      </w:r>
    </w:p>
    <w:p>
      <w:pPr>
        <w:ind w:firstLine="480"/>
        <w:contextualSpacing/>
      </w:pPr>
      <w:r>
        <w:rPr>
          <w:rFonts w:hAnsi="宋体"/>
        </w:rPr>
        <w:t>（</w:t>
      </w:r>
      <w:r>
        <w:t>15</w:t>
      </w:r>
      <w:r>
        <w:rPr>
          <w:rFonts w:hAnsi="宋体"/>
        </w:rPr>
        <w:t>）《关于切实加强风险防范严格环境影响评价管理的通知》（环发</w:t>
      </w:r>
      <w:r>
        <w:t>〔2012〕98</w:t>
      </w:r>
      <w:r>
        <w:rPr>
          <w:rFonts w:hAnsi="宋体"/>
        </w:rPr>
        <w:t>号）；</w:t>
      </w:r>
    </w:p>
    <w:p>
      <w:pPr>
        <w:ind w:firstLine="480"/>
        <w:contextualSpacing/>
      </w:pPr>
      <w:r>
        <w:rPr>
          <w:rFonts w:hAnsi="宋体"/>
        </w:rPr>
        <w:t>（</w:t>
      </w:r>
      <w:r>
        <w:t>16</w:t>
      </w:r>
      <w:r>
        <w:rPr>
          <w:rFonts w:hAnsi="宋体"/>
        </w:rPr>
        <w:t>）《关于进一步加强水生生物资源保护严格环境影响评价管理的通知》（环发</w:t>
      </w:r>
      <w:r>
        <w:t>〔2013〕86</w:t>
      </w:r>
      <w:r>
        <w:rPr>
          <w:rFonts w:hAnsi="宋体"/>
        </w:rPr>
        <w:t>号）；</w:t>
      </w:r>
    </w:p>
    <w:p>
      <w:pPr>
        <w:ind w:firstLine="480"/>
        <w:contextualSpacing/>
      </w:pPr>
      <w:r>
        <w:rPr>
          <w:rFonts w:hAnsi="宋体"/>
        </w:rPr>
        <w:t>（</w:t>
      </w:r>
      <w:r>
        <w:t>17</w:t>
      </w:r>
      <w:r>
        <w:rPr>
          <w:rFonts w:hAnsi="宋体"/>
        </w:rPr>
        <w:t>）《关于印发水电水利建设项目河道生态用水、低温水和过鱼设施环境影响评价技术指南（试行）的函》（环评函</w:t>
      </w:r>
      <w:r>
        <w:t>〔2006〕4</w:t>
      </w:r>
      <w:r>
        <w:rPr>
          <w:rFonts w:hAnsi="宋体"/>
        </w:rPr>
        <w:t>号）；</w:t>
      </w:r>
    </w:p>
    <w:p>
      <w:pPr>
        <w:ind w:firstLine="480"/>
        <w:contextualSpacing/>
      </w:pPr>
      <w:r>
        <w:rPr>
          <w:rFonts w:hAnsi="宋体"/>
        </w:rPr>
        <w:t>（</w:t>
      </w:r>
      <w:r>
        <w:t>18</w:t>
      </w:r>
      <w:r>
        <w:rPr>
          <w:rFonts w:hAnsi="宋体"/>
        </w:rPr>
        <w:t>）《关于以改善环境质量为核心加强环境影响评价管理的通知》（环环评</w:t>
      </w:r>
      <w:r>
        <w:t>〔2016〕150</w:t>
      </w:r>
      <w:r>
        <w:rPr>
          <w:rFonts w:hAnsi="宋体"/>
        </w:rPr>
        <w:t>号）；</w:t>
      </w:r>
    </w:p>
    <w:p>
      <w:pPr>
        <w:ind w:firstLine="480"/>
        <w:contextualSpacing/>
      </w:pPr>
      <w:r>
        <w:rPr>
          <w:rFonts w:hAnsi="宋体"/>
        </w:rPr>
        <w:t>（</w:t>
      </w:r>
      <w:r>
        <w:t>19</w:t>
      </w:r>
      <w:r>
        <w:rPr>
          <w:rFonts w:hAnsi="宋体"/>
        </w:rPr>
        <w:t>）《饮用水水源保护区污染防治管理规定》（环管字</w:t>
      </w:r>
      <w:r>
        <w:t>〔1989〕201</w:t>
      </w:r>
      <w:r>
        <w:rPr>
          <w:rFonts w:hAnsi="宋体"/>
        </w:rPr>
        <w:t>号，</w:t>
      </w:r>
      <w:r>
        <w:t>2010</w:t>
      </w:r>
      <w:r>
        <w:rPr>
          <w:rFonts w:hAnsi="宋体"/>
        </w:rPr>
        <w:t>年</w:t>
      </w:r>
      <w:r>
        <w:t>12</w:t>
      </w:r>
      <w:r>
        <w:rPr>
          <w:rFonts w:hAnsi="宋体"/>
        </w:rPr>
        <w:t>月修正）；</w:t>
      </w:r>
    </w:p>
    <w:p>
      <w:pPr>
        <w:ind w:firstLine="480"/>
        <w:contextualSpacing/>
      </w:pPr>
      <w:r>
        <w:rPr>
          <w:rFonts w:hAnsi="宋体"/>
        </w:rPr>
        <w:t>（</w:t>
      </w:r>
      <w:r>
        <w:t>20</w:t>
      </w:r>
      <w:r>
        <w:rPr>
          <w:rFonts w:hAnsi="宋体"/>
        </w:rPr>
        <w:t>）《关于加强资源开发生态环境保护监管工作的意见》环发</w:t>
      </w:r>
      <w:r>
        <w:t>〔2004〕24</w:t>
      </w:r>
      <w:r>
        <w:rPr>
          <w:rFonts w:hAnsi="宋体"/>
        </w:rPr>
        <w:t>号；</w:t>
      </w:r>
    </w:p>
    <w:p>
      <w:pPr>
        <w:ind w:firstLine="480"/>
        <w:contextualSpacing/>
      </w:pPr>
      <w:r>
        <w:rPr>
          <w:rFonts w:hAnsi="宋体"/>
        </w:rPr>
        <w:t>（</w:t>
      </w:r>
      <w:r>
        <w:t>21</w:t>
      </w:r>
      <w:r>
        <w:rPr>
          <w:rFonts w:hAnsi="宋体"/>
        </w:rPr>
        <w:t>）《水利部关于深入贯彻落实中央加强生态文明建设的决策部署进一步严格落实生态环境保护要求的通知》（水规计</w:t>
      </w:r>
      <w:r>
        <w:t>〔2017〕237</w:t>
      </w:r>
      <w:r>
        <w:rPr>
          <w:rFonts w:hAnsi="宋体"/>
        </w:rPr>
        <w:t>号）；</w:t>
      </w:r>
    </w:p>
    <w:p>
      <w:pPr>
        <w:ind w:firstLine="480"/>
        <w:contextualSpacing/>
      </w:pPr>
      <w:r>
        <w:rPr>
          <w:rFonts w:hAnsi="宋体"/>
        </w:rPr>
        <w:t>（</w:t>
      </w:r>
      <w:r>
        <w:t>22</w:t>
      </w:r>
      <w:r>
        <w:rPr>
          <w:rFonts w:hAnsi="宋体"/>
        </w:rPr>
        <w:t>）《水利部环境保护部关于加强水利工程建设生态环境保护工作的通知》（水规计</w:t>
      </w:r>
      <w:r>
        <w:t>〔2017〕315</w:t>
      </w:r>
      <w:r>
        <w:rPr>
          <w:rFonts w:hAnsi="宋体"/>
        </w:rPr>
        <w:t>号）；</w:t>
      </w:r>
    </w:p>
    <w:p>
      <w:pPr>
        <w:ind w:firstLine="480"/>
        <w:contextualSpacing/>
      </w:pPr>
      <w:r>
        <w:rPr>
          <w:rFonts w:hAnsi="宋体"/>
        </w:rPr>
        <w:t>（</w:t>
      </w:r>
      <w:r>
        <w:t>23</w:t>
      </w:r>
      <w:r>
        <w:rPr>
          <w:rFonts w:hAnsi="宋体"/>
        </w:rPr>
        <w:t>）《环境影响评价公众参与办法》（</w:t>
      </w:r>
      <w:r>
        <w:t>2018</w:t>
      </w:r>
      <w:r>
        <w:rPr>
          <w:rFonts w:hAnsi="宋体"/>
        </w:rPr>
        <w:t>年</w:t>
      </w:r>
      <w:r>
        <w:t>7</w:t>
      </w:r>
      <w:r>
        <w:rPr>
          <w:rFonts w:hAnsi="宋体"/>
        </w:rPr>
        <w:t>月）；</w:t>
      </w:r>
    </w:p>
    <w:p>
      <w:pPr>
        <w:ind w:firstLine="480"/>
        <w:contextualSpacing/>
      </w:pPr>
      <w:r>
        <w:rPr>
          <w:rFonts w:hAnsi="宋体"/>
        </w:rPr>
        <w:t>（</w:t>
      </w:r>
      <w:r>
        <w:t>24</w:t>
      </w:r>
      <w:r>
        <w:rPr>
          <w:rFonts w:hAnsi="宋体"/>
        </w:rPr>
        <w:t>）《建设项目环境影响评价分类管理名录》（</w:t>
      </w:r>
      <w:r>
        <w:t>2021</w:t>
      </w:r>
      <w:r>
        <w:rPr>
          <w:rFonts w:hAnsi="宋体"/>
        </w:rPr>
        <w:t>年版）；</w:t>
      </w:r>
    </w:p>
    <w:p>
      <w:pPr>
        <w:ind w:firstLine="480"/>
        <w:contextualSpacing/>
      </w:pPr>
      <w:r>
        <w:rPr>
          <w:rFonts w:hAnsi="宋体"/>
        </w:rPr>
        <w:t>（</w:t>
      </w:r>
      <w:r>
        <w:t>25</w:t>
      </w:r>
      <w:r>
        <w:rPr>
          <w:rFonts w:hAnsi="宋体"/>
        </w:rPr>
        <w:t>）《国家重点保护野生动物名录》（</w:t>
      </w:r>
      <w:r>
        <w:t>2021</w:t>
      </w:r>
      <w:r>
        <w:rPr>
          <w:rFonts w:hAnsi="宋体"/>
        </w:rPr>
        <w:t>年</w:t>
      </w:r>
      <w:r>
        <w:t>2</w:t>
      </w:r>
      <w:r>
        <w:rPr>
          <w:rFonts w:hAnsi="宋体"/>
        </w:rPr>
        <w:t>月）；</w:t>
      </w:r>
    </w:p>
    <w:p>
      <w:pPr>
        <w:ind w:firstLine="480"/>
        <w:contextualSpacing/>
      </w:pPr>
      <w:r>
        <w:rPr>
          <w:rFonts w:hAnsi="宋体"/>
        </w:rPr>
        <w:t>（</w:t>
      </w:r>
      <w:r>
        <w:t>26</w:t>
      </w:r>
      <w:r>
        <w:rPr>
          <w:rFonts w:hAnsi="宋体"/>
        </w:rPr>
        <w:t>）《国家重点保护野生植物名录》（</w:t>
      </w:r>
      <w:r>
        <w:t>2021</w:t>
      </w:r>
      <w:r>
        <w:rPr>
          <w:rFonts w:hAnsi="宋体"/>
        </w:rPr>
        <w:t>年</w:t>
      </w:r>
      <w:r>
        <w:t>9</w:t>
      </w:r>
      <w:r>
        <w:rPr>
          <w:rFonts w:hAnsi="宋体"/>
        </w:rPr>
        <w:t>月；</w:t>
      </w:r>
    </w:p>
    <w:p>
      <w:pPr>
        <w:ind w:firstLine="480"/>
        <w:contextualSpacing/>
      </w:pPr>
      <w:r>
        <w:rPr>
          <w:rFonts w:hAnsi="宋体"/>
        </w:rPr>
        <w:t>（</w:t>
      </w:r>
      <w:r>
        <w:t>27</w:t>
      </w:r>
      <w:r>
        <w:rPr>
          <w:rFonts w:hAnsi="宋体"/>
        </w:rPr>
        <w:t>）《四川省主体功能区规划》（川府发</w:t>
      </w:r>
      <w:r>
        <w:t>〔2013〕16</w:t>
      </w:r>
      <w:r>
        <w:rPr>
          <w:rFonts w:hAnsi="宋体"/>
        </w:rPr>
        <w:t>号）；</w:t>
      </w:r>
    </w:p>
    <w:p>
      <w:pPr>
        <w:ind w:firstLine="480"/>
        <w:contextualSpacing/>
      </w:pPr>
      <w:r>
        <w:rPr>
          <w:rFonts w:hAnsi="宋体"/>
        </w:rPr>
        <w:t>（</w:t>
      </w:r>
      <w:r>
        <w:t>28</w:t>
      </w:r>
      <w:r>
        <w:rPr>
          <w:rFonts w:hAnsi="宋体"/>
        </w:rPr>
        <w:t>）《四川省生态功能区划》（川府函</w:t>
      </w:r>
      <w:r>
        <w:t>〔2006〕100</w:t>
      </w:r>
      <w:r>
        <w:rPr>
          <w:rFonts w:hAnsi="宋体"/>
        </w:rPr>
        <w:t>号）；</w:t>
      </w:r>
    </w:p>
    <w:p>
      <w:pPr>
        <w:ind w:firstLine="480"/>
        <w:contextualSpacing/>
      </w:pPr>
      <w:r>
        <w:rPr>
          <w:rFonts w:hAnsi="宋体"/>
        </w:rPr>
        <w:t>（</w:t>
      </w:r>
      <w:r>
        <w:t>29</w:t>
      </w:r>
      <w:r>
        <w:rPr>
          <w:rFonts w:hAnsi="宋体"/>
        </w:rPr>
        <w:t>）《四川省重点保护野生动物名录》（</w:t>
      </w:r>
      <w:r>
        <w:t>1990</w:t>
      </w:r>
      <w:r>
        <w:rPr>
          <w:rFonts w:hAnsi="宋体"/>
        </w:rPr>
        <w:t>年</w:t>
      </w:r>
      <w:r>
        <w:t>3</w:t>
      </w:r>
      <w:r>
        <w:rPr>
          <w:rFonts w:hAnsi="宋体"/>
        </w:rPr>
        <w:t>月）；</w:t>
      </w:r>
    </w:p>
    <w:p>
      <w:pPr>
        <w:ind w:firstLine="480"/>
        <w:contextualSpacing/>
      </w:pPr>
      <w:r>
        <w:rPr>
          <w:rFonts w:hAnsi="宋体"/>
        </w:rPr>
        <w:t>（</w:t>
      </w:r>
      <w:r>
        <w:t>30</w:t>
      </w:r>
      <w:r>
        <w:rPr>
          <w:rFonts w:hAnsi="宋体"/>
        </w:rPr>
        <w:t>）《四川省重点新增保护野生动物名录》（</w:t>
      </w:r>
      <w:r>
        <w:t>2000</w:t>
      </w:r>
      <w:r>
        <w:rPr>
          <w:rFonts w:hAnsi="宋体"/>
        </w:rPr>
        <w:t>年</w:t>
      </w:r>
      <w:r>
        <w:t>8</w:t>
      </w:r>
      <w:r>
        <w:rPr>
          <w:rFonts w:hAnsi="宋体"/>
        </w:rPr>
        <w:t>月）；</w:t>
      </w:r>
    </w:p>
    <w:p>
      <w:pPr>
        <w:ind w:firstLine="480"/>
        <w:contextualSpacing/>
      </w:pPr>
      <w:r>
        <w:rPr>
          <w:rFonts w:hAnsi="宋体"/>
        </w:rPr>
        <w:t>（</w:t>
      </w:r>
      <w:r>
        <w:t>31</w:t>
      </w:r>
      <w:r>
        <w:rPr>
          <w:rFonts w:hAnsi="宋体"/>
        </w:rPr>
        <w:t>）《四川省人民政府关于印发四川省生态保护红线方案的通知》（川府发</w:t>
      </w:r>
      <w:r>
        <w:t>〔2018〕24</w:t>
      </w:r>
      <w:r>
        <w:rPr>
          <w:rFonts w:hAnsi="宋体"/>
        </w:rPr>
        <w:t>号）；</w:t>
      </w:r>
    </w:p>
    <w:p>
      <w:pPr>
        <w:ind w:firstLine="480"/>
        <w:contextualSpacing/>
      </w:pPr>
      <w:r>
        <w:rPr>
          <w:rFonts w:hAnsi="宋体"/>
        </w:rPr>
        <w:t>（</w:t>
      </w:r>
      <w:r>
        <w:t>32</w:t>
      </w:r>
      <w:r>
        <w:rPr>
          <w:rFonts w:hAnsi="宋体"/>
        </w:rPr>
        <w:t>）《四川生态省建设规划纲要》（</w:t>
      </w:r>
      <w:r>
        <w:t>2006</w:t>
      </w:r>
      <w:r>
        <w:rPr>
          <w:rFonts w:hAnsi="宋体"/>
        </w:rPr>
        <w:t>年</w:t>
      </w:r>
      <w:r>
        <w:t>9</w:t>
      </w:r>
      <w:r>
        <w:rPr>
          <w:rFonts w:hAnsi="宋体"/>
        </w:rPr>
        <w:t>月）；</w:t>
      </w:r>
    </w:p>
    <w:p>
      <w:pPr>
        <w:ind w:firstLine="480"/>
        <w:contextualSpacing/>
      </w:pPr>
      <w:r>
        <w:rPr>
          <w:rFonts w:hAnsi="宋体"/>
        </w:rPr>
        <w:t>（</w:t>
      </w:r>
      <w:r>
        <w:t>33</w:t>
      </w:r>
      <w:r>
        <w:rPr>
          <w:rFonts w:hAnsi="宋体"/>
        </w:rPr>
        <w:t>）《四川省关于印发水污染防治行动计划四川省工作方案的通知》（川府发</w:t>
      </w:r>
      <w:r>
        <w:t>〔2015〕59</w:t>
      </w:r>
      <w:r>
        <w:rPr>
          <w:rFonts w:hAnsi="宋体"/>
        </w:rPr>
        <w:t>号）；</w:t>
      </w:r>
    </w:p>
    <w:p>
      <w:pPr>
        <w:ind w:firstLine="480"/>
        <w:contextualSpacing/>
      </w:pPr>
      <w:r>
        <w:rPr>
          <w:rFonts w:hAnsi="宋体"/>
        </w:rPr>
        <w:t>（</w:t>
      </w:r>
      <w:r>
        <w:t>34</w:t>
      </w:r>
      <w:r>
        <w:rPr>
          <w:rFonts w:hAnsi="宋体"/>
        </w:rPr>
        <w:t>）《四川省人民政府关于落实生态保护红线、环境质量底线、资源利用上线制定生态环境准入清单实施生态环境分区管控的通知》（川府发</w:t>
      </w:r>
      <w:r>
        <w:t>〔2020〕9</w:t>
      </w:r>
      <w:r>
        <w:rPr>
          <w:rFonts w:hAnsi="宋体"/>
        </w:rPr>
        <w:t>号）；</w:t>
      </w:r>
    </w:p>
    <w:p>
      <w:pPr>
        <w:ind w:firstLine="480"/>
        <w:contextualSpacing/>
      </w:pPr>
      <w:r>
        <w:rPr>
          <w:rFonts w:hAnsi="宋体"/>
        </w:rPr>
        <w:t>（</w:t>
      </w:r>
      <w:r>
        <w:t>35</w:t>
      </w:r>
      <w:r>
        <w:rPr>
          <w:rFonts w:hAnsi="宋体"/>
        </w:rPr>
        <w:t>）</w:t>
      </w:r>
      <w:r>
        <w:rPr>
          <w:rFonts w:hint="eastAsia" w:hAnsi="宋体"/>
        </w:rPr>
        <w:t>巴中市</w:t>
      </w:r>
      <w:r>
        <w:rPr>
          <w:rFonts w:hAnsi="宋体"/>
        </w:rPr>
        <w:t>人民政府正式印发《</w:t>
      </w:r>
      <w:r>
        <w:rPr>
          <w:rFonts w:hint="eastAsia" w:hAnsi="宋体"/>
        </w:rPr>
        <w:t>关于实施“三线一单”生态环境分区管控的通知</w:t>
      </w:r>
      <w:r>
        <w:rPr>
          <w:rFonts w:hAnsi="宋体"/>
        </w:rPr>
        <w:t>》（</w:t>
      </w:r>
      <w:r>
        <w:rPr>
          <w:rFonts w:hint="eastAsia" w:hAnsi="宋体"/>
        </w:rPr>
        <w:t>巴府发〔2021〕5号</w:t>
      </w:r>
      <w:r>
        <w:rPr>
          <w:rFonts w:hAnsi="宋体"/>
        </w:rPr>
        <w:t>）</w:t>
      </w:r>
    </w:p>
    <w:p>
      <w:pPr>
        <w:pStyle w:val="5"/>
        <w:ind w:firstLine="0" w:firstLineChars="0"/>
        <w:contextualSpacing/>
        <w:rPr>
          <w:rFonts w:ascii="Times New Roman" w:hAnsi="Times New Roman"/>
        </w:rPr>
      </w:pPr>
      <w:bookmarkStart w:id="46" w:name="_Toc15848"/>
      <w:bookmarkStart w:id="47" w:name="_Toc5953"/>
      <w:bookmarkStart w:id="48" w:name="_Toc15877"/>
      <w:bookmarkStart w:id="49" w:name="_Toc2442"/>
      <w:r>
        <w:rPr>
          <w:rFonts w:ascii="Times New Roman" w:hAnsi="Times New Roman"/>
        </w:rPr>
        <w:t>1.2.3</w:t>
      </w:r>
      <w:r>
        <w:rPr>
          <w:rFonts w:ascii="Times New Roman" w:hAnsi="宋体"/>
        </w:rPr>
        <w:t>地方性法规</w:t>
      </w:r>
    </w:p>
    <w:p>
      <w:pPr>
        <w:ind w:firstLine="480"/>
        <w:contextualSpacing/>
      </w:pPr>
      <w:r>
        <w:rPr>
          <w:rFonts w:hAnsi="宋体"/>
        </w:rPr>
        <w:t>（</w:t>
      </w:r>
      <w:r>
        <w:t>1</w:t>
      </w:r>
      <w:r>
        <w:rPr>
          <w:rFonts w:hAnsi="宋体"/>
        </w:rPr>
        <w:t>）《四川省环境保护条例》，</w:t>
      </w:r>
      <w:r>
        <w:t>2018</w:t>
      </w:r>
      <w:r>
        <w:rPr>
          <w:rFonts w:hAnsi="宋体"/>
        </w:rPr>
        <w:t>年</w:t>
      </w:r>
      <w:r>
        <w:t>1</w:t>
      </w:r>
      <w:r>
        <w:rPr>
          <w:rFonts w:hAnsi="宋体"/>
        </w:rPr>
        <w:t>月施行；</w:t>
      </w:r>
    </w:p>
    <w:p>
      <w:pPr>
        <w:ind w:firstLine="480"/>
        <w:contextualSpacing/>
      </w:pPr>
      <w:r>
        <w:rPr>
          <w:rFonts w:hAnsi="宋体"/>
        </w:rPr>
        <w:t>（</w:t>
      </w:r>
      <w:r>
        <w:t>2</w:t>
      </w:r>
      <w:r>
        <w:rPr>
          <w:rFonts w:hAnsi="宋体"/>
        </w:rPr>
        <w:t>）《四川省自然保护区管理条例》，</w:t>
      </w:r>
      <w:r>
        <w:t>2018</w:t>
      </w:r>
      <w:r>
        <w:rPr>
          <w:rFonts w:hAnsi="宋体"/>
        </w:rPr>
        <w:t>年</w:t>
      </w:r>
      <w:r>
        <w:t>9</w:t>
      </w:r>
      <w:r>
        <w:rPr>
          <w:rFonts w:hAnsi="宋体"/>
        </w:rPr>
        <w:t>月修正；</w:t>
      </w:r>
    </w:p>
    <w:p>
      <w:pPr>
        <w:ind w:firstLine="480"/>
        <w:contextualSpacing/>
      </w:pPr>
      <w:r>
        <w:rPr>
          <w:rFonts w:hAnsi="宋体"/>
        </w:rPr>
        <w:t>（</w:t>
      </w:r>
      <w:r>
        <w:t>3</w:t>
      </w:r>
      <w:r>
        <w:rPr>
          <w:rFonts w:hAnsi="宋体"/>
        </w:rPr>
        <w:t>）《四川省〈中华人民共和国环境影响评价法〉实施办法》，</w:t>
      </w:r>
      <w:r>
        <w:t>2019</w:t>
      </w:r>
      <w:r>
        <w:rPr>
          <w:rFonts w:hAnsi="宋体"/>
        </w:rPr>
        <w:t>年</w:t>
      </w:r>
      <w:r>
        <w:t>9</w:t>
      </w:r>
      <w:r>
        <w:rPr>
          <w:rFonts w:hAnsi="宋体"/>
        </w:rPr>
        <w:t>月修正；</w:t>
      </w:r>
    </w:p>
    <w:p>
      <w:pPr>
        <w:ind w:firstLine="480"/>
        <w:contextualSpacing/>
      </w:pPr>
      <w:r>
        <w:rPr>
          <w:rFonts w:hAnsi="宋体"/>
        </w:rPr>
        <w:t>（</w:t>
      </w:r>
      <w:r>
        <w:t>4</w:t>
      </w:r>
      <w:r>
        <w:rPr>
          <w:rFonts w:hAnsi="宋体"/>
        </w:rPr>
        <w:t>）《四川省〈中华人民共和国水法〉实施办法》，</w:t>
      </w:r>
      <w:r>
        <w:t>2005</w:t>
      </w:r>
      <w:r>
        <w:rPr>
          <w:rFonts w:hAnsi="宋体"/>
        </w:rPr>
        <w:t>年</w:t>
      </w:r>
      <w:r>
        <w:t>4</w:t>
      </w:r>
      <w:r>
        <w:rPr>
          <w:rFonts w:hAnsi="宋体"/>
        </w:rPr>
        <w:t>月修订；</w:t>
      </w:r>
    </w:p>
    <w:p>
      <w:pPr>
        <w:ind w:firstLine="480"/>
        <w:contextualSpacing/>
      </w:pPr>
      <w:r>
        <w:rPr>
          <w:rFonts w:hAnsi="宋体"/>
        </w:rPr>
        <w:t>（</w:t>
      </w:r>
      <w:r>
        <w:t>5</w:t>
      </w:r>
      <w:r>
        <w:rPr>
          <w:rFonts w:hAnsi="宋体"/>
        </w:rPr>
        <w:t>）《四川省〈中华人民共和国渔业法〉实施办法》，</w:t>
      </w:r>
      <w:r>
        <w:t>2016</w:t>
      </w:r>
      <w:r>
        <w:rPr>
          <w:rFonts w:hAnsi="宋体"/>
        </w:rPr>
        <w:t>年</w:t>
      </w:r>
      <w:r>
        <w:t>11</w:t>
      </w:r>
      <w:r>
        <w:rPr>
          <w:rFonts w:hAnsi="宋体"/>
        </w:rPr>
        <w:t>月修正；</w:t>
      </w:r>
    </w:p>
    <w:p>
      <w:pPr>
        <w:ind w:firstLine="480"/>
        <w:contextualSpacing/>
      </w:pPr>
      <w:r>
        <w:rPr>
          <w:rFonts w:hAnsi="宋体"/>
        </w:rPr>
        <w:t>（</w:t>
      </w:r>
      <w:r>
        <w:t>6</w:t>
      </w:r>
      <w:r>
        <w:rPr>
          <w:rFonts w:hAnsi="宋体"/>
        </w:rPr>
        <w:t>）《四川省〈中华人民共和国野生动物保护法〉实施办法》，</w:t>
      </w:r>
      <w:r>
        <w:t>2012</w:t>
      </w:r>
      <w:r>
        <w:rPr>
          <w:rFonts w:hAnsi="宋体"/>
        </w:rPr>
        <w:t>年</w:t>
      </w:r>
      <w:r>
        <w:t>7</w:t>
      </w:r>
      <w:r>
        <w:rPr>
          <w:rFonts w:hAnsi="宋体"/>
        </w:rPr>
        <w:t>月修正；</w:t>
      </w:r>
    </w:p>
    <w:p>
      <w:pPr>
        <w:ind w:firstLine="480"/>
        <w:contextualSpacing/>
      </w:pPr>
      <w:r>
        <w:rPr>
          <w:rFonts w:hAnsi="宋体"/>
        </w:rPr>
        <w:t>（</w:t>
      </w:r>
      <w:r>
        <w:t>7</w:t>
      </w:r>
      <w:r>
        <w:rPr>
          <w:rFonts w:hAnsi="宋体"/>
        </w:rPr>
        <w:t>）《四川省饮用水水源保护管理条例》，</w:t>
      </w:r>
      <w:r>
        <w:t>2019</w:t>
      </w:r>
      <w:r>
        <w:rPr>
          <w:rFonts w:hAnsi="宋体"/>
        </w:rPr>
        <w:t>年</w:t>
      </w:r>
      <w:r>
        <w:t>9</w:t>
      </w:r>
      <w:r>
        <w:rPr>
          <w:rFonts w:hAnsi="宋体"/>
        </w:rPr>
        <w:t>月修订；</w:t>
      </w:r>
    </w:p>
    <w:p>
      <w:pPr>
        <w:ind w:firstLine="480"/>
        <w:contextualSpacing/>
      </w:pPr>
      <w:r>
        <w:rPr>
          <w:rFonts w:hAnsi="宋体"/>
        </w:rPr>
        <w:t>（</w:t>
      </w:r>
      <w:r>
        <w:t>8</w:t>
      </w:r>
      <w:r>
        <w:rPr>
          <w:rFonts w:hAnsi="宋体"/>
        </w:rPr>
        <w:t>）《四川省沱江流域水环境保护条例》，</w:t>
      </w:r>
      <w:r>
        <w:t>2019</w:t>
      </w:r>
      <w:r>
        <w:rPr>
          <w:rFonts w:hAnsi="宋体"/>
        </w:rPr>
        <w:t>年</w:t>
      </w:r>
      <w:r>
        <w:t>9</w:t>
      </w:r>
      <w:r>
        <w:rPr>
          <w:rFonts w:hAnsi="宋体"/>
        </w:rPr>
        <w:t>月施行。</w:t>
      </w:r>
    </w:p>
    <w:p>
      <w:pPr>
        <w:pStyle w:val="5"/>
        <w:ind w:firstLine="0" w:firstLineChars="0"/>
        <w:contextualSpacing/>
        <w:rPr>
          <w:rFonts w:ascii="Times New Roman" w:hAnsi="Times New Roman"/>
        </w:rPr>
      </w:pPr>
      <w:r>
        <w:rPr>
          <w:rFonts w:ascii="Times New Roman" w:hAnsi="Times New Roman"/>
        </w:rPr>
        <w:t xml:space="preserve">1.2.4 </w:t>
      </w:r>
      <w:r>
        <w:rPr>
          <w:rFonts w:ascii="Times New Roman" w:hAnsi="宋体"/>
        </w:rPr>
        <w:t>技术导则与规范</w:t>
      </w:r>
      <w:bookmarkEnd w:id="46"/>
      <w:bookmarkEnd w:id="47"/>
      <w:bookmarkEnd w:id="48"/>
      <w:bookmarkEnd w:id="49"/>
    </w:p>
    <w:p>
      <w:pPr>
        <w:ind w:firstLine="480"/>
        <w:contextualSpacing/>
      </w:pPr>
      <w:r>
        <w:rPr>
          <w:rFonts w:hAnsi="宋体"/>
        </w:rPr>
        <w:t>（</w:t>
      </w:r>
      <w:r>
        <w:t>1</w:t>
      </w:r>
      <w:r>
        <w:rPr>
          <w:rFonts w:hAnsi="宋体"/>
        </w:rPr>
        <w:t>）《建设项目环境影响评价技术导则</w:t>
      </w:r>
      <w:r>
        <w:rPr>
          <w:rFonts w:hint="eastAsia" w:hAnsi="宋体"/>
        </w:rPr>
        <w:t xml:space="preserve"> </w:t>
      </w:r>
      <w:r>
        <w:rPr>
          <w:rFonts w:hAnsi="宋体"/>
        </w:rPr>
        <w:t>总纲》（</w:t>
      </w:r>
      <w:r>
        <w:t>HJ2.1-2016</w:t>
      </w:r>
      <w:r>
        <w:rPr>
          <w:rFonts w:hAnsi="宋体"/>
        </w:rPr>
        <w:t>）；</w:t>
      </w:r>
    </w:p>
    <w:p>
      <w:pPr>
        <w:ind w:firstLine="480"/>
        <w:contextualSpacing/>
      </w:pPr>
      <w:r>
        <w:rPr>
          <w:rFonts w:hAnsi="宋体"/>
        </w:rPr>
        <w:t>（</w:t>
      </w:r>
      <w:r>
        <w:t>2</w:t>
      </w:r>
      <w:r>
        <w:rPr>
          <w:rFonts w:hAnsi="宋体"/>
        </w:rPr>
        <w:t>）《环境影响评价技术导则</w:t>
      </w:r>
      <w:r>
        <w:rPr>
          <w:rFonts w:hint="eastAsia" w:hAnsi="宋体"/>
        </w:rPr>
        <w:t xml:space="preserve"> </w:t>
      </w:r>
      <w:r>
        <w:rPr>
          <w:rFonts w:hAnsi="宋体"/>
        </w:rPr>
        <w:t>地表水环境）》（</w:t>
      </w:r>
      <w:r>
        <w:t>HJ2.3-2018</w:t>
      </w:r>
      <w:r>
        <w:rPr>
          <w:rFonts w:hAnsi="宋体"/>
        </w:rPr>
        <w:t>）；</w:t>
      </w:r>
    </w:p>
    <w:p>
      <w:pPr>
        <w:ind w:firstLine="480"/>
        <w:contextualSpacing/>
      </w:pPr>
      <w:r>
        <w:rPr>
          <w:rFonts w:hAnsi="宋体"/>
        </w:rPr>
        <w:t>（</w:t>
      </w:r>
      <w:r>
        <w:t>3</w:t>
      </w:r>
      <w:r>
        <w:rPr>
          <w:rFonts w:hAnsi="宋体"/>
        </w:rPr>
        <w:t>）《环境影响评价技术导则</w:t>
      </w:r>
      <w:r>
        <w:rPr>
          <w:rFonts w:hint="eastAsia" w:hAnsi="宋体"/>
        </w:rPr>
        <w:t xml:space="preserve"> </w:t>
      </w:r>
      <w:r>
        <w:rPr>
          <w:rFonts w:hAnsi="宋体"/>
        </w:rPr>
        <w:t>地下水环境》（</w:t>
      </w:r>
      <w:r>
        <w:t>HJ610-2016</w:t>
      </w:r>
      <w:r>
        <w:rPr>
          <w:rFonts w:hAnsi="宋体"/>
        </w:rPr>
        <w:t>）</w:t>
      </w:r>
    </w:p>
    <w:p>
      <w:pPr>
        <w:ind w:firstLine="480"/>
        <w:contextualSpacing/>
      </w:pPr>
      <w:r>
        <w:rPr>
          <w:rFonts w:hAnsi="宋体"/>
        </w:rPr>
        <w:t>（</w:t>
      </w:r>
      <w:r>
        <w:t>4</w:t>
      </w:r>
      <w:r>
        <w:rPr>
          <w:rFonts w:hint="eastAsia"/>
        </w:rPr>
        <w:t>）</w:t>
      </w:r>
      <w:r>
        <w:rPr>
          <w:rFonts w:hAnsi="宋体"/>
        </w:rPr>
        <w:t>《环境影响评价技术导则</w:t>
      </w:r>
      <w:r>
        <w:rPr>
          <w:rFonts w:hint="eastAsia" w:hAnsi="宋体"/>
        </w:rPr>
        <w:t xml:space="preserve"> </w:t>
      </w:r>
      <w:r>
        <w:rPr>
          <w:rFonts w:hAnsi="宋体"/>
        </w:rPr>
        <w:t>声环境》（</w:t>
      </w:r>
      <w:r>
        <w:t>HJ2.4-2022</w:t>
      </w:r>
      <w:r>
        <w:rPr>
          <w:rFonts w:hAnsi="宋体"/>
        </w:rPr>
        <w:t>）；</w:t>
      </w:r>
    </w:p>
    <w:p>
      <w:pPr>
        <w:ind w:firstLine="480"/>
        <w:contextualSpacing/>
      </w:pPr>
      <w:r>
        <w:rPr>
          <w:rFonts w:hAnsi="宋体"/>
        </w:rPr>
        <w:t>（</w:t>
      </w:r>
      <w:r>
        <w:t>5</w:t>
      </w:r>
      <w:r>
        <w:rPr>
          <w:rFonts w:hAnsi="宋体"/>
        </w:rPr>
        <w:t>）《环境影响评价技术导则</w:t>
      </w:r>
      <w:r>
        <w:rPr>
          <w:rFonts w:hint="eastAsia" w:hAnsi="宋体"/>
        </w:rPr>
        <w:t xml:space="preserve"> </w:t>
      </w:r>
      <w:r>
        <w:rPr>
          <w:rFonts w:hAnsi="宋体"/>
        </w:rPr>
        <w:t>大气环境》（</w:t>
      </w:r>
      <w:r>
        <w:t>HJ2.2-2018</w:t>
      </w:r>
      <w:r>
        <w:rPr>
          <w:rFonts w:hAnsi="宋体"/>
        </w:rPr>
        <w:t>）；</w:t>
      </w:r>
    </w:p>
    <w:p>
      <w:pPr>
        <w:ind w:firstLine="480"/>
        <w:contextualSpacing/>
      </w:pPr>
      <w:r>
        <w:rPr>
          <w:rFonts w:hAnsi="宋体"/>
        </w:rPr>
        <w:t>（</w:t>
      </w:r>
      <w:r>
        <w:t>6</w:t>
      </w:r>
      <w:r>
        <w:rPr>
          <w:rFonts w:hAnsi="宋体"/>
        </w:rPr>
        <w:t>）《环境影响评价技术导则</w:t>
      </w:r>
      <w:r>
        <w:rPr>
          <w:rFonts w:hint="eastAsia" w:hAnsi="宋体"/>
        </w:rPr>
        <w:t xml:space="preserve"> </w:t>
      </w:r>
      <w:r>
        <w:rPr>
          <w:rFonts w:hAnsi="宋体"/>
        </w:rPr>
        <w:t>生态影响》（</w:t>
      </w:r>
      <w:r>
        <w:t>HJ19-2022</w:t>
      </w:r>
      <w:r>
        <w:rPr>
          <w:rFonts w:hAnsi="宋体"/>
        </w:rPr>
        <w:t>）；</w:t>
      </w:r>
    </w:p>
    <w:p>
      <w:pPr>
        <w:ind w:firstLine="480"/>
        <w:contextualSpacing/>
      </w:pPr>
      <w:r>
        <w:rPr>
          <w:rFonts w:hAnsi="宋体"/>
        </w:rPr>
        <w:t>（</w:t>
      </w:r>
      <w:r>
        <w:t>7</w:t>
      </w:r>
      <w:r>
        <w:rPr>
          <w:rFonts w:hAnsi="宋体"/>
        </w:rPr>
        <w:t>）《环境影响评价技术导则</w:t>
      </w:r>
      <w:r>
        <w:rPr>
          <w:rFonts w:hint="eastAsia" w:hAnsi="宋体"/>
        </w:rPr>
        <w:t xml:space="preserve"> </w:t>
      </w:r>
      <w:r>
        <w:rPr>
          <w:rFonts w:hAnsi="宋体"/>
        </w:rPr>
        <w:t>土壤环境（试行）》（</w:t>
      </w:r>
      <w:r>
        <w:t>HJ964-2018</w:t>
      </w:r>
      <w:r>
        <w:rPr>
          <w:rFonts w:hAnsi="宋体"/>
        </w:rPr>
        <w:t>）；</w:t>
      </w:r>
    </w:p>
    <w:p>
      <w:pPr>
        <w:ind w:firstLine="480"/>
        <w:contextualSpacing/>
      </w:pPr>
      <w:r>
        <w:rPr>
          <w:rFonts w:hAnsi="宋体"/>
        </w:rPr>
        <w:t>（</w:t>
      </w:r>
      <w:r>
        <w:t>8</w:t>
      </w:r>
      <w:r>
        <w:rPr>
          <w:rFonts w:hAnsi="宋体"/>
        </w:rPr>
        <w:t>）《环境影响评价技术导则</w:t>
      </w:r>
      <w:r>
        <w:rPr>
          <w:rFonts w:hint="eastAsia" w:hAnsi="宋体"/>
        </w:rPr>
        <w:t xml:space="preserve"> </w:t>
      </w:r>
      <w:r>
        <w:rPr>
          <w:rFonts w:hAnsi="宋体"/>
        </w:rPr>
        <w:t>水利水电工程》（</w:t>
      </w:r>
      <w:r>
        <w:t>HJ/T88-2003</w:t>
      </w:r>
      <w:r>
        <w:rPr>
          <w:rFonts w:hAnsi="宋体"/>
        </w:rPr>
        <w:t>）；</w:t>
      </w:r>
    </w:p>
    <w:p>
      <w:pPr>
        <w:ind w:firstLine="480"/>
        <w:contextualSpacing/>
      </w:pPr>
      <w:r>
        <w:rPr>
          <w:rFonts w:hAnsi="宋体"/>
        </w:rPr>
        <w:t>（</w:t>
      </w:r>
      <w:r>
        <w:t>9</w:t>
      </w:r>
      <w:r>
        <w:rPr>
          <w:rFonts w:hAnsi="宋体"/>
        </w:rPr>
        <w:t>）《建设项目环境风险评价技术导则》（</w:t>
      </w:r>
      <w:r>
        <w:t>HJ169-2018</w:t>
      </w:r>
      <w:r>
        <w:rPr>
          <w:rFonts w:hAnsi="宋体"/>
        </w:rPr>
        <w:t>）；</w:t>
      </w:r>
    </w:p>
    <w:p>
      <w:pPr>
        <w:ind w:firstLine="480"/>
        <w:contextualSpacing/>
      </w:pPr>
      <w:r>
        <w:rPr>
          <w:rFonts w:hAnsi="宋体"/>
        </w:rPr>
        <w:t>（</w:t>
      </w:r>
      <w:r>
        <w:t>10</w:t>
      </w:r>
      <w:r>
        <w:rPr>
          <w:rFonts w:hAnsi="宋体"/>
        </w:rPr>
        <w:t>）《水利水电工程环境保护设计规范》（</w:t>
      </w:r>
      <w:r>
        <w:t>SL492-2011</w:t>
      </w:r>
      <w:r>
        <w:rPr>
          <w:rFonts w:hAnsi="宋体"/>
        </w:rPr>
        <w:t>）；</w:t>
      </w:r>
    </w:p>
    <w:p>
      <w:pPr>
        <w:ind w:firstLine="480"/>
        <w:contextualSpacing/>
      </w:pPr>
      <w:r>
        <w:rPr>
          <w:rFonts w:hAnsi="宋体"/>
        </w:rPr>
        <w:t>（</w:t>
      </w:r>
      <w:r>
        <w:t>11</w:t>
      </w:r>
      <w:r>
        <w:rPr>
          <w:rFonts w:hAnsi="宋体"/>
        </w:rPr>
        <w:t>）《水利水电工程环境保护概估算编制规程》（</w:t>
      </w:r>
      <w:r>
        <w:t>SL359-2006</w:t>
      </w:r>
      <w:r>
        <w:rPr>
          <w:rFonts w:hAnsi="宋体"/>
        </w:rPr>
        <w:t>）；</w:t>
      </w:r>
    </w:p>
    <w:p>
      <w:pPr>
        <w:ind w:firstLine="480"/>
        <w:contextualSpacing/>
      </w:pPr>
      <w:r>
        <w:rPr>
          <w:rFonts w:hAnsi="宋体"/>
        </w:rPr>
        <w:t>（</w:t>
      </w:r>
      <w:r>
        <w:t>12</w:t>
      </w:r>
      <w:r>
        <w:rPr>
          <w:rFonts w:hAnsi="宋体"/>
        </w:rPr>
        <w:t>）《集中式饮用水水源地规范化建设环境保护技术要求》（</w:t>
      </w:r>
      <w:r>
        <w:t>HJ773-2015</w:t>
      </w:r>
      <w:r>
        <w:rPr>
          <w:rFonts w:hAnsi="宋体"/>
        </w:rPr>
        <w:t>）；</w:t>
      </w:r>
    </w:p>
    <w:p>
      <w:pPr>
        <w:ind w:firstLine="480"/>
        <w:contextualSpacing/>
      </w:pPr>
      <w:r>
        <w:rPr>
          <w:rFonts w:hAnsi="宋体"/>
        </w:rPr>
        <w:t>（</w:t>
      </w:r>
      <w:r>
        <w:t>13</w:t>
      </w:r>
      <w:r>
        <w:rPr>
          <w:rFonts w:hAnsi="宋体"/>
        </w:rPr>
        <w:t>）《饮用水水源保护区划分技术规范》（</w:t>
      </w:r>
      <w:r>
        <w:t>HJ338-2018</w:t>
      </w:r>
      <w:r>
        <w:rPr>
          <w:rFonts w:hAnsi="宋体"/>
        </w:rPr>
        <w:t>）；</w:t>
      </w:r>
    </w:p>
    <w:p>
      <w:pPr>
        <w:ind w:firstLine="480"/>
        <w:contextualSpacing/>
      </w:pPr>
      <w:r>
        <w:rPr>
          <w:rFonts w:hAnsi="宋体"/>
        </w:rPr>
        <w:t>（</w:t>
      </w:r>
      <w:r>
        <w:t>14</w:t>
      </w:r>
      <w:r>
        <w:rPr>
          <w:rFonts w:hAnsi="宋体"/>
        </w:rPr>
        <w:t>）《渔业生态环境监测规范》（</w:t>
      </w:r>
      <w:r>
        <w:t>SC/T9102.3-2007</w:t>
      </w:r>
      <w:r>
        <w:rPr>
          <w:rFonts w:hAnsi="宋体"/>
        </w:rPr>
        <w:t>）；</w:t>
      </w:r>
    </w:p>
    <w:p>
      <w:pPr>
        <w:ind w:firstLine="480"/>
        <w:contextualSpacing/>
      </w:pPr>
      <w:r>
        <w:rPr>
          <w:rFonts w:hAnsi="宋体"/>
        </w:rPr>
        <w:t>（</w:t>
      </w:r>
      <w:r>
        <w:t>15</w:t>
      </w:r>
      <w:r>
        <w:rPr>
          <w:rFonts w:hAnsi="宋体"/>
        </w:rPr>
        <w:t>）《淡水浮游生物调查技术规范》（</w:t>
      </w:r>
      <w:r>
        <w:t>SC/T9402-2010</w:t>
      </w:r>
      <w:r>
        <w:rPr>
          <w:rFonts w:hAnsi="宋体"/>
        </w:rPr>
        <w:t>）；</w:t>
      </w:r>
    </w:p>
    <w:p>
      <w:pPr>
        <w:ind w:firstLine="480"/>
        <w:contextualSpacing/>
      </w:pPr>
      <w:r>
        <w:rPr>
          <w:rFonts w:hAnsi="宋体"/>
        </w:rPr>
        <w:t>（</w:t>
      </w:r>
      <w:r>
        <w:t>16</w:t>
      </w:r>
      <w:r>
        <w:rPr>
          <w:rFonts w:hAnsi="宋体"/>
        </w:rPr>
        <w:t>）《河湖生态环境需水计算规范》（</w:t>
      </w:r>
      <w:r>
        <w:t>SL/Z712-2021</w:t>
      </w:r>
      <w:r>
        <w:rPr>
          <w:rFonts w:hAnsi="宋体"/>
        </w:rPr>
        <w:t>）；</w:t>
      </w:r>
    </w:p>
    <w:p>
      <w:pPr>
        <w:ind w:firstLine="480"/>
        <w:contextualSpacing/>
      </w:pPr>
      <w:r>
        <w:rPr>
          <w:rFonts w:hAnsi="宋体"/>
        </w:rPr>
        <w:t>（</w:t>
      </w:r>
      <w:r>
        <w:t>17</w:t>
      </w:r>
      <w:r>
        <w:rPr>
          <w:rFonts w:hAnsi="宋体"/>
        </w:rPr>
        <w:t>）《水环境监测规范》（</w:t>
      </w:r>
      <w:r>
        <w:t>SL/Z219-2013</w:t>
      </w:r>
      <w:r>
        <w:rPr>
          <w:rFonts w:hAnsi="宋体"/>
        </w:rPr>
        <w:t>）；</w:t>
      </w:r>
    </w:p>
    <w:p>
      <w:pPr>
        <w:ind w:firstLine="480"/>
        <w:contextualSpacing/>
      </w:pPr>
      <w:r>
        <w:rPr>
          <w:rFonts w:hAnsi="宋体"/>
        </w:rPr>
        <w:t>（</w:t>
      </w:r>
      <w:r>
        <w:t>18</w:t>
      </w:r>
      <w:r>
        <w:rPr>
          <w:rFonts w:hAnsi="宋体"/>
        </w:rPr>
        <w:t>）《水生生物增殖放流管理规定》（农业部</w:t>
      </w:r>
      <w:r>
        <w:t>〔2009〕</w:t>
      </w:r>
      <w:r>
        <w:rPr>
          <w:rFonts w:hAnsi="宋体"/>
        </w:rPr>
        <w:t>第</w:t>
      </w:r>
      <w:r>
        <w:t>20</w:t>
      </w:r>
      <w:r>
        <w:rPr>
          <w:rFonts w:hAnsi="宋体"/>
        </w:rPr>
        <w:t>号令）等。</w:t>
      </w:r>
    </w:p>
    <w:p>
      <w:pPr>
        <w:pStyle w:val="5"/>
        <w:ind w:firstLine="0" w:firstLineChars="0"/>
        <w:contextualSpacing/>
        <w:rPr>
          <w:rFonts w:ascii="Times New Roman" w:hAnsi="Times New Roman"/>
        </w:rPr>
      </w:pPr>
      <w:bookmarkStart w:id="50" w:name="_Toc14348"/>
      <w:bookmarkStart w:id="51" w:name="_Toc22533"/>
      <w:bookmarkStart w:id="52" w:name="_Toc10726"/>
      <w:bookmarkStart w:id="53" w:name="_Toc17353"/>
      <w:bookmarkStart w:id="54" w:name="_Toc13101"/>
      <w:bookmarkStart w:id="55" w:name="_Toc10028"/>
      <w:bookmarkStart w:id="56" w:name="_Toc17059"/>
      <w:bookmarkStart w:id="57" w:name="_Toc1726"/>
      <w:bookmarkStart w:id="58" w:name="_Toc24107"/>
      <w:r>
        <w:rPr>
          <w:rFonts w:ascii="Times New Roman" w:hAnsi="Times New Roman"/>
        </w:rPr>
        <w:t>1.2.5</w:t>
      </w:r>
      <w:r>
        <w:rPr>
          <w:rFonts w:ascii="Times New Roman" w:hAnsi="宋体"/>
        </w:rPr>
        <w:t>环境标准</w:t>
      </w:r>
      <w:bookmarkEnd w:id="50"/>
      <w:bookmarkEnd w:id="51"/>
      <w:bookmarkEnd w:id="52"/>
      <w:bookmarkEnd w:id="53"/>
      <w:bookmarkEnd w:id="54"/>
      <w:bookmarkEnd w:id="55"/>
      <w:bookmarkEnd w:id="56"/>
      <w:bookmarkEnd w:id="57"/>
      <w:bookmarkEnd w:id="58"/>
    </w:p>
    <w:p>
      <w:pPr>
        <w:ind w:firstLine="480"/>
        <w:contextualSpacing/>
      </w:pPr>
      <w:r>
        <w:rPr>
          <w:rFonts w:hAnsi="宋体"/>
        </w:rPr>
        <w:t>（</w:t>
      </w:r>
      <w:r>
        <w:t>1</w:t>
      </w:r>
      <w:r>
        <w:rPr>
          <w:rFonts w:hAnsi="宋体"/>
        </w:rPr>
        <w:t>）《地表水环境质量标准》（</w:t>
      </w:r>
      <w:r>
        <w:t>GB3838-2002</w:t>
      </w:r>
      <w:r>
        <w:rPr>
          <w:rFonts w:hAnsi="宋体"/>
        </w:rPr>
        <w:t>）；</w:t>
      </w:r>
    </w:p>
    <w:p>
      <w:pPr>
        <w:ind w:firstLine="480"/>
        <w:contextualSpacing/>
      </w:pPr>
      <w:r>
        <w:rPr>
          <w:rFonts w:hAnsi="宋体"/>
        </w:rPr>
        <w:t>（</w:t>
      </w:r>
      <w:r>
        <w:t>2</w:t>
      </w:r>
      <w:r>
        <w:rPr>
          <w:rFonts w:hAnsi="宋体"/>
        </w:rPr>
        <w:t>）《生活饮用水卫生标准》（</w:t>
      </w:r>
      <w:r>
        <w:t>GB5749-2006</w:t>
      </w:r>
      <w:r>
        <w:rPr>
          <w:rFonts w:hAnsi="宋体"/>
        </w:rPr>
        <w:t>）；</w:t>
      </w:r>
    </w:p>
    <w:p>
      <w:pPr>
        <w:ind w:firstLine="480"/>
        <w:contextualSpacing/>
      </w:pPr>
      <w:r>
        <w:rPr>
          <w:rFonts w:hAnsi="宋体"/>
        </w:rPr>
        <w:t>（</w:t>
      </w:r>
      <w:r>
        <w:t>3</w:t>
      </w:r>
      <w:r>
        <w:rPr>
          <w:rFonts w:hAnsi="宋体"/>
        </w:rPr>
        <w:t>）《地下水质量标准》（</w:t>
      </w:r>
      <w:r>
        <w:t>GB/T14848-2017</w:t>
      </w:r>
      <w:r>
        <w:rPr>
          <w:rFonts w:hAnsi="宋体"/>
        </w:rPr>
        <w:t>）；</w:t>
      </w:r>
    </w:p>
    <w:p>
      <w:pPr>
        <w:ind w:firstLine="480"/>
        <w:contextualSpacing/>
      </w:pPr>
      <w:r>
        <w:rPr>
          <w:rFonts w:hAnsi="宋体"/>
        </w:rPr>
        <w:t>（</w:t>
      </w:r>
      <w:r>
        <w:t>4</w:t>
      </w:r>
      <w:r>
        <w:rPr>
          <w:rFonts w:hAnsi="宋体"/>
        </w:rPr>
        <w:t>）《农田灌溉水质标准》（</w:t>
      </w:r>
      <w:r>
        <w:t>GB 5084-2021</w:t>
      </w:r>
      <w:r>
        <w:rPr>
          <w:rFonts w:hAnsi="宋体"/>
        </w:rPr>
        <w:t>）；</w:t>
      </w:r>
    </w:p>
    <w:p>
      <w:pPr>
        <w:ind w:firstLine="480"/>
        <w:contextualSpacing/>
      </w:pPr>
      <w:r>
        <w:rPr>
          <w:rFonts w:hAnsi="宋体"/>
        </w:rPr>
        <w:t>（</w:t>
      </w:r>
      <w:r>
        <w:t>5</w:t>
      </w:r>
      <w:r>
        <w:rPr>
          <w:rFonts w:hAnsi="宋体"/>
        </w:rPr>
        <w:t>）《环境空气质量标准》（</w:t>
      </w:r>
      <w:r>
        <w:t>GB3095-2016</w:t>
      </w:r>
      <w:r>
        <w:rPr>
          <w:rFonts w:hAnsi="宋体"/>
        </w:rPr>
        <w:t>）；</w:t>
      </w:r>
    </w:p>
    <w:p>
      <w:pPr>
        <w:ind w:firstLine="480"/>
        <w:contextualSpacing/>
      </w:pPr>
      <w:r>
        <w:rPr>
          <w:rFonts w:hAnsi="宋体"/>
        </w:rPr>
        <w:t>（</w:t>
      </w:r>
      <w:r>
        <w:t>6</w:t>
      </w:r>
      <w:r>
        <w:rPr>
          <w:rFonts w:hAnsi="宋体"/>
        </w:rPr>
        <w:t>）《声环境质量标准》（</w:t>
      </w:r>
      <w:r>
        <w:t>GB3096-2008</w:t>
      </w:r>
      <w:r>
        <w:rPr>
          <w:rFonts w:hAnsi="宋体"/>
        </w:rPr>
        <w:t>）；</w:t>
      </w:r>
    </w:p>
    <w:p>
      <w:pPr>
        <w:ind w:firstLine="480"/>
        <w:contextualSpacing/>
      </w:pPr>
      <w:r>
        <w:rPr>
          <w:rFonts w:hAnsi="宋体"/>
        </w:rPr>
        <w:t>（</w:t>
      </w:r>
      <w:r>
        <w:t>7</w:t>
      </w:r>
      <w:r>
        <w:rPr>
          <w:rFonts w:hAnsi="宋体"/>
        </w:rPr>
        <w:t>）《土壤环境质量农用地土壤污染风险管控标准（试行）》（</w:t>
      </w:r>
      <w:r>
        <w:t>GB15618-2018</w:t>
      </w:r>
      <w:r>
        <w:rPr>
          <w:rFonts w:hAnsi="宋体"/>
        </w:rPr>
        <w:t>）；</w:t>
      </w:r>
    </w:p>
    <w:p>
      <w:pPr>
        <w:ind w:firstLine="480"/>
        <w:contextualSpacing/>
      </w:pPr>
      <w:r>
        <w:rPr>
          <w:rFonts w:hAnsi="宋体"/>
        </w:rPr>
        <w:t>（</w:t>
      </w:r>
      <w:r>
        <w:t>8</w:t>
      </w:r>
      <w:r>
        <w:rPr>
          <w:rFonts w:hAnsi="宋体"/>
        </w:rPr>
        <w:t>）《土壤环境质量建设用地土壤污染风险管控标准（试行）》（</w:t>
      </w:r>
      <w:r>
        <w:t>GB36600-2018</w:t>
      </w:r>
      <w:r>
        <w:rPr>
          <w:rFonts w:hAnsi="宋体"/>
        </w:rPr>
        <w:t>）；</w:t>
      </w:r>
    </w:p>
    <w:p>
      <w:pPr>
        <w:ind w:firstLine="480"/>
        <w:contextualSpacing/>
      </w:pPr>
      <w:r>
        <w:rPr>
          <w:rFonts w:hAnsi="宋体"/>
        </w:rPr>
        <w:t>（</w:t>
      </w:r>
      <w:r>
        <w:t>9</w:t>
      </w:r>
      <w:r>
        <w:rPr>
          <w:rFonts w:hAnsi="宋体"/>
        </w:rPr>
        <w:t>）《污水综合排放标准》（</w:t>
      </w:r>
      <w:r>
        <w:t>GB8978-1996</w:t>
      </w:r>
      <w:r>
        <w:rPr>
          <w:rFonts w:hAnsi="宋体"/>
        </w:rPr>
        <w:t>）；</w:t>
      </w:r>
    </w:p>
    <w:p>
      <w:pPr>
        <w:ind w:firstLine="480"/>
        <w:contextualSpacing/>
      </w:pPr>
      <w:r>
        <w:rPr>
          <w:rFonts w:hAnsi="宋体"/>
        </w:rPr>
        <w:t>（</w:t>
      </w:r>
      <w:r>
        <w:t>10</w:t>
      </w:r>
      <w:r>
        <w:rPr>
          <w:rFonts w:hAnsi="宋体"/>
        </w:rPr>
        <w:t>）《四川省岷江、沱江流域水污染物排放标准》（</w:t>
      </w:r>
      <w:r>
        <w:t>DB51/2311-2016</w:t>
      </w:r>
      <w:r>
        <w:rPr>
          <w:rFonts w:hAnsi="宋体"/>
        </w:rPr>
        <w:t>）</w:t>
      </w:r>
    </w:p>
    <w:p>
      <w:pPr>
        <w:ind w:firstLine="480"/>
        <w:contextualSpacing/>
      </w:pPr>
      <w:r>
        <w:rPr>
          <w:rFonts w:hAnsi="宋体"/>
        </w:rPr>
        <w:t>（</w:t>
      </w:r>
      <w:r>
        <w:t>11</w:t>
      </w:r>
      <w:r>
        <w:rPr>
          <w:rFonts w:hAnsi="宋体"/>
        </w:rPr>
        <w:t>）《大气污染物综合排放标准》（</w:t>
      </w:r>
      <w:r>
        <w:t>GB16297-1996</w:t>
      </w:r>
      <w:r>
        <w:rPr>
          <w:rFonts w:hAnsi="宋体"/>
        </w:rPr>
        <w:t>）；</w:t>
      </w:r>
    </w:p>
    <w:p>
      <w:pPr>
        <w:ind w:firstLine="480"/>
        <w:contextualSpacing/>
      </w:pPr>
      <w:r>
        <w:rPr>
          <w:rFonts w:hAnsi="宋体"/>
        </w:rPr>
        <w:t>（</w:t>
      </w:r>
      <w:r>
        <w:t>12</w:t>
      </w:r>
      <w:r>
        <w:rPr>
          <w:rFonts w:hAnsi="宋体"/>
        </w:rPr>
        <w:t>）《工业企业厂界环境噪声排放标准》（</w:t>
      </w:r>
      <w:r>
        <w:t>GB12348-2008</w:t>
      </w:r>
      <w:r>
        <w:rPr>
          <w:rFonts w:hAnsi="宋体"/>
        </w:rPr>
        <w:t>）；</w:t>
      </w:r>
    </w:p>
    <w:p>
      <w:pPr>
        <w:ind w:firstLine="480"/>
        <w:contextualSpacing/>
      </w:pPr>
      <w:r>
        <w:rPr>
          <w:rFonts w:hAnsi="宋体"/>
        </w:rPr>
        <w:t>（</w:t>
      </w:r>
      <w:r>
        <w:t>13</w:t>
      </w:r>
      <w:r>
        <w:rPr>
          <w:rFonts w:hAnsi="宋体"/>
        </w:rPr>
        <w:t>）《建筑施工场界环境噪声排放标准》（</w:t>
      </w:r>
      <w:r>
        <w:t>GB12523-2011</w:t>
      </w:r>
      <w:r>
        <w:rPr>
          <w:rFonts w:hAnsi="宋体"/>
        </w:rPr>
        <w:t>）等。</w:t>
      </w:r>
    </w:p>
    <w:p>
      <w:pPr>
        <w:pStyle w:val="5"/>
        <w:ind w:firstLine="0" w:firstLineChars="0"/>
        <w:contextualSpacing/>
        <w:rPr>
          <w:rFonts w:ascii="Times New Roman" w:hAnsi="Times New Roman"/>
        </w:rPr>
      </w:pPr>
      <w:bookmarkStart w:id="59" w:name="_Toc9941"/>
      <w:bookmarkStart w:id="60" w:name="_Toc13521"/>
      <w:bookmarkStart w:id="61" w:name="_Toc32743"/>
      <w:bookmarkStart w:id="62" w:name="_Toc9930"/>
      <w:bookmarkStart w:id="63" w:name="_Toc15536"/>
      <w:bookmarkStart w:id="64" w:name="_Toc21671"/>
      <w:bookmarkStart w:id="65" w:name="_Toc25852"/>
      <w:bookmarkStart w:id="66" w:name="_Toc25899"/>
      <w:bookmarkStart w:id="67" w:name="_Toc30435"/>
      <w:r>
        <w:rPr>
          <w:rFonts w:ascii="Times New Roman" w:hAnsi="Times New Roman"/>
        </w:rPr>
        <w:t>1.2.6</w:t>
      </w:r>
      <w:r>
        <w:rPr>
          <w:rFonts w:ascii="Times New Roman" w:hAnsi="宋体"/>
        </w:rPr>
        <w:t>相关技术文件</w:t>
      </w:r>
      <w:bookmarkEnd w:id="59"/>
      <w:bookmarkEnd w:id="60"/>
      <w:bookmarkEnd w:id="61"/>
      <w:bookmarkEnd w:id="62"/>
      <w:bookmarkEnd w:id="63"/>
      <w:bookmarkEnd w:id="64"/>
      <w:bookmarkEnd w:id="65"/>
      <w:bookmarkEnd w:id="66"/>
      <w:bookmarkEnd w:id="67"/>
    </w:p>
    <w:p>
      <w:pPr>
        <w:ind w:firstLine="480"/>
        <w:contextualSpacing/>
      </w:pPr>
      <w:r>
        <w:rPr>
          <w:rFonts w:hAnsi="宋体"/>
        </w:rPr>
        <w:t>（</w:t>
      </w:r>
      <w:r>
        <w:t>1</w:t>
      </w:r>
      <w:r>
        <w:rPr>
          <w:rFonts w:hAnsi="宋体"/>
        </w:rPr>
        <w:t>）《</w:t>
      </w:r>
      <w:r>
        <w:rPr>
          <w:rFonts w:hint="eastAsia" w:hAnsi="宋体"/>
        </w:rPr>
        <w:t>巴中市水资源综合规划</w:t>
      </w:r>
      <w:r>
        <w:rPr>
          <w:rFonts w:hAnsi="宋体"/>
        </w:rPr>
        <w:t>》（四川</w:t>
      </w:r>
      <w:r>
        <w:rPr>
          <w:rFonts w:hint="eastAsia" w:hAnsi="宋体"/>
        </w:rPr>
        <w:t>沃土项目投资管理有限公司、新疆兵团勘测设计院（集团）责任公司</w:t>
      </w:r>
      <w:r>
        <w:rPr>
          <w:rFonts w:hAnsi="宋体"/>
        </w:rPr>
        <w:t>，</w:t>
      </w:r>
      <w:r>
        <w:t>2019</w:t>
      </w:r>
      <w:r>
        <w:rPr>
          <w:rFonts w:hAnsi="宋体"/>
        </w:rPr>
        <w:t>年</w:t>
      </w:r>
      <w:r>
        <w:t>6</w:t>
      </w:r>
      <w:r>
        <w:rPr>
          <w:rFonts w:hAnsi="宋体"/>
        </w:rPr>
        <w:t>月）；</w:t>
      </w:r>
    </w:p>
    <w:p>
      <w:pPr>
        <w:ind w:firstLine="480"/>
        <w:contextualSpacing/>
      </w:pPr>
      <w:r>
        <w:rPr>
          <w:rFonts w:hAnsi="宋体"/>
        </w:rPr>
        <w:t>（</w:t>
      </w:r>
      <w:r>
        <w:t>2</w:t>
      </w:r>
      <w:r>
        <w:rPr>
          <w:rFonts w:hAnsi="宋体"/>
        </w:rPr>
        <w:t>）《</w:t>
      </w:r>
      <w:r>
        <w:rPr>
          <w:rFonts w:hint="eastAsia" w:hAnsi="宋体"/>
        </w:rPr>
        <w:t>巴中市</w:t>
      </w:r>
      <w:r>
        <w:rPr>
          <w:rFonts w:hAnsi="宋体"/>
        </w:rPr>
        <w:t>人民政府关于</w:t>
      </w:r>
      <w:r>
        <w:rPr>
          <w:rFonts w:hint="eastAsia" w:hAnsi="宋体"/>
        </w:rPr>
        <w:t>巴中市水资源综合规划</w:t>
      </w:r>
      <w:r>
        <w:rPr>
          <w:rFonts w:hAnsi="宋体"/>
        </w:rPr>
        <w:t>的批复》（</w:t>
      </w:r>
      <w:r>
        <w:rPr>
          <w:rFonts w:hint="eastAsia" w:hAnsi="宋体"/>
        </w:rPr>
        <w:t>巴</w:t>
      </w:r>
      <w:r>
        <w:rPr>
          <w:rFonts w:hAnsi="宋体"/>
        </w:rPr>
        <w:t>府函〔</w:t>
      </w:r>
      <w:r>
        <w:t>2019</w:t>
      </w:r>
      <w:r>
        <w:rPr>
          <w:rFonts w:hAnsi="宋体"/>
        </w:rPr>
        <w:t>〕</w:t>
      </w:r>
      <w:r>
        <w:t>96</w:t>
      </w:r>
      <w:r>
        <w:rPr>
          <w:rFonts w:hAnsi="宋体"/>
        </w:rPr>
        <w:t>号）；</w:t>
      </w:r>
    </w:p>
    <w:p>
      <w:pPr>
        <w:ind w:firstLine="480"/>
        <w:contextualSpacing/>
        <w:rPr>
          <w:rFonts w:hAnsi="宋体"/>
        </w:rPr>
      </w:pPr>
      <w:r>
        <w:rPr>
          <w:rFonts w:hAnsi="宋体"/>
        </w:rPr>
        <w:t>（</w:t>
      </w:r>
      <w:r>
        <w:t>3</w:t>
      </w:r>
      <w:r>
        <w:rPr>
          <w:rFonts w:hAnsi="宋体"/>
        </w:rPr>
        <w:t>）《</w:t>
      </w:r>
      <w:r>
        <w:rPr>
          <w:rFonts w:hint="eastAsia" w:hAnsi="宋体"/>
        </w:rPr>
        <w:t>巴中市巴州区寒溪寺水库扩建工程可行性研究报告</w:t>
      </w:r>
      <w:r>
        <w:rPr>
          <w:rFonts w:hAnsi="宋体"/>
        </w:rPr>
        <w:t>》（</w:t>
      </w:r>
      <w:r>
        <w:rPr>
          <w:rFonts w:hint="eastAsia"/>
        </w:rPr>
        <w:t>四川大学工程设计研究院有限公司</w:t>
      </w:r>
      <w:r>
        <w:rPr>
          <w:rFonts w:hAnsi="宋体"/>
        </w:rPr>
        <w:t>，</w:t>
      </w:r>
      <w:r>
        <w:t>2019</w:t>
      </w:r>
      <w:r>
        <w:rPr>
          <w:rFonts w:hAnsi="宋体"/>
        </w:rPr>
        <w:t>年</w:t>
      </w:r>
      <w:r>
        <w:t>1</w:t>
      </w:r>
      <w:r>
        <w:rPr>
          <w:rFonts w:hAnsi="宋体"/>
        </w:rPr>
        <w:t>月）；</w:t>
      </w:r>
    </w:p>
    <w:p>
      <w:pPr>
        <w:ind w:firstLine="480"/>
        <w:contextualSpacing/>
      </w:pPr>
      <w:r>
        <w:rPr>
          <w:rFonts w:hint="eastAsia"/>
        </w:rPr>
        <w:t>（4）巴中市</w:t>
      </w:r>
      <w:r>
        <w:t>发展和改革委员会</w:t>
      </w:r>
      <w:r>
        <w:rPr>
          <w:rFonts w:hAnsi="宋体"/>
        </w:rPr>
        <w:t>《关于</w:t>
      </w:r>
      <w:r>
        <w:rPr>
          <w:rFonts w:hint="eastAsia" w:hAnsi="宋体"/>
        </w:rPr>
        <w:t>巴中市巴州区寒溪寺水库扩建工程</w:t>
      </w:r>
      <w:r>
        <w:rPr>
          <w:rFonts w:hAnsi="宋体"/>
        </w:rPr>
        <w:t>可行性研究报告的批复》</w:t>
      </w:r>
      <w:r>
        <w:t>（</w:t>
      </w:r>
      <w:r>
        <w:rPr>
          <w:rFonts w:hint="eastAsia"/>
        </w:rPr>
        <w:t>巴发改审</w:t>
      </w:r>
      <w:r>
        <w:t>〔2021〕9号）</w:t>
      </w:r>
    </w:p>
    <w:p>
      <w:pPr>
        <w:ind w:firstLine="480"/>
        <w:contextualSpacing/>
        <w:rPr>
          <w:rFonts w:hAnsi="宋体"/>
        </w:rPr>
      </w:pPr>
      <w:r>
        <w:rPr>
          <w:rFonts w:hint="eastAsia"/>
        </w:rPr>
        <w:t>（5）</w:t>
      </w:r>
      <w:r>
        <w:rPr>
          <w:rFonts w:hAnsi="宋体"/>
        </w:rPr>
        <w:t>《</w:t>
      </w:r>
      <w:r>
        <w:rPr>
          <w:rFonts w:hint="eastAsia" w:hAnsi="宋体"/>
        </w:rPr>
        <w:t>巴中市巴州区寒溪寺水库扩建工程</w:t>
      </w:r>
      <w:r>
        <w:t>初步设计</w:t>
      </w:r>
      <w:r>
        <w:rPr>
          <w:rFonts w:hint="eastAsia" w:hAnsi="宋体"/>
        </w:rPr>
        <w:t>报告</w:t>
      </w:r>
      <w:r>
        <w:rPr>
          <w:rFonts w:hAnsi="宋体"/>
        </w:rPr>
        <w:t>》（</w:t>
      </w:r>
      <w:r>
        <w:rPr>
          <w:rFonts w:hint="eastAsia"/>
        </w:rPr>
        <w:t>中国电建集团中南勘测设计研究院有限公司</w:t>
      </w:r>
      <w:r>
        <w:rPr>
          <w:rFonts w:hAnsi="宋体"/>
        </w:rPr>
        <w:t>，</w:t>
      </w:r>
      <w:r>
        <w:t>2021</w:t>
      </w:r>
      <w:r>
        <w:rPr>
          <w:rFonts w:hAnsi="宋体"/>
        </w:rPr>
        <w:t>年</w:t>
      </w:r>
      <w:r>
        <w:t>9</w:t>
      </w:r>
      <w:r>
        <w:rPr>
          <w:rFonts w:hAnsi="宋体"/>
        </w:rPr>
        <w:t>月）；</w:t>
      </w:r>
    </w:p>
    <w:p>
      <w:pPr>
        <w:ind w:firstLine="480"/>
        <w:contextualSpacing/>
        <w:rPr>
          <w:rFonts w:hint="eastAsia"/>
        </w:rPr>
      </w:pPr>
      <w:r>
        <w:rPr>
          <w:rFonts w:hint="eastAsia"/>
        </w:rPr>
        <w:t>（6）巴中市巴州区</w:t>
      </w:r>
      <w:r>
        <w:rPr>
          <w:rFonts w:hint="eastAsia" w:hAnsi="宋体"/>
        </w:rPr>
        <w:t>水利局</w:t>
      </w:r>
      <w:r>
        <w:t>《关于</w:t>
      </w:r>
      <w:r>
        <w:rPr>
          <w:rFonts w:hint="eastAsia"/>
        </w:rPr>
        <w:t>巴中市巴州区寒溪寺水库扩建工程</w:t>
      </w:r>
      <w:r>
        <w:t>初步设计的批复》（</w:t>
      </w:r>
      <w:r>
        <w:rPr>
          <w:rFonts w:hint="eastAsia"/>
        </w:rPr>
        <w:t>巴区</w:t>
      </w:r>
      <w:r>
        <w:t>水函〔2021〕92号）</w:t>
      </w:r>
    </w:p>
    <w:p>
      <w:pPr>
        <w:ind w:firstLine="480"/>
        <w:contextualSpacing/>
      </w:pPr>
      <w:r>
        <w:rPr>
          <w:rFonts w:hAnsi="宋体"/>
        </w:rPr>
        <w:t>（</w:t>
      </w:r>
      <w:r>
        <w:t>7</w:t>
      </w:r>
      <w:r>
        <w:rPr>
          <w:rFonts w:hAnsi="宋体"/>
        </w:rPr>
        <w:t>）其他与工程相关的设计、经济社会、环境现状资料。</w:t>
      </w:r>
    </w:p>
    <w:p>
      <w:pPr>
        <w:pStyle w:val="4"/>
        <w:ind w:firstLine="0" w:firstLineChars="0"/>
        <w:contextualSpacing/>
      </w:pPr>
      <w:bookmarkStart w:id="68" w:name="_Toc32240"/>
      <w:bookmarkStart w:id="69" w:name="_Toc13447"/>
      <w:bookmarkStart w:id="70" w:name="_Toc343"/>
      <w:bookmarkStart w:id="71" w:name="_Toc19076"/>
      <w:bookmarkStart w:id="72" w:name="_Toc31325"/>
      <w:bookmarkStart w:id="73" w:name="_Toc3624"/>
      <w:bookmarkStart w:id="74" w:name="_Toc28054"/>
      <w:bookmarkStart w:id="75" w:name="_Toc16494"/>
      <w:bookmarkStart w:id="76" w:name="_Toc25212"/>
      <w:bookmarkStart w:id="77" w:name="_Toc130753403"/>
      <w:r>
        <w:t>1.3</w:t>
      </w:r>
      <w:r>
        <w:rPr>
          <w:rFonts w:hAnsi="宋体"/>
        </w:rPr>
        <w:t>评价标准</w:t>
      </w:r>
      <w:bookmarkEnd w:id="68"/>
      <w:bookmarkEnd w:id="69"/>
      <w:bookmarkEnd w:id="70"/>
      <w:bookmarkEnd w:id="71"/>
      <w:bookmarkEnd w:id="72"/>
      <w:bookmarkEnd w:id="73"/>
      <w:bookmarkEnd w:id="74"/>
      <w:bookmarkEnd w:id="75"/>
      <w:bookmarkEnd w:id="76"/>
      <w:bookmarkEnd w:id="77"/>
    </w:p>
    <w:p>
      <w:pPr>
        <w:pStyle w:val="5"/>
        <w:ind w:firstLine="0" w:firstLineChars="0"/>
        <w:contextualSpacing/>
        <w:rPr>
          <w:rFonts w:ascii="Times New Roman" w:hAnsi="Times New Roman"/>
        </w:rPr>
      </w:pPr>
      <w:bookmarkStart w:id="78" w:name="_Toc4573"/>
      <w:bookmarkStart w:id="79" w:name="_Toc999"/>
      <w:bookmarkStart w:id="80" w:name="_Toc18238"/>
      <w:bookmarkStart w:id="81" w:name="_Toc5982"/>
      <w:r>
        <w:rPr>
          <w:rFonts w:ascii="Times New Roman" w:hAnsi="Times New Roman"/>
        </w:rPr>
        <w:t>1.3.1</w:t>
      </w:r>
      <w:r>
        <w:rPr>
          <w:rFonts w:ascii="Times New Roman" w:hAnsi="宋体"/>
        </w:rPr>
        <w:t>环境质量标准</w:t>
      </w:r>
      <w:bookmarkEnd w:id="78"/>
      <w:bookmarkEnd w:id="79"/>
      <w:bookmarkEnd w:id="80"/>
      <w:bookmarkEnd w:id="81"/>
    </w:p>
    <w:p>
      <w:pPr>
        <w:ind w:firstLine="480"/>
        <w:contextualSpacing/>
      </w:pPr>
      <w:r>
        <w:rPr>
          <w:rFonts w:hAnsi="宋体"/>
        </w:rPr>
        <w:t>（</w:t>
      </w:r>
      <w:r>
        <w:t>1</w:t>
      </w:r>
      <w:r>
        <w:rPr>
          <w:rFonts w:hAnsi="宋体"/>
        </w:rPr>
        <w:t>）地表水环境</w:t>
      </w:r>
    </w:p>
    <w:p>
      <w:pPr>
        <w:ind w:firstLine="480"/>
        <w:contextualSpacing/>
        <w:rPr>
          <w:rFonts w:hAnsi="宋体"/>
        </w:rPr>
      </w:pPr>
      <w:r>
        <w:rPr>
          <w:rFonts w:hint="eastAsia" w:hAnsi="宋体"/>
        </w:rPr>
        <w:t>寒溪寺水库所在流域为渠江水系巴河二级支流蔡家河上，蔡家河主源发源于巴州区鸡公寨，河源高程1142m，自北向东南流，经安家坝、寒溪寺、蔡家河后折向东流，相继纳入两长河、吴家河后，折向东南流，最后汇入寒溪寺水库。</w:t>
      </w:r>
    </w:p>
    <w:p>
      <w:pPr>
        <w:ind w:firstLine="480"/>
        <w:contextualSpacing/>
        <w:rPr>
          <w:rFonts w:hint="eastAsia"/>
        </w:rPr>
      </w:pPr>
      <w:r>
        <w:rPr>
          <w:rFonts w:hint="eastAsia" w:hAnsi="宋体"/>
        </w:rPr>
        <w:t>根据《全国重要江河湖泊水功能区划（2011-2030）》、《四川省长江流域水功能区划》、《巴中市水功能区划报告》以及《巴州区化成河一河一策管理保护方案》，寒溪寺水库大坝上溯至河源为一级水功能区，水质目标</w:t>
      </w:r>
      <w:r>
        <w:fldChar w:fldCharType="begin"/>
      </w:r>
      <w:r>
        <w:instrText xml:space="preserve"> = 2 \* ROMAN \* MERGEFORMAT </w:instrText>
      </w:r>
      <w:r>
        <w:fldChar w:fldCharType="separate"/>
      </w:r>
      <w:r>
        <w:t>II</w:t>
      </w:r>
      <w:r>
        <w:fldChar w:fldCharType="end"/>
      </w:r>
      <w:r>
        <w:rPr>
          <w:rFonts w:hAnsi="宋体"/>
        </w:rPr>
        <w:t>类</w:t>
      </w:r>
      <w:r>
        <w:rPr>
          <w:rFonts w:hint="eastAsia" w:hAnsi="宋体"/>
        </w:rPr>
        <w:t>，目前寒溪寺水库现有原凌云乡代洛供水工程，供附近场镇3</w:t>
      </w:r>
      <w:r>
        <w:rPr>
          <w:rFonts w:hAnsi="宋体"/>
        </w:rPr>
        <w:t>000</w:t>
      </w:r>
      <w:r>
        <w:rPr>
          <w:rFonts w:hint="eastAsia" w:hAnsi="宋体"/>
        </w:rPr>
        <w:t>人使用。</w:t>
      </w:r>
    </w:p>
    <w:p>
      <w:pPr>
        <w:ind w:firstLine="480"/>
        <w:contextualSpacing/>
      </w:pPr>
      <w:r>
        <w:rPr>
          <w:rFonts w:hint="eastAsia" w:hAnsi="宋体"/>
        </w:rPr>
        <w:t>地表水环境</w:t>
      </w:r>
      <w:r>
        <w:rPr>
          <w:rFonts w:hAnsi="宋体"/>
        </w:rPr>
        <w:t>执行《地表水环境质量标准》（</w:t>
      </w:r>
      <w:r>
        <w:t>GB3838-2002</w:t>
      </w:r>
      <w:r>
        <w:rPr>
          <w:rFonts w:hAnsi="宋体"/>
        </w:rPr>
        <w:t>）</w:t>
      </w:r>
      <w:r>
        <w:fldChar w:fldCharType="begin"/>
      </w:r>
      <w:r>
        <w:instrText xml:space="preserve"> = 2 \* ROMAN \* MERGEFORMAT </w:instrText>
      </w:r>
      <w:r>
        <w:fldChar w:fldCharType="separate"/>
      </w:r>
      <w:r>
        <w:t>II</w:t>
      </w:r>
      <w:r>
        <w:fldChar w:fldCharType="end"/>
      </w:r>
      <w:r>
        <w:rPr>
          <w:rFonts w:hAnsi="宋体"/>
        </w:rPr>
        <w:t>类标准。</w:t>
      </w:r>
    </w:p>
    <w:p>
      <w:pPr>
        <w:ind w:firstLine="0" w:firstLineChars="0"/>
        <w:contextualSpacing/>
        <w:jc w:val="center"/>
        <w:rPr>
          <w:b/>
          <w:bCs/>
          <w:sz w:val="21"/>
          <w:szCs w:val="21"/>
        </w:rPr>
      </w:pPr>
      <w:r>
        <w:rPr>
          <w:rFonts w:hAnsi="宋体"/>
          <w:b/>
          <w:bCs/>
          <w:sz w:val="21"/>
          <w:szCs w:val="21"/>
        </w:rPr>
        <w:t>表</w:t>
      </w:r>
      <w:r>
        <w:rPr>
          <w:b/>
          <w:bCs/>
          <w:sz w:val="21"/>
          <w:szCs w:val="21"/>
        </w:rPr>
        <w:t xml:space="preserve">1.3.1-1  </w:t>
      </w:r>
      <w:r>
        <w:rPr>
          <w:rFonts w:hAnsi="宋体"/>
          <w:b/>
          <w:bCs/>
          <w:sz w:val="21"/>
          <w:szCs w:val="21"/>
        </w:rPr>
        <w:t>地表水环境质量标准限值</w:t>
      </w:r>
      <w:r>
        <w:rPr>
          <w:rFonts w:hint="eastAsia" w:hAnsi="宋体"/>
          <w:b/>
          <w:bCs/>
          <w:sz w:val="21"/>
          <w:szCs w:val="21"/>
        </w:rPr>
        <w:t xml:space="preserve">  </w:t>
      </w:r>
      <w:r>
        <w:rPr>
          <w:rFonts w:hAnsi="宋体"/>
          <w:b/>
          <w:bCs/>
          <w:sz w:val="21"/>
          <w:szCs w:val="21"/>
        </w:rPr>
        <w:t>单位：</w:t>
      </w:r>
      <w:r>
        <w:rPr>
          <w:b/>
          <w:bCs/>
          <w:sz w:val="21"/>
          <w:szCs w:val="21"/>
        </w:rPr>
        <w:t>mg/L</w:t>
      </w:r>
      <w:r>
        <w:rPr>
          <w:rFonts w:hAnsi="宋体"/>
          <w:b/>
          <w:bCs/>
          <w:sz w:val="21"/>
          <w:szCs w:val="21"/>
        </w:rPr>
        <w:t>（</w:t>
      </w:r>
      <w:r>
        <w:rPr>
          <w:b/>
          <w:bCs/>
          <w:sz w:val="21"/>
          <w:szCs w:val="21"/>
        </w:rPr>
        <w:t>pH</w:t>
      </w:r>
      <w:r>
        <w:rPr>
          <w:rFonts w:hAnsi="宋体"/>
          <w:b/>
          <w:bCs/>
          <w:sz w:val="21"/>
          <w:szCs w:val="21"/>
        </w:rPr>
        <w:t>无量纲）</w:t>
      </w:r>
    </w:p>
    <w:tbl>
      <w:tblPr>
        <w:tblStyle w:val="38"/>
        <w:tblW w:w="5000" w:type="pct"/>
        <w:jc w:val="center"/>
        <w:tblLayout w:type="autofit"/>
        <w:tblCellMar>
          <w:top w:w="0" w:type="dxa"/>
          <w:left w:w="28" w:type="dxa"/>
          <w:bottom w:w="0" w:type="dxa"/>
          <w:right w:w="28" w:type="dxa"/>
        </w:tblCellMar>
      </w:tblPr>
      <w:tblGrid>
        <w:gridCol w:w="595"/>
        <w:gridCol w:w="2268"/>
        <w:gridCol w:w="5499"/>
      </w:tblGrid>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序号</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项目</w:t>
            </w:r>
          </w:p>
        </w:tc>
        <w:tc>
          <w:tcPr>
            <w:tcW w:w="3288" w:type="pct"/>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contextualSpacing/>
              <w:jc w:val="center"/>
              <w:rPr>
                <w:sz w:val="21"/>
                <w:szCs w:val="21"/>
              </w:rPr>
            </w:pPr>
            <w:r>
              <w:rPr>
                <w:sz w:val="21"/>
                <w:szCs w:val="21"/>
              </w:rPr>
              <w:t>Ⅱ</w:t>
            </w:r>
            <w:r>
              <w:rPr>
                <w:rFonts w:hAnsi="宋体"/>
                <w:sz w:val="21"/>
                <w:szCs w:val="21"/>
              </w:rPr>
              <w:t>类</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水温（</w:t>
            </w:r>
            <w:r>
              <w:rPr>
                <w:sz w:val="21"/>
                <w:szCs w:val="21"/>
              </w:rPr>
              <w:t>℃</w:t>
            </w:r>
            <w:r>
              <w:rPr>
                <w:rFonts w:hAnsi="宋体"/>
                <w:sz w:val="21"/>
                <w:szCs w:val="21"/>
              </w:rPr>
              <w:t>）</w:t>
            </w:r>
          </w:p>
        </w:tc>
        <w:tc>
          <w:tcPr>
            <w:tcW w:w="3288" w:type="pct"/>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contextualSpacing/>
              <w:jc w:val="center"/>
              <w:rPr>
                <w:sz w:val="21"/>
                <w:szCs w:val="21"/>
              </w:rPr>
            </w:pPr>
            <w:r>
              <w:rPr>
                <w:rFonts w:hAnsi="宋体"/>
                <w:sz w:val="21"/>
                <w:szCs w:val="21"/>
              </w:rPr>
              <w:t>人为造成的环境水温变化应限值在周平均最大温升</w:t>
            </w:r>
            <w:r>
              <w:rPr>
                <w:sz w:val="21"/>
                <w:szCs w:val="21"/>
              </w:rPr>
              <w:t>≤1</w:t>
            </w:r>
            <w:r>
              <w:rPr>
                <w:rFonts w:hAnsi="宋体"/>
                <w:sz w:val="21"/>
                <w:szCs w:val="21"/>
              </w:rPr>
              <w:t>；周平均最大温降</w:t>
            </w:r>
            <w:r>
              <w:rPr>
                <w:sz w:val="21"/>
                <w:szCs w:val="21"/>
              </w:rPr>
              <w:t>≤2</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溶解氧</w:t>
            </w:r>
          </w:p>
        </w:tc>
        <w:tc>
          <w:tcPr>
            <w:tcW w:w="3288" w:type="pct"/>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contextualSpacing/>
              <w:jc w:val="center"/>
              <w:rPr>
                <w:sz w:val="21"/>
                <w:szCs w:val="21"/>
              </w:rPr>
            </w:pPr>
            <w:r>
              <w:rPr>
                <w:sz w:val="21"/>
                <w:szCs w:val="21"/>
              </w:rPr>
              <w:t>≥6</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高锰酸盐指数</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化学需氧量（</w:t>
            </w:r>
            <w:r>
              <w:rPr>
                <w:sz w:val="21"/>
                <w:szCs w:val="21"/>
              </w:rPr>
              <w:t>COD</w:t>
            </w:r>
            <w:r>
              <w:rPr>
                <w:rFonts w:hAnsi="宋体"/>
                <w:sz w:val="21"/>
                <w:szCs w:val="21"/>
              </w:rPr>
              <w:t>）</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五日生化需氧量</w:t>
            </w:r>
            <w:r>
              <w:rPr>
                <w:sz w:val="21"/>
                <w:szCs w:val="21"/>
              </w:rPr>
              <w:t xml:space="preserve"> BOD</w:t>
            </w:r>
            <w:r>
              <w:rPr>
                <w:sz w:val="21"/>
                <w:szCs w:val="21"/>
                <w:vertAlign w:val="subscript"/>
              </w:rPr>
              <w:t>5</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6</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氨氮（</w:t>
            </w:r>
            <w:r>
              <w:rPr>
                <w:sz w:val="21"/>
                <w:szCs w:val="21"/>
              </w:rPr>
              <w:t>NH</w:t>
            </w:r>
            <w:r>
              <w:rPr>
                <w:sz w:val="21"/>
                <w:szCs w:val="21"/>
                <w:vertAlign w:val="subscript"/>
              </w:rPr>
              <w:t>3</w:t>
            </w:r>
            <w:r>
              <w:rPr>
                <w:sz w:val="21"/>
                <w:szCs w:val="21"/>
              </w:rPr>
              <w:t>-N</w:t>
            </w:r>
            <w:r>
              <w:rPr>
                <w:rFonts w:hAnsi="宋体"/>
                <w:sz w:val="21"/>
                <w:szCs w:val="21"/>
              </w:rPr>
              <w:t>）</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7</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总磷（以</w:t>
            </w:r>
            <w:r>
              <w:rPr>
                <w:sz w:val="21"/>
                <w:szCs w:val="21"/>
              </w:rPr>
              <w:t xml:space="preserve"> P </w:t>
            </w:r>
            <w:r>
              <w:rPr>
                <w:rFonts w:hAnsi="宋体"/>
                <w:sz w:val="21"/>
                <w:szCs w:val="21"/>
              </w:rPr>
              <w:t>计）</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r>
              <w:rPr>
                <w:rFonts w:hAnsi="宋体"/>
                <w:sz w:val="21"/>
                <w:szCs w:val="21"/>
              </w:rPr>
              <w:t>（湖、库</w:t>
            </w:r>
            <w:r>
              <w:rPr>
                <w:sz w:val="21"/>
                <w:szCs w:val="21"/>
              </w:rPr>
              <w:t xml:space="preserve"> 0.025</w:t>
            </w:r>
            <w:r>
              <w:rPr>
                <w:rFonts w:hAnsi="宋体"/>
                <w:sz w:val="21"/>
                <w:szCs w:val="21"/>
              </w:rPr>
              <w:t>）</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8</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总氮（湖、库，以</w:t>
            </w:r>
            <w:r>
              <w:rPr>
                <w:sz w:val="21"/>
                <w:szCs w:val="21"/>
              </w:rPr>
              <w:t xml:space="preserve"> N </w:t>
            </w:r>
            <w:r>
              <w:rPr>
                <w:rFonts w:hAnsi="宋体"/>
                <w:sz w:val="21"/>
                <w:szCs w:val="21"/>
              </w:rPr>
              <w:t>计）</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9</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铜</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锌</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11</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氟化物（以</w:t>
            </w:r>
            <w:r>
              <w:rPr>
                <w:sz w:val="21"/>
                <w:szCs w:val="21"/>
              </w:rPr>
              <w:t xml:space="preserve"> F </w:t>
            </w:r>
            <w:r>
              <w:rPr>
                <w:rFonts w:hAnsi="宋体"/>
                <w:sz w:val="21"/>
                <w:szCs w:val="21"/>
              </w:rPr>
              <w:t>计）</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12</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硒</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13</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砷</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14</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汞</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15</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镉</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16</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铬（六价）</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17</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铅</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18</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氰化物</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19</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挥发酚</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≤0.002</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20</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石油类</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≤0.05</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21</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阴离子表面活性剂</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22</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硫化物</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r>
      <w:tr>
        <w:tblPrEx>
          <w:tblCellMar>
            <w:top w:w="0" w:type="dxa"/>
            <w:left w:w="28" w:type="dxa"/>
            <w:bottom w:w="0" w:type="dxa"/>
            <w:right w:w="28" w:type="dxa"/>
          </w:tblCellMar>
        </w:tblPrEx>
        <w:trPr>
          <w:jc w:val="center"/>
        </w:trPr>
        <w:tc>
          <w:tcPr>
            <w:tcW w:w="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23</w:t>
            </w:r>
          </w:p>
        </w:tc>
        <w:tc>
          <w:tcPr>
            <w:tcW w:w="135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粪大肠菌群（个</w:t>
            </w:r>
            <w:r>
              <w:rPr>
                <w:sz w:val="21"/>
                <w:szCs w:val="21"/>
              </w:rPr>
              <w:t>/L</w:t>
            </w:r>
            <w:r>
              <w:rPr>
                <w:rFonts w:hAnsi="宋体"/>
                <w:sz w:val="21"/>
                <w:szCs w:val="21"/>
              </w:rPr>
              <w:t>）</w:t>
            </w:r>
          </w:p>
        </w:tc>
        <w:tc>
          <w:tcPr>
            <w:tcW w:w="328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≤2000</w:t>
            </w:r>
          </w:p>
        </w:tc>
      </w:tr>
    </w:tbl>
    <w:p>
      <w:pPr>
        <w:ind w:firstLine="0" w:firstLineChars="0"/>
        <w:contextualSpacing/>
        <w:jc w:val="center"/>
        <w:rPr>
          <w:b/>
          <w:bCs/>
          <w:sz w:val="21"/>
          <w:szCs w:val="21"/>
        </w:rPr>
      </w:pPr>
      <w:r>
        <w:rPr>
          <w:rFonts w:hAnsi="宋体"/>
          <w:b/>
          <w:bCs/>
          <w:sz w:val="21"/>
          <w:szCs w:val="21"/>
        </w:rPr>
        <w:t>表</w:t>
      </w:r>
      <w:r>
        <w:rPr>
          <w:b/>
          <w:bCs/>
          <w:sz w:val="21"/>
          <w:szCs w:val="21"/>
        </w:rPr>
        <w:t>1.3.1-2</w:t>
      </w:r>
      <w:r>
        <w:rPr>
          <w:rFonts w:hint="eastAsia"/>
          <w:b/>
          <w:bCs/>
          <w:sz w:val="21"/>
          <w:szCs w:val="21"/>
        </w:rPr>
        <w:t xml:space="preserve">  </w:t>
      </w:r>
      <w:r>
        <w:rPr>
          <w:rFonts w:hint="eastAsia" w:hAnsi="宋体"/>
          <w:b/>
          <w:bCs/>
          <w:sz w:val="21"/>
          <w:szCs w:val="21"/>
        </w:rPr>
        <w:t>集中式生活饮用水地表水源地补充项目标准</w:t>
      </w:r>
      <w:r>
        <w:rPr>
          <w:rFonts w:hAnsi="宋体"/>
          <w:b/>
          <w:bCs/>
          <w:sz w:val="21"/>
          <w:szCs w:val="21"/>
        </w:rPr>
        <w:t>标准限值</w:t>
      </w:r>
      <w:r>
        <w:rPr>
          <w:rFonts w:hint="eastAsia" w:hAnsi="宋体"/>
          <w:b/>
          <w:bCs/>
          <w:sz w:val="21"/>
          <w:szCs w:val="21"/>
        </w:rPr>
        <w:t xml:space="preserve">  </w:t>
      </w:r>
      <w:r>
        <w:rPr>
          <w:rFonts w:hAnsi="宋体"/>
          <w:b/>
          <w:bCs/>
          <w:sz w:val="21"/>
          <w:szCs w:val="21"/>
        </w:rPr>
        <w:t>单位：</w:t>
      </w:r>
      <w:r>
        <w:rPr>
          <w:b/>
          <w:bCs/>
          <w:sz w:val="21"/>
          <w:szCs w:val="21"/>
        </w:rPr>
        <w:t>mg/L</w:t>
      </w:r>
    </w:p>
    <w:tbl>
      <w:tblPr>
        <w:tblStyle w:val="38"/>
        <w:tblW w:w="4900" w:type="pct"/>
        <w:jc w:val="center"/>
        <w:tblLayout w:type="autofit"/>
        <w:tblCellMar>
          <w:top w:w="0" w:type="dxa"/>
          <w:left w:w="28" w:type="dxa"/>
          <w:bottom w:w="0" w:type="dxa"/>
          <w:right w:w="28" w:type="dxa"/>
        </w:tblCellMar>
      </w:tblPr>
      <w:tblGrid>
        <w:gridCol w:w="797"/>
        <w:gridCol w:w="3826"/>
        <w:gridCol w:w="3572"/>
      </w:tblGrid>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序号</w:t>
            </w: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Ansi="宋体"/>
                <w:sz w:val="21"/>
                <w:szCs w:val="21"/>
              </w:rPr>
              <w:t>项目</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int="eastAsia"/>
                <w:sz w:val="21"/>
                <w:szCs w:val="21"/>
              </w:rPr>
              <w:t>标准值</w:t>
            </w:r>
          </w:p>
        </w:tc>
      </w:tr>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int="eastAsia"/>
                <w:sz w:val="21"/>
                <w:szCs w:val="21"/>
              </w:rPr>
              <w:t>1</w:t>
            </w: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硫酸盐（以SO</w:t>
            </w:r>
            <w:r>
              <w:rPr>
                <w:rFonts w:hAnsi="宋体"/>
                <w:sz w:val="21"/>
                <w:szCs w:val="21"/>
                <w:vertAlign w:val="subscript"/>
              </w:rPr>
              <w:t>4</w:t>
            </w:r>
            <w:r>
              <w:rPr>
                <w:rFonts w:hAnsi="宋体"/>
                <w:sz w:val="21"/>
                <w:szCs w:val="21"/>
                <w:vertAlign w:val="superscript"/>
              </w:rPr>
              <w:t>2-</w:t>
            </w:r>
            <w:r>
              <w:rPr>
                <w:rFonts w:hint="eastAsia" w:hAnsi="宋体"/>
                <w:sz w:val="21"/>
                <w:szCs w:val="21"/>
              </w:rPr>
              <w:t>）</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250</w:t>
            </w:r>
          </w:p>
        </w:tc>
      </w:tr>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int="eastAsia"/>
                <w:sz w:val="21"/>
                <w:szCs w:val="21"/>
              </w:rPr>
              <w:t>2</w:t>
            </w: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氯化物（以Cl</w:t>
            </w:r>
            <w:r>
              <w:rPr>
                <w:rFonts w:hAnsi="宋体"/>
                <w:sz w:val="21"/>
                <w:szCs w:val="21"/>
                <w:vertAlign w:val="superscript"/>
              </w:rPr>
              <w:t>-</w:t>
            </w:r>
            <w:r>
              <w:rPr>
                <w:rFonts w:hint="eastAsia" w:hAnsi="宋体"/>
                <w:sz w:val="21"/>
                <w:szCs w:val="21"/>
              </w:rPr>
              <w:t>计）</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250</w:t>
            </w:r>
          </w:p>
        </w:tc>
      </w:tr>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硝酸盐（以N计）</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10</w:t>
            </w:r>
          </w:p>
        </w:tc>
      </w:tr>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铁</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0.3</w:t>
            </w:r>
          </w:p>
        </w:tc>
      </w:tr>
      <w:tr>
        <w:tblPrEx>
          <w:tblCellMar>
            <w:top w:w="0" w:type="dxa"/>
            <w:left w:w="28" w:type="dxa"/>
            <w:bottom w:w="0" w:type="dxa"/>
            <w:right w:w="28" w:type="dxa"/>
          </w:tblCellMar>
        </w:tblPrEx>
        <w:trPr>
          <w:jc w:val="center"/>
        </w:trPr>
        <w:tc>
          <w:tcPr>
            <w:tcW w:w="486"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rFonts w:hint="eastAsia"/>
                <w:sz w:val="21"/>
                <w:szCs w:val="21"/>
              </w:rPr>
              <w:t>3</w:t>
            </w:r>
          </w:p>
        </w:tc>
        <w:tc>
          <w:tcPr>
            <w:tcW w:w="233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锰</w:t>
            </w:r>
          </w:p>
        </w:tc>
        <w:tc>
          <w:tcPr>
            <w:tcW w:w="217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rFonts w:hAnsi="宋体"/>
                <w:sz w:val="21"/>
                <w:szCs w:val="21"/>
              </w:rPr>
            </w:pPr>
            <w:r>
              <w:rPr>
                <w:rFonts w:hint="eastAsia" w:hAnsi="宋体"/>
                <w:sz w:val="21"/>
                <w:szCs w:val="21"/>
              </w:rPr>
              <w:t>0.1</w:t>
            </w:r>
          </w:p>
        </w:tc>
      </w:tr>
    </w:tbl>
    <w:p>
      <w:pPr>
        <w:ind w:firstLine="480"/>
        <w:contextualSpacing/>
      </w:pPr>
      <w:r>
        <w:rPr>
          <w:rFonts w:hAnsi="宋体"/>
        </w:rPr>
        <w:t>（</w:t>
      </w:r>
      <w:r>
        <w:t>2</w:t>
      </w:r>
      <w:r>
        <w:rPr>
          <w:rFonts w:hAnsi="宋体"/>
        </w:rPr>
        <w:t>）地下水环境</w:t>
      </w:r>
    </w:p>
    <w:p>
      <w:pPr>
        <w:ind w:firstLine="480"/>
        <w:contextualSpacing/>
      </w:pPr>
      <w:r>
        <w:rPr>
          <w:rFonts w:hAnsi="宋体"/>
        </w:rPr>
        <w:t>评价区地下水执行《地下水环境质量标准》（</w:t>
      </w:r>
      <w:r>
        <w:t>GB/T14848-2017</w:t>
      </w:r>
      <w:r>
        <w:rPr>
          <w:rFonts w:hAnsi="宋体"/>
        </w:rPr>
        <w:t>）</w:t>
      </w:r>
      <w:r>
        <w:t>Ⅲ</w:t>
      </w:r>
      <w:r>
        <w:rPr>
          <w:rFonts w:hAnsi="宋体"/>
        </w:rPr>
        <w:t>类标准。</w:t>
      </w:r>
    </w:p>
    <w:p>
      <w:pPr>
        <w:ind w:firstLine="0" w:firstLineChars="0"/>
        <w:contextualSpacing/>
        <w:jc w:val="center"/>
        <w:rPr>
          <w:b/>
          <w:bCs/>
          <w:sz w:val="21"/>
          <w:szCs w:val="21"/>
        </w:rPr>
      </w:pPr>
      <w:r>
        <w:rPr>
          <w:rFonts w:hAnsi="宋体"/>
          <w:b/>
          <w:bCs/>
          <w:sz w:val="21"/>
          <w:szCs w:val="21"/>
        </w:rPr>
        <w:t>表</w:t>
      </w:r>
      <w:r>
        <w:rPr>
          <w:b/>
          <w:bCs/>
          <w:sz w:val="21"/>
          <w:szCs w:val="21"/>
        </w:rPr>
        <w:t>1.3.1-3</w:t>
      </w:r>
      <w:r>
        <w:rPr>
          <w:rFonts w:hint="eastAsia"/>
          <w:b/>
          <w:bCs/>
          <w:sz w:val="21"/>
          <w:szCs w:val="21"/>
        </w:rPr>
        <w:t xml:space="preserve">  </w:t>
      </w:r>
      <w:r>
        <w:rPr>
          <w:rFonts w:hAnsi="宋体"/>
          <w:b/>
          <w:bCs/>
          <w:sz w:val="21"/>
          <w:szCs w:val="21"/>
        </w:rPr>
        <w:t>地下水质量标准及相关水质标准限值</w:t>
      </w:r>
      <w:r>
        <w:rPr>
          <w:rFonts w:hint="eastAsia" w:hAnsi="宋体"/>
          <w:b/>
          <w:bCs/>
          <w:sz w:val="21"/>
          <w:szCs w:val="21"/>
        </w:rPr>
        <w:t xml:space="preserve">  </w:t>
      </w:r>
      <w:r>
        <w:rPr>
          <w:rFonts w:hAnsi="宋体"/>
          <w:b/>
          <w:bCs/>
          <w:sz w:val="21"/>
          <w:szCs w:val="21"/>
        </w:rPr>
        <w:t>单位：</w:t>
      </w:r>
      <w:r>
        <w:rPr>
          <w:b/>
          <w:bCs/>
          <w:sz w:val="21"/>
          <w:szCs w:val="21"/>
        </w:rPr>
        <w:t>mg/l</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22"/>
        <w:gridCol w:w="695"/>
        <w:gridCol w:w="977"/>
        <w:gridCol w:w="852"/>
        <w:gridCol w:w="993"/>
        <w:gridCol w:w="964"/>
        <w:gridCol w:w="992"/>
        <w:gridCol w:w="738"/>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pct"/>
            <w:vAlign w:val="center"/>
          </w:tcPr>
          <w:p>
            <w:pPr>
              <w:spacing w:line="240" w:lineRule="auto"/>
              <w:ind w:firstLine="0" w:firstLineChars="0"/>
              <w:contextualSpacing/>
              <w:jc w:val="center"/>
              <w:rPr>
                <w:sz w:val="21"/>
                <w:szCs w:val="21"/>
              </w:rPr>
            </w:pPr>
            <w:r>
              <w:rPr>
                <w:rFonts w:hAnsi="宋体"/>
                <w:sz w:val="21"/>
                <w:szCs w:val="21"/>
              </w:rPr>
              <w:t>项目</w:t>
            </w:r>
          </w:p>
        </w:tc>
        <w:tc>
          <w:tcPr>
            <w:tcW w:w="424" w:type="pct"/>
            <w:vAlign w:val="center"/>
          </w:tcPr>
          <w:p>
            <w:pPr>
              <w:spacing w:line="240" w:lineRule="auto"/>
              <w:ind w:firstLine="0" w:firstLineChars="0"/>
              <w:contextualSpacing/>
              <w:jc w:val="center"/>
              <w:rPr>
                <w:sz w:val="21"/>
                <w:szCs w:val="21"/>
              </w:rPr>
            </w:pPr>
            <w:r>
              <w:rPr>
                <w:sz w:val="21"/>
                <w:szCs w:val="21"/>
              </w:rPr>
              <w:t>pH</w:t>
            </w:r>
          </w:p>
        </w:tc>
        <w:tc>
          <w:tcPr>
            <w:tcW w:w="596" w:type="pct"/>
            <w:vAlign w:val="center"/>
          </w:tcPr>
          <w:p>
            <w:pPr>
              <w:spacing w:line="240" w:lineRule="auto"/>
              <w:ind w:firstLine="0" w:firstLineChars="0"/>
              <w:contextualSpacing/>
              <w:jc w:val="center"/>
              <w:rPr>
                <w:sz w:val="21"/>
                <w:szCs w:val="21"/>
              </w:rPr>
            </w:pPr>
            <w:r>
              <w:rPr>
                <w:rFonts w:hAnsi="宋体"/>
                <w:sz w:val="21"/>
                <w:szCs w:val="21"/>
              </w:rPr>
              <w:t>耗氧量</w:t>
            </w:r>
          </w:p>
        </w:tc>
        <w:tc>
          <w:tcPr>
            <w:tcW w:w="520" w:type="pct"/>
            <w:vAlign w:val="center"/>
          </w:tcPr>
          <w:p>
            <w:pPr>
              <w:spacing w:line="240" w:lineRule="auto"/>
              <w:ind w:firstLine="0" w:firstLineChars="0"/>
              <w:contextualSpacing/>
              <w:jc w:val="center"/>
              <w:rPr>
                <w:sz w:val="21"/>
                <w:szCs w:val="21"/>
              </w:rPr>
            </w:pPr>
            <w:r>
              <w:rPr>
                <w:rFonts w:hAnsi="宋体"/>
                <w:sz w:val="21"/>
                <w:szCs w:val="21"/>
              </w:rPr>
              <w:t>氨氮</w:t>
            </w:r>
          </w:p>
        </w:tc>
        <w:tc>
          <w:tcPr>
            <w:tcW w:w="606" w:type="pct"/>
            <w:vAlign w:val="center"/>
          </w:tcPr>
          <w:p>
            <w:pPr>
              <w:spacing w:line="240" w:lineRule="auto"/>
              <w:ind w:firstLine="0" w:firstLineChars="0"/>
              <w:contextualSpacing/>
              <w:jc w:val="center"/>
              <w:rPr>
                <w:sz w:val="21"/>
                <w:szCs w:val="21"/>
              </w:rPr>
            </w:pPr>
            <w:r>
              <w:rPr>
                <w:rFonts w:hAnsi="宋体"/>
                <w:sz w:val="21"/>
                <w:szCs w:val="21"/>
              </w:rPr>
              <w:t>氟化物</w:t>
            </w:r>
          </w:p>
        </w:tc>
        <w:tc>
          <w:tcPr>
            <w:tcW w:w="588" w:type="pct"/>
            <w:vAlign w:val="center"/>
          </w:tcPr>
          <w:p>
            <w:pPr>
              <w:spacing w:line="240" w:lineRule="auto"/>
              <w:ind w:firstLine="0" w:firstLineChars="0"/>
              <w:contextualSpacing/>
              <w:jc w:val="center"/>
              <w:rPr>
                <w:sz w:val="21"/>
                <w:szCs w:val="21"/>
              </w:rPr>
            </w:pPr>
            <w:r>
              <w:rPr>
                <w:rFonts w:hAnsi="宋体"/>
                <w:sz w:val="21"/>
                <w:szCs w:val="21"/>
              </w:rPr>
              <w:t>氯化物</w:t>
            </w:r>
          </w:p>
        </w:tc>
        <w:tc>
          <w:tcPr>
            <w:tcW w:w="605" w:type="pct"/>
            <w:vAlign w:val="center"/>
          </w:tcPr>
          <w:p>
            <w:pPr>
              <w:spacing w:line="240" w:lineRule="auto"/>
              <w:ind w:firstLine="0" w:firstLineChars="0"/>
              <w:contextualSpacing/>
              <w:jc w:val="center"/>
              <w:rPr>
                <w:sz w:val="21"/>
                <w:szCs w:val="21"/>
              </w:rPr>
            </w:pPr>
            <w:r>
              <w:rPr>
                <w:rFonts w:hAnsi="宋体"/>
                <w:sz w:val="21"/>
                <w:szCs w:val="21"/>
              </w:rPr>
              <w:t>硫化物</w:t>
            </w:r>
          </w:p>
        </w:tc>
        <w:tc>
          <w:tcPr>
            <w:tcW w:w="450" w:type="pct"/>
            <w:vAlign w:val="center"/>
          </w:tcPr>
          <w:p>
            <w:pPr>
              <w:spacing w:line="240" w:lineRule="auto"/>
              <w:ind w:firstLine="0" w:firstLineChars="0"/>
              <w:contextualSpacing/>
              <w:jc w:val="center"/>
              <w:rPr>
                <w:sz w:val="21"/>
                <w:szCs w:val="21"/>
              </w:rPr>
            </w:pPr>
            <w:r>
              <w:rPr>
                <w:rFonts w:hAnsi="宋体"/>
                <w:sz w:val="21"/>
                <w:szCs w:val="21"/>
              </w:rPr>
              <w:t>氰化物</w:t>
            </w:r>
          </w:p>
        </w:tc>
        <w:tc>
          <w:tcPr>
            <w:tcW w:w="709" w:type="pct"/>
            <w:vAlign w:val="center"/>
          </w:tcPr>
          <w:p>
            <w:pPr>
              <w:spacing w:line="240" w:lineRule="auto"/>
              <w:ind w:firstLine="0" w:firstLineChars="0"/>
              <w:contextualSpacing/>
              <w:jc w:val="center"/>
              <w:rPr>
                <w:sz w:val="21"/>
                <w:szCs w:val="21"/>
              </w:rPr>
            </w:pPr>
            <w:r>
              <w:rPr>
                <w:rFonts w:hAnsi="宋体"/>
                <w:sz w:val="21"/>
                <w:szCs w:val="21"/>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pct"/>
            <w:vAlign w:val="center"/>
          </w:tcPr>
          <w:p>
            <w:pPr>
              <w:spacing w:line="240" w:lineRule="auto"/>
              <w:ind w:firstLine="0" w:firstLineChars="0"/>
              <w:contextualSpacing/>
              <w:jc w:val="center"/>
              <w:rPr>
                <w:sz w:val="21"/>
                <w:szCs w:val="21"/>
              </w:rPr>
            </w:pPr>
            <w:r>
              <w:rPr>
                <w:sz w:val="21"/>
                <w:szCs w:val="21"/>
              </w:rPr>
              <w:fldChar w:fldCharType="begin"/>
            </w:r>
            <w:r>
              <w:rPr>
                <w:sz w:val="21"/>
                <w:szCs w:val="21"/>
              </w:rPr>
              <w:instrText xml:space="preserve"> = 3 \* ROMAN \* MERGEFORMAT </w:instrText>
            </w:r>
            <w:r>
              <w:rPr>
                <w:sz w:val="21"/>
                <w:szCs w:val="21"/>
              </w:rPr>
              <w:fldChar w:fldCharType="separate"/>
            </w:r>
            <w:r>
              <w:t>III</w:t>
            </w:r>
            <w:r>
              <w:rPr>
                <w:sz w:val="21"/>
                <w:szCs w:val="21"/>
              </w:rPr>
              <w:fldChar w:fldCharType="end"/>
            </w:r>
          </w:p>
        </w:tc>
        <w:tc>
          <w:tcPr>
            <w:tcW w:w="424" w:type="pct"/>
            <w:vAlign w:val="center"/>
          </w:tcPr>
          <w:p>
            <w:pPr>
              <w:spacing w:line="240" w:lineRule="auto"/>
              <w:ind w:firstLine="0" w:firstLineChars="0"/>
              <w:contextualSpacing/>
              <w:jc w:val="center"/>
              <w:rPr>
                <w:sz w:val="21"/>
                <w:szCs w:val="21"/>
              </w:rPr>
            </w:pPr>
            <w:r>
              <w:rPr>
                <w:sz w:val="21"/>
                <w:szCs w:val="21"/>
              </w:rPr>
              <w:t>6.5~8.5</w:t>
            </w:r>
          </w:p>
        </w:tc>
        <w:tc>
          <w:tcPr>
            <w:tcW w:w="596" w:type="pct"/>
            <w:vAlign w:val="center"/>
          </w:tcPr>
          <w:p>
            <w:pPr>
              <w:spacing w:line="240" w:lineRule="auto"/>
              <w:ind w:firstLine="0" w:firstLineChars="0"/>
              <w:contextualSpacing/>
              <w:jc w:val="center"/>
              <w:rPr>
                <w:sz w:val="21"/>
                <w:szCs w:val="21"/>
              </w:rPr>
            </w:pPr>
            <w:r>
              <w:rPr>
                <w:sz w:val="21"/>
                <w:szCs w:val="21"/>
              </w:rPr>
              <w:t>≤3.0</w:t>
            </w:r>
          </w:p>
        </w:tc>
        <w:tc>
          <w:tcPr>
            <w:tcW w:w="520" w:type="pct"/>
            <w:vAlign w:val="center"/>
          </w:tcPr>
          <w:p>
            <w:pPr>
              <w:spacing w:line="240" w:lineRule="auto"/>
              <w:ind w:firstLine="0" w:firstLineChars="0"/>
              <w:contextualSpacing/>
              <w:jc w:val="center"/>
              <w:rPr>
                <w:sz w:val="21"/>
                <w:szCs w:val="21"/>
              </w:rPr>
            </w:pPr>
            <w:r>
              <w:rPr>
                <w:sz w:val="21"/>
                <w:szCs w:val="21"/>
              </w:rPr>
              <w:t>≤0.50</w:t>
            </w:r>
          </w:p>
        </w:tc>
        <w:tc>
          <w:tcPr>
            <w:tcW w:w="606" w:type="pct"/>
            <w:vAlign w:val="center"/>
          </w:tcPr>
          <w:p>
            <w:pPr>
              <w:spacing w:line="240" w:lineRule="auto"/>
              <w:ind w:firstLine="0" w:firstLineChars="0"/>
              <w:contextualSpacing/>
              <w:jc w:val="center"/>
              <w:rPr>
                <w:sz w:val="21"/>
                <w:szCs w:val="21"/>
              </w:rPr>
            </w:pPr>
            <w:r>
              <w:rPr>
                <w:sz w:val="21"/>
                <w:szCs w:val="21"/>
              </w:rPr>
              <w:t>≤1.0</w:t>
            </w:r>
          </w:p>
        </w:tc>
        <w:tc>
          <w:tcPr>
            <w:tcW w:w="588" w:type="pct"/>
            <w:vAlign w:val="center"/>
          </w:tcPr>
          <w:p>
            <w:pPr>
              <w:spacing w:line="240" w:lineRule="auto"/>
              <w:ind w:firstLine="0" w:firstLineChars="0"/>
              <w:contextualSpacing/>
              <w:jc w:val="center"/>
              <w:rPr>
                <w:sz w:val="21"/>
                <w:szCs w:val="21"/>
              </w:rPr>
            </w:pPr>
            <w:r>
              <w:rPr>
                <w:sz w:val="21"/>
                <w:szCs w:val="21"/>
              </w:rPr>
              <w:t>≤250</w:t>
            </w:r>
          </w:p>
        </w:tc>
        <w:tc>
          <w:tcPr>
            <w:tcW w:w="605" w:type="pct"/>
            <w:vAlign w:val="center"/>
          </w:tcPr>
          <w:p>
            <w:pPr>
              <w:spacing w:line="240" w:lineRule="auto"/>
              <w:ind w:firstLine="0" w:firstLineChars="0"/>
              <w:contextualSpacing/>
              <w:jc w:val="center"/>
              <w:rPr>
                <w:sz w:val="21"/>
                <w:szCs w:val="21"/>
              </w:rPr>
            </w:pPr>
            <w:r>
              <w:rPr>
                <w:sz w:val="21"/>
                <w:szCs w:val="21"/>
              </w:rPr>
              <w:t>≤0.02</w:t>
            </w:r>
          </w:p>
        </w:tc>
        <w:tc>
          <w:tcPr>
            <w:tcW w:w="450" w:type="pct"/>
            <w:vAlign w:val="center"/>
          </w:tcPr>
          <w:p>
            <w:pPr>
              <w:spacing w:line="240" w:lineRule="auto"/>
              <w:ind w:firstLine="0" w:firstLineChars="0"/>
              <w:contextualSpacing/>
              <w:jc w:val="center"/>
              <w:rPr>
                <w:sz w:val="21"/>
                <w:szCs w:val="21"/>
              </w:rPr>
            </w:pPr>
            <w:r>
              <w:rPr>
                <w:sz w:val="21"/>
                <w:szCs w:val="21"/>
              </w:rPr>
              <w:t>≤0.05</w:t>
            </w:r>
          </w:p>
        </w:tc>
        <w:tc>
          <w:tcPr>
            <w:tcW w:w="709" w:type="pct"/>
            <w:vAlign w:val="center"/>
          </w:tcPr>
          <w:p>
            <w:pPr>
              <w:spacing w:line="240" w:lineRule="auto"/>
              <w:ind w:firstLine="0" w:firstLineChars="0"/>
              <w:contextualSpacing/>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pct"/>
            <w:vAlign w:val="center"/>
          </w:tcPr>
          <w:p>
            <w:pPr>
              <w:spacing w:line="240" w:lineRule="auto"/>
              <w:ind w:firstLine="0" w:firstLineChars="0"/>
              <w:contextualSpacing/>
              <w:jc w:val="center"/>
              <w:rPr>
                <w:sz w:val="21"/>
                <w:szCs w:val="21"/>
              </w:rPr>
            </w:pPr>
            <w:r>
              <w:rPr>
                <w:rFonts w:hAnsi="宋体"/>
                <w:sz w:val="21"/>
                <w:szCs w:val="21"/>
              </w:rPr>
              <w:t>项目</w:t>
            </w:r>
          </w:p>
        </w:tc>
        <w:tc>
          <w:tcPr>
            <w:tcW w:w="424" w:type="pct"/>
            <w:vAlign w:val="center"/>
          </w:tcPr>
          <w:p>
            <w:pPr>
              <w:spacing w:line="240" w:lineRule="auto"/>
              <w:ind w:firstLine="0" w:firstLineChars="0"/>
              <w:contextualSpacing/>
              <w:jc w:val="center"/>
              <w:rPr>
                <w:sz w:val="21"/>
                <w:szCs w:val="21"/>
              </w:rPr>
            </w:pPr>
            <w:r>
              <w:rPr>
                <w:rFonts w:hAnsi="宋体"/>
                <w:sz w:val="21"/>
                <w:szCs w:val="21"/>
              </w:rPr>
              <w:t>锌</w:t>
            </w:r>
          </w:p>
        </w:tc>
        <w:tc>
          <w:tcPr>
            <w:tcW w:w="596" w:type="pct"/>
            <w:vAlign w:val="center"/>
          </w:tcPr>
          <w:p>
            <w:pPr>
              <w:spacing w:line="240" w:lineRule="auto"/>
              <w:ind w:firstLine="0" w:firstLineChars="0"/>
              <w:contextualSpacing/>
              <w:jc w:val="center"/>
              <w:rPr>
                <w:sz w:val="21"/>
                <w:szCs w:val="21"/>
              </w:rPr>
            </w:pPr>
            <w:r>
              <w:rPr>
                <w:rFonts w:hAnsi="宋体"/>
                <w:sz w:val="21"/>
                <w:szCs w:val="21"/>
              </w:rPr>
              <w:t>铁</w:t>
            </w:r>
          </w:p>
        </w:tc>
        <w:tc>
          <w:tcPr>
            <w:tcW w:w="520" w:type="pct"/>
            <w:vAlign w:val="center"/>
          </w:tcPr>
          <w:p>
            <w:pPr>
              <w:spacing w:line="240" w:lineRule="auto"/>
              <w:ind w:firstLine="0" w:firstLineChars="0"/>
              <w:contextualSpacing/>
              <w:jc w:val="center"/>
              <w:rPr>
                <w:sz w:val="21"/>
                <w:szCs w:val="21"/>
              </w:rPr>
            </w:pPr>
            <w:r>
              <w:rPr>
                <w:rFonts w:hAnsi="宋体"/>
                <w:sz w:val="21"/>
                <w:szCs w:val="21"/>
              </w:rPr>
              <w:t>铅</w:t>
            </w:r>
          </w:p>
        </w:tc>
        <w:tc>
          <w:tcPr>
            <w:tcW w:w="606" w:type="pct"/>
            <w:vAlign w:val="center"/>
          </w:tcPr>
          <w:p>
            <w:pPr>
              <w:spacing w:line="240" w:lineRule="auto"/>
              <w:ind w:firstLine="0" w:firstLineChars="0"/>
              <w:contextualSpacing/>
              <w:jc w:val="center"/>
              <w:rPr>
                <w:sz w:val="21"/>
                <w:szCs w:val="21"/>
              </w:rPr>
            </w:pPr>
            <w:r>
              <w:rPr>
                <w:rFonts w:hAnsi="宋体"/>
                <w:sz w:val="21"/>
                <w:szCs w:val="21"/>
              </w:rPr>
              <w:t>砷</w:t>
            </w:r>
          </w:p>
        </w:tc>
        <w:tc>
          <w:tcPr>
            <w:tcW w:w="588" w:type="pct"/>
            <w:vAlign w:val="center"/>
          </w:tcPr>
          <w:p>
            <w:pPr>
              <w:spacing w:line="240" w:lineRule="auto"/>
              <w:ind w:firstLine="0" w:firstLineChars="0"/>
              <w:contextualSpacing/>
              <w:jc w:val="center"/>
              <w:rPr>
                <w:sz w:val="21"/>
                <w:szCs w:val="21"/>
              </w:rPr>
            </w:pPr>
            <w:r>
              <w:rPr>
                <w:rFonts w:hAnsi="宋体"/>
                <w:sz w:val="21"/>
                <w:szCs w:val="21"/>
              </w:rPr>
              <w:t>汞</w:t>
            </w:r>
          </w:p>
        </w:tc>
        <w:tc>
          <w:tcPr>
            <w:tcW w:w="605" w:type="pct"/>
            <w:vAlign w:val="center"/>
          </w:tcPr>
          <w:p>
            <w:pPr>
              <w:spacing w:line="240" w:lineRule="auto"/>
              <w:ind w:firstLine="0" w:firstLineChars="0"/>
              <w:contextualSpacing/>
              <w:jc w:val="center"/>
              <w:rPr>
                <w:sz w:val="21"/>
                <w:szCs w:val="21"/>
              </w:rPr>
            </w:pPr>
            <w:r>
              <w:rPr>
                <w:rFonts w:hAnsi="宋体"/>
                <w:sz w:val="21"/>
                <w:szCs w:val="21"/>
              </w:rPr>
              <w:t>镉</w:t>
            </w:r>
          </w:p>
        </w:tc>
        <w:tc>
          <w:tcPr>
            <w:tcW w:w="450" w:type="pct"/>
            <w:vAlign w:val="center"/>
          </w:tcPr>
          <w:p>
            <w:pPr>
              <w:spacing w:line="240" w:lineRule="auto"/>
              <w:ind w:firstLine="0" w:firstLineChars="0"/>
              <w:contextualSpacing/>
              <w:jc w:val="center"/>
              <w:rPr>
                <w:sz w:val="21"/>
                <w:szCs w:val="21"/>
              </w:rPr>
            </w:pPr>
            <w:r>
              <w:rPr>
                <w:rFonts w:hAnsi="宋体"/>
                <w:sz w:val="21"/>
                <w:szCs w:val="21"/>
              </w:rPr>
              <w:t>六价铬</w:t>
            </w:r>
          </w:p>
        </w:tc>
        <w:tc>
          <w:tcPr>
            <w:tcW w:w="709" w:type="pct"/>
            <w:vAlign w:val="center"/>
          </w:tcPr>
          <w:p>
            <w:pPr>
              <w:spacing w:line="240" w:lineRule="auto"/>
              <w:ind w:firstLine="0" w:firstLineChars="0"/>
              <w:contextualSpacing/>
              <w:jc w:val="center"/>
              <w:rPr>
                <w:sz w:val="21"/>
                <w:szCs w:val="21"/>
              </w:rPr>
            </w:pPr>
            <w:r>
              <w:rPr>
                <w:rFonts w:hAnsi="宋体"/>
                <w:sz w:val="21"/>
                <w:szCs w:val="21"/>
              </w:rPr>
              <w:t>总大肠菌落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2" w:type="pct"/>
            <w:vAlign w:val="center"/>
          </w:tcPr>
          <w:p>
            <w:pPr>
              <w:spacing w:line="240" w:lineRule="auto"/>
              <w:ind w:firstLine="0" w:firstLineChars="0"/>
              <w:contextualSpacing/>
              <w:jc w:val="center"/>
              <w:rPr>
                <w:sz w:val="21"/>
                <w:szCs w:val="21"/>
              </w:rPr>
            </w:pPr>
            <w:r>
              <w:rPr>
                <w:sz w:val="21"/>
                <w:szCs w:val="21"/>
              </w:rPr>
              <w:fldChar w:fldCharType="begin"/>
            </w:r>
            <w:r>
              <w:rPr>
                <w:sz w:val="21"/>
                <w:szCs w:val="21"/>
              </w:rPr>
              <w:instrText xml:space="preserve"> = 3 \* ROMAN \* MERGEFORMAT </w:instrText>
            </w:r>
            <w:r>
              <w:rPr>
                <w:sz w:val="21"/>
                <w:szCs w:val="21"/>
              </w:rPr>
              <w:fldChar w:fldCharType="separate"/>
            </w:r>
            <w:r>
              <w:t>III</w:t>
            </w:r>
            <w:r>
              <w:rPr>
                <w:sz w:val="21"/>
                <w:szCs w:val="21"/>
              </w:rPr>
              <w:fldChar w:fldCharType="end"/>
            </w:r>
          </w:p>
        </w:tc>
        <w:tc>
          <w:tcPr>
            <w:tcW w:w="424" w:type="pct"/>
            <w:vAlign w:val="center"/>
          </w:tcPr>
          <w:p>
            <w:pPr>
              <w:spacing w:line="240" w:lineRule="auto"/>
              <w:ind w:firstLine="0" w:firstLineChars="0"/>
              <w:contextualSpacing/>
              <w:jc w:val="center"/>
              <w:rPr>
                <w:sz w:val="21"/>
                <w:szCs w:val="21"/>
              </w:rPr>
            </w:pPr>
            <w:r>
              <w:rPr>
                <w:sz w:val="21"/>
                <w:szCs w:val="21"/>
              </w:rPr>
              <w:t>≤1</w:t>
            </w:r>
          </w:p>
        </w:tc>
        <w:tc>
          <w:tcPr>
            <w:tcW w:w="596" w:type="pct"/>
            <w:vAlign w:val="center"/>
          </w:tcPr>
          <w:p>
            <w:pPr>
              <w:spacing w:line="240" w:lineRule="auto"/>
              <w:ind w:firstLine="0" w:firstLineChars="0"/>
              <w:contextualSpacing/>
              <w:jc w:val="center"/>
              <w:rPr>
                <w:sz w:val="21"/>
                <w:szCs w:val="21"/>
              </w:rPr>
            </w:pPr>
            <w:r>
              <w:rPr>
                <w:sz w:val="21"/>
                <w:szCs w:val="21"/>
              </w:rPr>
              <w:t>≤0.3</w:t>
            </w:r>
          </w:p>
        </w:tc>
        <w:tc>
          <w:tcPr>
            <w:tcW w:w="520" w:type="pct"/>
            <w:vAlign w:val="center"/>
          </w:tcPr>
          <w:p>
            <w:pPr>
              <w:spacing w:line="240" w:lineRule="auto"/>
              <w:ind w:firstLine="0" w:firstLineChars="0"/>
              <w:contextualSpacing/>
              <w:jc w:val="center"/>
              <w:rPr>
                <w:sz w:val="21"/>
                <w:szCs w:val="21"/>
              </w:rPr>
            </w:pPr>
            <w:r>
              <w:rPr>
                <w:sz w:val="21"/>
                <w:szCs w:val="21"/>
              </w:rPr>
              <w:t>≤0.01</w:t>
            </w:r>
          </w:p>
        </w:tc>
        <w:tc>
          <w:tcPr>
            <w:tcW w:w="606" w:type="pct"/>
            <w:vAlign w:val="center"/>
          </w:tcPr>
          <w:p>
            <w:pPr>
              <w:spacing w:line="240" w:lineRule="auto"/>
              <w:ind w:firstLine="0" w:firstLineChars="0"/>
              <w:contextualSpacing/>
              <w:jc w:val="center"/>
              <w:rPr>
                <w:sz w:val="21"/>
                <w:szCs w:val="21"/>
              </w:rPr>
            </w:pPr>
            <w:r>
              <w:rPr>
                <w:sz w:val="21"/>
                <w:szCs w:val="21"/>
              </w:rPr>
              <w:t>≤0.01</w:t>
            </w:r>
          </w:p>
        </w:tc>
        <w:tc>
          <w:tcPr>
            <w:tcW w:w="588" w:type="pct"/>
            <w:vAlign w:val="center"/>
          </w:tcPr>
          <w:p>
            <w:pPr>
              <w:spacing w:line="240" w:lineRule="auto"/>
              <w:ind w:firstLine="0" w:firstLineChars="0"/>
              <w:contextualSpacing/>
              <w:jc w:val="center"/>
              <w:rPr>
                <w:sz w:val="21"/>
                <w:szCs w:val="21"/>
              </w:rPr>
            </w:pPr>
            <w:r>
              <w:rPr>
                <w:sz w:val="21"/>
                <w:szCs w:val="21"/>
              </w:rPr>
              <w:t>≤0.001</w:t>
            </w:r>
          </w:p>
        </w:tc>
        <w:tc>
          <w:tcPr>
            <w:tcW w:w="605" w:type="pct"/>
            <w:vAlign w:val="center"/>
          </w:tcPr>
          <w:p>
            <w:pPr>
              <w:spacing w:line="240" w:lineRule="auto"/>
              <w:ind w:firstLine="0" w:firstLineChars="0"/>
              <w:contextualSpacing/>
              <w:jc w:val="center"/>
              <w:rPr>
                <w:sz w:val="21"/>
                <w:szCs w:val="21"/>
              </w:rPr>
            </w:pPr>
            <w:r>
              <w:rPr>
                <w:sz w:val="21"/>
                <w:szCs w:val="21"/>
              </w:rPr>
              <w:t>≤0.005</w:t>
            </w:r>
          </w:p>
        </w:tc>
        <w:tc>
          <w:tcPr>
            <w:tcW w:w="450" w:type="pct"/>
            <w:vAlign w:val="center"/>
          </w:tcPr>
          <w:p>
            <w:pPr>
              <w:spacing w:line="240" w:lineRule="auto"/>
              <w:ind w:firstLine="0" w:firstLineChars="0"/>
              <w:contextualSpacing/>
              <w:jc w:val="center"/>
              <w:rPr>
                <w:sz w:val="21"/>
                <w:szCs w:val="21"/>
              </w:rPr>
            </w:pPr>
            <w:r>
              <w:rPr>
                <w:sz w:val="21"/>
                <w:szCs w:val="21"/>
              </w:rPr>
              <w:t>≤0.05</w:t>
            </w:r>
          </w:p>
        </w:tc>
        <w:tc>
          <w:tcPr>
            <w:tcW w:w="709" w:type="pct"/>
            <w:vAlign w:val="center"/>
          </w:tcPr>
          <w:p>
            <w:pPr>
              <w:spacing w:line="240" w:lineRule="auto"/>
              <w:ind w:firstLine="0" w:firstLineChars="0"/>
              <w:contextualSpacing/>
              <w:jc w:val="center"/>
              <w:rPr>
                <w:sz w:val="21"/>
                <w:szCs w:val="21"/>
              </w:rPr>
            </w:pPr>
            <w:r>
              <w:rPr>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9"/>
            <w:vAlign w:val="center"/>
          </w:tcPr>
          <w:p>
            <w:pPr>
              <w:spacing w:line="240" w:lineRule="auto"/>
              <w:ind w:firstLine="0" w:firstLineChars="0"/>
              <w:contextualSpacing/>
              <w:jc w:val="left"/>
              <w:rPr>
                <w:sz w:val="21"/>
                <w:szCs w:val="21"/>
              </w:rPr>
            </w:pPr>
            <w:r>
              <w:rPr>
                <w:rFonts w:hAnsi="宋体"/>
                <w:sz w:val="21"/>
                <w:szCs w:val="21"/>
              </w:rPr>
              <w:t>注：其中</w:t>
            </w:r>
            <w:r>
              <w:rPr>
                <w:sz w:val="21"/>
                <w:szCs w:val="21"/>
              </w:rPr>
              <w:t>pH</w:t>
            </w:r>
            <w:r>
              <w:rPr>
                <w:rFonts w:hAnsi="宋体"/>
                <w:sz w:val="21"/>
                <w:szCs w:val="21"/>
              </w:rPr>
              <w:t>无量纲，总大肠菌群单位为</w:t>
            </w:r>
            <w:r>
              <w:rPr>
                <w:sz w:val="21"/>
                <w:szCs w:val="21"/>
              </w:rPr>
              <w:t>MPN/100mL</w:t>
            </w:r>
            <w:r>
              <w:rPr>
                <w:rFonts w:hAnsi="宋体"/>
                <w:sz w:val="21"/>
                <w:szCs w:val="21"/>
              </w:rPr>
              <w:t>，其他单位为</w:t>
            </w:r>
            <w:r>
              <w:rPr>
                <w:sz w:val="21"/>
                <w:szCs w:val="21"/>
              </w:rPr>
              <w:t>mg/L</w:t>
            </w:r>
          </w:p>
        </w:tc>
      </w:tr>
    </w:tbl>
    <w:p>
      <w:pPr>
        <w:ind w:firstLine="480"/>
        <w:contextualSpacing/>
      </w:pPr>
      <w:r>
        <w:rPr>
          <w:rFonts w:hAnsi="宋体"/>
        </w:rPr>
        <w:t>（</w:t>
      </w:r>
      <w:r>
        <w:t>3</w:t>
      </w:r>
      <w:r>
        <w:rPr>
          <w:rFonts w:hAnsi="宋体"/>
        </w:rPr>
        <w:t>）声环境</w:t>
      </w:r>
    </w:p>
    <w:p>
      <w:pPr>
        <w:ind w:firstLine="480"/>
        <w:contextualSpacing/>
      </w:pPr>
      <w:r>
        <w:rPr>
          <w:rFonts w:hAnsi="宋体"/>
        </w:rPr>
        <w:t>除交通干线道路两侧一定区域执行《声环境质量标准》（</w:t>
      </w:r>
      <w:r>
        <w:t>GB3096-2008</w:t>
      </w:r>
      <w:r>
        <w:rPr>
          <w:rFonts w:hAnsi="宋体"/>
        </w:rPr>
        <w:t>）</w:t>
      </w:r>
      <w:r>
        <w:t>4a</w:t>
      </w:r>
      <w:r>
        <w:rPr>
          <w:rFonts w:hAnsi="宋体"/>
        </w:rPr>
        <w:t>类标准外，其他区域执行《声环境质量标准》（</w:t>
      </w:r>
      <w:r>
        <w:t>GB3096-2008</w:t>
      </w:r>
      <w:r>
        <w:rPr>
          <w:rFonts w:hAnsi="宋体"/>
        </w:rPr>
        <w:t>）</w:t>
      </w:r>
      <w:r>
        <w:t>1</w:t>
      </w:r>
      <w:r>
        <w:rPr>
          <w:rFonts w:hAnsi="宋体"/>
        </w:rPr>
        <w:t>类标准。</w:t>
      </w:r>
    </w:p>
    <w:p>
      <w:pPr>
        <w:ind w:firstLine="0" w:firstLineChars="0"/>
        <w:contextualSpacing/>
        <w:jc w:val="center"/>
        <w:rPr>
          <w:b/>
          <w:bCs/>
          <w:sz w:val="21"/>
          <w:szCs w:val="21"/>
        </w:rPr>
      </w:pPr>
      <w:r>
        <w:rPr>
          <w:rFonts w:hAnsi="宋体"/>
          <w:b/>
          <w:bCs/>
          <w:sz w:val="21"/>
          <w:szCs w:val="21"/>
        </w:rPr>
        <w:t>表</w:t>
      </w:r>
      <w:r>
        <w:rPr>
          <w:b/>
          <w:bCs/>
          <w:sz w:val="21"/>
          <w:szCs w:val="21"/>
        </w:rPr>
        <w:t>1.3.1-4</w:t>
      </w:r>
      <w:r>
        <w:rPr>
          <w:rFonts w:hint="eastAsia"/>
          <w:b/>
          <w:bCs/>
          <w:sz w:val="21"/>
          <w:szCs w:val="21"/>
        </w:rPr>
        <w:t xml:space="preserve">  </w:t>
      </w:r>
      <w:r>
        <w:rPr>
          <w:rFonts w:hAnsi="宋体"/>
          <w:b/>
          <w:bCs/>
          <w:sz w:val="21"/>
          <w:szCs w:val="21"/>
        </w:rPr>
        <w:t>声环境质量标准</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48"/>
        <w:gridCol w:w="2049"/>
        <w:gridCol w:w="2049"/>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50" w:type="pct"/>
            <w:vMerge w:val="restart"/>
            <w:vAlign w:val="center"/>
          </w:tcPr>
          <w:p>
            <w:pPr>
              <w:spacing w:line="240" w:lineRule="auto"/>
              <w:ind w:firstLine="0" w:firstLineChars="0"/>
              <w:contextualSpacing/>
              <w:jc w:val="center"/>
              <w:rPr>
                <w:sz w:val="21"/>
                <w:szCs w:val="21"/>
              </w:rPr>
            </w:pPr>
            <w:r>
              <w:rPr>
                <w:rFonts w:hAnsi="宋体"/>
                <w:sz w:val="21"/>
                <w:szCs w:val="21"/>
              </w:rPr>
              <w:t>类别</w:t>
            </w:r>
          </w:p>
        </w:tc>
        <w:tc>
          <w:tcPr>
            <w:tcW w:w="2500" w:type="pct"/>
            <w:gridSpan w:val="2"/>
            <w:vAlign w:val="center"/>
          </w:tcPr>
          <w:p>
            <w:pPr>
              <w:spacing w:line="240" w:lineRule="auto"/>
              <w:ind w:firstLine="0" w:firstLineChars="0"/>
              <w:contextualSpacing/>
              <w:jc w:val="center"/>
              <w:rPr>
                <w:sz w:val="21"/>
                <w:szCs w:val="21"/>
              </w:rPr>
            </w:pPr>
            <w:r>
              <w:rPr>
                <w:rFonts w:hAnsi="宋体"/>
                <w:sz w:val="21"/>
                <w:szCs w:val="21"/>
              </w:rPr>
              <w:t>标准值</w:t>
            </w:r>
            <w:r>
              <w:rPr>
                <w:sz w:val="21"/>
                <w:szCs w:val="21"/>
              </w:rPr>
              <w:t>dB</w:t>
            </w:r>
            <w:r>
              <w:rPr>
                <w:rFonts w:hAnsi="宋体"/>
                <w:sz w:val="21"/>
                <w:szCs w:val="21"/>
              </w:rPr>
              <w:t>（</w:t>
            </w:r>
            <w:r>
              <w:rPr>
                <w:sz w:val="21"/>
                <w:szCs w:val="21"/>
              </w:rPr>
              <w:t>A</w:t>
            </w:r>
            <w:r>
              <w:rPr>
                <w:rFonts w:hAnsi="宋体"/>
                <w:sz w:val="21"/>
                <w:szCs w:val="21"/>
              </w:rPr>
              <w:t>）</w:t>
            </w:r>
          </w:p>
        </w:tc>
        <w:tc>
          <w:tcPr>
            <w:tcW w:w="1250" w:type="pct"/>
            <w:vMerge w:val="restart"/>
            <w:vAlign w:val="center"/>
          </w:tcPr>
          <w:p>
            <w:pPr>
              <w:spacing w:line="240" w:lineRule="auto"/>
              <w:ind w:firstLine="0" w:firstLineChars="0"/>
              <w:contextualSpacing/>
              <w:jc w:val="center"/>
              <w:rPr>
                <w:sz w:val="21"/>
                <w:szCs w:val="21"/>
              </w:rPr>
            </w:pPr>
            <w:r>
              <w:rPr>
                <w:rFonts w:hAnsi="宋体"/>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50"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rFonts w:hAnsi="宋体"/>
                <w:sz w:val="21"/>
                <w:szCs w:val="21"/>
              </w:rPr>
              <w:t>昼间</w:t>
            </w:r>
          </w:p>
        </w:tc>
        <w:tc>
          <w:tcPr>
            <w:tcW w:w="1250" w:type="pct"/>
            <w:vAlign w:val="center"/>
          </w:tcPr>
          <w:p>
            <w:pPr>
              <w:spacing w:line="240" w:lineRule="auto"/>
              <w:ind w:firstLine="0" w:firstLineChars="0"/>
              <w:contextualSpacing/>
              <w:jc w:val="center"/>
              <w:rPr>
                <w:sz w:val="21"/>
                <w:szCs w:val="21"/>
              </w:rPr>
            </w:pPr>
            <w:r>
              <w:rPr>
                <w:rFonts w:hAnsi="宋体"/>
                <w:sz w:val="21"/>
                <w:szCs w:val="21"/>
              </w:rPr>
              <w:t>夜间</w:t>
            </w:r>
          </w:p>
        </w:tc>
        <w:tc>
          <w:tcPr>
            <w:tcW w:w="1250" w:type="pct"/>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50" w:type="pct"/>
            <w:vAlign w:val="center"/>
          </w:tcPr>
          <w:p>
            <w:pPr>
              <w:spacing w:line="240" w:lineRule="auto"/>
              <w:ind w:firstLine="0" w:firstLineChars="0"/>
              <w:contextualSpacing/>
              <w:jc w:val="center"/>
              <w:rPr>
                <w:sz w:val="21"/>
                <w:szCs w:val="21"/>
              </w:rPr>
            </w:pPr>
            <w:r>
              <w:rPr>
                <w:sz w:val="21"/>
                <w:szCs w:val="21"/>
              </w:rPr>
              <w:t>1</w:t>
            </w:r>
            <w:r>
              <w:rPr>
                <w:rFonts w:hAnsi="宋体"/>
                <w:sz w:val="21"/>
                <w:szCs w:val="21"/>
              </w:rPr>
              <w:t>类</w:t>
            </w:r>
          </w:p>
        </w:tc>
        <w:tc>
          <w:tcPr>
            <w:tcW w:w="1250" w:type="pct"/>
            <w:vAlign w:val="center"/>
          </w:tcPr>
          <w:p>
            <w:pPr>
              <w:spacing w:line="240" w:lineRule="auto"/>
              <w:ind w:firstLine="0" w:firstLineChars="0"/>
              <w:contextualSpacing/>
              <w:jc w:val="center"/>
              <w:rPr>
                <w:sz w:val="21"/>
                <w:szCs w:val="21"/>
              </w:rPr>
            </w:pPr>
            <w:r>
              <w:rPr>
                <w:sz w:val="21"/>
                <w:szCs w:val="21"/>
              </w:rPr>
              <w:t>55</w:t>
            </w:r>
          </w:p>
        </w:tc>
        <w:tc>
          <w:tcPr>
            <w:tcW w:w="1250" w:type="pct"/>
            <w:vAlign w:val="center"/>
          </w:tcPr>
          <w:p>
            <w:pPr>
              <w:spacing w:line="240" w:lineRule="auto"/>
              <w:ind w:firstLine="0" w:firstLineChars="0"/>
              <w:contextualSpacing/>
              <w:jc w:val="center"/>
              <w:rPr>
                <w:sz w:val="21"/>
                <w:szCs w:val="21"/>
              </w:rPr>
            </w:pPr>
            <w:r>
              <w:rPr>
                <w:sz w:val="21"/>
                <w:szCs w:val="21"/>
              </w:rPr>
              <w:t>45</w:t>
            </w:r>
          </w:p>
        </w:tc>
        <w:tc>
          <w:tcPr>
            <w:tcW w:w="1250" w:type="pct"/>
            <w:vMerge w:val="restart"/>
            <w:vAlign w:val="center"/>
          </w:tcPr>
          <w:p>
            <w:pPr>
              <w:spacing w:line="240" w:lineRule="auto"/>
              <w:ind w:firstLine="0" w:firstLineChars="0"/>
              <w:contextualSpacing/>
              <w:jc w:val="center"/>
              <w:rPr>
                <w:sz w:val="21"/>
                <w:szCs w:val="21"/>
              </w:rPr>
            </w:pPr>
            <w:r>
              <w:rPr>
                <w:rFonts w:hAnsi="宋体"/>
                <w:sz w:val="21"/>
                <w:szCs w:val="21"/>
              </w:rPr>
              <w:t>《声环境质量标准》（</w:t>
            </w:r>
            <w:r>
              <w:rPr>
                <w:sz w:val="21"/>
                <w:szCs w:val="21"/>
              </w:rPr>
              <w:t>GB3096-2008</w:t>
            </w:r>
            <w:r>
              <w:rPr>
                <w:rFonts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50" w:type="pct"/>
            <w:vAlign w:val="center"/>
          </w:tcPr>
          <w:p>
            <w:pPr>
              <w:spacing w:line="240" w:lineRule="auto"/>
              <w:ind w:firstLine="0" w:firstLineChars="0"/>
              <w:contextualSpacing/>
              <w:jc w:val="center"/>
              <w:rPr>
                <w:sz w:val="21"/>
                <w:szCs w:val="21"/>
              </w:rPr>
            </w:pPr>
            <w:r>
              <w:rPr>
                <w:sz w:val="21"/>
                <w:szCs w:val="21"/>
              </w:rPr>
              <w:t>4a</w:t>
            </w:r>
            <w:r>
              <w:rPr>
                <w:rFonts w:hAnsi="宋体"/>
                <w:sz w:val="21"/>
                <w:szCs w:val="21"/>
              </w:rPr>
              <w:t>类</w:t>
            </w:r>
          </w:p>
        </w:tc>
        <w:tc>
          <w:tcPr>
            <w:tcW w:w="1250" w:type="pct"/>
            <w:vAlign w:val="center"/>
          </w:tcPr>
          <w:p>
            <w:pPr>
              <w:spacing w:line="240" w:lineRule="auto"/>
              <w:ind w:firstLine="0" w:firstLineChars="0"/>
              <w:contextualSpacing/>
              <w:jc w:val="center"/>
              <w:rPr>
                <w:sz w:val="21"/>
                <w:szCs w:val="21"/>
              </w:rPr>
            </w:pPr>
            <w:r>
              <w:rPr>
                <w:sz w:val="21"/>
                <w:szCs w:val="21"/>
              </w:rPr>
              <w:t>70</w:t>
            </w:r>
          </w:p>
        </w:tc>
        <w:tc>
          <w:tcPr>
            <w:tcW w:w="1250" w:type="pct"/>
            <w:vAlign w:val="center"/>
          </w:tcPr>
          <w:p>
            <w:pPr>
              <w:spacing w:line="240" w:lineRule="auto"/>
              <w:ind w:firstLine="0" w:firstLineChars="0"/>
              <w:contextualSpacing/>
              <w:jc w:val="center"/>
              <w:rPr>
                <w:sz w:val="21"/>
                <w:szCs w:val="21"/>
              </w:rPr>
            </w:pPr>
            <w:r>
              <w:rPr>
                <w:sz w:val="21"/>
                <w:szCs w:val="21"/>
              </w:rPr>
              <w:t>55</w:t>
            </w:r>
          </w:p>
        </w:tc>
        <w:tc>
          <w:tcPr>
            <w:tcW w:w="1250" w:type="pct"/>
            <w:vMerge w:val="continue"/>
            <w:vAlign w:val="center"/>
          </w:tcPr>
          <w:p>
            <w:pPr>
              <w:spacing w:line="240" w:lineRule="auto"/>
              <w:ind w:firstLine="0" w:firstLineChars="0"/>
              <w:contextualSpacing/>
              <w:jc w:val="center"/>
              <w:rPr>
                <w:sz w:val="21"/>
                <w:szCs w:val="21"/>
              </w:rPr>
            </w:pPr>
          </w:p>
        </w:tc>
      </w:tr>
    </w:tbl>
    <w:p>
      <w:pPr>
        <w:ind w:firstLine="480"/>
        <w:contextualSpacing/>
      </w:pPr>
      <w:r>
        <w:rPr>
          <w:rFonts w:hAnsi="宋体"/>
        </w:rPr>
        <w:t>（</w:t>
      </w:r>
      <w:r>
        <w:t>4</w:t>
      </w:r>
      <w:r>
        <w:rPr>
          <w:rFonts w:hAnsi="宋体"/>
        </w:rPr>
        <w:t>）环境空气</w:t>
      </w:r>
    </w:p>
    <w:p>
      <w:pPr>
        <w:pStyle w:val="2"/>
        <w:spacing w:before="0"/>
        <w:ind w:left="0" w:firstLine="480"/>
        <w:contextualSpacing/>
        <w:rPr>
          <w:rFonts w:ascii="Times New Roman" w:hAnsi="Times New Roman"/>
        </w:rPr>
      </w:pPr>
      <w:r>
        <w:rPr>
          <w:rFonts w:ascii="Times New Roman"/>
        </w:rPr>
        <w:t>执行《环境空气质量标准》（</w:t>
      </w:r>
      <w:r>
        <w:rPr>
          <w:rFonts w:ascii="Times New Roman" w:hAnsi="Times New Roman"/>
        </w:rPr>
        <w:t>GB3095-2016</w:t>
      </w:r>
      <w:r>
        <w:rPr>
          <w:rFonts w:ascii="Times New Roman"/>
        </w:rPr>
        <w:t>）二级标准。</w:t>
      </w:r>
    </w:p>
    <w:p>
      <w:pPr>
        <w:ind w:firstLine="0" w:firstLineChars="0"/>
        <w:contextualSpacing/>
        <w:jc w:val="center"/>
        <w:rPr>
          <w:b/>
          <w:bCs/>
          <w:sz w:val="21"/>
          <w:szCs w:val="21"/>
        </w:rPr>
      </w:pPr>
      <w:r>
        <w:rPr>
          <w:rFonts w:hAnsi="宋体"/>
          <w:b/>
          <w:bCs/>
          <w:sz w:val="21"/>
          <w:szCs w:val="21"/>
        </w:rPr>
        <w:t>表</w:t>
      </w:r>
      <w:r>
        <w:rPr>
          <w:b/>
          <w:bCs/>
          <w:sz w:val="21"/>
          <w:szCs w:val="21"/>
        </w:rPr>
        <w:t xml:space="preserve">1.3.1-5  </w:t>
      </w:r>
      <w:r>
        <w:rPr>
          <w:rFonts w:hAnsi="宋体"/>
          <w:b/>
          <w:bCs/>
          <w:sz w:val="21"/>
          <w:szCs w:val="21"/>
        </w:rPr>
        <w:t>环境空气质量标准</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301"/>
        <w:gridCol w:w="1302"/>
        <w:gridCol w:w="1303"/>
        <w:gridCol w:w="1305"/>
        <w:gridCol w:w="1305"/>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rFonts w:hAnsi="宋体"/>
                <w:sz w:val="21"/>
                <w:szCs w:val="21"/>
              </w:rPr>
              <w:t>污染物</w:t>
            </w:r>
          </w:p>
        </w:tc>
        <w:tc>
          <w:tcPr>
            <w:tcW w:w="794" w:type="pct"/>
            <w:vMerge w:val="restart"/>
            <w:vAlign w:val="center"/>
          </w:tcPr>
          <w:p>
            <w:pPr>
              <w:spacing w:line="240" w:lineRule="auto"/>
              <w:ind w:firstLine="0" w:firstLineChars="0"/>
              <w:contextualSpacing/>
              <w:jc w:val="center"/>
              <w:rPr>
                <w:sz w:val="21"/>
                <w:szCs w:val="21"/>
              </w:rPr>
            </w:pPr>
            <w:r>
              <w:rPr>
                <w:rFonts w:hAnsi="宋体"/>
                <w:sz w:val="21"/>
                <w:szCs w:val="21"/>
              </w:rPr>
              <w:t>取值时间</w:t>
            </w:r>
          </w:p>
        </w:tc>
        <w:tc>
          <w:tcPr>
            <w:tcW w:w="1591" w:type="pct"/>
            <w:gridSpan w:val="2"/>
            <w:vAlign w:val="center"/>
          </w:tcPr>
          <w:p>
            <w:pPr>
              <w:spacing w:line="240" w:lineRule="auto"/>
              <w:ind w:firstLine="0" w:firstLineChars="0"/>
              <w:contextualSpacing/>
              <w:jc w:val="center"/>
              <w:rPr>
                <w:sz w:val="21"/>
                <w:szCs w:val="21"/>
              </w:rPr>
            </w:pPr>
            <w:r>
              <w:rPr>
                <w:rFonts w:hAnsi="宋体"/>
                <w:sz w:val="21"/>
                <w:szCs w:val="21"/>
              </w:rPr>
              <w:t>浓度限值</w:t>
            </w:r>
          </w:p>
        </w:tc>
        <w:tc>
          <w:tcPr>
            <w:tcW w:w="796" w:type="pct"/>
            <w:vMerge w:val="restart"/>
            <w:vAlign w:val="center"/>
          </w:tcPr>
          <w:p>
            <w:pPr>
              <w:spacing w:line="240" w:lineRule="auto"/>
              <w:ind w:firstLine="0" w:firstLineChars="0"/>
              <w:contextualSpacing/>
              <w:jc w:val="center"/>
              <w:rPr>
                <w:sz w:val="21"/>
                <w:szCs w:val="21"/>
              </w:rPr>
            </w:pPr>
            <w:r>
              <w:rPr>
                <w:rFonts w:hAnsi="宋体"/>
                <w:sz w:val="21"/>
                <w:szCs w:val="21"/>
              </w:rPr>
              <w:t>单位</w:t>
            </w:r>
          </w:p>
        </w:tc>
        <w:tc>
          <w:tcPr>
            <w:tcW w:w="1024" w:type="pct"/>
            <w:vMerge w:val="restart"/>
            <w:vAlign w:val="center"/>
          </w:tcPr>
          <w:p>
            <w:pPr>
              <w:spacing w:line="240" w:lineRule="auto"/>
              <w:ind w:firstLine="0" w:firstLineChars="0"/>
              <w:contextualSpacing/>
              <w:jc w:val="center"/>
              <w:rPr>
                <w:sz w:val="21"/>
                <w:szCs w:val="21"/>
              </w:rPr>
            </w:pPr>
            <w:r>
              <w:rPr>
                <w:rFonts w:hAnsi="宋体"/>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Merge w:val="continue"/>
            <w:vAlign w:val="center"/>
          </w:tcPr>
          <w:p>
            <w:pPr>
              <w:widowControl/>
              <w:spacing w:line="240" w:lineRule="auto"/>
              <w:ind w:firstLine="0" w:firstLineChars="0"/>
              <w:contextualSpacing/>
              <w:jc w:val="left"/>
              <w:rPr>
                <w:kern w:val="0"/>
                <w:sz w:val="21"/>
                <w:szCs w:val="21"/>
              </w:rPr>
            </w:pPr>
          </w:p>
        </w:tc>
        <w:tc>
          <w:tcPr>
            <w:tcW w:w="795" w:type="pct"/>
            <w:vAlign w:val="center"/>
          </w:tcPr>
          <w:p>
            <w:pPr>
              <w:spacing w:line="240" w:lineRule="auto"/>
              <w:ind w:firstLine="0" w:firstLineChars="0"/>
              <w:contextualSpacing/>
              <w:jc w:val="center"/>
              <w:rPr>
                <w:sz w:val="21"/>
                <w:szCs w:val="21"/>
              </w:rPr>
            </w:pPr>
            <w:r>
              <w:rPr>
                <w:rFonts w:hAnsi="宋体"/>
                <w:sz w:val="21"/>
                <w:szCs w:val="21"/>
              </w:rPr>
              <w:t>一级</w:t>
            </w:r>
          </w:p>
        </w:tc>
        <w:tc>
          <w:tcPr>
            <w:tcW w:w="796" w:type="pct"/>
            <w:vAlign w:val="center"/>
          </w:tcPr>
          <w:p>
            <w:pPr>
              <w:spacing w:line="240" w:lineRule="auto"/>
              <w:ind w:firstLine="0" w:firstLineChars="0"/>
              <w:contextualSpacing/>
              <w:jc w:val="center"/>
              <w:rPr>
                <w:sz w:val="21"/>
                <w:szCs w:val="21"/>
              </w:rPr>
            </w:pPr>
            <w:r>
              <w:rPr>
                <w:rFonts w:hAnsi="宋体"/>
                <w:sz w:val="21"/>
                <w:szCs w:val="21"/>
              </w:rPr>
              <w:t>二级</w:t>
            </w:r>
          </w:p>
        </w:tc>
        <w:tc>
          <w:tcPr>
            <w:tcW w:w="796" w:type="pct"/>
            <w:vMerge w:val="continue"/>
            <w:vAlign w:val="center"/>
          </w:tcPr>
          <w:p>
            <w:pPr>
              <w:widowControl/>
              <w:spacing w:line="240" w:lineRule="auto"/>
              <w:ind w:firstLine="0" w:firstLineChars="0"/>
              <w:contextualSpacing/>
              <w:jc w:val="left"/>
              <w:rPr>
                <w:kern w:val="0"/>
                <w:sz w:val="21"/>
                <w:szCs w:val="21"/>
              </w:rPr>
            </w:pP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SO</w:t>
            </w:r>
            <w:r>
              <w:rPr>
                <w:sz w:val="21"/>
                <w:szCs w:val="21"/>
                <w:vertAlign w:val="subscript"/>
              </w:rPr>
              <w:t>2</w:t>
            </w:r>
          </w:p>
        </w:tc>
        <w:tc>
          <w:tcPr>
            <w:tcW w:w="794" w:type="pct"/>
            <w:vAlign w:val="center"/>
          </w:tcPr>
          <w:p>
            <w:pPr>
              <w:spacing w:line="240" w:lineRule="auto"/>
              <w:ind w:firstLine="0" w:firstLineChars="0"/>
              <w:contextualSpacing/>
              <w:jc w:val="center"/>
              <w:rPr>
                <w:sz w:val="21"/>
                <w:szCs w:val="21"/>
              </w:rPr>
            </w:pPr>
            <w:r>
              <w:rPr>
                <w:rFonts w:hAnsi="宋体"/>
                <w:sz w:val="21"/>
                <w:szCs w:val="21"/>
              </w:rPr>
              <w:t>年均值</w:t>
            </w:r>
          </w:p>
        </w:tc>
        <w:tc>
          <w:tcPr>
            <w:tcW w:w="795" w:type="pct"/>
            <w:vAlign w:val="center"/>
          </w:tcPr>
          <w:p>
            <w:pPr>
              <w:spacing w:line="240" w:lineRule="auto"/>
              <w:ind w:firstLine="0" w:firstLineChars="0"/>
              <w:contextualSpacing/>
              <w:jc w:val="center"/>
              <w:rPr>
                <w:sz w:val="21"/>
                <w:szCs w:val="21"/>
              </w:rPr>
            </w:pPr>
            <w:r>
              <w:rPr>
                <w:sz w:val="21"/>
                <w:szCs w:val="21"/>
              </w:rPr>
              <w:t>20</w:t>
            </w:r>
          </w:p>
        </w:tc>
        <w:tc>
          <w:tcPr>
            <w:tcW w:w="796" w:type="pct"/>
            <w:vAlign w:val="center"/>
          </w:tcPr>
          <w:p>
            <w:pPr>
              <w:spacing w:line="240" w:lineRule="auto"/>
              <w:ind w:firstLine="0" w:firstLineChars="0"/>
              <w:contextualSpacing/>
              <w:jc w:val="center"/>
              <w:rPr>
                <w:sz w:val="21"/>
                <w:szCs w:val="21"/>
              </w:rPr>
            </w:pPr>
            <w:r>
              <w:rPr>
                <w:sz w:val="21"/>
                <w:szCs w:val="21"/>
              </w:rPr>
              <w:t>60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restart"/>
            <w:vAlign w:val="center"/>
          </w:tcPr>
          <w:p>
            <w:pPr>
              <w:spacing w:line="240" w:lineRule="auto"/>
              <w:ind w:firstLine="0" w:firstLineChars="0"/>
              <w:contextualSpacing/>
              <w:jc w:val="center"/>
              <w:rPr>
                <w:sz w:val="21"/>
                <w:szCs w:val="21"/>
              </w:rPr>
            </w:pPr>
            <w:r>
              <w:rPr>
                <w:rFonts w:hAnsi="宋体"/>
                <w:sz w:val="21"/>
                <w:szCs w:val="21"/>
              </w:rPr>
              <w:t>《环境空气质量标准》</w:t>
            </w:r>
          </w:p>
          <w:p>
            <w:pPr>
              <w:spacing w:line="240" w:lineRule="auto"/>
              <w:ind w:firstLine="0" w:firstLineChars="0"/>
              <w:contextualSpacing/>
              <w:jc w:val="center"/>
              <w:rPr>
                <w:sz w:val="21"/>
                <w:szCs w:val="21"/>
              </w:rPr>
            </w:pPr>
            <w:r>
              <w:rPr>
                <w:rFonts w:hAnsi="宋体"/>
                <w:sz w:val="21"/>
                <w:szCs w:val="21"/>
              </w:rPr>
              <w:t>（</w:t>
            </w:r>
            <w:r>
              <w:rPr>
                <w:sz w:val="21"/>
                <w:szCs w:val="21"/>
              </w:rPr>
              <w:t>GB3095-2012</w:t>
            </w:r>
            <w:r>
              <w:rPr>
                <w:rFonts w:hAnsi="宋体"/>
                <w:sz w:val="21"/>
                <w:szCs w:val="21"/>
              </w:rPr>
              <w:t>）及其修改单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24</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50</w:t>
            </w:r>
          </w:p>
        </w:tc>
        <w:tc>
          <w:tcPr>
            <w:tcW w:w="796" w:type="pct"/>
            <w:vAlign w:val="center"/>
          </w:tcPr>
          <w:p>
            <w:pPr>
              <w:spacing w:line="240" w:lineRule="auto"/>
              <w:ind w:firstLine="0" w:firstLineChars="0"/>
              <w:contextualSpacing/>
              <w:jc w:val="center"/>
              <w:rPr>
                <w:sz w:val="21"/>
                <w:szCs w:val="21"/>
              </w:rPr>
            </w:pPr>
            <w:r>
              <w:rPr>
                <w:sz w:val="21"/>
                <w:szCs w:val="21"/>
              </w:rPr>
              <w:t>150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1</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150</w:t>
            </w:r>
          </w:p>
        </w:tc>
        <w:tc>
          <w:tcPr>
            <w:tcW w:w="796" w:type="pct"/>
            <w:vAlign w:val="center"/>
          </w:tcPr>
          <w:p>
            <w:pPr>
              <w:spacing w:line="240" w:lineRule="auto"/>
              <w:ind w:firstLine="0" w:firstLineChars="0"/>
              <w:contextualSpacing/>
              <w:jc w:val="center"/>
              <w:rPr>
                <w:sz w:val="21"/>
                <w:szCs w:val="21"/>
              </w:rPr>
            </w:pPr>
            <w:r>
              <w:rPr>
                <w:sz w:val="21"/>
                <w:szCs w:val="21"/>
              </w:rPr>
              <w:t>500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NO</w:t>
            </w:r>
            <w:r>
              <w:rPr>
                <w:sz w:val="21"/>
                <w:szCs w:val="21"/>
                <w:vertAlign w:val="subscript"/>
              </w:rPr>
              <w:t>2</w:t>
            </w:r>
          </w:p>
        </w:tc>
        <w:tc>
          <w:tcPr>
            <w:tcW w:w="794" w:type="pct"/>
            <w:vAlign w:val="center"/>
          </w:tcPr>
          <w:p>
            <w:pPr>
              <w:spacing w:line="240" w:lineRule="auto"/>
              <w:ind w:firstLine="0" w:firstLineChars="0"/>
              <w:contextualSpacing/>
              <w:jc w:val="center"/>
              <w:rPr>
                <w:sz w:val="21"/>
                <w:szCs w:val="21"/>
              </w:rPr>
            </w:pPr>
            <w:r>
              <w:rPr>
                <w:rFonts w:hAnsi="宋体"/>
                <w:sz w:val="21"/>
                <w:szCs w:val="21"/>
              </w:rPr>
              <w:t>年均值</w:t>
            </w:r>
          </w:p>
        </w:tc>
        <w:tc>
          <w:tcPr>
            <w:tcW w:w="795" w:type="pct"/>
            <w:vAlign w:val="center"/>
          </w:tcPr>
          <w:p>
            <w:pPr>
              <w:spacing w:line="240" w:lineRule="auto"/>
              <w:ind w:firstLine="0" w:firstLineChars="0"/>
              <w:contextualSpacing/>
              <w:jc w:val="center"/>
              <w:rPr>
                <w:sz w:val="21"/>
                <w:szCs w:val="21"/>
              </w:rPr>
            </w:pPr>
            <w:r>
              <w:rPr>
                <w:sz w:val="21"/>
                <w:szCs w:val="21"/>
              </w:rPr>
              <w:t>40</w:t>
            </w:r>
          </w:p>
        </w:tc>
        <w:tc>
          <w:tcPr>
            <w:tcW w:w="796" w:type="pct"/>
            <w:vAlign w:val="center"/>
          </w:tcPr>
          <w:p>
            <w:pPr>
              <w:spacing w:line="240" w:lineRule="auto"/>
              <w:ind w:firstLine="0" w:firstLineChars="0"/>
              <w:contextualSpacing/>
              <w:jc w:val="center"/>
              <w:rPr>
                <w:sz w:val="21"/>
                <w:szCs w:val="21"/>
              </w:rPr>
            </w:pPr>
            <w:r>
              <w:rPr>
                <w:sz w:val="21"/>
                <w:szCs w:val="21"/>
              </w:rPr>
              <w:t>40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24</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80</w:t>
            </w:r>
          </w:p>
        </w:tc>
        <w:tc>
          <w:tcPr>
            <w:tcW w:w="796" w:type="pct"/>
            <w:vAlign w:val="center"/>
          </w:tcPr>
          <w:p>
            <w:pPr>
              <w:spacing w:line="240" w:lineRule="auto"/>
              <w:ind w:firstLine="0" w:firstLineChars="0"/>
              <w:contextualSpacing/>
              <w:jc w:val="center"/>
              <w:rPr>
                <w:sz w:val="21"/>
                <w:szCs w:val="21"/>
              </w:rPr>
            </w:pPr>
            <w:r>
              <w:rPr>
                <w:sz w:val="21"/>
                <w:szCs w:val="21"/>
              </w:rPr>
              <w:t>80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1</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200</w:t>
            </w:r>
          </w:p>
        </w:tc>
        <w:tc>
          <w:tcPr>
            <w:tcW w:w="796" w:type="pct"/>
            <w:vAlign w:val="center"/>
          </w:tcPr>
          <w:p>
            <w:pPr>
              <w:spacing w:line="240" w:lineRule="auto"/>
              <w:ind w:firstLine="0" w:firstLineChars="0"/>
              <w:contextualSpacing/>
              <w:jc w:val="center"/>
              <w:rPr>
                <w:sz w:val="21"/>
                <w:szCs w:val="21"/>
              </w:rPr>
            </w:pPr>
            <w:r>
              <w:rPr>
                <w:sz w:val="21"/>
                <w:szCs w:val="21"/>
              </w:rPr>
              <w:t>200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PM</w:t>
            </w:r>
            <w:r>
              <w:rPr>
                <w:sz w:val="21"/>
                <w:szCs w:val="21"/>
                <w:vertAlign w:val="subscript"/>
              </w:rPr>
              <w:t>10</w:t>
            </w:r>
          </w:p>
        </w:tc>
        <w:tc>
          <w:tcPr>
            <w:tcW w:w="794" w:type="pct"/>
            <w:vAlign w:val="center"/>
          </w:tcPr>
          <w:p>
            <w:pPr>
              <w:spacing w:line="240" w:lineRule="auto"/>
              <w:ind w:firstLine="0" w:firstLineChars="0"/>
              <w:contextualSpacing/>
              <w:jc w:val="center"/>
              <w:rPr>
                <w:sz w:val="21"/>
                <w:szCs w:val="21"/>
              </w:rPr>
            </w:pPr>
            <w:r>
              <w:rPr>
                <w:rFonts w:hAnsi="宋体"/>
                <w:sz w:val="21"/>
                <w:szCs w:val="21"/>
              </w:rPr>
              <w:t>年均值</w:t>
            </w:r>
          </w:p>
        </w:tc>
        <w:tc>
          <w:tcPr>
            <w:tcW w:w="795" w:type="pct"/>
            <w:vAlign w:val="center"/>
          </w:tcPr>
          <w:p>
            <w:pPr>
              <w:spacing w:line="240" w:lineRule="auto"/>
              <w:ind w:firstLine="0" w:firstLineChars="0"/>
              <w:contextualSpacing/>
              <w:jc w:val="center"/>
              <w:rPr>
                <w:sz w:val="21"/>
                <w:szCs w:val="21"/>
              </w:rPr>
            </w:pPr>
            <w:r>
              <w:rPr>
                <w:sz w:val="21"/>
                <w:szCs w:val="21"/>
              </w:rPr>
              <w:t>40</w:t>
            </w:r>
          </w:p>
        </w:tc>
        <w:tc>
          <w:tcPr>
            <w:tcW w:w="796" w:type="pct"/>
            <w:vAlign w:val="center"/>
          </w:tcPr>
          <w:p>
            <w:pPr>
              <w:spacing w:line="240" w:lineRule="auto"/>
              <w:ind w:firstLine="0" w:firstLineChars="0"/>
              <w:contextualSpacing/>
              <w:jc w:val="center"/>
              <w:rPr>
                <w:sz w:val="21"/>
                <w:szCs w:val="21"/>
              </w:rPr>
            </w:pPr>
            <w:r>
              <w:rPr>
                <w:sz w:val="21"/>
                <w:szCs w:val="21"/>
              </w:rPr>
              <w:t>70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24</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50</w:t>
            </w:r>
          </w:p>
        </w:tc>
        <w:tc>
          <w:tcPr>
            <w:tcW w:w="796" w:type="pct"/>
            <w:vAlign w:val="center"/>
          </w:tcPr>
          <w:p>
            <w:pPr>
              <w:spacing w:line="240" w:lineRule="auto"/>
              <w:ind w:firstLine="0" w:firstLineChars="0"/>
              <w:contextualSpacing/>
              <w:jc w:val="center"/>
              <w:rPr>
                <w:sz w:val="21"/>
                <w:szCs w:val="21"/>
              </w:rPr>
            </w:pPr>
            <w:r>
              <w:rPr>
                <w:sz w:val="21"/>
                <w:szCs w:val="21"/>
              </w:rPr>
              <w:t>150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PM</w:t>
            </w:r>
            <w:r>
              <w:rPr>
                <w:sz w:val="21"/>
                <w:szCs w:val="21"/>
                <w:vertAlign w:val="subscript"/>
              </w:rPr>
              <w:t>2.5</w:t>
            </w:r>
          </w:p>
        </w:tc>
        <w:tc>
          <w:tcPr>
            <w:tcW w:w="794" w:type="pct"/>
            <w:vAlign w:val="center"/>
          </w:tcPr>
          <w:p>
            <w:pPr>
              <w:spacing w:line="240" w:lineRule="auto"/>
              <w:ind w:firstLine="0" w:firstLineChars="0"/>
              <w:contextualSpacing/>
              <w:jc w:val="center"/>
              <w:rPr>
                <w:sz w:val="21"/>
                <w:szCs w:val="21"/>
              </w:rPr>
            </w:pPr>
            <w:r>
              <w:rPr>
                <w:rFonts w:hAnsi="宋体"/>
                <w:sz w:val="21"/>
                <w:szCs w:val="21"/>
              </w:rPr>
              <w:t>年均值</w:t>
            </w:r>
          </w:p>
        </w:tc>
        <w:tc>
          <w:tcPr>
            <w:tcW w:w="795" w:type="pct"/>
            <w:vAlign w:val="center"/>
          </w:tcPr>
          <w:p>
            <w:pPr>
              <w:spacing w:line="240" w:lineRule="auto"/>
              <w:ind w:firstLine="0" w:firstLineChars="0"/>
              <w:contextualSpacing/>
              <w:jc w:val="center"/>
              <w:rPr>
                <w:sz w:val="21"/>
                <w:szCs w:val="21"/>
              </w:rPr>
            </w:pPr>
            <w:r>
              <w:rPr>
                <w:sz w:val="21"/>
                <w:szCs w:val="21"/>
              </w:rPr>
              <w:t>15</w:t>
            </w:r>
          </w:p>
        </w:tc>
        <w:tc>
          <w:tcPr>
            <w:tcW w:w="796" w:type="pct"/>
            <w:vAlign w:val="center"/>
          </w:tcPr>
          <w:p>
            <w:pPr>
              <w:spacing w:line="240" w:lineRule="auto"/>
              <w:ind w:firstLine="0" w:firstLineChars="0"/>
              <w:contextualSpacing/>
              <w:jc w:val="center"/>
              <w:rPr>
                <w:sz w:val="21"/>
                <w:szCs w:val="21"/>
              </w:rPr>
            </w:pPr>
            <w:r>
              <w:rPr>
                <w:sz w:val="21"/>
                <w:szCs w:val="21"/>
              </w:rPr>
              <w:t>35</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24</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35</w:t>
            </w:r>
          </w:p>
        </w:tc>
        <w:tc>
          <w:tcPr>
            <w:tcW w:w="796" w:type="pct"/>
            <w:vAlign w:val="center"/>
          </w:tcPr>
          <w:p>
            <w:pPr>
              <w:spacing w:line="240" w:lineRule="auto"/>
              <w:ind w:firstLine="0" w:firstLineChars="0"/>
              <w:contextualSpacing/>
              <w:jc w:val="center"/>
              <w:rPr>
                <w:sz w:val="21"/>
                <w:szCs w:val="21"/>
              </w:rPr>
            </w:pPr>
            <w:r>
              <w:rPr>
                <w:sz w:val="21"/>
                <w:szCs w:val="21"/>
              </w:rPr>
              <w:t>75</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CO</w:t>
            </w:r>
          </w:p>
        </w:tc>
        <w:tc>
          <w:tcPr>
            <w:tcW w:w="794" w:type="pct"/>
            <w:vAlign w:val="center"/>
          </w:tcPr>
          <w:p>
            <w:pPr>
              <w:spacing w:line="240" w:lineRule="auto"/>
              <w:ind w:firstLine="0" w:firstLineChars="0"/>
              <w:contextualSpacing/>
              <w:jc w:val="center"/>
              <w:rPr>
                <w:sz w:val="21"/>
                <w:szCs w:val="21"/>
              </w:rPr>
            </w:pPr>
            <w:r>
              <w:rPr>
                <w:sz w:val="21"/>
                <w:szCs w:val="21"/>
              </w:rPr>
              <w:t>24</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4</w:t>
            </w:r>
          </w:p>
        </w:tc>
        <w:tc>
          <w:tcPr>
            <w:tcW w:w="796" w:type="pct"/>
            <w:vAlign w:val="center"/>
          </w:tcPr>
          <w:p>
            <w:pPr>
              <w:spacing w:line="240" w:lineRule="auto"/>
              <w:ind w:firstLine="0" w:firstLineChars="0"/>
              <w:contextualSpacing/>
              <w:jc w:val="center"/>
              <w:rPr>
                <w:sz w:val="21"/>
                <w:szCs w:val="21"/>
              </w:rPr>
            </w:pPr>
            <w:r>
              <w:rPr>
                <w:sz w:val="21"/>
                <w:szCs w:val="21"/>
              </w:rPr>
              <w:t>4</w:t>
            </w:r>
          </w:p>
        </w:tc>
        <w:tc>
          <w:tcPr>
            <w:tcW w:w="796" w:type="pct"/>
            <w:vAlign w:val="center"/>
          </w:tcPr>
          <w:p>
            <w:pPr>
              <w:spacing w:line="240" w:lineRule="auto"/>
              <w:ind w:firstLine="0" w:firstLineChars="0"/>
              <w:contextualSpacing/>
              <w:jc w:val="center"/>
              <w:rPr>
                <w:sz w:val="21"/>
                <w:szCs w:val="21"/>
              </w:rPr>
            </w:pPr>
            <w:r>
              <w:rPr>
                <w:sz w:val="21"/>
                <w:szCs w:val="21"/>
              </w:rPr>
              <w:t>mg/m³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1</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10</w:t>
            </w:r>
          </w:p>
        </w:tc>
        <w:tc>
          <w:tcPr>
            <w:tcW w:w="796" w:type="pct"/>
            <w:vAlign w:val="center"/>
          </w:tcPr>
          <w:p>
            <w:pPr>
              <w:spacing w:line="240" w:lineRule="auto"/>
              <w:ind w:firstLine="0" w:firstLineChars="0"/>
              <w:contextualSpacing/>
              <w:jc w:val="center"/>
              <w:rPr>
                <w:sz w:val="21"/>
                <w:szCs w:val="21"/>
              </w:rPr>
            </w:pPr>
            <w:r>
              <w:rPr>
                <w:sz w:val="21"/>
                <w:szCs w:val="21"/>
              </w:rPr>
              <w:t>10</w:t>
            </w:r>
          </w:p>
        </w:tc>
        <w:tc>
          <w:tcPr>
            <w:tcW w:w="796" w:type="pct"/>
            <w:vAlign w:val="center"/>
          </w:tcPr>
          <w:p>
            <w:pPr>
              <w:spacing w:line="240" w:lineRule="auto"/>
              <w:ind w:firstLine="0" w:firstLineChars="0"/>
              <w:contextualSpacing/>
              <w:jc w:val="center"/>
              <w:rPr>
                <w:sz w:val="21"/>
                <w:szCs w:val="21"/>
              </w:rPr>
            </w:pPr>
            <w:r>
              <w:rPr>
                <w:sz w:val="21"/>
                <w:szCs w:val="21"/>
              </w:rPr>
              <w:t>mg/m³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restart"/>
            <w:vAlign w:val="center"/>
          </w:tcPr>
          <w:p>
            <w:pPr>
              <w:spacing w:line="240" w:lineRule="auto"/>
              <w:ind w:firstLine="0" w:firstLineChars="0"/>
              <w:contextualSpacing/>
              <w:jc w:val="center"/>
              <w:rPr>
                <w:sz w:val="21"/>
                <w:szCs w:val="21"/>
              </w:rPr>
            </w:pPr>
            <w:r>
              <w:rPr>
                <w:sz w:val="21"/>
                <w:szCs w:val="21"/>
              </w:rPr>
              <w:t>O</w:t>
            </w:r>
            <w:r>
              <w:rPr>
                <w:sz w:val="21"/>
                <w:szCs w:val="21"/>
                <w:vertAlign w:val="subscript"/>
              </w:rPr>
              <w:t>3</w:t>
            </w:r>
          </w:p>
        </w:tc>
        <w:tc>
          <w:tcPr>
            <w:tcW w:w="794" w:type="pct"/>
            <w:vAlign w:val="center"/>
          </w:tcPr>
          <w:p>
            <w:pPr>
              <w:spacing w:line="240" w:lineRule="auto"/>
              <w:ind w:firstLine="0" w:firstLineChars="0"/>
              <w:contextualSpacing/>
              <w:jc w:val="center"/>
              <w:rPr>
                <w:sz w:val="21"/>
                <w:szCs w:val="21"/>
              </w:rPr>
            </w:pPr>
            <w:r>
              <w:rPr>
                <w:sz w:val="21"/>
                <w:szCs w:val="21"/>
              </w:rPr>
              <w:t>8</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100</w:t>
            </w:r>
          </w:p>
        </w:tc>
        <w:tc>
          <w:tcPr>
            <w:tcW w:w="796" w:type="pct"/>
            <w:vAlign w:val="center"/>
          </w:tcPr>
          <w:p>
            <w:pPr>
              <w:spacing w:line="240" w:lineRule="auto"/>
              <w:ind w:firstLine="0" w:firstLineChars="0"/>
              <w:contextualSpacing/>
              <w:jc w:val="center"/>
              <w:rPr>
                <w:sz w:val="21"/>
                <w:szCs w:val="21"/>
              </w:rPr>
            </w:pPr>
            <w:r>
              <w:rPr>
                <w:sz w:val="21"/>
                <w:szCs w:val="21"/>
              </w:rPr>
              <w:t>160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794" w:type="pct"/>
            <w:vMerge w:val="continue"/>
            <w:vAlign w:val="center"/>
          </w:tcPr>
          <w:p>
            <w:pPr>
              <w:widowControl/>
              <w:spacing w:line="240" w:lineRule="auto"/>
              <w:ind w:firstLine="0" w:firstLineChars="0"/>
              <w:contextualSpacing/>
              <w:jc w:val="left"/>
              <w:rPr>
                <w:kern w:val="0"/>
                <w:sz w:val="21"/>
                <w:szCs w:val="21"/>
              </w:rPr>
            </w:pPr>
          </w:p>
        </w:tc>
        <w:tc>
          <w:tcPr>
            <w:tcW w:w="794" w:type="pct"/>
            <w:vAlign w:val="center"/>
          </w:tcPr>
          <w:p>
            <w:pPr>
              <w:spacing w:line="240" w:lineRule="auto"/>
              <w:ind w:firstLine="0" w:firstLineChars="0"/>
              <w:contextualSpacing/>
              <w:jc w:val="center"/>
              <w:rPr>
                <w:sz w:val="21"/>
                <w:szCs w:val="21"/>
              </w:rPr>
            </w:pPr>
            <w:r>
              <w:rPr>
                <w:sz w:val="21"/>
                <w:szCs w:val="21"/>
              </w:rPr>
              <w:t>1</w:t>
            </w:r>
            <w:r>
              <w:rPr>
                <w:rFonts w:hAnsi="宋体"/>
                <w:sz w:val="21"/>
                <w:szCs w:val="21"/>
              </w:rPr>
              <w:t>小时平均</w:t>
            </w:r>
          </w:p>
        </w:tc>
        <w:tc>
          <w:tcPr>
            <w:tcW w:w="795" w:type="pct"/>
            <w:vAlign w:val="center"/>
          </w:tcPr>
          <w:p>
            <w:pPr>
              <w:spacing w:line="240" w:lineRule="auto"/>
              <w:ind w:firstLine="0" w:firstLineChars="0"/>
              <w:contextualSpacing/>
              <w:jc w:val="center"/>
              <w:rPr>
                <w:sz w:val="21"/>
                <w:szCs w:val="21"/>
              </w:rPr>
            </w:pPr>
            <w:r>
              <w:rPr>
                <w:sz w:val="21"/>
                <w:szCs w:val="21"/>
              </w:rPr>
              <w:t>160</w:t>
            </w:r>
          </w:p>
        </w:tc>
        <w:tc>
          <w:tcPr>
            <w:tcW w:w="796" w:type="pct"/>
            <w:vAlign w:val="center"/>
          </w:tcPr>
          <w:p>
            <w:pPr>
              <w:spacing w:line="240" w:lineRule="auto"/>
              <w:ind w:firstLine="0" w:firstLineChars="0"/>
              <w:contextualSpacing/>
              <w:jc w:val="center"/>
              <w:rPr>
                <w:sz w:val="21"/>
                <w:szCs w:val="21"/>
              </w:rPr>
            </w:pPr>
            <w:r>
              <w:rPr>
                <w:sz w:val="21"/>
                <w:szCs w:val="21"/>
              </w:rPr>
              <w:t>200</w:t>
            </w:r>
          </w:p>
        </w:tc>
        <w:tc>
          <w:tcPr>
            <w:tcW w:w="796" w:type="pct"/>
            <w:vAlign w:val="center"/>
          </w:tcPr>
          <w:p>
            <w:pPr>
              <w:spacing w:line="240" w:lineRule="auto"/>
              <w:ind w:firstLine="0" w:firstLineChars="0"/>
              <w:contextualSpacing/>
              <w:jc w:val="center"/>
              <w:rPr>
                <w:sz w:val="21"/>
                <w:szCs w:val="21"/>
              </w:rPr>
            </w:pPr>
            <w:r>
              <w:rPr>
                <w:sz w:val="21"/>
                <w:szCs w:val="21"/>
              </w:rPr>
              <w:t>ug/m³</w:t>
            </w:r>
          </w:p>
        </w:tc>
        <w:tc>
          <w:tcPr>
            <w:tcW w:w="1024" w:type="pct"/>
            <w:vMerge w:val="continue"/>
            <w:vAlign w:val="center"/>
          </w:tcPr>
          <w:p>
            <w:pPr>
              <w:widowControl/>
              <w:spacing w:line="240" w:lineRule="auto"/>
              <w:ind w:firstLine="0" w:firstLineChars="0"/>
              <w:contextualSpacing/>
              <w:jc w:val="left"/>
              <w:rPr>
                <w:kern w:val="0"/>
                <w:sz w:val="21"/>
                <w:szCs w:val="21"/>
              </w:rPr>
            </w:pPr>
          </w:p>
        </w:tc>
      </w:tr>
    </w:tbl>
    <w:p>
      <w:pPr>
        <w:ind w:firstLine="480"/>
        <w:contextualSpacing/>
      </w:pPr>
      <w:r>
        <w:rPr>
          <w:rFonts w:hAnsi="宋体"/>
        </w:rPr>
        <w:t>（</w:t>
      </w:r>
      <w:r>
        <w:t>5</w:t>
      </w:r>
      <w:r>
        <w:rPr>
          <w:rFonts w:hAnsi="宋体"/>
        </w:rPr>
        <w:t>）土壤环境</w:t>
      </w:r>
    </w:p>
    <w:p>
      <w:pPr>
        <w:ind w:firstLine="480"/>
        <w:contextualSpacing/>
      </w:pPr>
      <w:r>
        <w:rPr>
          <w:rFonts w:hAnsi="宋体"/>
        </w:rPr>
        <w:t>建设用地执行《土壤环境质量建设用地土壤污染风险管控标准（试行）》（</w:t>
      </w:r>
      <w:r>
        <w:t>GB36600-2018</w:t>
      </w:r>
      <w:r>
        <w:rPr>
          <w:rFonts w:hAnsi="宋体"/>
        </w:rPr>
        <w:t>），占地范围外的农用地监测点执行《土壤环境质量农用地土壤污染风险管控标准（试行）》（</w:t>
      </w:r>
      <w:r>
        <w:t>GB15618-2018</w:t>
      </w:r>
      <w:r>
        <w:rPr>
          <w:rFonts w:hAnsi="宋体"/>
        </w:rPr>
        <w:t>）。</w:t>
      </w:r>
    </w:p>
    <w:p>
      <w:pPr>
        <w:ind w:firstLine="0" w:firstLineChars="0"/>
        <w:contextualSpacing/>
        <w:jc w:val="center"/>
        <w:rPr>
          <w:b/>
          <w:bCs/>
          <w:sz w:val="21"/>
          <w:szCs w:val="21"/>
        </w:rPr>
      </w:pPr>
      <w:r>
        <w:rPr>
          <w:rFonts w:hAnsi="宋体"/>
          <w:b/>
          <w:bCs/>
          <w:sz w:val="21"/>
          <w:szCs w:val="21"/>
        </w:rPr>
        <w:t>表</w:t>
      </w:r>
      <w:r>
        <w:rPr>
          <w:b/>
          <w:bCs/>
          <w:sz w:val="21"/>
          <w:szCs w:val="21"/>
        </w:rPr>
        <w:t>1.3.1-6</w:t>
      </w:r>
      <w:r>
        <w:rPr>
          <w:rFonts w:hint="eastAsia"/>
          <w:b/>
          <w:bCs/>
          <w:sz w:val="21"/>
          <w:szCs w:val="21"/>
        </w:rPr>
        <w:t xml:space="preserve">  </w:t>
      </w:r>
      <w:r>
        <w:rPr>
          <w:rFonts w:hAnsi="宋体"/>
          <w:b/>
          <w:bCs/>
          <w:sz w:val="21"/>
          <w:szCs w:val="21"/>
        </w:rPr>
        <w:t>农用地（其他）土壤污染风险筛选值</w:t>
      </w:r>
      <w:r>
        <w:rPr>
          <w:rFonts w:hint="eastAsia" w:hAnsi="宋体"/>
          <w:b/>
          <w:bCs/>
          <w:sz w:val="21"/>
          <w:szCs w:val="21"/>
        </w:rPr>
        <w:t xml:space="preserve">  </w:t>
      </w:r>
      <w:r>
        <w:rPr>
          <w:rFonts w:hAnsi="宋体"/>
          <w:b/>
          <w:bCs/>
          <w:sz w:val="21"/>
          <w:szCs w:val="21"/>
        </w:rPr>
        <w:t>单位：</w:t>
      </w:r>
      <w:r>
        <w:rPr>
          <w:b/>
          <w:bCs/>
          <w:sz w:val="21"/>
          <w:szCs w:val="21"/>
        </w:rPr>
        <w:t>mg/kg</w:t>
      </w:r>
    </w:p>
    <w:tbl>
      <w:tblPr>
        <w:tblStyle w:val="38"/>
        <w:tblW w:w="49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790"/>
        <w:gridCol w:w="801"/>
        <w:gridCol w:w="801"/>
        <w:gridCol w:w="801"/>
        <w:gridCol w:w="801"/>
        <w:gridCol w:w="801"/>
        <w:gridCol w:w="802"/>
        <w:gridCol w:w="802"/>
        <w:gridCol w:w="7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jc w:val="center"/>
        </w:trPr>
        <w:tc>
          <w:tcPr>
            <w:tcW w:w="1092" w:type="pct"/>
            <w:tcBorders>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项目风险筛选值</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汞</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镉</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砷</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铬</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铅</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铜</w:t>
            </w:r>
          </w:p>
        </w:tc>
        <w:tc>
          <w:tcPr>
            <w:tcW w:w="489" w:type="pct"/>
            <w:tcBorders>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锌</w:t>
            </w:r>
          </w:p>
        </w:tc>
        <w:tc>
          <w:tcPr>
            <w:tcW w:w="487" w:type="pct"/>
            <w:tcBorders>
              <w:left w:val="single" w:color="000000" w:sz="4" w:space="0"/>
              <w:bottom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jc w:val="center"/>
        </w:trPr>
        <w:tc>
          <w:tcPr>
            <w:tcW w:w="1092" w:type="pct"/>
            <w:tcBorders>
              <w:top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pH≤5.5</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1.3</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0.3</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40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150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70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50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200</w:t>
            </w:r>
          </w:p>
        </w:tc>
        <w:tc>
          <w:tcPr>
            <w:tcW w:w="487" w:type="pct"/>
            <w:tcBorders>
              <w:top w:val="single" w:color="000000" w:sz="4" w:space="0"/>
              <w:left w:val="single" w:color="000000" w:sz="4" w:space="0"/>
              <w:bottom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jc w:val="center"/>
        </w:trPr>
        <w:tc>
          <w:tcPr>
            <w:tcW w:w="1092" w:type="pct"/>
            <w:tcBorders>
              <w:top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5.5</w:t>
            </w:r>
            <w:r>
              <w:rPr>
                <w:rFonts w:ascii="Times New Roman"/>
                <w:sz w:val="21"/>
                <w:szCs w:val="21"/>
              </w:rPr>
              <w:t>＜</w:t>
            </w:r>
            <w:r>
              <w:rPr>
                <w:rFonts w:ascii="Times New Roman" w:hAnsi="Times New Roman"/>
                <w:sz w:val="21"/>
                <w:szCs w:val="21"/>
              </w:rPr>
              <w:t>pH≤6.5</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1.8</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0.3</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40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150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90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50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200</w:t>
            </w:r>
          </w:p>
        </w:tc>
        <w:tc>
          <w:tcPr>
            <w:tcW w:w="487" w:type="pct"/>
            <w:tcBorders>
              <w:top w:val="single" w:color="000000" w:sz="4" w:space="0"/>
              <w:left w:val="single" w:color="000000" w:sz="4" w:space="0"/>
              <w:bottom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jc w:val="center"/>
        </w:trPr>
        <w:tc>
          <w:tcPr>
            <w:tcW w:w="1092" w:type="pct"/>
            <w:tcBorders>
              <w:top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6.5</w:t>
            </w:r>
            <w:r>
              <w:rPr>
                <w:rFonts w:ascii="Times New Roman"/>
                <w:sz w:val="21"/>
                <w:szCs w:val="21"/>
              </w:rPr>
              <w:t>＜</w:t>
            </w:r>
            <w:r>
              <w:rPr>
                <w:rFonts w:ascii="Times New Roman" w:hAnsi="Times New Roman"/>
                <w:sz w:val="21"/>
                <w:szCs w:val="21"/>
              </w:rPr>
              <w:t>pH≤7.5</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2.4</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0.3</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200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120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100</w:t>
            </w:r>
          </w:p>
        </w:tc>
        <w:tc>
          <w:tcPr>
            <w:tcW w:w="489" w:type="pct"/>
            <w:tcBorders>
              <w:top w:val="single" w:color="000000" w:sz="4" w:space="0"/>
              <w:left w:val="single" w:color="000000" w:sz="4" w:space="0"/>
              <w:bottom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250</w:t>
            </w:r>
          </w:p>
        </w:tc>
        <w:tc>
          <w:tcPr>
            <w:tcW w:w="487" w:type="pct"/>
            <w:tcBorders>
              <w:top w:val="single" w:color="000000" w:sz="4" w:space="0"/>
              <w:left w:val="single" w:color="000000" w:sz="4" w:space="0"/>
              <w:bottom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jc w:val="center"/>
        </w:trPr>
        <w:tc>
          <w:tcPr>
            <w:tcW w:w="1092" w:type="pct"/>
            <w:tcBorders>
              <w:top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pH</w:t>
            </w:r>
            <w:r>
              <w:rPr>
                <w:rFonts w:ascii="Times New Roman"/>
                <w:sz w:val="21"/>
                <w:szCs w:val="21"/>
              </w:rPr>
              <w:t>＞</w:t>
            </w:r>
            <w:r>
              <w:rPr>
                <w:rFonts w:ascii="Times New Roman" w:hAnsi="Times New Roman"/>
                <w:sz w:val="21"/>
                <w:szCs w:val="21"/>
              </w:rPr>
              <w:t>7.5</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3.4</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0.6</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25</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250</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170</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100</w:t>
            </w:r>
          </w:p>
        </w:tc>
        <w:tc>
          <w:tcPr>
            <w:tcW w:w="489" w:type="pct"/>
            <w:tcBorders>
              <w:top w:val="single" w:color="000000" w:sz="4" w:space="0"/>
              <w:left w:val="single" w:color="000000" w:sz="4" w:space="0"/>
              <w:righ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300</w:t>
            </w:r>
          </w:p>
        </w:tc>
        <w:tc>
          <w:tcPr>
            <w:tcW w:w="487" w:type="pct"/>
            <w:tcBorders>
              <w:top w:val="single" w:color="000000" w:sz="4" w:space="0"/>
              <w:left w:val="single" w:color="000000" w:sz="4" w:space="0"/>
            </w:tcBorders>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190</w:t>
            </w:r>
          </w:p>
        </w:tc>
      </w:tr>
    </w:tbl>
    <w:p>
      <w:pPr>
        <w:ind w:firstLine="0" w:firstLineChars="0"/>
        <w:contextualSpacing/>
        <w:jc w:val="center"/>
        <w:rPr>
          <w:b/>
          <w:bCs/>
          <w:sz w:val="21"/>
          <w:szCs w:val="21"/>
        </w:rPr>
      </w:pPr>
      <w:r>
        <w:rPr>
          <w:rFonts w:hAnsi="宋体"/>
          <w:b/>
          <w:bCs/>
          <w:sz w:val="21"/>
          <w:szCs w:val="21"/>
        </w:rPr>
        <w:t>表</w:t>
      </w:r>
      <w:r>
        <w:rPr>
          <w:b/>
          <w:bCs/>
          <w:sz w:val="21"/>
          <w:szCs w:val="21"/>
        </w:rPr>
        <w:t>1.3.1-7</w:t>
      </w:r>
      <w:r>
        <w:rPr>
          <w:rFonts w:hint="eastAsia"/>
          <w:b/>
          <w:bCs/>
          <w:sz w:val="21"/>
          <w:szCs w:val="21"/>
        </w:rPr>
        <w:t xml:space="preserve">  </w:t>
      </w:r>
      <w:r>
        <w:rPr>
          <w:rFonts w:hAnsi="宋体"/>
          <w:b/>
          <w:bCs/>
          <w:sz w:val="21"/>
          <w:szCs w:val="21"/>
        </w:rPr>
        <w:t>建设用地土壤污染风险筛选值第二类用地标准</w:t>
      </w:r>
      <w:r>
        <w:rPr>
          <w:rFonts w:hint="eastAsia" w:hAnsi="宋体"/>
          <w:b/>
          <w:bCs/>
          <w:sz w:val="21"/>
          <w:szCs w:val="21"/>
        </w:rPr>
        <w:t xml:space="preserve">  </w:t>
      </w:r>
      <w:r>
        <w:rPr>
          <w:rFonts w:hAnsi="宋体"/>
          <w:b/>
          <w:bCs/>
          <w:sz w:val="21"/>
          <w:szCs w:val="21"/>
        </w:rPr>
        <w:t>单位：</w:t>
      </w:r>
      <w:r>
        <w:rPr>
          <w:b/>
          <w:bCs/>
          <w:sz w:val="21"/>
          <w:szCs w:val="21"/>
        </w:rPr>
        <w:t>mg/kg</w:t>
      </w:r>
    </w:p>
    <w:tbl>
      <w:tblPr>
        <w:tblStyle w:val="38"/>
        <w:tblW w:w="4900" w:type="pct"/>
        <w:jc w:val="center"/>
        <w:tblLayout w:type="autofit"/>
        <w:tblCellMar>
          <w:top w:w="0" w:type="dxa"/>
          <w:left w:w="28" w:type="dxa"/>
          <w:bottom w:w="0" w:type="dxa"/>
          <w:right w:w="28" w:type="dxa"/>
        </w:tblCellMar>
      </w:tblPr>
      <w:tblGrid>
        <w:gridCol w:w="511"/>
        <w:gridCol w:w="1985"/>
        <w:gridCol w:w="849"/>
        <w:gridCol w:w="756"/>
        <w:gridCol w:w="521"/>
        <w:gridCol w:w="1985"/>
        <w:gridCol w:w="851"/>
        <w:gridCol w:w="737"/>
      </w:tblGrid>
      <w:tr>
        <w:tblPrEx>
          <w:tblCellMar>
            <w:top w:w="0" w:type="dxa"/>
            <w:left w:w="28" w:type="dxa"/>
            <w:bottom w:w="0" w:type="dxa"/>
            <w:right w:w="28" w:type="dxa"/>
          </w:tblCellMar>
        </w:tblPrEx>
        <w:trPr>
          <w:jc w:val="center"/>
        </w:trPr>
        <w:tc>
          <w:tcPr>
            <w:tcW w:w="31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编号</w:t>
            </w:r>
          </w:p>
        </w:tc>
        <w:tc>
          <w:tcPr>
            <w:tcW w:w="1211"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监测因子</w:t>
            </w:r>
          </w:p>
        </w:tc>
        <w:tc>
          <w:tcPr>
            <w:tcW w:w="979" w:type="pct"/>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第二类用地</w:t>
            </w:r>
          </w:p>
        </w:tc>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编号</w:t>
            </w:r>
          </w:p>
        </w:tc>
        <w:tc>
          <w:tcPr>
            <w:tcW w:w="1211"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监测因子</w:t>
            </w:r>
          </w:p>
        </w:tc>
        <w:tc>
          <w:tcPr>
            <w:tcW w:w="968" w:type="pct"/>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第二类用地</w:t>
            </w:r>
          </w:p>
        </w:tc>
      </w:tr>
      <w:tr>
        <w:tblPrEx>
          <w:tblCellMar>
            <w:top w:w="0" w:type="dxa"/>
            <w:left w:w="28" w:type="dxa"/>
            <w:bottom w:w="0" w:type="dxa"/>
            <w:right w:w="28" w:type="dxa"/>
          </w:tblCellMar>
        </w:tblPrEx>
        <w:trPr>
          <w:jc w:val="center"/>
        </w:trPr>
        <w:tc>
          <w:tcPr>
            <w:tcW w:w="312"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p>
        </w:tc>
        <w:tc>
          <w:tcPr>
            <w:tcW w:w="1211"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筛选值</w:t>
            </w:r>
          </w:p>
        </w:tc>
        <w:tc>
          <w:tcPr>
            <w:tcW w:w="461"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管制值</w:t>
            </w:r>
          </w:p>
        </w:tc>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p>
        </w:tc>
        <w:tc>
          <w:tcPr>
            <w:tcW w:w="1211"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p>
        </w:tc>
        <w:tc>
          <w:tcPr>
            <w:tcW w:w="51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筛选值</w:t>
            </w:r>
          </w:p>
        </w:tc>
        <w:tc>
          <w:tcPr>
            <w:tcW w:w="44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contextualSpacing/>
              <w:jc w:val="center"/>
              <w:textAlignment w:val="center"/>
              <w:rPr>
                <w:sz w:val="21"/>
                <w:szCs w:val="21"/>
              </w:rPr>
            </w:pPr>
            <w:r>
              <w:rPr>
                <w:rFonts w:hAnsi="宋体"/>
                <w:kern w:val="0"/>
                <w:sz w:val="21"/>
                <w:szCs w:val="21"/>
              </w:rPr>
              <w:t>管制值</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140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24</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2</w:t>
            </w:r>
            <w:r>
              <w:rPr>
                <w:rFonts w:hAnsi="宋体"/>
                <w:kern w:val="0"/>
                <w:sz w:val="21"/>
                <w:szCs w:val="21"/>
              </w:rPr>
              <w:t>，</w:t>
            </w:r>
            <w:r>
              <w:rPr>
                <w:kern w:val="0"/>
                <w:sz w:val="21"/>
                <w:szCs w:val="21"/>
              </w:rPr>
              <w:t>3-</w:t>
            </w:r>
            <w:r>
              <w:rPr>
                <w:rFonts w:hAnsi="宋体"/>
                <w:kern w:val="0"/>
                <w:sz w:val="21"/>
                <w:szCs w:val="21"/>
              </w:rPr>
              <w:t>三氯丙烷</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0.5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镉</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65</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172</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25</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氯乙烯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0.43</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4.3</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六价铬</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5.7</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78</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26</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铜</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18000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36000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27</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氯苯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270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铅</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800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2500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2-</w:t>
            </w:r>
            <w:r>
              <w:rPr>
                <w:rFonts w:hAnsi="宋体"/>
                <w:kern w:val="0"/>
                <w:sz w:val="21"/>
                <w:szCs w:val="21"/>
              </w:rPr>
              <w:t>二氯苯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560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560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汞</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38</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82</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29</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4-</w:t>
            </w:r>
            <w:r>
              <w:rPr>
                <w:rFonts w:hAnsi="宋体"/>
                <w:kern w:val="0"/>
                <w:sz w:val="21"/>
                <w:szCs w:val="21"/>
              </w:rPr>
              <w:t>二氯苯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镍</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900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30</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乙苯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8</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四氯化碳</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36</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31</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苯乙烯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1290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1290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9</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氯仿</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0.9</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32</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甲苯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1200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氯甲烷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37</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33</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间二甲苯</w:t>
            </w:r>
            <w:r>
              <w:rPr>
                <w:kern w:val="0"/>
                <w:sz w:val="21"/>
                <w:szCs w:val="21"/>
              </w:rPr>
              <w:t>+</w:t>
            </w:r>
            <w:r>
              <w:rPr>
                <w:rFonts w:hAnsi="宋体"/>
                <w:kern w:val="0"/>
                <w:sz w:val="21"/>
                <w:szCs w:val="21"/>
              </w:rPr>
              <w:t>对二甲苯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570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570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11</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二氯乙烷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9</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34</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邻二甲苯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640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640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2-</w:t>
            </w:r>
            <w:r>
              <w:rPr>
                <w:rFonts w:hAnsi="宋体"/>
                <w:kern w:val="0"/>
                <w:sz w:val="21"/>
                <w:szCs w:val="21"/>
              </w:rPr>
              <w:t>二氯乙烷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21</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35</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硝基苯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76</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760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13</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二氯乙烯</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66</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36</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苯胺</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260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663</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14</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顺</w:t>
            </w:r>
            <w:r>
              <w:rPr>
                <w:kern w:val="0"/>
                <w:sz w:val="21"/>
                <w:szCs w:val="21"/>
              </w:rPr>
              <w:t>-1</w:t>
            </w:r>
            <w:r>
              <w:rPr>
                <w:rFonts w:hAnsi="宋体"/>
                <w:kern w:val="0"/>
                <w:sz w:val="21"/>
                <w:szCs w:val="21"/>
              </w:rPr>
              <w:t>，</w:t>
            </w:r>
            <w:r>
              <w:rPr>
                <w:kern w:val="0"/>
                <w:sz w:val="21"/>
                <w:szCs w:val="21"/>
              </w:rPr>
              <w:t>2-</w:t>
            </w:r>
            <w:r>
              <w:rPr>
                <w:rFonts w:hAnsi="宋体"/>
                <w:kern w:val="0"/>
                <w:sz w:val="21"/>
                <w:szCs w:val="21"/>
              </w:rPr>
              <w:t>二氯乙烯</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596</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37</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w:t>
            </w:r>
            <w:r>
              <w:rPr>
                <w:rFonts w:hAnsi="宋体"/>
                <w:kern w:val="0"/>
                <w:sz w:val="21"/>
                <w:szCs w:val="21"/>
              </w:rPr>
              <w:t>氯酚</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2256</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4500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反</w:t>
            </w:r>
            <w:r>
              <w:rPr>
                <w:kern w:val="0"/>
                <w:sz w:val="21"/>
                <w:szCs w:val="21"/>
              </w:rPr>
              <w:t>-1</w:t>
            </w:r>
            <w:r>
              <w:rPr>
                <w:rFonts w:hAnsi="宋体"/>
                <w:kern w:val="0"/>
                <w:sz w:val="21"/>
                <w:szCs w:val="21"/>
              </w:rPr>
              <w:t>，</w:t>
            </w:r>
            <w:r>
              <w:rPr>
                <w:kern w:val="0"/>
                <w:sz w:val="21"/>
                <w:szCs w:val="21"/>
              </w:rPr>
              <w:t>2-</w:t>
            </w:r>
            <w:r>
              <w:rPr>
                <w:rFonts w:hAnsi="宋体"/>
                <w:kern w:val="0"/>
                <w:sz w:val="21"/>
                <w:szCs w:val="21"/>
              </w:rPr>
              <w:t>二氯乙烯</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54</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163</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38</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苯并</w:t>
            </w:r>
            <w:r>
              <w:rPr>
                <w:kern w:val="0"/>
                <w:sz w:val="21"/>
                <w:szCs w:val="21"/>
              </w:rPr>
              <w:t>〔a〕</w:t>
            </w:r>
            <w:r>
              <w:rPr>
                <w:rFonts w:hAnsi="宋体"/>
                <w:kern w:val="0"/>
                <w:sz w:val="21"/>
                <w:szCs w:val="21"/>
              </w:rPr>
              <w:t>蒽</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151</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16</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二氯甲烷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616</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39</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苯并</w:t>
            </w:r>
            <w:r>
              <w:rPr>
                <w:kern w:val="0"/>
                <w:sz w:val="21"/>
                <w:szCs w:val="21"/>
              </w:rPr>
              <w:t>〔a〕</w:t>
            </w:r>
            <w:r>
              <w:rPr>
                <w:rFonts w:hAnsi="宋体"/>
                <w:kern w:val="0"/>
                <w:sz w:val="21"/>
                <w:szCs w:val="21"/>
              </w:rPr>
              <w:t>芘</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17</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2-</w:t>
            </w:r>
            <w:r>
              <w:rPr>
                <w:rFonts w:hAnsi="宋体"/>
                <w:kern w:val="0"/>
                <w:sz w:val="21"/>
                <w:szCs w:val="21"/>
              </w:rPr>
              <w:t>二氯丙烷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47</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40</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苯并</w:t>
            </w:r>
            <w:r>
              <w:rPr>
                <w:kern w:val="0"/>
                <w:sz w:val="21"/>
                <w:szCs w:val="21"/>
              </w:rPr>
              <w:t>〔b〕</w:t>
            </w:r>
            <w:r>
              <w:rPr>
                <w:rFonts w:hAnsi="宋体"/>
                <w:kern w:val="0"/>
                <w:sz w:val="21"/>
                <w:szCs w:val="21"/>
              </w:rPr>
              <w:t>荧蒽</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151</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18</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w:t>
            </w:r>
            <w:r>
              <w:rPr>
                <w:kern w:val="0"/>
                <w:sz w:val="21"/>
                <w:szCs w:val="21"/>
              </w:rPr>
              <w:t>1</w:t>
            </w:r>
            <w:r>
              <w:rPr>
                <w:rFonts w:hAnsi="宋体"/>
                <w:kern w:val="0"/>
                <w:sz w:val="21"/>
                <w:szCs w:val="21"/>
              </w:rPr>
              <w:t>，</w:t>
            </w:r>
            <w:r>
              <w:rPr>
                <w:kern w:val="0"/>
                <w:sz w:val="21"/>
                <w:szCs w:val="21"/>
              </w:rPr>
              <w:t>2-</w:t>
            </w:r>
            <w:r>
              <w:rPr>
                <w:rFonts w:hAnsi="宋体"/>
                <w:kern w:val="0"/>
                <w:sz w:val="21"/>
                <w:szCs w:val="21"/>
              </w:rPr>
              <w:t>四氯乙烷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100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41</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苯并</w:t>
            </w:r>
            <w:r>
              <w:rPr>
                <w:kern w:val="0"/>
                <w:sz w:val="21"/>
                <w:szCs w:val="21"/>
              </w:rPr>
              <w:t>〔k〕</w:t>
            </w:r>
            <w:r>
              <w:rPr>
                <w:rFonts w:hAnsi="宋体"/>
                <w:kern w:val="0"/>
                <w:sz w:val="21"/>
                <w:szCs w:val="21"/>
              </w:rPr>
              <w:t>荧蒽</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151</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19</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w:t>
            </w:r>
            <w:r>
              <w:rPr>
                <w:kern w:val="0"/>
                <w:sz w:val="21"/>
                <w:szCs w:val="21"/>
              </w:rPr>
              <w:t>2</w:t>
            </w:r>
            <w:r>
              <w:rPr>
                <w:rFonts w:hAnsi="宋体"/>
                <w:kern w:val="0"/>
                <w:sz w:val="21"/>
                <w:szCs w:val="21"/>
              </w:rPr>
              <w:t>，</w:t>
            </w:r>
            <w:r>
              <w:rPr>
                <w:kern w:val="0"/>
                <w:sz w:val="21"/>
                <w:szCs w:val="21"/>
              </w:rPr>
              <w:t>2</w:t>
            </w:r>
            <w:r>
              <w:rPr>
                <w:rFonts w:hAnsi="宋体"/>
                <w:kern w:val="0"/>
                <w:sz w:val="21"/>
                <w:szCs w:val="21"/>
              </w:rPr>
              <w:t>，</w:t>
            </w:r>
            <w:r>
              <w:rPr>
                <w:kern w:val="0"/>
                <w:sz w:val="21"/>
                <w:szCs w:val="21"/>
              </w:rPr>
              <w:t>-</w:t>
            </w:r>
            <w:r>
              <w:rPr>
                <w:rFonts w:hAnsi="宋体"/>
                <w:kern w:val="0"/>
                <w:sz w:val="21"/>
                <w:szCs w:val="21"/>
              </w:rPr>
              <w:t>四氯乙烷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6.8</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42</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䓛</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1293</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12900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四氯乙烯</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53</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183</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43</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二苯并</w:t>
            </w:r>
            <w:r>
              <w:rPr>
                <w:kern w:val="0"/>
                <w:sz w:val="21"/>
                <w:szCs w:val="21"/>
              </w:rPr>
              <w:t>〔a</w:t>
            </w:r>
            <w:r>
              <w:rPr>
                <w:rFonts w:hAnsi="宋体"/>
                <w:kern w:val="0"/>
                <w:sz w:val="21"/>
                <w:szCs w:val="21"/>
              </w:rPr>
              <w:t>，</w:t>
            </w:r>
            <w:r>
              <w:rPr>
                <w:kern w:val="0"/>
                <w:sz w:val="21"/>
                <w:szCs w:val="21"/>
              </w:rPr>
              <w:t>h〕</w:t>
            </w:r>
            <w:r>
              <w:rPr>
                <w:rFonts w:hAnsi="宋体"/>
                <w:kern w:val="0"/>
                <w:sz w:val="21"/>
                <w:szCs w:val="21"/>
              </w:rPr>
              <w:t>蒽</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21</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w:t>
            </w:r>
            <w:r>
              <w:rPr>
                <w:kern w:val="0"/>
                <w:sz w:val="21"/>
                <w:szCs w:val="21"/>
              </w:rPr>
              <w:t>1-</w:t>
            </w:r>
            <w:r>
              <w:rPr>
                <w:rFonts w:hAnsi="宋体"/>
                <w:kern w:val="0"/>
                <w:sz w:val="21"/>
                <w:szCs w:val="21"/>
              </w:rPr>
              <w:t>三氯乙烷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840</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840</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44</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茚并</w:t>
            </w:r>
            <w:r>
              <w:rPr>
                <w:kern w:val="0"/>
                <w:sz w:val="21"/>
                <w:szCs w:val="21"/>
              </w:rPr>
              <w:t>〔1</w:t>
            </w:r>
            <w:r>
              <w:rPr>
                <w:rFonts w:hAnsi="宋体"/>
                <w:kern w:val="0"/>
                <w:sz w:val="21"/>
                <w:szCs w:val="21"/>
              </w:rPr>
              <w:t>，</w:t>
            </w:r>
            <w:r>
              <w:rPr>
                <w:kern w:val="0"/>
                <w:sz w:val="21"/>
                <w:szCs w:val="21"/>
              </w:rPr>
              <w:t>2</w:t>
            </w:r>
            <w:r>
              <w:rPr>
                <w:rFonts w:hAnsi="宋体"/>
                <w:kern w:val="0"/>
                <w:sz w:val="21"/>
                <w:szCs w:val="21"/>
              </w:rPr>
              <w:t>，</w:t>
            </w:r>
            <w:r>
              <w:rPr>
                <w:kern w:val="0"/>
                <w:sz w:val="21"/>
                <w:szCs w:val="21"/>
              </w:rPr>
              <w:t>3-cd〕</w:t>
            </w:r>
            <w:r>
              <w:rPr>
                <w:rFonts w:hAnsi="宋体"/>
                <w:kern w:val="0"/>
                <w:sz w:val="21"/>
                <w:szCs w:val="21"/>
              </w:rPr>
              <w:t>芘</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151</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22</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w:t>
            </w:r>
            <w:r>
              <w:rPr>
                <w:rFonts w:hAnsi="宋体"/>
                <w:kern w:val="0"/>
                <w:sz w:val="21"/>
                <w:szCs w:val="21"/>
              </w:rPr>
              <w:t>，</w:t>
            </w:r>
            <w:r>
              <w:rPr>
                <w:kern w:val="0"/>
                <w:sz w:val="21"/>
                <w:szCs w:val="21"/>
              </w:rPr>
              <w:t>1</w:t>
            </w:r>
            <w:r>
              <w:rPr>
                <w:rFonts w:hAnsi="宋体"/>
                <w:kern w:val="0"/>
                <w:sz w:val="21"/>
                <w:szCs w:val="21"/>
              </w:rPr>
              <w:t>，</w:t>
            </w:r>
            <w:r>
              <w:rPr>
                <w:kern w:val="0"/>
                <w:sz w:val="21"/>
                <w:szCs w:val="21"/>
              </w:rPr>
              <w:t>2-</w:t>
            </w:r>
            <w:r>
              <w:rPr>
                <w:rFonts w:hAnsi="宋体"/>
                <w:kern w:val="0"/>
                <w:sz w:val="21"/>
                <w:szCs w:val="21"/>
              </w:rPr>
              <w:t>三氯乙烷</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15</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45</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萘</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70</w:t>
            </w:r>
          </w:p>
        </w:tc>
        <w:tc>
          <w:tcPr>
            <w:tcW w:w="4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700</w:t>
            </w:r>
          </w:p>
        </w:tc>
      </w:tr>
      <w:tr>
        <w:tblPrEx>
          <w:tblCellMar>
            <w:top w:w="0" w:type="dxa"/>
            <w:left w:w="28" w:type="dxa"/>
            <w:bottom w:w="0" w:type="dxa"/>
            <w:right w:w="28" w:type="dxa"/>
          </w:tblCellMar>
        </w:tblPrEx>
        <w:trPr>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23</w:t>
            </w:r>
          </w:p>
        </w:tc>
        <w:tc>
          <w:tcPr>
            <w:tcW w:w="121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rFonts w:hAnsi="宋体"/>
                <w:kern w:val="0"/>
                <w:sz w:val="21"/>
                <w:szCs w:val="21"/>
              </w:rPr>
              <w:t>三氯乙烯</w:t>
            </w:r>
          </w:p>
        </w:tc>
        <w:tc>
          <w:tcPr>
            <w:tcW w:w="51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2.8</w:t>
            </w:r>
          </w:p>
        </w:tc>
        <w:tc>
          <w:tcPr>
            <w:tcW w:w="461"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textAlignment w:val="top"/>
              <w:rPr>
                <w:sz w:val="21"/>
                <w:szCs w:val="21"/>
              </w:rPr>
            </w:pPr>
            <w:r>
              <w:rPr>
                <w:kern w:val="0"/>
                <w:sz w:val="21"/>
                <w:szCs w:val="21"/>
              </w:rPr>
              <w:t>20</w:t>
            </w:r>
          </w:p>
        </w:tc>
        <w:tc>
          <w:tcPr>
            <w:tcW w:w="318"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r>
              <w:rPr>
                <w:sz w:val="21"/>
                <w:szCs w:val="21"/>
              </w:rPr>
              <w:t>/</w:t>
            </w:r>
          </w:p>
        </w:tc>
        <w:tc>
          <w:tcPr>
            <w:tcW w:w="1211"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r>
              <w:rPr>
                <w:sz w:val="21"/>
                <w:szCs w:val="21"/>
              </w:rPr>
              <w:t>/</w:t>
            </w:r>
          </w:p>
        </w:tc>
        <w:tc>
          <w:tcPr>
            <w:tcW w:w="519"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r>
              <w:rPr>
                <w:sz w:val="21"/>
                <w:szCs w:val="21"/>
              </w:rPr>
              <w:t>/</w:t>
            </w:r>
          </w:p>
        </w:tc>
        <w:tc>
          <w:tcPr>
            <w:tcW w:w="449"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contextualSpacing/>
              <w:jc w:val="center"/>
              <w:rPr>
                <w:sz w:val="21"/>
                <w:szCs w:val="21"/>
              </w:rPr>
            </w:pPr>
            <w:r>
              <w:rPr>
                <w:sz w:val="21"/>
                <w:szCs w:val="21"/>
              </w:rPr>
              <w:t>/</w:t>
            </w:r>
          </w:p>
        </w:tc>
      </w:tr>
    </w:tbl>
    <w:p>
      <w:pPr>
        <w:spacing w:line="160" w:lineRule="exact"/>
        <w:ind w:firstLine="422"/>
        <w:contextualSpacing/>
        <w:jc w:val="center"/>
        <w:rPr>
          <w:b/>
          <w:bCs/>
          <w:sz w:val="21"/>
          <w:szCs w:val="21"/>
        </w:rPr>
      </w:pPr>
    </w:p>
    <w:p>
      <w:pPr>
        <w:ind w:firstLine="480"/>
        <w:contextualSpacing/>
      </w:pPr>
      <w:r>
        <w:rPr>
          <w:rFonts w:hAnsi="宋体"/>
        </w:rPr>
        <w:t>（</w:t>
      </w:r>
      <w:r>
        <w:t>2</w:t>
      </w:r>
      <w:r>
        <w:rPr>
          <w:rFonts w:hAnsi="宋体"/>
        </w:rPr>
        <w:t>）排放标准</w:t>
      </w:r>
    </w:p>
    <w:p>
      <w:pPr>
        <w:ind w:firstLine="480"/>
        <w:contextualSpacing/>
      </w:pPr>
      <w:r>
        <w:rPr>
          <w:rFonts w:hAnsi="宋体"/>
        </w:rPr>
        <w:t>施工期生产废水处理后回用，不排入</w:t>
      </w:r>
      <w:r>
        <w:rPr>
          <w:rFonts w:hint="eastAsia" w:hAnsi="宋体"/>
        </w:rPr>
        <w:t>蔡家河</w:t>
      </w:r>
      <w:r>
        <w:rPr>
          <w:rFonts w:hAnsi="宋体"/>
        </w:rPr>
        <w:t>；根据《污水综合排放标准》（</w:t>
      </w:r>
      <w:r>
        <w:t>GB8978-1996</w:t>
      </w:r>
      <w:r>
        <w:rPr>
          <w:rFonts w:hAnsi="宋体"/>
        </w:rPr>
        <w:t>），对《地表水环境质量标准》（</w:t>
      </w:r>
      <w:r>
        <w:t>GB3838-2002</w:t>
      </w:r>
      <w:r>
        <w:rPr>
          <w:rFonts w:hAnsi="宋体"/>
        </w:rPr>
        <w:t>）中的</w:t>
      </w:r>
      <w:r>
        <w:t>Ⅰ</w:t>
      </w:r>
      <w:r>
        <w:rPr>
          <w:rFonts w:hAnsi="宋体"/>
        </w:rPr>
        <w:t>、</w:t>
      </w:r>
      <w:r>
        <w:t>Ⅱ</w:t>
      </w:r>
      <w:r>
        <w:rPr>
          <w:rFonts w:hAnsi="宋体"/>
        </w:rPr>
        <w:t>类水域和</w:t>
      </w:r>
      <w:r>
        <w:t>Ⅲ</w:t>
      </w:r>
      <w:r>
        <w:rPr>
          <w:rFonts w:hAnsi="宋体"/>
        </w:rPr>
        <w:t>类水域中划定的保护区，禁止新建排污口。为保护水环境质量，工程坝址施工区与管线施工区施工生产生活污废水</w:t>
      </w:r>
      <w:r>
        <w:rPr>
          <w:rFonts w:hint="eastAsia" w:hAnsi="宋体"/>
        </w:rPr>
        <w:t>处理后均回用</w:t>
      </w:r>
      <w:r>
        <w:rPr>
          <w:rFonts w:hAnsi="宋体"/>
        </w:rPr>
        <w:t>。</w:t>
      </w:r>
    </w:p>
    <w:p>
      <w:pPr>
        <w:pStyle w:val="5"/>
        <w:ind w:firstLine="0" w:firstLineChars="0"/>
        <w:contextualSpacing/>
        <w:rPr>
          <w:rFonts w:ascii="Times New Roman" w:hAnsi="Times New Roman"/>
        </w:rPr>
      </w:pPr>
      <w:bookmarkStart w:id="82" w:name="_Toc5231"/>
      <w:bookmarkStart w:id="83" w:name="_Toc22203"/>
      <w:bookmarkStart w:id="84" w:name="_Toc1064"/>
      <w:bookmarkStart w:id="85" w:name="_Toc29073"/>
      <w:bookmarkStart w:id="86" w:name="_Toc14188"/>
      <w:bookmarkStart w:id="87" w:name="_Toc8405"/>
      <w:bookmarkStart w:id="88" w:name="_Toc24823"/>
      <w:bookmarkStart w:id="89" w:name="_Toc25961"/>
      <w:bookmarkStart w:id="90" w:name="_Toc3885"/>
      <w:r>
        <w:rPr>
          <w:rFonts w:ascii="Times New Roman" w:hAnsi="Times New Roman"/>
        </w:rPr>
        <w:t>1.3.2</w:t>
      </w:r>
      <w:r>
        <w:rPr>
          <w:rFonts w:ascii="Times New Roman" w:hAnsi="宋体"/>
        </w:rPr>
        <w:t>污染物排放及控制标准</w:t>
      </w:r>
      <w:bookmarkEnd w:id="82"/>
      <w:bookmarkEnd w:id="83"/>
      <w:bookmarkEnd w:id="84"/>
      <w:bookmarkEnd w:id="85"/>
      <w:bookmarkEnd w:id="86"/>
      <w:bookmarkEnd w:id="87"/>
      <w:bookmarkEnd w:id="88"/>
      <w:bookmarkEnd w:id="89"/>
      <w:bookmarkEnd w:id="90"/>
    </w:p>
    <w:p>
      <w:pPr>
        <w:numPr>
          <w:ilvl w:val="0"/>
          <w:numId w:val="1"/>
        </w:numPr>
        <w:ind w:firstLine="480"/>
        <w:contextualSpacing/>
      </w:pPr>
      <w:bookmarkStart w:id="91" w:name="_Toc30767"/>
      <w:bookmarkStart w:id="92" w:name="_Toc2764"/>
      <w:bookmarkStart w:id="93" w:name="_Toc6384"/>
      <w:r>
        <w:rPr>
          <w:rFonts w:hAnsi="宋体"/>
        </w:rPr>
        <w:t>废（污）水</w:t>
      </w:r>
      <w:bookmarkEnd w:id="91"/>
      <w:bookmarkEnd w:id="92"/>
      <w:bookmarkEnd w:id="93"/>
    </w:p>
    <w:p>
      <w:pPr>
        <w:ind w:firstLine="480"/>
        <w:contextualSpacing/>
      </w:pPr>
      <w:r>
        <w:rPr>
          <w:rFonts w:hAnsi="宋体"/>
        </w:rPr>
        <w:t>施工废污水、运营期</w:t>
      </w:r>
      <w:r>
        <w:rPr>
          <w:rFonts w:hint="eastAsia" w:hAnsi="宋体"/>
        </w:rPr>
        <w:t>坝址</w:t>
      </w:r>
      <w:r>
        <w:rPr>
          <w:rFonts w:hAnsi="宋体"/>
        </w:rPr>
        <w:t>现场值班人员产生的少量生活污水经处理达执行《污水综合排放标准》（</w:t>
      </w:r>
      <w:r>
        <w:t>GB8978-1996</w:t>
      </w:r>
      <w:r>
        <w:rPr>
          <w:rFonts w:hAnsi="宋体"/>
        </w:rPr>
        <w:t>）表</w:t>
      </w:r>
      <w:r>
        <w:t>4</w:t>
      </w:r>
      <w:r>
        <w:rPr>
          <w:rFonts w:hAnsi="宋体"/>
        </w:rPr>
        <w:t>一级标准后回用，不外排。</w:t>
      </w:r>
    </w:p>
    <w:p>
      <w:pPr>
        <w:ind w:firstLine="0" w:firstLineChars="0"/>
        <w:contextualSpacing/>
        <w:jc w:val="center"/>
        <w:rPr>
          <w:b/>
          <w:bCs/>
          <w:sz w:val="21"/>
          <w:szCs w:val="21"/>
        </w:rPr>
      </w:pPr>
      <w:r>
        <w:rPr>
          <w:rFonts w:hAnsi="宋体"/>
          <w:b/>
          <w:bCs/>
          <w:sz w:val="21"/>
          <w:szCs w:val="21"/>
        </w:rPr>
        <w:t>表</w:t>
      </w:r>
      <w:r>
        <w:rPr>
          <w:b/>
          <w:bCs/>
          <w:sz w:val="21"/>
          <w:szCs w:val="21"/>
        </w:rPr>
        <w:t xml:space="preserve">1.3.2-1  </w:t>
      </w:r>
      <w:r>
        <w:rPr>
          <w:rFonts w:hAnsi="宋体"/>
          <w:b/>
          <w:bCs/>
          <w:sz w:val="21"/>
          <w:szCs w:val="21"/>
        </w:rPr>
        <w:t>污水综合排放标准</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1"/>
        <w:gridCol w:w="6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水质标准</w:t>
            </w:r>
          </w:p>
        </w:tc>
        <w:tc>
          <w:tcPr>
            <w:tcW w:w="6001" w:type="dxa"/>
            <w:vAlign w:val="center"/>
          </w:tcPr>
          <w:p>
            <w:pPr>
              <w:spacing w:line="240" w:lineRule="auto"/>
              <w:ind w:firstLine="0" w:firstLineChars="0"/>
              <w:contextualSpacing/>
              <w:jc w:val="center"/>
              <w:rPr>
                <w:sz w:val="21"/>
                <w:szCs w:val="21"/>
              </w:rPr>
            </w:pPr>
            <w:r>
              <w:rPr>
                <w:rFonts w:hAnsi="宋体"/>
                <w:sz w:val="21"/>
                <w:szCs w:val="21"/>
              </w:rPr>
              <w:t>《污水综合排放标准》（</w:t>
            </w:r>
            <w:r>
              <w:rPr>
                <w:sz w:val="21"/>
                <w:szCs w:val="21"/>
              </w:rPr>
              <w:t>GB8978-1996</w:t>
            </w:r>
            <w:r>
              <w:rPr>
                <w:rFonts w:hAnsi="宋体"/>
                <w:sz w:val="21"/>
                <w:szCs w:val="21"/>
              </w:rPr>
              <w:t>）表</w:t>
            </w:r>
            <w:r>
              <w:rPr>
                <w:sz w:val="21"/>
                <w:szCs w:val="21"/>
              </w:rPr>
              <w:t>4</w:t>
            </w:r>
            <w:r>
              <w:rPr>
                <w:rFonts w:hAnsi="宋体"/>
                <w:sz w:val="21"/>
                <w:szCs w:val="21"/>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sz w:val="21"/>
                <w:szCs w:val="21"/>
              </w:rPr>
              <w:t>pH</w:t>
            </w:r>
          </w:p>
        </w:tc>
        <w:tc>
          <w:tcPr>
            <w:tcW w:w="6001" w:type="dxa"/>
            <w:vAlign w:val="center"/>
          </w:tcPr>
          <w:p>
            <w:pPr>
              <w:spacing w:line="240" w:lineRule="auto"/>
              <w:ind w:firstLine="0" w:firstLineChars="0"/>
              <w:contextualSpacing/>
              <w:jc w:val="center"/>
              <w:rPr>
                <w:sz w:val="21"/>
                <w:szCs w:val="21"/>
              </w:rPr>
            </w:pPr>
            <w:r>
              <w:rPr>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sz w:val="21"/>
                <w:szCs w:val="21"/>
              </w:rPr>
              <w:t>COD</w:t>
            </w:r>
          </w:p>
        </w:tc>
        <w:tc>
          <w:tcPr>
            <w:tcW w:w="6001" w:type="dxa"/>
            <w:vAlign w:val="center"/>
          </w:tcPr>
          <w:p>
            <w:pPr>
              <w:spacing w:line="240" w:lineRule="auto"/>
              <w:ind w:firstLine="0" w:firstLineChars="0"/>
              <w:contextualSpacing/>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sz w:val="21"/>
                <w:szCs w:val="21"/>
              </w:rPr>
              <w:t>BOD</w:t>
            </w:r>
          </w:p>
        </w:tc>
        <w:tc>
          <w:tcPr>
            <w:tcW w:w="6001" w:type="dxa"/>
            <w:vAlign w:val="center"/>
          </w:tcPr>
          <w:p>
            <w:pPr>
              <w:spacing w:line="240" w:lineRule="auto"/>
              <w:ind w:firstLine="0" w:firstLineChars="0"/>
              <w:contextualSpacing/>
              <w:jc w:val="center"/>
              <w:rPr>
                <w:sz w:val="21"/>
                <w:szCs w:val="21"/>
              </w:rPr>
            </w:pPr>
            <w:r>
              <w:rPr>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sz w:val="21"/>
                <w:szCs w:val="21"/>
              </w:rPr>
              <w:t>SS</w:t>
            </w:r>
          </w:p>
        </w:tc>
        <w:tc>
          <w:tcPr>
            <w:tcW w:w="6001" w:type="dxa"/>
            <w:vAlign w:val="center"/>
          </w:tcPr>
          <w:p>
            <w:pPr>
              <w:spacing w:line="240" w:lineRule="auto"/>
              <w:ind w:firstLine="0" w:firstLineChars="0"/>
              <w:contextualSpacing/>
              <w:jc w:val="center"/>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氨氮</w:t>
            </w:r>
          </w:p>
        </w:tc>
        <w:tc>
          <w:tcPr>
            <w:tcW w:w="6001" w:type="dxa"/>
            <w:vAlign w:val="center"/>
          </w:tcPr>
          <w:p>
            <w:pPr>
              <w:spacing w:line="240" w:lineRule="auto"/>
              <w:ind w:firstLine="0" w:firstLineChars="0"/>
              <w:contextualSpacing/>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阴离子表面活性剂</w:t>
            </w:r>
            <w:r>
              <w:rPr>
                <w:sz w:val="21"/>
                <w:szCs w:val="21"/>
              </w:rPr>
              <w:t>LAS</w:t>
            </w:r>
          </w:p>
        </w:tc>
        <w:tc>
          <w:tcPr>
            <w:tcW w:w="6001" w:type="dxa"/>
            <w:vAlign w:val="center"/>
          </w:tcPr>
          <w:p>
            <w:pPr>
              <w:spacing w:line="240" w:lineRule="auto"/>
              <w:ind w:firstLine="0" w:firstLineChars="0"/>
              <w:contextualSpacing/>
              <w:jc w:val="center"/>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溶解性总固体</w:t>
            </w:r>
          </w:p>
        </w:tc>
        <w:tc>
          <w:tcPr>
            <w:tcW w:w="6001" w:type="dxa"/>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硫酸盐（以</w:t>
            </w:r>
            <w:r>
              <w:rPr>
                <w:sz w:val="21"/>
                <w:szCs w:val="21"/>
              </w:rPr>
              <w:t>P</w:t>
            </w:r>
            <w:r>
              <w:rPr>
                <w:rFonts w:hAnsi="宋体"/>
                <w:sz w:val="21"/>
                <w:szCs w:val="21"/>
              </w:rPr>
              <w:t>计）</w:t>
            </w:r>
          </w:p>
        </w:tc>
        <w:tc>
          <w:tcPr>
            <w:tcW w:w="6001" w:type="dxa"/>
            <w:vAlign w:val="center"/>
          </w:tcPr>
          <w:p>
            <w:pPr>
              <w:spacing w:line="240" w:lineRule="auto"/>
              <w:ind w:firstLine="0" w:firstLineChars="0"/>
              <w:contextualSpacing/>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石油类</w:t>
            </w:r>
          </w:p>
        </w:tc>
        <w:tc>
          <w:tcPr>
            <w:tcW w:w="6001" w:type="dxa"/>
            <w:vAlign w:val="center"/>
          </w:tcPr>
          <w:p>
            <w:pPr>
              <w:spacing w:line="240" w:lineRule="auto"/>
              <w:ind w:firstLine="0" w:firstLineChars="0"/>
              <w:contextualSpacing/>
              <w:jc w:val="center"/>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spacing w:line="240" w:lineRule="auto"/>
              <w:ind w:firstLine="0" w:firstLineChars="0"/>
              <w:contextualSpacing/>
              <w:jc w:val="center"/>
              <w:rPr>
                <w:sz w:val="21"/>
                <w:szCs w:val="21"/>
              </w:rPr>
            </w:pPr>
            <w:r>
              <w:rPr>
                <w:rFonts w:hAnsi="宋体"/>
                <w:sz w:val="21"/>
                <w:szCs w:val="21"/>
              </w:rPr>
              <w:t>总大肠菌群</w:t>
            </w:r>
          </w:p>
        </w:tc>
        <w:tc>
          <w:tcPr>
            <w:tcW w:w="6001" w:type="dxa"/>
            <w:vAlign w:val="center"/>
          </w:tcPr>
          <w:p>
            <w:pPr>
              <w:spacing w:line="240" w:lineRule="auto"/>
              <w:ind w:firstLine="0" w:firstLineChars="0"/>
              <w:contextualSpacing/>
              <w:jc w:val="center"/>
              <w:rPr>
                <w:sz w:val="21"/>
                <w:szCs w:val="21"/>
              </w:rPr>
            </w:pPr>
            <w:r>
              <w:rPr>
                <w:sz w:val="21"/>
                <w:szCs w:val="21"/>
              </w:rPr>
              <w:t>-</w:t>
            </w:r>
          </w:p>
        </w:tc>
      </w:tr>
    </w:tbl>
    <w:p>
      <w:pPr>
        <w:ind w:firstLine="240" w:firstLineChars="100"/>
        <w:contextualSpacing/>
      </w:pPr>
      <w:bookmarkStart w:id="94" w:name="_Toc26390"/>
      <w:bookmarkStart w:id="95" w:name="_Toc6012"/>
      <w:bookmarkStart w:id="96" w:name="_Toc14193"/>
      <w:r>
        <w:rPr>
          <w:rFonts w:hAnsi="宋体"/>
        </w:rPr>
        <w:t>（</w:t>
      </w:r>
      <w:r>
        <w:t>2</w:t>
      </w:r>
      <w:r>
        <w:rPr>
          <w:rFonts w:hAnsi="宋体"/>
        </w:rPr>
        <w:t>）噪声</w:t>
      </w:r>
      <w:bookmarkEnd w:id="94"/>
      <w:bookmarkEnd w:id="95"/>
      <w:bookmarkEnd w:id="96"/>
    </w:p>
    <w:p>
      <w:pPr>
        <w:ind w:firstLine="480"/>
        <w:contextualSpacing/>
      </w:pPr>
      <w:r>
        <w:rPr>
          <w:rFonts w:hAnsi="宋体"/>
        </w:rPr>
        <w:t>施工场界执行《建筑施工场界环境噪声排放标准》（</w:t>
      </w:r>
      <w:r>
        <w:t>GB12523-2011</w:t>
      </w:r>
      <w:r>
        <w:rPr>
          <w:rFonts w:hAnsi="宋体"/>
        </w:rPr>
        <w:t>）；运行期执行《工业企业厂界环境噪声排放标准》（</w:t>
      </w:r>
      <w:r>
        <w:t>GB12348</w:t>
      </w:r>
      <w:r>
        <w:rPr>
          <w:rFonts w:hAnsi="宋体"/>
        </w:rPr>
        <w:t>－</w:t>
      </w:r>
      <w:r>
        <w:t>2008</w:t>
      </w:r>
      <w:r>
        <w:rPr>
          <w:rFonts w:hAnsi="宋体"/>
        </w:rPr>
        <w:t>）中的</w:t>
      </w:r>
      <w:r>
        <w:t>1</w:t>
      </w:r>
      <w:r>
        <w:rPr>
          <w:rFonts w:hAnsi="宋体"/>
        </w:rPr>
        <w:t>类标准。</w:t>
      </w:r>
    </w:p>
    <w:p>
      <w:pPr>
        <w:ind w:firstLine="0" w:firstLineChars="0"/>
        <w:contextualSpacing/>
        <w:jc w:val="center"/>
        <w:rPr>
          <w:b/>
          <w:bCs/>
          <w:sz w:val="21"/>
          <w:szCs w:val="21"/>
        </w:rPr>
      </w:pPr>
      <w:r>
        <w:rPr>
          <w:rFonts w:hAnsi="宋体"/>
          <w:b/>
          <w:bCs/>
          <w:sz w:val="21"/>
          <w:szCs w:val="21"/>
        </w:rPr>
        <w:t>表</w:t>
      </w:r>
      <w:r>
        <w:rPr>
          <w:b/>
          <w:bCs/>
          <w:sz w:val="21"/>
          <w:szCs w:val="21"/>
        </w:rPr>
        <w:t xml:space="preserve">1.3.2-2  </w:t>
      </w:r>
      <w:r>
        <w:rPr>
          <w:rFonts w:hAnsi="宋体"/>
          <w:b/>
          <w:bCs/>
          <w:sz w:val="21"/>
          <w:szCs w:val="21"/>
        </w:rPr>
        <w:t>噪声排放执行标准</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417"/>
        <w:gridCol w:w="1553"/>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Merge w:val="restart"/>
            <w:vAlign w:val="center"/>
          </w:tcPr>
          <w:p>
            <w:pPr>
              <w:spacing w:line="240" w:lineRule="auto"/>
              <w:ind w:firstLine="0" w:firstLineChars="0"/>
              <w:contextualSpacing/>
              <w:jc w:val="center"/>
              <w:rPr>
                <w:sz w:val="21"/>
                <w:szCs w:val="21"/>
              </w:rPr>
            </w:pPr>
            <w:r>
              <w:rPr>
                <w:rFonts w:hAnsi="宋体"/>
                <w:sz w:val="21"/>
                <w:szCs w:val="21"/>
              </w:rPr>
              <w:t>标准名称及级（类）别</w:t>
            </w:r>
          </w:p>
        </w:tc>
        <w:tc>
          <w:tcPr>
            <w:tcW w:w="1417" w:type="dxa"/>
            <w:vMerge w:val="restart"/>
            <w:vAlign w:val="center"/>
          </w:tcPr>
          <w:p>
            <w:pPr>
              <w:spacing w:line="240" w:lineRule="auto"/>
              <w:ind w:firstLine="0" w:firstLineChars="0"/>
              <w:contextualSpacing/>
              <w:jc w:val="center"/>
              <w:rPr>
                <w:sz w:val="21"/>
                <w:szCs w:val="21"/>
              </w:rPr>
            </w:pPr>
            <w:r>
              <w:rPr>
                <w:rFonts w:hAnsi="宋体"/>
                <w:sz w:val="21"/>
                <w:szCs w:val="21"/>
              </w:rPr>
              <w:t>污染因子</w:t>
            </w:r>
          </w:p>
        </w:tc>
        <w:tc>
          <w:tcPr>
            <w:tcW w:w="3106" w:type="dxa"/>
            <w:gridSpan w:val="2"/>
            <w:vAlign w:val="center"/>
          </w:tcPr>
          <w:p>
            <w:pPr>
              <w:spacing w:line="240" w:lineRule="auto"/>
              <w:ind w:firstLine="0" w:firstLineChars="0"/>
              <w:contextualSpacing/>
              <w:jc w:val="center"/>
              <w:rPr>
                <w:sz w:val="21"/>
                <w:szCs w:val="21"/>
              </w:rPr>
            </w:pPr>
            <w:r>
              <w:rPr>
                <w:rFonts w:hAnsi="宋体"/>
                <w:sz w:val="21"/>
                <w:szCs w:val="21"/>
              </w:rPr>
              <w:t>标准值</w:t>
            </w:r>
            <w:r>
              <w:rPr>
                <w:sz w:val="21"/>
                <w:szCs w:val="21"/>
              </w:rPr>
              <w:t>dB</w:t>
            </w:r>
            <w:r>
              <w:rPr>
                <w:rFonts w:hAnsi="宋体"/>
                <w:sz w:val="21"/>
                <w:szCs w:val="21"/>
              </w:rPr>
              <w:t>（</w:t>
            </w:r>
            <w:r>
              <w:rPr>
                <w:sz w:val="21"/>
                <w:szCs w:val="21"/>
              </w:rPr>
              <w:t>A</w:t>
            </w:r>
            <w:r>
              <w:rPr>
                <w:rFonts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Merge w:val="continue"/>
            <w:vAlign w:val="center"/>
          </w:tcPr>
          <w:p>
            <w:pPr>
              <w:spacing w:line="240" w:lineRule="auto"/>
              <w:ind w:firstLine="0" w:firstLineChars="0"/>
              <w:contextualSpacing/>
              <w:jc w:val="center"/>
              <w:rPr>
                <w:sz w:val="21"/>
                <w:szCs w:val="21"/>
              </w:rPr>
            </w:pPr>
          </w:p>
        </w:tc>
        <w:tc>
          <w:tcPr>
            <w:tcW w:w="1417" w:type="dxa"/>
            <w:vMerge w:val="continue"/>
            <w:vAlign w:val="center"/>
          </w:tcPr>
          <w:p>
            <w:pPr>
              <w:spacing w:line="240" w:lineRule="auto"/>
              <w:ind w:firstLine="0" w:firstLineChars="0"/>
              <w:contextualSpacing/>
              <w:jc w:val="center"/>
              <w:rPr>
                <w:sz w:val="21"/>
                <w:szCs w:val="21"/>
              </w:rPr>
            </w:pPr>
          </w:p>
        </w:tc>
        <w:tc>
          <w:tcPr>
            <w:tcW w:w="1553" w:type="dxa"/>
            <w:vAlign w:val="center"/>
          </w:tcPr>
          <w:p>
            <w:pPr>
              <w:spacing w:line="240" w:lineRule="auto"/>
              <w:ind w:firstLine="0" w:firstLineChars="0"/>
              <w:contextualSpacing/>
              <w:jc w:val="center"/>
              <w:rPr>
                <w:sz w:val="21"/>
                <w:szCs w:val="21"/>
              </w:rPr>
            </w:pPr>
            <w:r>
              <w:rPr>
                <w:rFonts w:hAnsi="宋体"/>
                <w:sz w:val="21"/>
                <w:szCs w:val="21"/>
              </w:rPr>
              <w:t>昼间</w:t>
            </w:r>
          </w:p>
        </w:tc>
        <w:tc>
          <w:tcPr>
            <w:tcW w:w="1553" w:type="dxa"/>
            <w:vAlign w:val="center"/>
          </w:tcPr>
          <w:p>
            <w:pPr>
              <w:spacing w:line="240" w:lineRule="auto"/>
              <w:ind w:firstLine="0" w:firstLineChars="0"/>
              <w:contextualSpacing/>
              <w:jc w:val="center"/>
              <w:rPr>
                <w:sz w:val="21"/>
                <w:szCs w:val="21"/>
              </w:rPr>
            </w:pPr>
            <w:r>
              <w:rPr>
                <w:rFonts w:hAnsi="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spacing w:line="240" w:lineRule="auto"/>
              <w:ind w:firstLine="0" w:firstLineChars="0"/>
              <w:contextualSpacing/>
              <w:jc w:val="center"/>
              <w:rPr>
                <w:sz w:val="21"/>
                <w:szCs w:val="21"/>
              </w:rPr>
            </w:pPr>
            <w:r>
              <w:rPr>
                <w:rFonts w:hAnsi="宋体"/>
                <w:sz w:val="21"/>
                <w:szCs w:val="21"/>
              </w:rPr>
              <w:t>《工业企业厂界环境噪声排放标准》（</w:t>
            </w:r>
            <w:r>
              <w:rPr>
                <w:sz w:val="21"/>
                <w:szCs w:val="21"/>
              </w:rPr>
              <w:t>GB12348</w:t>
            </w:r>
            <w:r>
              <w:rPr>
                <w:rFonts w:hAnsi="宋体"/>
                <w:sz w:val="21"/>
                <w:szCs w:val="21"/>
              </w:rPr>
              <w:t>－</w:t>
            </w:r>
            <w:r>
              <w:rPr>
                <w:sz w:val="21"/>
                <w:szCs w:val="21"/>
              </w:rPr>
              <w:t>2008</w:t>
            </w:r>
            <w:r>
              <w:rPr>
                <w:rFonts w:hAnsi="宋体"/>
                <w:sz w:val="21"/>
                <w:szCs w:val="21"/>
              </w:rPr>
              <w:t>）中的</w:t>
            </w:r>
            <w:r>
              <w:rPr>
                <w:sz w:val="21"/>
                <w:szCs w:val="21"/>
              </w:rPr>
              <w:t>1</w:t>
            </w:r>
            <w:r>
              <w:rPr>
                <w:rFonts w:hAnsi="宋体"/>
                <w:sz w:val="21"/>
                <w:szCs w:val="21"/>
              </w:rPr>
              <w:t>类标准</w:t>
            </w:r>
          </w:p>
        </w:tc>
        <w:tc>
          <w:tcPr>
            <w:tcW w:w="1417" w:type="dxa"/>
            <w:vAlign w:val="center"/>
          </w:tcPr>
          <w:p>
            <w:pPr>
              <w:spacing w:line="240" w:lineRule="auto"/>
              <w:ind w:firstLine="0" w:firstLineChars="0"/>
              <w:contextualSpacing/>
              <w:jc w:val="center"/>
              <w:rPr>
                <w:sz w:val="21"/>
                <w:szCs w:val="21"/>
              </w:rPr>
            </w:pPr>
            <w:r>
              <w:rPr>
                <w:rFonts w:hAnsi="宋体"/>
                <w:sz w:val="21"/>
                <w:szCs w:val="21"/>
              </w:rPr>
              <w:t>运行期噪声</w:t>
            </w:r>
          </w:p>
        </w:tc>
        <w:tc>
          <w:tcPr>
            <w:tcW w:w="1553" w:type="dxa"/>
            <w:vAlign w:val="center"/>
          </w:tcPr>
          <w:p>
            <w:pPr>
              <w:spacing w:line="240" w:lineRule="auto"/>
              <w:ind w:firstLine="0" w:firstLineChars="0"/>
              <w:contextualSpacing/>
              <w:jc w:val="center"/>
              <w:rPr>
                <w:sz w:val="21"/>
                <w:szCs w:val="21"/>
              </w:rPr>
            </w:pPr>
            <w:r>
              <w:rPr>
                <w:sz w:val="21"/>
                <w:szCs w:val="21"/>
              </w:rPr>
              <w:t>55</w:t>
            </w:r>
          </w:p>
        </w:tc>
        <w:tc>
          <w:tcPr>
            <w:tcW w:w="1553" w:type="dxa"/>
            <w:vAlign w:val="center"/>
          </w:tcPr>
          <w:p>
            <w:pPr>
              <w:spacing w:line="240" w:lineRule="auto"/>
              <w:ind w:firstLine="0" w:firstLineChars="0"/>
              <w:contextualSpacing/>
              <w:jc w:val="center"/>
              <w:rPr>
                <w:sz w:val="21"/>
                <w:szCs w:val="21"/>
              </w:rPr>
            </w:pPr>
            <w:r>
              <w:rPr>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spacing w:line="240" w:lineRule="auto"/>
              <w:ind w:firstLine="0" w:firstLineChars="0"/>
              <w:contextualSpacing/>
              <w:jc w:val="center"/>
              <w:rPr>
                <w:sz w:val="21"/>
                <w:szCs w:val="21"/>
              </w:rPr>
            </w:pPr>
            <w:r>
              <w:rPr>
                <w:rFonts w:hAnsi="宋体"/>
                <w:sz w:val="21"/>
                <w:szCs w:val="21"/>
              </w:rPr>
              <w:t>《建筑施工场界环境噪声排放标准》（</w:t>
            </w:r>
            <w:r>
              <w:rPr>
                <w:sz w:val="21"/>
                <w:szCs w:val="21"/>
              </w:rPr>
              <w:t>GB12523-2011</w:t>
            </w:r>
            <w:r>
              <w:rPr>
                <w:rFonts w:hAnsi="宋体"/>
                <w:sz w:val="21"/>
                <w:szCs w:val="21"/>
              </w:rPr>
              <w:t>）</w:t>
            </w:r>
          </w:p>
        </w:tc>
        <w:tc>
          <w:tcPr>
            <w:tcW w:w="1417" w:type="dxa"/>
            <w:vAlign w:val="center"/>
          </w:tcPr>
          <w:p>
            <w:pPr>
              <w:spacing w:line="240" w:lineRule="auto"/>
              <w:ind w:firstLine="0" w:firstLineChars="0"/>
              <w:contextualSpacing/>
              <w:jc w:val="center"/>
              <w:rPr>
                <w:sz w:val="21"/>
                <w:szCs w:val="21"/>
              </w:rPr>
            </w:pPr>
            <w:r>
              <w:rPr>
                <w:rFonts w:hAnsi="宋体"/>
                <w:sz w:val="21"/>
                <w:szCs w:val="21"/>
              </w:rPr>
              <w:t>施工期噪声</w:t>
            </w:r>
          </w:p>
        </w:tc>
        <w:tc>
          <w:tcPr>
            <w:tcW w:w="1553" w:type="dxa"/>
            <w:vAlign w:val="center"/>
          </w:tcPr>
          <w:p>
            <w:pPr>
              <w:spacing w:line="240" w:lineRule="auto"/>
              <w:ind w:firstLine="0" w:firstLineChars="0"/>
              <w:contextualSpacing/>
              <w:jc w:val="center"/>
              <w:rPr>
                <w:sz w:val="21"/>
                <w:szCs w:val="21"/>
              </w:rPr>
            </w:pPr>
            <w:r>
              <w:rPr>
                <w:sz w:val="21"/>
                <w:szCs w:val="21"/>
              </w:rPr>
              <w:t>70</w:t>
            </w:r>
          </w:p>
        </w:tc>
        <w:tc>
          <w:tcPr>
            <w:tcW w:w="1553" w:type="dxa"/>
            <w:vAlign w:val="center"/>
          </w:tcPr>
          <w:p>
            <w:pPr>
              <w:spacing w:line="240" w:lineRule="auto"/>
              <w:ind w:firstLine="0" w:firstLineChars="0"/>
              <w:contextualSpacing/>
              <w:jc w:val="center"/>
              <w:rPr>
                <w:sz w:val="21"/>
                <w:szCs w:val="21"/>
              </w:rPr>
            </w:pPr>
            <w:r>
              <w:rPr>
                <w:sz w:val="21"/>
                <w:szCs w:val="21"/>
              </w:rPr>
              <w:t>55</w:t>
            </w:r>
          </w:p>
        </w:tc>
      </w:tr>
    </w:tbl>
    <w:p>
      <w:pPr>
        <w:ind w:firstLine="480"/>
        <w:contextualSpacing/>
      </w:pPr>
      <w:bookmarkStart w:id="97" w:name="_Toc19111"/>
      <w:bookmarkStart w:id="98" w:name="_Toc19548"/>
      <w:bookmarkStart w:id="99" w:name="_Toc18910"/>
      <w:r>
        <w:rPr>
          <w:rFonts w:hAnsi="宋体"/>
        </w:rPr>
        <w:t>（</w:t>
      </w:r>
      <w:r>
        <w:t>3</w:t>
      </w:r>
      <w:r>
        <w:rPr>
          <w:rFonts w:hAnsi="宋体"/>
        </w:rPr>
        <w:t>）废气</w:t>
      </w:r>
      <w:bookmarkEnd w:id="97"/>
      <w:bookmarkEnd w:id="98"/>
      <w:bookmarkEnd w:id="99"/>
    </w:p>
    <w:p>
      <w:pPr>
        <w:ind w:firstLine="480"/>
        <w:contextualSpacing/>
      </w:pPr>
      <w:r>
        <w:rPr>
          <w:rFonts w:hAnsi="宋体"/>
        </w:rPr>
        <w:t>施工期废气主要为施工扬尘，运输车辆及机械尾气，均为无组织排放。工程运行期不排放废气。</w:t>
      </w:r>
      <w:r>
        <w:rPr>
          <w:rFonts w:hint="eastAsia" w:hAnsi="宋体"/>
        </w:rPr>
        <w:t>施工期大气污染物排放执行《四川省施工场地扬尘排放标准》（DB2682-2020）表2中相关标准</w:t>
      </w:r>
      <w:r>
        <w:rPr>
          <w:rFonts w:hAnsi="宋体"/>
        </w:rPr>
        <w:t>。</w:t>
      </w:r>
    </w:p>
    <w:p>
      <w:pPr>
        <w:ind w:firstLine="0" w:firstLineChars="0"/>
        <w:contextualSpacing/>
        <w:jc w:val="center"/>
        <w:rPr>
          <w:b/>
          <w:bCs/>
          <w:sz w:val="21"/>
          <w:szCs w:val="21"/>
        </w:rPr>
      </w:pPr>
      <w:r>
        <w:rPr>
          <w:rFonts w:hAnsi="宋体"/>
          <w:b/>
          <w:bCs/>
          <w:sz w:val="21"/>
          <w:szCs w:val="21"/>
        </w:rPr>
        <w:t>表</w:t>
      </w:r>
      <w:r>
        <w:rPr>
          <w:b/>
          <w:bCs/>
          <w:sz w:val="21"/>
          <w:szCs w:val="21"/>
        </w:rPr>
        <w:t xml:space="preserve">1.3.2-3  </w:t>
      </w:r>
      <w:r>
        <w:rPr>
          <w:rFonts w:hAnsi="宋体"/>
          <w:b/>
          <w:bCs/>
          <w:sz w:val="21"/>
          <w:szCs w:val="21"/>
        </w:rPr>
        <w:t>大气污染物排放标准限值</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3684"/>
        <w:gridCol w:w="1735"/>
        <w:gridCol w:w="1360"/>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Align w:val="center"/>
          </w:tcPr>
          <w:p>
            <w:pPr>
              <w:widowControl/>
              <w:spacing w:line="240" w:lineRule="auto"/>
              <w:ind w:firstLine="0" w:firstLineChars="0"/>
              <w:jc w:val="center"/>
              <w:rPr>
                <w:kern w:val="0"/>
                <w:sz w:val="20"/>
                <w:szCs w:val="20"/>
              </w:rPr>
            </w:pPr>
            <w:bookmarkStart w:id="100" w:name="_Toc12595"/>
            <w:bookmarkStart w:id="101" w:name="_Toc921"/>
            <w:bookmarkStart w:id="102" w:name="_Toc29212"/>
            <w:r>
              <w:rPr>
                <w:kern w:val="0"/>
                <w:sz w:val="20"/>
                <w:szCs w:val="20"/>
              </w:rPr>
              <w:t>监测项目</w:t>
            </w:r>
          </w:p>
        </w:tc>
        <w:tc>
          <w:tcPr>
            <w:tcW w:w="2172" w:type="pct"/>
            <w:vAlign w:val="center"/>
          </w:tcPr>
          <w:p>
            <w:pPr>
              <w:widowControl/>
              <w:spacing w:line="240" w:lineRule="auto"/>
              <w:ind w:firstLine="0" w:firstLineChars="0"/>
              <w:jc w:val="center"/>
              <w:rPr>
                <w:kern w:val="0"/>
                <w:sz w:val="20"/>
                <w:szCs w:val="20"/>
              </w:rPr>
            </w:pPr>
            <w:r>
              <w:rPr>
                <w:kern w:val="0"/>
                <w:sz w:val="20"/>
                <w:szCs w:val="20"/>
              </w:rPr>
              <w:t>区域</w:t>
            </w:r>
          </w:p>
        </w:tc>
        <w:tc>
          <w:tcPr>
            <w:tcW w:w="1028" w:type="pct"/>
            <w:vAlign w:val="center"/>
          </w:tcPr>
          <w:p>
            <w:pPr>
              <w:widowControl/>
              <w:spacing w:line="240" w:lineRule="auto"/>
              <w:ind w:firstLine="0" w:firstLineChars="0"/>
              <w:jc w:val="center"/>
              <w:rPr>
                <w:kern w:val="0"/>
                <w:sz w:val="20"/>
                <w:szCs w:val="20"/>
              </w:rPr>
            </w:pPr>
            <w:r>
              <w:rPr>
                <w:kern w:val="0"/>
                <w:sz w:val="20"/>
                <w:szCs w:val="20"/>
              </w:rPr>
              <w:t>施工阶段</w:t>
            </w:r>
          </w:p>
        </w:tc>
        <w:tc>
          <w:tcPr>
            <w:tcW w:w="808" w:type="pct"/>
            <w:vAlign w:val="center"/>
          </w:tcPr>
          <w:p>
            <w:pPr>
              <w:widowControl/>
              <w:spacing w:line="240" w:lineRule="auto"/>
              <w:ind w:firstLine="0" w:firstLineChars="0"/>
              <w:jc w:val="center"/>
              <w:rPr>
                <w:kern w:val="0"/>
                <w:sz w:val="20"/>
                <w:szCs w:val="20"/>
              </w:rPr>
            </w:pPr>
            <w:r>
              <w:rPr>
                <w:kern w:val="0"/>
                <w:sz w:val="20"/>
                <w:szCs w:val="20"/>
              </w:rPr>
              <w:t>监测点排放限值（μg/m</w:t>
            </w:r>
            <w:r>
              <w:rPr>
                <w:kern w:val="0"/>
                <w:sz w:val="20"/>
                <w:szCs w:val="20"/>
                <w:vertAlign w:val="superscript"/>
              </w:rPr>
              <w:t>3</w:t>
            </w:r>
            <w:r>
              <w:rPr>
                <w:kern w:val="0"/>
                <w:sz w:val="20"/>
                <w:szCs w:val="20"/>
              </w:rPr>
              <w:t>）</w:t>
            </w:r>
          </w:p>
        </w:tc>
        <w:tc>
          <w:tcPr>
            <w:tcW w:w="414" w:type="pct"/>
            <w:vAlign w:val="center"/>
          </w:tcPr>
          <w:p>
            <w:pPr>
              <w:widowControl/>
              <w:spacing w:line="240" w:lineRule="auto"/>
              <w:ind w:firstLine="0" w:firstLineChars="0"/>
              <w:jc w:val="center"/>
              <w:rPr>
                <w:kern w:val="0"/>
                <w:sz w:val="20"/>
                <w:szCs w:val="20"/>
              </w:rPr>
            </w:pPr>
            <w:r>
              <w:rPr>
                <w:kern w:val="0"/>
                <w:sz w:val="20"/>
                <w:szCs w:val="20"/>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8" w:type="pct"/>
            <w:vMerge w:val="restart"/>
            <w:vAlign w:val="center"/>
          </w:tcPr>
          <w:p>
            <w:pPr>
              <w:pStyle w:val="2"/>
              <w:spacing w:before="0" w:line="240" w:lineRule="auto"/>
              <w:ind w:firstLine="0" w:firstLineChars="0"/>
              <w:jc w:val="center"/>
              <w:rPr>
                <w:sz w:val="20"/>
              </w:rPr>
            </w:pPr>
            <w:r>
              <w:rPr>
                <w:sz w:val="20"/>
              </w:rPr>
              <w:t>总悬浮颗粒物（TSP）</w:t>
            </w:r>
          </w:p>
        </w:tc>
        <w:tc>
          <w:tcPr>
            <w:tcW w:w="2172" w:type="pct"/>
            <w:vMerge w:val="restart"/>
            <w:vAlign w:val="center"/>
          </w:tcPr>
          <w:p>
            <w:pPr>
              <w:pStyle w:val="2"/>
              <w:spacing w:before="0" w:line="240" w:lineRule="auto"/>
              <w:ind w:firstLine="0" w:firstLineChars="0"/>
              <w:jc w:val="center"/>
              <w:rPr>
                <w:sz w:val="20"/>
              </w:rPr>
            </w:pPr>
            <w:r>
              <w:rPr>
                <w:sz w:val="20"/>
              </w:rPr>
              <w:t>成都市、自贡市、泸州市、德阳市、绵阳市、广元市、遂宁市、内江市、乐山市、南充市、宜宾市、广安市、达州市、巴中市、雅安市、眉山市、资阳市</w:t>
            </w:r>
          </w:p>
        </w:tc>
        <w:tc>
          <w:tcPr>
            <w:tcW w:w="1028" w:type="pct"/>
            <w:vAlign w:val="center"/>
          </w:tcPr>
          <w:p>
            <w:pPr>
              <w:widowControl/>
              <w:spacing w:line="240" w:lineRule="auto"/>
              <w:ind w:firstLine="0" w:firstLineChars="0"/>
              <w:jc w:val="center"/>
              <w:rPr>
                <w:kern w:val="0"/>
                <w:sz w:val="20"/>
                <w:szCs w:val="20"/>
              </w:rPr>
            </w:pPr>
            <w:r>
              <w:rPr>
                <w:kern w:val="0"/>
                <w:sz w:val="20"/>
                <w:szCs w:val="20"/>
              </w:rPr>
              <w:t>拆除工程/土方开挖/土方回填阶段</w:t>
            </w:r>
          </w:p>
        </w:tc>
        <w:tc>
          <w:tcPr>
            <w:tcW w:w="808" w:type="pct"/>
            <w:vAlign w:val="center"/>
          </w:tcPr>
          <w:p>
            <w:pPr>
              <w:widowControl/>
              <w:spacing w:line="240" w:lineRule="auto"/>
              <w:ind w:firstLine="0" w:firstLineChars="0"/>
              <w:jc w:val="center"/>
              <w:rPr>
                <w:kern w:val="0"/>
                <w:sz w:val="20"/>
                <w:szCs w:val="20"/>
              </w:rPr>
            </w:pPr>
            <w:r>
              <w:rPr>
                <w:kern w:val="0"/>
                <w:sz w:val="20"/>
                <w:szCs w:val="20"/>
              </w:rPr>
              <w:t>600</w:t>
            </w:r>
          </w:p>
        </w:tc>
        <w:tc>
          <w:tcPr>
            <w:tcW w:w="414" w:type="pct"/>
            <w:vMerge w:val="restart"/>
            <w:vAlign w:val="center"/>
          </w:tcPr>
          <w:p>
            <w:pPr>
              <w:pStyle w:val="2"/>
              <w:spacing w:before="0" w:line="240" w:lineRule="auto"/>
              <w:ind w:firstLine="0" w:firstLineChars="0"/>
              <w:jc w:val="center"/>
              <w:rPr>
                <w:sz w:val="20"/>
              </w:rPr>
            </w:pPr>
            <w:r>
              <w:rPr>
                <w:sz w:val="20"/>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78" w:type="pct"/>
            <w:vMerge w:val="continue"/>
            <w:vAlign w:val="center"/>
          </w:tcPr>
          <w:p>
            <w:pPr>
              <w:pStyle w:val="2"/>
              <w:spacing w:before="0" w:line="240" w:lineRule="auto"/>
              <w:ind w:firstLine="0" w:firstLineChars="0"/>
              <w:jc w:val="center"/>
              <w:rPr>
                <w:sz w:val="20"/>
              </w:rPr>
            </w:pPr>
          </w:p>
        </w:tc>
        <w:tc>
          <w:tcPr>
            <w:tcW w:w="2172" w:type="pct"/>
            <w:vMerge w:val="continue"/>
            <w:vAlign w:val="center"/>
          </w:tcPr>
          <w:p>
            <w:pPr>
              <w:pStyle w:val="2"/>
              <w:spacing w:before="0" w:line="240" w:lineRule="auto"/>
              <w:ind w:firstLine="0" w:firstLineChars="0"/>
              <w:jc w:val="center"/>
              <w:rPr>
                <w:sz w:val="20"/>
              </w:rPr>
            </w:pPr>
          </w:p>
        </w:tc>
        <w:tc>
          <w:tcPr>
            <w:tcW w:w="1028" w:type="pct"/>
            <w:vAlign w:val="center"/>
          </w:tcPr>
          <w:p>
            <w:pPr>
              <w:pStyle w:val="2"/>
              <w:spacing w:before="0" w:line="240" w:lineRule="auto"/>
              <w:ind w:firstLine="0" w:firstLineChars="0"/>
              <w:jc w:val="center"/>
              <w:rPr>
                <w:sz w:val="20"/>
              </w:rPr>
            </w:pPr>
            <w:r>
              <w:rPr>
                <w:sz w:val="20"/>
              </w:rPr>
              <w:t>其他工程阶段</w:t>
            </w:r>
          </w:p>
        </w:tc>
        <w:tc>
          <w:tcPr>
            <w:tcW w:w="808" w:type="pct"/>
            <w:vAlign w:val="center"/>
          </w:tcPr>
          <w:p>
            <w:pPr>
              <w:widowControl/>
              <w:spacing w:line="240" w:lineRule="auto"/>
              <w:ind w:firstLine="0" w:firstLineChars="0"/>
              <w:jc w:val="center"/>
              <w:rPr>
                <w:kern w:val="0"/>
                <w:sz w:val="20"/>
                <w:szCs w:val="20"/>
              </w:rPr>
            </w:pPr>
            <w:r>
              <w:rPr>
                <w:kern w:val="0"/>
                <w:sz w:val="20"/>
                <w:szCs w:val="20"/>
              </w:rPr>
              <w:t>200</w:t>
            </w:r>
          </w:p>
        </w:tc>
        <w:tc>
          <w:tcPr>
            <w:tcW w:w="414" w:type="pct"/>
            <w:vMerge w:val="continue"/>
            <w:vAlign w:val="center"/>
          </w:tcPr>
          <w:p>
            <w:pPr>
              <w:pStyle w:val="2"/>
              <w:spacing w:before="0" w:line="240" w:lineRule="auto"/>
              <w:ind w:firstLine="0" w:firstLineChars="0"/>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78" w:type="pct"/>
            <w:vMerge w:val="continue"/>
            <w:vAlign w:val="center"/>
          </w:tcPr>
          <w:p>
            <w:pPr>
              <w:pStyle w:val="2"/>
              <w:spacing w:before="0" w:line="240" w:lineRule="auto"/>
              <w:ind w:firstLine="0" w:firstLineChars="0"/>
              <w:jc w:val="center"/>
              <w:rPr>
                <w:sz w:val="20"/>
              </w:rPr>
            </w:pPr>
          </w:p>
        </w:tc>
        <w:tc>
          <w:tcPr>
            <w:tcW w:w="2172" w:type="pct"/>
            <w:vMerge w:val="restart"/>
            <w:vAlign w:val="center"/>
          </w:tcPr>
          <w:p>
            <w:pPr>
              <w:pStyle w:val="2"/>
              <w:spacing w:before="0" w:line="240" w:lineRule="auto"/>
              <w:ind w:firstLine="0" w:firstLineChars="0"/>
              <w:jc w:val="center"/>
              <w:rPr>
                <w:sz w:val="20"/>
              </w:rPr>
            </w:pPr>
            <w:r>
              <w:rPr>
                <w:sz w:val="20"/>
              </w:rPr>
              <w:t>攀枝花市、阿坝藏族羌族自治州、甘孜藏族自治州、凉山彝族自治州</w:t>
            </w:r>
          </w:p>
        </w:tc>
        <w:tc>
          <w:tcPr>
            <w:tcW w:w="1028" w:type="pct"/>
            <w:vAlign w:val="center"/>
          </w:tcPr>
          <w:p>
            <w:pPr>
              <w:widowControl/>
              <w:spacing w:line="240" w:lineRule="auto"/>
              <w:ind w:firstLine="0" w:firstLineChars="0"/>
              <w:jc w:val="center"/>
              <w:rPr>
                <w:kern w:val="0"/>
                <w:sz w:val="20"/>
                <w:szCs w:val="20"/>
              </w:rPr>
            </w:pPr>
            <w:r>
              <w:rPr>
                <w:kern w:val="0"/>
                <w:sz w:val="20"/>
                <w:szCs w:val="20"/>
              </w:rPr>
              <w:t>拆除工程/土方开挖/土方回填阶段</w:t>
            </w:r>
          </w:p>
        </w:tc>
        <w:tc>
          <w:tcPr>
            <w:tcW w:w="808" w:type="pct"/>
            <w:vAlign w:val="center"/>
          </w:tcPr>
          <w:p>
            <w:pPr>
              <w:widowControl/>
              <w:spacing w:line="240" w:lineRule="auto"/>
              <w:ind w:firstLine="0" w:firstLineChars="0"/>
              <w:jc w:val="center"/>
              <w:rPr>
                <w:kern w:val="0"/>
                <w:sz w:val="20"/>
                <w:szCs w:val="20"/>
              </w:rPr>
            </w:pPr>
            <w:r>
              <w:rPr>
                <w:kern w:val="0"/>
                <w:sz w:val="20"/>
                <w:szCs w:val="20"/>
              </w:rPr>
              <w:t>900</w:t>
            </w:r>
          </w:p>
        </w:tc>
        <w:tc>
          <w:tcPr>
            <w:tcW w:w="414" w:type="pct"/>
            <w:vMerge w:val="continue"/>
            <w:vAlign w:val="center"/>
          </w:tcPr>
          <w:p>
            <w:pPr>
              <w:pStyle w:val="2"/>
              <w:spacing w:before="0" w:line="240" w:lineRule="auto"/>
              <w:ind w:firstLine="0" w:firstLineChars="0"/>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Merge w:val="continue"/>
            <w:vAlign w:val="center"/>
          </w:tcPr>
          <w:p>
            <w:pPr>
              <w:pStyle w:val="2"/>
              <w:spacing w:before="0" w:line="240" w:lineRule="auto"/>
              <w:ind w:firstLine="0" w:firstLineChars="0"/>
              <w:jc w:val="center"/>
              <w:rPr>
                <w:sz w:val="20"/>
              </w:rPr>
            </w:pPr>
          </w:p>
        </w:tc>
        <w:tc>
          <w:tcPr>
            <w:tcW w:w="2172" w:type="pct"/>
            <w:vMerge w:val="continue"/>
            <w:vAlign w:val="center"/>
          </w:tcPr>
          <w:p>
            <w:pPr>
              <w:pStyle w:val="2"/>
              <w:spacing w:before="0" w:line="240" w:lineRule="auto"/>
              <w:ind w:firstLine="0" w:firstLineChars="0"/>
              <w:jc w:val="center"/>
              <w:rPr>
                <w:sz w:val="20"/>
              </w:rPr>
            </w:pPr>
          </w:p>
        </w:tc>
        <w:tc>
          <w:tcPr>
            <w:tcW w:w="1028" w:type="pct"/>
            <w:vAlign w:val="center"/>
          </w:tcPr>
          <w:p>
            <w:pPr>
              <w:widowControl/>
              <w:spacing w:line="240" w:lineRule="auto"/>
              <w:ind w:firstLine="0" w:firstLineChars="0"/>
              <w:jc w:val="center"/>
              <w:rPr>
                <w:kern w:val="0"/>
                <w:sz w:val="20"/>
                <w:szCs w:val="20"/>
              </w:rPr>
            </w:pPr>
            <w:r>
              <w:rPr>
                <w:kern w:val="0"/>
                <w:sz w:val="20"/>
                <w:szCs w:val="20"/>
              </w:rPr>
              <w:t>其他工程阶段</w:t>
            </w:r>
          </w:p>
        </w:tc>
        <w:tc>
          <w:tcPr>
            <w:tcW w:w="808" w:type="pct"/>
            <w:vAlign w:val="center"/>
          </w:tcPr>
          <w:p>
            <w:pPr>
              <w:widowControl/>
              <w:spacing w:line="240" w:lineRule="auto"/>
              <w:ind w:firstLine="0" w:firstLineChars="0"/>
              <w:jc w:val="center"/>
              <w:rPr>
                <w:kern w:val="0"/>
                <w:sz w:val="20"/>
                <w:szCs w:val="20"/>
              </w:rPr>
            </w:pPr>
            <w:r>
              <w:rPr>
                <w:kern w:val="0"/>
                <w:sz w:val="20"/>
                <w:szCs w:val="20"/>
              </w:rPr>
              <w:t>350</w:t>
            </w:r>
          </w:p>
        </w:tc>
        <w:tc>
          <w:tcPr>
            <w:tcW w:w="414" w:type="pct"/>
            <w:vMerge w:val="continue"/>
            <w:vAlign w:val="center"/>
          </w:tcPr>
          <w:p>
            <w:pPr>
              <w:pStyle w:val="2"/>
              <w:spacing w:before="0" w:line="240" w:lineRule="auto"/>
              <w:ind w:firstLine="0" w:firstLineChars="0"/>
              <w:jc w:val="center"/>
              <w:rPr>
                <w:sz w:val="20"/>
              </w:rPr>
            </w:pPr>
          </w:p>
        </w:tc>
      </w:tr>
    </w:tbl>
    <w:p>
      <w:pPr>
        <w:ind w:firstLine="480"/>
        <w:contextualSpacing/>
      </w:pPr>
      <w:r>
        <w:rPr>
          <w:rFonts w:hAnsi="宋体"/>
        </w:rPr>
        <w:t>（</w:t>
      </w:r>
      <w:r>
        <w:t>4</w:t>
      </w:r>
      <w:r>
        <w:rPr>
          <w:rFonts w:hAnsi="宋体"/>
        </w:rPr>
        <w:t>）固体废物</w:t>
      </w:r>
      <w:bookmarkEnd w:id="100"/>
      <w:bookmarkEnd w:id="101"/>
      <w:bookmarkEnd w:id="102"/>
    </w:p>
    <w:p>
      <w:pPr>
        <w:ind w:firstLine="480"/>
        <w:contextualSpacing/>
      </w:pPr>
      <w:r>
        <w:rPr>
          <w:rFonts w:hAnsi="宋体"/>
        </w:rPr>
        <w:t>一般工业固体废物执行《一般工业固体废物贮存和填埋污染控制标准》（</w:t>
      </w:r>
      <w:r>
        <w:t>GB18599-2020</w:t>
      </w:r>
      <w:r>
        <w:rPr>
          <w:rFonts w:hAnsi="宋体"/>
        </w:rPr>
        <w:t>）；危险废物执行《危险废物贮存污染控制标准》（</w:t>
      </w:r>
      <w:r>
        <w:t>GB18597-2001</w:t>
      </w:r>
      <w:r>
        <w:rPr>
          <w:rFonts w:hAnsi="宋体"/>
        </w:rPr>
        <w:t>）及</w:t>
      </w:r>
      <w:r>
        <w:t>2013</w:t>
      </w:r>
      <w:r>
        <w:rPr>
          <w:rFonts w:hAnsi="宋体"/>
        </w:rPr>
        <w:t>年修改单。</w:t>
      </w:r>
    </w:p>
    <w:p>
      <w:pPr>
        <w:pStyle w:val="4"/>
        <w:ind w:firstLine="0" w:firstLineChars="0"/>
        <w:contextualSpacing/>
      </w:pPr>
      <w:bookmarkStart w:id="103" w:name="_Toc24972"/>
      <w:bookmarkStart w:id="104" w:name="_Toc11927"/>
      <w:bookmarkStart w:id="105" w:name="_Toc17590"/>
      <w:bookmarkStart w:id="106" w:name="_Toc17823"/>
      <w:bookmarkStart w:id="107" w:name="_Toc6437"/>
      <w:bookmarkStart w:id="108" w:name="_Toc14558"/>
      <w:bookmarkStart w:id="109" w:name="_Toc30630"/>
      <w:bookmarkStart w:id="110" w:name="_Toc6898"/>
      <w:bookmarkStart w:id="111" w:name="_Toc25931"/>
      <w:bookmarkStart w:id="112" w:name="_Toc130753404"/>
      <w:r>
        <w:t>1.4</w:t>
      </w:r>
      <w:r>
        <w:rPr>
          <w:rFonts w:hAnsi="宋体"/>
        </w:rPr>
        <w:t>评价等级</w:t>
      </w:r>
      <w:bookmarkEnd w:id="103"/>
      <w:bookmarkEnd w:id="104"/>
      <w:bookmarkEnd w:id="105"/>
      <w:bookmarkEnd w:id="106"/>
      <w:bookmarkEnd w:id="107"/>
      <w:bookmarkEnd w:id="108"/>
      <w:bookmarkEnd w:id="109"/>
      <w:bookmarkEnd w:id="110"/>
      <w:bookmarkEnd w:id="111"/>
      <w:bookmarkEnd w:id="112"/>
    </w:p>
    <w:p>
      <w:pPr>
        <w:pStyle w:val="5"/>
        <w:ind w:firstLine="0" w:firstLineChars="0"/>
        <w:contextualSpacing/>
        <w:rPr>
          <w:rFonts w:ascii="Times New Roman" w:hAnsi="Times New Roman"/>
        </w:rPr>
      </w:pPr>
      <w:bookmarkStart w:id="113" w:name="_Toc32037"/>
      <w:bookmarkStart w:id="114" w:name="_Toc24277"/>
      <w:bookmarkStart w:id="115" w:name="_Toc14271"/>
      <w:bookmarkStart w:id="116" w:name="_Toc15095"/>
      <w:bookmarkStart w:id="117" w:name="_Toc1633"/>
      <w:bookmarkStart w:id="118" w:name="_Toc30212"/>
      <w:bookmarkStart w:id="119" w:name="_Toc25589"/>
      <w:bookmarkStart w:id="120" w:name="_Toc10264"/>
      <w:bookmarkStart w:id="121" w:name="_Toc18726"/>
      <w:r>
        <w:rPr>
          <w:rFonts w:ascii="Times New Roman" w:hAnsi="Times New Roman"/>
        </w:rPr>
        <w:t>1.4.1</w:t>
      </w:r>
      <w:r>
        <w:rPr>
          <w:rFonts w:ascii="Times New Roman" w:hAnsi="宋体"/>
        </w:rPr>
        <w:t>地表水环境</w:t>
      </w:r>
      <w:bookmarkEnd w:id="113"/>
      <w:bookmarkEnd w:id="114"/>
      <w:bookmarkEnd w:id="115"/>
      <w:bookmarkEnd w:id="116"/>
      <w:bookmarkEnd w:id="117"/>
      <w:bookmarkEnd w:id="118"/>
      <w:bookmarkEnd w:id="119"/>
      <w:bookmarkEnd w:id="120"/>
      <w:bookmarkEnd w:id="121"/>
    </w:p>
    <w:p>
      <w:pPr>
        <w:ind w:firstLine="480"/>
        <w:contextualSpacing/>
      </w:pPr>
      <w:r>
        <w:rPr>
          <w:rFonts w:hAnsi="宋体"/>
        </w:rPr>
        <w:t>工程施工期污废水包括生产废水、基坑废水和生活污水，污染物性质简单，主要为</w:t>
      </w:r>
      <w:r>
        <w:t>SS</w:t>
      </w:r>
      <w:r>
        <w:rPr>
          <w:rFonts w:hAnsi="宋体"/>
        </w:rPr>
        <w:t>、</w:t>
      </w:r>
      <w:r>
        <w:t>COD</w:t>
      </w:r>
      <w:r>
        <w:rPr>
          <w:rFonts w:hAnsi="宋体"/>
        </w:rPr>
        <w:t>和石油类等，施工期混凝土拌和系统废水经处理后回用不外排；</w:t>
      </w:r>
      <w:r>
        <w:rPr>
          <w:rFonts w:hint="eastAsia" w:hAnsi="宋体"/>
        </w:rPr>
        <w:t>汽车保养</w:t>
      </w:r>
      <w:r>
        <w:rPr>
          <w:rFonts w:hAnsi="宋体"/>
        </w:rPr>
        <w:t>系统含油废水、生活污水经达标处理后用于场地洒水、场地绿化；运行期枢纽现场值班人员少量生活污水经处理后回用。施工期生产生活废污水和运行期生活污水属于间接排放，评价工作等级为三级</w:t>
      </w:r>
      <w:r>
        <w:t>B</w:t>
      </w:r>
      <w:r>
        <w:rPr>
          <w:rFonts w:hAnsi="宋体"/>
        </w:rPr>
        <w:t>。</w:t>
      </w:r>
    </w:p>
    <w:p>
      <w:pPr>
        <w:ind w:firstLine="480"/>
        <w:contextualSpacing/>
      </w:pPr>
      <w:r>
        <w:rPr>
          <w:rFonts w:hint="eastAsia" w:hAnsi="宋体"/>
        </w:rPr>
        <w:t>寒溪寺</w:t>
      </w:r>
      <w:r>
        <w:rPr>
          <w:rFonts w:hAnsi="宋体"/>
        </w:rPr>
        <w:t>水库坝址多年平均径流量</w:t>
      </w:r>
      <w:r>
        <w:rPr>
          <w:kern w:val="144"/>
        </w:rPr>
        <w:t>0.295m</w:t>
      </w:r>
      <w:r>
        <w:rPr>
          <w:kern w:val="144"/>
          <w:vertAlign w:val="superscript"/>
        </w:rPr>
        <w:t>3</w:t>
      </w:r>
      <w:r>
        <w:rPr>
          <w:kern w:val="144"/>
        </w:rPr>
        <w:t>/s</w:t>
      </w:r>
      <w:r>
        <w:rPr>
          <w:rFonts w:hint="eastAsia"/>
          <w:kern w:val="144"/>
        </w:rPr>
        <w:t>，水库总库容</w:t>
      </w:r>
      <w:r>
        <w:t>337.7万m</w:t>
      </w:r>
      <w:r>
        <w:rPr>
          <w:vertAlign w:val="superscript"/>
        </w:rPr>
        <w:t>3</w:t>
      </w:r>
      <w:r>
        <w:rPr>
          <w:rFonts w:hint="eastAsia"/>
        </w:rPr>
        <w:t>，</w:t>
      </w:r>
      <w:r>
        <w:rPr>
          <w:rFonts w:hAnsi="宋体"/>
        </w:rPr>
        <w:t>多年平均径流量与总库容</w:t>
      </w:r>
      <w:r>
        <w:t>α&lt;10</w:t>
      </w:r>
      <w:r>
        <w:rPr>
          <w:rFonts w:hAnsi="宋体"/>
        </w:rPr>
        <w:t>，兴利库容</w:t>
      </w:r>
      <w:r>
        <w:rPr>
          <w:rFonts w:hint="eastAsia"/>
        </w:rPr>
        <w:t>297.90万m</w:t>
      </w:r>
      <w:r>
        <w:rPr>
          <w:rFonts w:hint="eastAsia"/>
          <w:vertAlign w:val="superscript"/>
        </w:rPr>
        <w:t>3</w:t>
      </w:r>
      <w:r>
        <w:rPr>
          <w:rFonts w:hAnsi="宋体"/>
        </w:rPr>
        <w:t>与坝址多年平均径流量</w:t>
      </w:r>
      <w:r>
        <w:rPr>
          <w:kern w:val="144"/>
        </w:rPr>
        <w:t>0.295m</w:t>
      </w:r>
      <w:r>
        <w:rPr>
          <w:kern w:val="144"/>
          <w:vertAlign w:val="superscript"/>
        </w:rPr>
        <w:t>3</w:t>
      </w:r>
      <w:r>
        <w:rPr>
          <w:kern w:val="144"/>
        </w:rPr>
        <w:t>/s</w:t>
      </w:r>
      <w:r>
        <w:rPr>
          <w:rFonts w:hAnsi="宋体"/>
        </w:rPr>
        <w:t>百分比</w:t>
      </w:r>
      <w:r>
        <w:t>β&gt;20%</w:t>
      </w:r>
      <w:r>
        <w:rPr>
          <w:rFonts w:hAnsi="宋体"/>
        </w:rPr>
        <w:t>，取水量</w:t>
      </w:r>
      <w:r>
        <w:t>0.92m</w:t>
      </w:r>
      <w:r>
        <w:rPr>
          <w:vertAlign w:val="superscript"/>
        </w:rPr>
        <w:t>3</w:t>
      </w:r>
      <w:r>
        <w:t>/s</w:t>
      </w:r>
      <w:r>
        <w:rPr>
          <w:rFonts w:hAnsi="宋体"/>
        </w:rPr>
        <w:t>占坝址多年平均径流量</w:t>
      </w:r>
      <w:r>
        <w:rPr>
          <w:kern w:val="144"/>
        </w:rPr>
        <w:t>0.295m</w:t>
      </w:r>
      <w:r>
        <w:rPr>
          <w:kern w:val="144"/>
          <w:vertAlign w:val="superscript"/>
        </w:rPr>
        <w:t>3</w:t>
      </w:r>
      <w:r>
        <w:rPr>
          <w:kern w:val="144"/>
        </w:rPr>
        <w:t>/s</w:t>
      </w:r>
      <w:r>
        <w:rPr>
          <w:rFonts w:hAnsi="宋体"/>
        </w:rPr>
        <w:t>百分比</w:t>
      </w:r>
      <w:r>
        <w:t>γ&gt;30%</w:t>
      </w:r>
      <w:r>
        <w:rPr>
          <w:rFonts w:hAnsi="宋体"/>
        </w:rPr>
        <w:t>；工程扰动水底面积小。根据《环境影响评价技术导则地表水环境》（</w:t>
      </w:r>
      <w:r>
        <w:t>HJ2.3-2018</w:t>
      </w:r>
      <w:r>
        <w:rPr>
          <w:rFonts w:hAnsi="宋体"/>
        </w:rPr>
        <w:t>）中表</w:t>
      </w:r>
      <w:r>
        <w:t>2</w:t>
      </w:r>
      <w:r>
        <w:rPr>
          <w:rFonts w:hAnsi="宋体"/>
        </w:rPr>
        <w:t>水文要素影响型建设项目评价等级判定，确定运行期地表水环境评价工作等级为一级。</w:t>
      </w:r>
    </w:p>
    <w:p>
      <w:pPr>
        <w:ind w:firstLine="482"/>
        <w:contextualSpacing/>
        <w:rPr>
          <w:b/>
          <w:bCs/>
        </w:rPr>
      </w:pPr>
      <w:r>
        <w:rPr>
          <w:rFonts w:hAnsi="宋体"/>
          <w:b/>
          <w:bCs/>
        </w:rPr>
        <w:t>综上，工程施工期按照水污染影响型确定地表水环境评价工作等级为三级</w:t>
      </w:r>
      <w:r>
        <w:rPr>
          <w:b/>
          <w:bCs/>
        </w:rPr>
        <w:t>B</w:t>
      </w:r>
      <w:r>
        <w:rPr>
          <w:rFonts w:hAnsi="宋体"/>
          <w:b/>
          <w:bCs/>
        </w:rPr>
        <w:t>，运行期按照水文要素影响型确定地表水环境评价工作等级为一级。</w:t>
      </w:r>
    </w:p>
    <w:p>
      <w:pPr>
        <w:pStyle w:val="5"/>
        <w:ind w:firstLine="0" w:firstLineChars="0"/>
        <w:contextualSpacing/>
        <w:rPr>
          <w:rFonts w:ascii="Times New Roman" w:hAnsi="Times New Roman"/>
        </w:rPr>
      </w:pPr>
      <w:bookmarkStart w:id="122" w:name="_Toc2368"/>
      <w:bookmarkStart w:id="123" w:name="_Toc26211"/>
      <w:bookmarkStart w:id="124" w:name="_Toc29924"/>
      <w:bookmarkStart w:id="125" w:name="_Toc10333"/>
      <w:bookmarkStart w:id="126" w:name="_Toc12335"/>
      <w:bookmarkStart w:id="127" w:name="_Toc31080"/>
      <w:bookmarkStart w:id="128" w:name="_Toc15026"/>
      <w:bookmarkStart w:id="129" w:name="_Toc35"/>
      <w:bookmarkStart w:id="130" w:name="_Toc72"/>
      <w:r>
        <w:rPr>
          <w:rFonts w:ascii="Times New Roman" w:hAnsi="Times New Roman"/>
        </w:rPr>
        <w:t>1.4.2</w:t>
      </w:r>
      <w:r>
        <w:rPr>
          <w:rFonts w:ascii="Times New Roman" w:hAnsi="宋体"/>
        </w:rPr>
        <w:t>地下水环境</w:t>
      </w:r>
      <w:bookmarkEnd w:id="122"/>
      <w:bookmarkEnd w:id="123"/>
      <w:bookmarkEnd w:id="124"/>
      <w:bookmarkEnd w:id="125"/>
      <w:bookmarkEnd w:id="126"/>
      <w:bookmarkEnd w:id="127"/>
      <w:bookmarkEnd w:id="128"/>
      <w:bookmarkEnd w:id="129"/>
      <w:bookmarkEnd w:id="130"/>
    </w:p>
    <w:p>
      <w:pPr>
        <w:ind w:firstLine="480"/>
        <w:contextualSpacing/>
        <w:rPr>
          <w:rFonts w:hAnsi="宋体"/>
        </w:rPr>
      </w:pPr>
      <w:r>
        <w:rPr>
          <w:rFonts w:hAnsi="宋体"/>
        </w:rPr>
        <w:t>根据《环境影响评价技术导则地下水环境》（</w:t>
      </w:r>
      <w:r>
        <w:t>HJ610-2016</w:t>
      </w:r>
      <w:r>
        <w:rPr>
          <w:rFonts w:hAnsi="宋体"/>
        </w:rPr>
        <w:t>）附录</w:t>
      </w:r>
      <w:r>
        <w:t>A</w:t>
      </w:r>
      <w:r>
        <w:rPr>
          <w:rFonts w:hAnsi="宋体"/>
        </w:rPr>
        <w:t>，</w:t>
      </w:r>
      <w:r>
        <w:rPr>
          <w:rFonts w:hint="eastAsia" w:hAnsi="宋体"/>
        </w:rPr>
        <w:t>寒溪寺</w:t>
      </w:r>
      <w:r>
        <w:rPr>
          <w:rFonts w:hAnsi="宋体"/>
        </w:rPr>
        <w:t>水库（总库容</w:t>
      </w:r>
      <w:r>
        <w:t>337.7</w:t>
      </w:r>
      <w:r>
        <w:rPr>
          <w:rFonts w:hAnsi="宋体"/>
        </w:rPr>
        <w:t>万</w:t>
      </w:r>
      <w:r>
        <w:t>m</w:t>
      </w:r>
      <w:r>
        <w:rPr>
          <w:vertAlign w:val="superscript"/>
        </w:rPr>
        <w:t>3</w:t>
      </w:r>
      <w:r>
        <w:rPr>
          <w:rFonts w:hAnsi="宋体"/>
        </w:rPr>
        <w:t>）工程地下水环境影响评价项目类别为</w:t>
      </w:r>
      <w:r>
        <w:t>Ⅲ</w:t>
      </w:r>
      <w:r>
        <w:rPr>
          <w:rFonts w:hAnsi="宋体"/>
        </w:rPr>
        <w:t>类。</w:t>
      </w:r>
      <w:r>
        <w:rPr>
          <w:rFonts w:hint="eastAsia" w:hAnsi="宋体"/>
        </w:rPr>
        <w:t>不</w:t>
      </w:r>
      <w:r>
        <w:rPr>
          <w:rFonts w:hAnsi="宋体"/>
        </w:rPr>
        <w:t>涉及</w:t>
      </w:r>
      <w:r>
        <w:rPr>
          <w:rFonts w:hint="eastAsia" w:hAnsi="宋体"/>
        </w:rPr>
        <w:t>地下水</w:t>
      </w:r>
      <w:r>
        <w:rPr>
          <w:rFonts w:hAnsi="宋体"/>
        </w:rPr>
        <w:t>集中式饮用水水源地，确定评价区内地下水环境敏感程度为</w:t>
      </w:r>
      <w:r>
        <w:rPr>
          <w:rFonts w:hint="eastAsia" w:hAnsi="宋体"/>
        </w:rPr>
        <w:t>不</w:t>
      </w:r>
      <w:r>
        <w:rPr>
          <w:rFonts w:hAnsi="宋体"/>
        </w:rPr>
        <w:t>敏感。因此，根据《环境影响评价技术导则地下水环境》（</w:t>
      </w:r>
      <w:r>
        <w:t>HJ610-2016</w:t>
      </w:r>
      <w:r>
        <w:rPr>
          <w:rFonts w:hAnsi="宋体"/>
        </w:rPr>
        <w:t>），地下水环境影响评价工作等级为</w:t>
      </w:r>
      <w:r>
        <w:rPr>
          <w:rFonts w:hint="eastAsia" w:hAnsi="宋体"/>
        </w:rPr>
        <w:t>三</w:t>
      </w:r>
      <w:r>
        <w:rPr>
          <w:rFonts w:hAnsi="宋体"/>
        </w:rPr>
        <w:t>级。</w:t>
      </w:r>
    </w:p>
    <w:p>
      <w:pPr>
        <w:ind w:firstLine="480"/>
        <w:contextualSpacing/>
        <w:rPr>
          <w:rFonts w:hAnsi="宋体"/>
        </w:rPr>
      </w:pPr>
      <w:r>
        <w:rPr>
          <w:rFonts w:hAnsi="宋体"/>
        </w:rPr>
        <w:t>灌区工程</w:t>
      </w:r>
      <w:r>
        <w:rPr>
          <w:rFonts w:hint="eastAsia" w:hAnsi="宋体"/>
        </w:rPr>
        <w:t>小于5万亩，</w:t>
      </w:r>
      <w:r>
        <w:rPr>
          <w:rFonts w:hAnsi="宋体"/>
        </w:rPr>
        <w:t>地下水环境影响评价项目类别为</w:t>
      </w:r>
      <w:r>
        <w:t>Ⅳ</w:t>
      </w:r>
      <w:r>
        <w:rPr>
          <w:rFonts w:hAnsi="宋体"/>
        </w:rPr>
        <w:t>类项目，</w:t>
      </w:r>
      <w:r>
        <w:t>Ⅳ</w:t>
      </w:r>
      <w:r>
        <w:rPr>
          <w:rFonts w:hAnsi="宋体"/>
        </w:rPr>
        <w:t>类建设项目不开展地下水环境影响评价。</w:t>
      </w:r>
    </w:p>
    <w:p>
      <w:pPr>
        <w:ind w:firstLine="480"/>
        <w:contextualSpacing/>
        <w:rPr>
          <w:rFonts w:hAnsi="宋体"/>
        </w:rPr>
      </w:pPr>
      <w:r>
        <w:rPr>
          <w:rFonts w:hint="eastAsia"/>
        </w:rPr>
        <w:t>补水工程，</w:t>
      </w:r>
      <w:r>
        <w:t>谭家河、刘家河补水枢纽设计引水流量分别为2.1m</w:t>
      </w:r>
      <w:r>
        <w:rPr>
          <w:vertAlign w:val="superscript"/>
        </w:rPr>
        <w:t>3</w:t>
      </w:r>
      <w:r>
        <w:t>/s和1.1m</w:t>
      </w:r>
      <w:r>
        <w:rPr>
          <w:vertAlign w:val="superscript"/>
        </w:rPr>
        <w:t>3</w:t>
      </w:r>
      <w:r>
        <w:t>/s，计算得多年平均有效引水量为215.7万m</w:t>
      </w:r>
      <w:r>
        <w:rPr>
          <w:vertAlign w:val="superscript"/>
        </w:rPr>
        <w:t>3</w:t>
      </w:r>
      <w:r>
        <w:t>，其中谭家河引水量为141.6万m</w:t>
      </w:r>
      <w:r>
        <w:rPr>
          <w:vertAlign w:val="superscript"/>
        </w:rPr>
        <w:t>3</w:t>
      </w:r>
      <w:r>
        <w:t>，占谭家河多年平均来水量387.1万m</w:t>
      </w:r>
      <w:r>
        <w:rPr>
          <w:vertAlign w:val="superscript"/>
        </w:rPr>
        <w:t>3</w:t>
      </w:r>
      <w:r>
        <w:t>的36%，占可引水量348.4万m</w:t>
      </w:r>
      <w:r>
        <w:rPr>
          <w:vertAlign w:val="superscript"/>
        </w:rPr>
        <w:t>3</w:t>
      </w:r>
      <w:r>
        <w:t>的40%；刘家河引水量为74.1万m</w:t>
      </w:r>
      <w:r>
        <w:rPr>
          <w:vertAlign w:val="superscript"/>
        </w:rPr>
        <w:t>3</w:t>
      </w:r>
      <w:r>
        <w:t>，占</w:t>
      </w:r>
      <w:r>
        <w:rPr>
          <w:rFonts w:hint="eastAsia"/>
        </w:rPr>
        <w:t>刘</w:t>
      </w:r>
      <w:r>
        <w:t>家河多年平均来水量204.5万m</w:t>
      </w:r>
      <w:r>
        <w:rPr>
          <w:vertAlign w:val="superscript"/>
        </w:rPr>
        <w:t>3</w:t>
      </w:r>
      <w:r>
        <w:t>的36%，占可引水量184.1万m</w:t>
      </w:r>
      <w:r>
        <w:rPr>
          <w:vertAlign w:val="superscript"/>
        </w:rPr>
        <w:t>3</w:t>
      </w:r>
      <w:r>
        <w:t>的40%。</w:t>
      </w:r>
      <w:r>
        <w:rPr>
          <w:rFonts w:hAnsi="宋体"/>
        </w:rPr>
        <w:t>地下水环境影响评价项目类别为</w:t>
      </w:r>
      <w:r>
        <w:t>Ⅲ</w:t>
      </w:r>
      <w:r>
        <w:rPr>
          <w:rFonts w:hAnsi="宋体"/>
        </w:rPr>
        <w:t>类项目</w:t>
      </w:r>
      <w:r>
        <w:rPr>
          <w:rFonts w:hint="eastAsia" w:hAnsi="宋体"/>
        </w:rPr>
        <w:t>，</w:t>
      </w:r>
      <w:r>
        <w:rPr>
          <w:rFonts w:hAnsi="宋体"/>
        </w:rPr>
        <w:t>地下水环境敏感程度为</w:t>
      </w:r>
      <w:r>
        <w:rPr>
          <w:rFonts w:hint="eastAsia" w:hAnsi="宋体"/>
        </w:rPr>
        <w:t>不</w:t>
      </w:r>
      <w:r>
        <w:rPr>
          <w:rFonts w:hAnsi="宋体"/>
        </w:rPr>
        <w:t>敏感。因此，根据</w:t>
      </w:r>
      <w:r>
        <w:t>HJ610-2016</w:t>
      </w:r>
      <w:r>
        <w:rPr>
          <w:rFonts w:hAnsi="宋体"/>
        </w:rPr>
        <w:t>，地下水环境影响评价工作等级为</w:t>
      </w:r>
      <w:r>
        <w:rPr>
          <w:rFonts w:hint="eastAsia" w:hAnsi="宋体"/>
        </w:rPr>
        <w:t>三</w:t>
      </w:r>
      <w:r>
        <w:rPr>
          <w:rFonts w:hAnsi="宋体"/>
        </w:rPr>
        <w:t>级。</w:t>
      </w:r>
    </w:p>
    <w:p>
      <w:pPr>
        <w:ind w:firstLine="482"/>
        <w:contextualSpacing/>
        <w:rPr>
          <w:b/>
          <w:bCs/>
        </w:rPr>
      </w:pPr>
      <w:r>
        <w:rPr>
          <w:rFonts w:hAnsi="宋体"/>
          <w:b/>
          <w:bCs/>
        </w:rPr>
        <w:t>综上，库区工程</w:t>
      </w:r>
      <w:r>
        <w:rPr>
          <w:rFonts w:hint="eastAsia" w:hAnsi="宋体"/>
          <w:b/>
          <w:bCs/>
        </w:rPr>
        <w:t>、引水工程</w:t>
      </w:r>
      <w:r>
        <w:rPr>
          <w:rFonts w:hAnsi="宋体"/>
          <w:b/>
          <w:bCs/>
        </w:rPr>
        <w:t>地下水环境影响评价工作等级为</w:t>
      </w:r>
      <w:r>
        <w:rPr>
          <w:rFonts w:hint="eastAsia" w:hAnsi="宋体"/>
          <w:b/>
          <w:bCs/>
        </w:rPr>
        <w:t>三</w:t>
      </w:r>
      <w:r>
        <w:rPr>
          <w:rFonts w:hAnsi="宋体"/>
          <w:b/>
          <w:bCs/>
        </w:rPr>
        <w:t>级，灌区部分不开展地下水环境影响评价。</w:t>
      </w:r>
    </w:p>
    <w:p>
      <w:pPr>
        <w:pStyle w:val="5"/>
        <w:ind w:firstLine="0" w:firstLineChars="0"/>
        <w:contextualSpacing/>
        <w:rPr>
          <w:rFonts w:ascii="Times New Roman" w:hAnsi="Times New Roman"/>
        </w:rPr>
      </w:pPr>
      <w:bookmarkStart w:id="131" w:name="_Toc30254"/>
      <w:bookmarkStart w:id="132" w:name="_Toc31359"/>
      <w:bookmarkStart w:id="133" w:name="_Toc12584"/>
      <w:bookmarkStart w:id="134" w:name="_Toc15309"/>
      <w:bookmarkStart w:id="135" w:name="_Toc9033"/>
      <w:bookmarkStart w:id="136" w:name="_Toc6217"/>
      <w:bookmarkStart w:id="137" w:name="_Toc32635"/>
      <w:bookmarkStart w:id="138" w:name="_Toc31534"/>
      <w:bookmarkStart w:id="139" w:name="_Toc3583"/>
      <w:r>
        <w:rPr>
          <w:rFonts w:ascii="Times New Roman" w:hAnsi="Times New Roman"/>
        </w:rPr>
        <w:t>1.4.3</w:t>
      </w:r>
      <w:r>
        <w:rPr>
          <w:rFonts w:ascii="Times New Roman" w:hAnsi="宋体"/>
        </w:rPr>
        <w:t>生态环境</w:t>
      </w:r>
      <w:bookmarkEnd w:id="131"/>
      <w:bookmarkEnd w:id="132"/>
      <w:bookmarkEnd w:id="133"/>
      <w:bookmarkEnd w:id="134"/>
      <w:bookmarkEnd w:id="135"/>
      <w:bookmarkEnd w:id="136"/>
      <w:bookmarkEnd w:id="137"/>
      <w:bookmarkEnd w:id="138"/>
      <w:bookmarkEnd w:id="139"/>
    </w:p>
    <w:p>
      <w:pPr>
        <w:ind w:firstLine="480"/>
        <w:contextualSpacing/>
        <w:rPr>
          <w:rFonts w:hAnsi="宋体"/>
        </w:rPr>
      </w:pPr>
      <w:r>
        <w:rPr>
          <w:rFonts w:hint="eastAsia" w:hAnsi="宋体"/>
        </w:rPr>
        <w:t>根据《环境影响评价技术导则 生态影响》（HJ 19—2022）：“根据HJ2.3判断属于水文要素影响型且地表水评价等级不低于二级的建设项目，生态影响评价等级不低于二级。”；“当工程占地规模大于20km</w:t>
      </w:r>
      <w:r>
        <w:rPr>
          <w:rFonts w:hAnsi="宋体"/>
          <w:vertAlign w:val="superscript"/>
        </w:rPr>
        <w:t>2</w:t>
      </w:r>
      <w:r>
        <w:rPr>
          <w:rFonts w:hint="eastAsia" w:hAnsi="宋体"/>
        </w:rPr>
        <w:t>时（包括永久和临时占用陆域和水域），评价等级不低于二级；改扩建项目的占地范围以新增占地（包括陆域和水域）确定。”“</w:t>
      </w:r>
      <w:r>
        <w:rPr>
          <w:rFonts w:hAnsi="宋体"/>
        </w:rPr>
        <w:t>拦河闸坝建设可能明显改变水文情势的情况下，评价工作等级应上调一级</w:t>
      </w:r>
      <w:r>
        <w:rPr>
          <w:rFonts w:hint="eastAsia" w:hAnsi="宋体"/>
        </w:rPr>
        <w:t>。”</w:t>
      </w:r>
    </w:p>
    <w:p>
      <w:pPr>
        <w:ind w:firstLine="480"/>
        <w:contextualSpacing/>
        <w:rPr>
          <w:b/>
          <w:bCs/>
        </w:rPr>
      </w:pPr>
      <w:r>
        <w:rPr>
          <w:rFonts w:hint="eastAsia" w:hAnsi="宋体"/>
        </w:rPr>
        <w:t>寒溪寺水库征地总面积0</w:t>
      </w:r>
      <w:r>
        <w:rPr>
          <w:rFonts w:hAnsi="宋体"/>
        </w:rPr>
        <w:t>.44</w:t>
      </w:r>
      <w:r>
        <w:rPr>
          <w:rFonts w:hint="eastAsia" w:hAnsi="宋体"/>
        </w:rPr>
        <w:t>km</w:t>
      </w:r>
      <w:r>
        <w:rPr>
          <w:rFonts w:hAnsi="宋体"/>
          <w:vertAlign w:val="superscript"/>
        </w:rPr>
        <w:t>2</w:t>
      </w:r>
      <w:r>
        <w:rPr>
          <w:rFonts w:hint="eastAsia" w:hAnsi="宋体"/>
        </w:rPr>
        <w:t>，小于2</w:t>
      </w:r>
      <w:r>
        <w:rPr>
          <w:rFonts w:hAnsi="宋体"/>
        </w:rPr>
        <w:t>0</w:t>
      </w:r>
      <w:r>
        <w:rPr>
          <w:rFonts w:hint="eastAsia" w:hAnsi="宋体"/>
        </w:rPr>
        <w:t>km</w:t>
      </w:r>
      <w:r>
        <w:rPr>
          <w:rFonts w:hAnsi="宋体"/>
          <w:vertAlign w:val="superscript"/>
        </w:rPr>
        <w:t>2</w:t>
      </w:r>
      <w:r>
        <w:rPr>
          <w:rFonts w:hint="eastAsia" w:hAnsi="宋体"/>
        </w:rPr>
        <w:t>，地表水评价等级为一级，本工程新修拦河坝，明显改变水文情势，</w:t>
      </w:r>
      <w:r>
        <w:rPr>
          <w:rFonts w:hint="eastAsia" w:hAnsi="宋体"/>
          <w:b/>
          <w:bCs/>
        </w:rPr>
        <w:t>因此本项目</w:t>
      </w:r>
      <w:r>
        <w:rPr>
          <w:rFonts w:hAnsi="宋体"/>
          <w:b/>
          <w:bCs/>
        </w:rPr>
        <w:t>生态环境影响评价工作等级</w:t>
      </w:r>
      <w:r>
        <w:rPr>
          <w:rFonts w:hint="eastAsia" w:hAnsi="宋体"/>
          <w:b/>
          <w:bCs/>
        </w:rPr>
        <w:t>（陆生、水生）</w:t>
      </w:r>
      <w:r>
        <w:rPr>
          <w:rFonts w:hAnsi="宋体"/>
          <w:b/>
          <w:bCs/>
        </w:rPr>
        <w:t>为</w:t>
      </w:r>
      <w:r>
        <w:rPr>
          <w:rFonts w:hint="eastAsia" w:hAnsi="宋体"/>
          <w:b/>
          <w:bCs/>
        </w:rPr>
        <w:t>一</w:t>
      </w:r>
      <w:r>
        <w:rPr>
          <w:rFonts w:hAnsi="宋体"/>
          <w:b/>
          <w:bCs/>
        </w:rPr>
        <w:t>级。</w:t>
      </w:r>
    </w:p>
    <w:p>
      <w:pPr>
        <w:pStyle w:val="5"/>
        <w:ind w:firstLine="0" w:firstLineChars="0"/>
        <w:contextualSpacing/>
        <w:rPr>
          <w:rFonts w:ascii="Times New Roman" w:hAnsi="Times New Roman"/>
        </w:rPr>
      </w:pPr>
      <w:bookmarkStart w:id="140" w:name="_Toc1111"/>
      <w:bookmarkStart w:id="141" w:name="_Toc280"/>
      <w:bookmarkStart w:id="142" w:name="_Toc16184"/>
      <w:bookmarkStart w:id="143" w:name="_Toc17529"/>
      <w:bookmarkStart w:id="144" w:name="_Toc22103"/>
      <w:bookmarkStart w:id="145" w:name="_Toc1402"/>
      <w:bookmarkStart w:id="146" w:name="_Toc25597"/>
      <w:bookmarkStart w:id="147" w:name="_Toc27915"/>
      <w:bookmarkStart w:id="148" w:name="_Toc3950"/>
      <w:r>
        <w:rPr>
          <w:rFonts w:ascii="Times New Roman" w:hAnsi="Times New Roman"/>
        </w:rPr>
        <w:t>1.4.4</w:t>
      </w:r>
      <w:bookmarkEnd w:id="140"/>
      <w:bookmarkEnd w:id="141"/>
      <w:bookmarkEnd w:id="142"/>
      <w:bookmarkEnd w:id="143"/>
      <w:bookmarkEnd w:id="144"/>
      <w:bookmarkEnd w:id="145"/>
      <w:bookmarkEnd w:id="146"/>
      <w:bookmarkEnd w:id="147"/>
      <w:bookmarkEnd w:id="148"/>
      <w:r>
        <w:rPr>
          <w:rFonts w:ascii="Times New Roman" w:hAnsi="宋体"/>
        </w:rPr>
        <w:t>环境空气</w:t>
      </w:r>
    </w:p>
    <w:p>
      <w:pPr>
        <w:ind w:firstLine="480"/>
        <w:contextualSpacing/>
      </w:pPr>
      <w:r>
        <w:rPr>
          <w:rFonts w:hAnsi="宋体"/>
        </w:rPr>
        <w:t>工程施工期污染源以开挖粉尘、交通运输粉尘、混凝土拌和系统粉尘等无组织排放源为主，影响范围主要在施工场界内；工程运行期无大气污染物产生。根据《环境影响评价技术导则大气环境》（</w:t>
      </w:r>
      <w:r>
        <w:t>HJ2.2-2018</w:t>
      </w:r>
      <w:r>
        <w:rPr>
          <w:rFonts w:hAnsi="宋体"/>
        </w:rPr>
        <w:t>），确定工程大气环境影响评价工作等级为三级。</w:t>
      </w:r>
    </w:p>
    <w:p>
      <w:pPr>
        <w:pStyle w:val="5"/>
        <w:ind w:firstLine="0" w:firstLineChars="0"/>
        <w:contextualSpacing/>
        <w:rPr>
          <w:rFonts w:ascii="Times New Roman" w:hAnsi="Times New Roman"/>
        </w:rPr>
      </w:pPr>
      <w:bookmarkStart w:id="149" w:name="_Toc25607"/>
      <w:bookmarkStart w:id="150" w:name="_Toc536"/>
      <w:bookmarkStart w:id="151" w:name="_Toc29316"/>
      <w:bookmarkStart w:id="152" w:name="_Toc1119"/>
      <w:bookmarkStart w:id="153" w:name="_Toc31026"/>
      <w:bookmarkStart w:id="154" w:name="_Toc7111"/>
      <w:bookmarkStart w:id="155" w:name="_Toc23180"/>
      <w:bookmarkStart w:id="156" w:name="_Toc5270"/>
      <w:bookmarkStart w:id="157" w:name="_Toc14806"/>
      <w:r>
        <w:rPr>
          <w:rFonts w:ascii="Times New Roman" w:hAnsi="Times New Roman"/>
        </w:rPr>
        <w:t>1.4.5</w:t>
      </w:r>
      <w:r>
        <w:rPr>
          <w:rFonts w:ascii="Times New Roman" w:hAnsi="宋体"/>
        </w:rPr>
        <w:t>声环境</w:t>
      </w:r>
      <w:bookmarkEnd w:id="149"/>
      <w:bookmarkEnd w:id="150"/>
      <w:bookmarkEnd w:id="151"/>
      <w:bookmarkEnd w:id="152"/>
      <w:bookmarkEnd w:id="153"/>
      <w:bookmarkEnd w:id="154"/>
      <w:bookmarkEnd w:id="155"/>
      <w:bookmarkEnd w:id="156"/>
      <w:bookmarkEnd w:id="157"/>
    </w:p>
    <w:p>
      <w:pPr>
        <w:ind w:firstLine="480"/>
        <w:contextualSpacing/>
      </w:pPr>
      <w:r>
        <w:rPr>
          <w:rFonts w:hAnsi="宋体"/>
        </w:rPr>
        <w:t>工程所处声环境功能区主要为《声环境质量标准》（</w:t>
      </w:r>
      <w:r>
        <w:t>GB3096-2008</w:t>
      </w:r>
      <w:r>
        <w:rPr>
          <w:rFonts w:hAnsi="宋体"/>
        </w:rPr>
        <w:t>）规定的</w:t>
      </w:r>
      <w:r>
        <w:t>1</w:t>
      </w:r>
      <w:r>
        <w:rPr>
          <w:rFonts w:hAnsi="宋体"/>
        </w:rPr>
        <w:t>类地区。根据《环境影响评价技术导则声环境》（</w:t>
      </w:r>
      <w:r>
        <w:t>HJ2.4-2009</w:t>
      </w:r>
      <w:r>
        <w:rPr>
          <w:rFonts w:hAnsi="宋体"/>
        </w:rPr>
        <w:t>），确定工程声环境影响评价工作等级为二级。</w:t>
      </w:r>
    </w:p>
    <w:p>
      <w:pPr>
        <w:pStyle w:val="5"/>
        <w:ind w:firstLine="0" w:firstLineChars="0"/>
        <w:contextualSpacing/>
        <w:rPr>
          <w:rFonts w:ascii="Times New Roman" w:hAnsi="Times New Roman"/>
        </w:rPr>
      </w:pPr>
      <w:bookmarkStart w:id="158" w:name="_Toc25704"/>
      <w:bookmarkStart w:id="159" w:name="_Toc29672"/>
      <w:bookmarkStart w:id="160" w:name="_Toc21565"/>
      <w:bookmarkStart w:id="161" w:name="_Toc29746"/>
      <w:bookmarkStart w:id="162" w:name="_Toc12928"/>
      <w:bookmarkStart w:id="163" w:name="_Toc3551"/>
      <w:bookmarkStart w:id="164" w:name="_Toc12721"/>
      <w:bookmarkStart w:id="165" w:name="_Toc19087"/>
      <w:bookmarkStart w:id="166" w:name="_Toc9431"/>
      <w:r>
        <w:rPr>
          <w:rFonts w:ascii="Times New Roman" w:hAnsi="Times New Roman"/>
        </w:rPr>
        <w:t>1.4.6</w:t>
      </w:r>
      <w:r>
        <w:rPr>
          <w:rFonts w:ascii="Times New Roman" w:hAnsi="宋体"/>
        </w:rPr>
        <w:t>土壤环境</w:t>
      </w:r>
      <w:bookmarkEnd w:id="158"/>
      <w:bookmarkEnd w:id="159"/>
      <w:bookmarkEnd w:id="160"/>
      <w:bookmarkEnd w:id="161"/>
      <w:bookmarkEnd w:id="162"/>
      <w:bookmarkEnd w:id="163"/>
      <w:bookmarkEnd w:id="164"/>
      <w:bookmarkEnd w:id="165"/>
      <w:bookmarkEnd w:id="166"/>
    </w:p>
    <w:p>
      <w:pPr>
        <w:ind w:firstLine="480"/>
        <w:contextualSpacing/>
        <w:rPr>
          <w:rFonts w:hAnsi="宋体"/>
        </w:rPr>
      </w:pPr>
      <w:r>
        <w:rPr>
          <w:rFonts w:hAnsi="宋体"/>
        </w:rPr>
        <w:t>项目区位于山区</w:t>
      </w:r>
      <w:r>
        <w:rPr>
          <w:rFonts w:hint="eastAsia" w:hAnsi="宋体"/>
        </w:rPr>
        <w:t>，项目所在地</w:t>
      </w:r>
      <w:r>
        <w:t>多年平均水面蒸发量637.5mm</w:t>
      </w:r>
      <w:r>
        <w:rPr>
          <w:rFonts w:hint="eastAsia"/>
        </w:rPr>
        <w:t>，</w:t>
      </w:r>
      <w:r>
        <w:t>多年平均降水量1157.2mm</w:t>
      </w:r>
      <w:r>
        <w:rPr>
          <w:rFonts w:hint="eastAsia"/>
        </w:rPr>
        <w:t>，干燥度（蒸降比值）=</w:t>
      </w:r>
      <w:r>
        <w:t>637.5/1157.2</w:t>
      </w:r>
      <w:r>
        <w:rPr>
          <w:rFonts w:hint="eastAsia"/>
        </w:rPr>
        <w:t>=</w:t>
      </w:r>
      <w:r>
        <w:t>0.55</w:t>
      </w:r>
      <w:r>
        <w:rPr>
          <w:rFonts w:hint="eastAsia"/>
        </w:rPr>
        <w:t>，根据巴中市土壤类型图（见附图）及辅以国家土壤信息服务平台的查询结果，本项目工程区域的土壤类型为紫色土。本区域属于亚热带湿润气候，根据巴中市气象站数据，寒溪寺水库流域范围内多年平均降水量为1304.3mm，多年平均蒸发量为912.8mm，干燥度为0.7，不属于滨海、半湿润和半干旱地区，不属于盐化区。根据巴中市生态环境局于2022年1月12日在其官网上发布的《巴中市生态环境质量报告书（2016-2020年）》，巴中市土壤pH值为6.5~8.5之间，无酸化或碱化。耕地环境质量较好，土壤颜色未呈现明显蓝灰色，土壤质地构型仍然是松散型，土壤未出现明显潜育化。</w:t>
      </w:r>
    </w:p>
    <w:p>
      <w:pPr>
        <w:ind w:firstLine="480"/>
        <w:contextualSpacing/>
      </w:pPr>
      <w:r>
        <w:rPr>
          <w:rFonts w:hAnsi="宋体"/>
        </w:rPr>
        <w:t>根据《环境影响评价技术导则土壤环境（试行）》（</w:t>
      </w:r>
      <w:r>
        <w:t>HJ964-2018</w:t>
      </w:r>
      <w:r>
        <w:rPr>
          <w:rFonts w:hAnsi="宋体"/>
        </w:rPr>
        <w:t>）生态影响型敏感程度分级表，工程区土壤环境敏感程度属于不敏感。</w:t>
      </w:r>
    </w:p>
    <w:p>
      <w:pPr>
        <w:ind w:firstLine="480"/>
        <w:contextualSpacing/>
        <w:rPr>
          <w:rFonts w:hAnsi="宋体"/>
        </w:rPr>
      </w:pPr>
      <w:r>
        <w:rPr>
          <w:rFonts w:hAnsi="宋体"/>
        </w:rPr>
        <w:t>根据《环境影响评价技术导则土壤环境（试行）》（</w:t>
      </w:r>
      <w:r>
        <w:t>HJ964-2018</w:t>
      </w:r>
      <w:r>
        <w:rPr>
          <w:rFonts w:hAnsi="宋体"/>
        </w:rPr>
        <w:t>），本项目属于生态影响型项目，项目类别为</w:t>
      </w:r>
      <w:r>
        <w:rPr>
          <w:rFonts w:hint="eastAsia"/>
        </w:rPr>
        <w:t>Ⅲ</w:t>
      </w:r>
      <w:r>
        <w:rPr>
          <w:rFonts w:hAnsi="宋体"/>
        </w:rPr>
        <w:t>类；项目区不属于盐化、酸化、碱化地区。综合判定，项目区土壤环境不敏感，综合判定，</w:t>
      </w:r>
      <w:r>
        <w:rPr>
          <w:rFonts w:hint="eastAsia" w:hAnsi="宋体"/>
        </w:rPr>
        <w:t>可不开展土壤环境影响评价工作。</w:t>
      </w:r>
    </w:p>
    <w:p>
      <w:pPr>
        <w:wordWrap w:val="0"/>
        <w:ind w:firstLine="480"/>
        <w:rPr>
          <w:rFonts w:hint="eastAsia"/>
        </w:rPr>
      </w:pPr>
      <w:r>
        <w:rPr>
          <w:rFonts w:hint="eastAsia"/>
        </w:rPr>
        <w:t>根据根据《四川省人民政府关于同意划定巴中市寒溪寺水库集中式饮用水水源保护区、调整渠县县城集中式饮用水水源保护区和撤销蒲江县蒲江河右干渠饮用水水源保护区的批复》（川府函〔2015〕78号），同意划定巴中市寒溪寺水库集中式饮用水水源保护区。</w:t>
      </w:r>
    </w:p>
    <w:p>
      <w:pPr>
        <w:ind w:firstLine="480"/>
        <w:contextualSpacing/>
        <w:rPr>
          <w:rFonts w:hint="eastAsia"/>
        </w:rPr>
      </w:pPr>
      <w:r>
        <w:rPr>
          <w:rFonts w:hint="eastAsia"/>
        </w:rPr>
        <w:t>根据巴中市巴州生态环境局提供的寒溪寺水库保护区shp文件，本项目位于寒溪寺水库饮用水水源地准保护区，同时</w:t>
      </w:r>
      <w:r>
        <w:rPr>
          <w:rFonts w:hint="eastAsia" w:hAnsi="宋体"/>
        </w:rPr>
        <w:t>目前寒溪寺水库现有原凌云乡代洛供水工程，供附近场镇3</w:t>
      </w:r>
      <w:r>
        <w:rPr>
          <w:rFonts w:hAnsi="宋体"/>
        </w:rPr>
        <w:t>000</w:t>
      </w:r>
      <w:r>
        <w:rPr>
          <w:rFonts w:hint="eastAsia" w:hAnsi="宋体"/>
        </w:rPr>
        <w:t>人使用。</w:t>
      </w:r>
      <w:r>
        <w:rPr>
          <w:rFonts w:hint="eastAsia"/>
        </w:rPr>
        <w:t>故寒溪寺自身属于敏感区。根据</w:t>
      </w:r>
      <w:r>
        <w:rPr>
          <w:rFonts w:hint="eastAsia" w:hAnsi="宋体"/>
        </w:rPr>
        <w:t>《环境影响评价技术导则 土壤环境》</w:t>
      </w:r>
      <w:r>
        <w:rPr>
          <w:rFonts w:hint="eastAsia"/>
        </w:rPr>
        <w:t>(HJ 964-2018)“4.2.2……自身为敏感目标的建设项目，可根据需要仅对土壤现状进行调查”。因此，</w:t>
      </w:r>
      <w:r>
        <w:rPr>
          <w:rFonts w:hint="eastAsia"/>
          <w:b/>
          <w:bCs/>
        </w:rPr>
        <w:t>本环评仅对土壤现状进行调查</w:t>
      </w:r>
      <w:r>
        <w:rPr>
          <w:rFonts w:hint="eastAsia"/>
        </w:rPr>
        <w:t>。</w:t>
      </w:r>
    </w:p>
    <w:p>
      <w:pPr>
        <w:pStyle w:val="5"/>
        <w:ind w:firstLine="0" w:firstLineChars="0"/>
        <w:contextualSpacing/>
        <w:rPr>
          <w:rFonts w:ascii="Times New Roman" w:hAnsi="Times New Roman"/>
        </w:rPr>
      </w:pPr>
      <w:bookmarkStart w:id="167" w:name="_Toc24024"/>
      <w:bookmarkStart w:id="168" w:name="_Toc25754"/>
      <w:bookmarkStart w:id="169" w:name="_Toc23263"/>
      <w:bookmarkStart w:id="170" w:name="_Toc1595"/>
      <w:bookmarkStart w:id="171" w:name="_Toc31195"/>
      <w:bookmarkStart w:id="172" w:name="_Toc28687"/>
      <w:bookmarkStart w:id="173" w:name="_Toc4628"/>
      <w:bookmarkStart w:id="174" w:name="_Toc22573"/>
      <w:bookmarkStart w:id="175" w:name="_Toc25539"/>
      <w:r>
        <w:rPr>
          <w:rFonts w:ascii="Times New Roman" w:hAnsi="Times New Roman"/>
        </w:rPr>
        <w:t>1.4.7</w:t>
      </w:r>
      <w:r>
        <w:rPr>
          <w:rFonts w:ascii="Times New Roman" w:hAnsi="宋体"/>
        </w:rPr>
        <w:t>环境风险</w:t>
      </w:r>
      <w:bookmarkEnd w:id="167"/>
      <w:bookmarkEnd w:id="168"/>
      <w:bookmarkEnd w:id="169"/>
      <w:bookmarkEnd w:id="170"/>
      <w:bookmarkEnd w:id="171"/>
      <w:bookmarkEnd w:id="172"/>
      <w:bookmarkEnd w:id="173"/>
      <w:bookmarkEnd w:id="174"/>
      <w:bookmarkEnd w:id="175"/>
    </w:p>
    <w:p>
      <w:pPr>
        <w:ind w:firstLine="480"/>
        <w:contextualSpacing/>
      </w:pPr>
      <w:r>
        <w:rPr>
          <w:rFonts w:hAnsi="宋体"/>
        </w:rPr>
        <w:t>工程施工期的风险源主要来自炸药和燃料（汽油、柴油），属于易燃、易爆物质。</w:t>
      </w:r>
      <w:r>
        <w:t>工程所需汽油、柴油可从巴中市城区购买，运距约23.0km</w:t>
      </w:r>
      <w:r>
        <w:rPr>
          <w:rFonts w:hint="eastAsia"/>
        </w:rPr>
        <w:t>，</w:t>
      </w:r>
      <w:r>
        <w:t>雷管、炸药等爆破材料属国家管控物资，按规定由巴州区民爆公司供应。</w:t>
      </w:r>
      <w:r>
        <w:rPr>
          <w:rFonts w:hAnsi="宋体"/>
        </w:rPr>
        <w:t>工程环境风险潜势为</w:t>
      </w:r>
      <w:r>
        <w:t>I</w:t>
      </w:r>
      <w:r>
        <w:rPr>
          <w:rFonts w:hAnsi="宋体"/>
        </w:rPr>
        <w:t>。根据《建设项目环境风险评价技术导则》（</w:t>
      </w:r>
      <w:r>
        <w:t>HJ169-2018</w:t>
      </w:r>
      <w:r>
        <w:rPr>
          <w:rFonts w:hAnsi="宋体"/>
        </w:rPr>
        <w:t>），确定工程环境风险评价工作等级为简单分析。</w:t>
      </w:r>
    </w:p>
    <w:p>
      <w:pPr>
        <w:pStyle w:val="4"/>
        <w:ind w:firstLine="0" w:firstLineChars="0"/>
        <w:contextualSpacing/>
      </w:pPr>
      <w:bookmarkStart w:id="176" w:name="_Toc24211"/>
      <w:bookmarkStart w:id="177" w:name="_Toc4086"/>
      <w:bookmarkStart w:id="178" w:name="_Toc1272"/>
      <w:bookmarkStart w:id="179" w:name="_Toc16861"/>
      <w:bookmarkStart w:id="180" w:name="_Toc23325"/>
      <w:bookmarkStart w:id="181" w:name="_Toc23492"/>
      <w:bookmarkStart w:id="182" w:name="_Toc18820"/>
      <w:bookmarkStart w:id="183" w:name="_Toc28635"/>
      <w:bookmarkStart w:id="184" w:name="_Toc14694"/>
      <w:bookmarkStart w:id="185" w:name="_Toc130753405"/>
      <w:r>
        <w:t>1.5</w:t>
      </w:r>
      <w:r>
        <w:rPr>
          <w:rFonts w:hAnsi="宋体"/>
        </w:rPr>
        <w:t>评价范围</w:t>
      </w:r>
      <w:bookmarkEnd w:id="176"/>
      <w:bookmarkEnd w:id="177"/>
      <w:bookmarkEnd w:id="178"/>
      <w:bookmarkEnd w:id="179"/>
      <w:bookmarkEnd w:id="180"/>
      <w:bookmarkEnd w:id="181"/>
      <w:bookmarkEnd w:id="182"/>
      <w:bookmarkEnd w:id="183"/>
      <w:bookmarkEnd w:id="184"/>
      <w:bookmarkEnd w:id="185"/>
    </w:p>
    <w:p>
      <w:pPr>
        <w:pStyle w:val="5"/>
        <w:ind w:firstLine="0" w:firstLineChars="0"/>
        <w:contextualSpacing/>
        <w:rPr>
          <w:rFonts w:ascii="Times New Roman" w:hAnsi="Times New Roman"/>
        </w:rPr>
      </w:pPr>
      <w:bookmarkStart w:id="186" w:name="_Toc17052"/>
      <w:bookmarkStart w:id="187" w:name="_Toc13322"/>
      <w:bookmarkStart w:id="188" w:name="_Toc2057"/>
      <w:bookmarkStart w:id="189" w:name="_Toc10419"/>
      <w:bookmarkStart w:id="190" w:name="_Toc985"/>
      <w:bookmarkStart w:id="191" w:name="_Toc23067"/>
      <w:bookmarkStart w:id="192" w:name="_Toc31954"/>
      <w:bookmarkStart w:id="193" w:name="_Toc26736"/>
      <w:bookmarkStart w:id="194" w:name="_Toc19103"/>
      <w:r>
        <w:rPr>
          <w:rFonts w:ascii="Times New Roman" w:hAnsi="Times New Roman"/>
        </w:rPr>
        <w:t>1.5.1</w:t>
      </w:r>
      <w:r>
        <w:rPr>
          <w:rFonts w:ascii="Times New Roman" w:hAnsi="宋体"/>
        </w:rPr>
        <w:t>地表水环境</w:t>
      </w:r>
      <w:bookmarkEnd w:id="186"/>
      <w:bookmarkEnd w:id="187"/>
      <w:bookmarkEnd w:id="188"/>
      <w:bookmarkEnd w:id="189"/>
      <w:bookmarkEnd w:id="190"/>
      <w:bookmarkEnd w:id="191"/>
      <w:bookmarkEnd w:id="192"/>
      <w:bookmarkEnd w:id="193"/>
      <w:bookmarkEnd w:id="194"/>
    </w:p>
    <w:p>
      <w:pPr>
        <w:ind w:firstLine="480"/>
        <w:contextualSpacing/>
      </w:pPr>
      <w:r>
        <w:rPr>
          <w:rFonts w:hAnsi="宋体"/>
        </w:rPr>
        <w:t>根据《环境影响评价技术导则地表水环境》（</w:t>
      </w:r>
      <w:r>
        <w:t>HJ</w:t>
      </w:r>
      <w:r>
        <w:rPr>
          <w:rFonts w:hint="eastAsia"/>
        </w:rPr>
        <w:t xml:space="preserve"> </w:t>
      </w:r>
      <w:r>
        <w:t>2.3-2018</w:t>
      </w:r>
      <w:r>
        <w:rPr>
          <w:rFonts w:hAnsi="宋体"/>
        </w:rPr>
        <w:t>），地表水环境影响评价范围为：</w:t>
      </w:r>
    </w:p>
    <w:p>
      <w:pPr>
        <w:ind w:firstLine="0" w:firstLineChars="0"/>
        <w:contextualSpacing/>
        <w:jc w:val="center"/>
        <w:rPr>
          <w:rFonts w:hAnsi="宋体"/>
          <w:b/>
          <w:bCs/>
          <w:sz w:val="21"/>
          <w:szCs w:val="21"/>
        </w:rPr>
      </w:pPr>
      <w:r>
        <w:rPr>
          <w:rFonts w:hAnsi="宋体"/>
          <w:b/>
          <w:bCs/>
          <w:sz w:val="21"/>
          <w:szCs w:val="21"/>
        </w:rPr>
        <w:t>表</w:t>
      </w:r>
      <w:r>
        <w:rPr>
          <w:b/>
          <w:bCs/>
          <w:sz w:val="21"/>
          <w:szCs w:val="21"/>
        </w:rPr>
        <w:t xml:space="preserve">1.5.1-1  </w:t>
      </w:r>
      <w:r>
        <w:rPr>
          <w:rFonts w:hAnsi="宋体"/>
          <w:b/>
          <w:bCs/>
          <w:sz w:val="21"/>
          <w:szCs w:val="21"/>
        </w:rPr>
        <w:t>地表水环境影响评价范围一览表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60"/>
        <w:gridCol w:w="1145"/>
        <w:gridCol w:w="2127"/>
        <w:gridCol w:w="849"/>
        <w:gridCol w:w="1657"/>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序号</w:t>
            </w:r>
          </w:p>
        </w:tc>
        <w:tc>
          <w:tcPr>
            <w:tcW w:w="387"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评价区</w:t>
            </w:r>
          </w:p>
        </w:tc>
        <w:tc>
          <w:tcPr>
            <w:tcW w:w="672"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河流</w:t>
            </w:r>
          </w:p>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名称</w:t>
            </w:r>
          </w:p>
        </w:tc>
        <w:tc>
          <w:tcPr>
            <w:tcW w:w="1248"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地表水范围</w:t>
            </w:r>
          </w:p>
        </w:tc>
        <w:tc>
          <w:tcPr>
            <w:tcW w:w="498"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长度（</w:t>
            </w:r>
            <w:r>
              <w:rPr>
                <w:rFonts w:ascii="Times New Roman" w:hAnsi="Times New Roman"/>
                <w:sz w:val="21"/>
                <w:szCs w:val="21"/>
              </w:rPr>
              <w:t>km</w:t>
            </w:r>
            <w:r>
              <w:rPr>
                <w:rFonts w:ascii="Times New Roman"/>
                <w:sz w:val="21"/>
                <w:szCs w:val="21"/>
              </w:rPr>
              <w:t>）</w:t>
            </w:r>
          </w:p>
        </w:tc>
        <w:tc>
          <w:tcPr>
            <w:tcW w:w="1944" w:type="pct"/>
            <w:gridSpan w:val="2"/>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起始点地理坐标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387"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672"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1248"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498"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起点</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sz w:val="21"/>
                <w:szCs w:val="21"/>
              </w:rPr>
              <w:t>止点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5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w:t>
            </w:r>
          </w:p>
        </w:tc>
        <w:tc>
          <w:tcPr>
            <w:tcW w:w="387"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库区</w:t>
            </w:r>
          </w:p>
        </w:tc>
        <w:tc>
          <w:tcPr>
            <w:tcW w:w="672"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蔡家河</w:t>
            </w:r>
          </w:p>
        </w:tc>
        <w:tc>
          <w:tcPr>
            <w:tcW w:w="124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寒溪寺</w:t>
            </w:r>
            <w:r>
              <w:rPr>
                <w:rFonts w:ascii="Times New Roman" w:hAnsi="Times New Roman"/>
                <w:sz w:val="21"/>
                <w:szCs w:val="21"/>
              </w:rPr>
              <w:t>水库回水末端至坝址（库区）</w:t>
            </w:r>
          </w:p>
        </w:tc>
        <w:tc>
          <w:tcPr>
            <w:tcW w:w="49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1.28</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106.8351</w:t>
            </w:r>
            <w:r>
              <w:rPr>
                <w:rFonts w:hint="eastAsia" w:ascii="Times New Roman" w:hAnsi="Times New Roman"/>
                <w:sz w:val="21"/>
                <w:szCs w:val="21"/>
              </w:rPr>
              <w:t>，</w:t>
            </w:r>
            <w:r>
              <w:rPr>
                <w:rFonts w:ascii="Times New Roman" w:hAnsi="Times New Roman"/>
                <w:sz w:val="21"/>
                <w:szCs w:val="21"/>
              </w:rPr>
              <w:t>31.9660</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106.8394</w:t>
            </w:r>
            <w:r>
              <w:rPr>
                <w:rFonts w:hint="eastAsia" w:ascii="Times New Roman" w:hAnsi="Times New Roman"/>
                <w:sz w:val="21"/>
                <w:szCs w:val="21"/>
              </w:rPr>
              <w:t>，</w:t>
            </w:r>
            <w:r>
              <w:rPr>
                <w:rFonts w:ascii="Times New Roman" w:hAnsi="Times New Roman"/>
                <w:sz w:val="21"/>
                <w:szCs w:val="21"/>
              </w:rPr>
              <w:t>31.9556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w:t>
            </w:r>
          </w:p>
        </w:tc>
        <w:tc>
          <w:tcPr>
            <w:tcW w:w="387"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672"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124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寒溪寺水库坝下至</w:t>
            </w:r>
            <w:r>
              <w:rPr>
                <w:rFonts w:hint="eastAsia" w:ascii="Times New Roman"/>
                <w:sz w:val="21"/>
                <w:szCs w:val="21"/>
              </w:rPr>
              <w:t>减水河段</w:t>
            </w:r>
          </w:p>
        </w:tc>
        <w:tc>
          <w:tcPr>
            <w:tcW w:w="49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3.15</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106.8394</w:t>
            </w:r>
            <w:r>
              <w:rPr>
                <w:rFonts w:hint="eastAsia" w:ascii="Times New Roman" w:hAnsi="Times New Roman"/>
                <w:sz w:val="21"/>
                <w:szCs w:val="21"/>
              </w:rPr>
              <w:t>，</w:t>
            </w:r>
            <w:r>
              <w:rPr>
                <w:rFonts w:ascii="Times New Roman" w:hAnsi="Times New Roman"/>
                <w:sz w:val="21"/>
                <w:szCs w:val="21"/>
              </w:rPr>
              <w:t>31.9556</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106.8461</w:t>
            </w:r>
            <w:r>
              <w:rPr>
                <w:rFonts w:hint="eastAsia" w:ascii="Times New Roman" w:hAnsi="Times New Roman"/>
                <w:sz w:val="21"/>
                <w:szCs w:val="21"/>
              </w:rPr>
              <w:t>，</w:t>
            </w:r>
            <w:r>
              <w:rPr>
                <w:rFonts w:ascii="Times New Roman" w:hAnsi="Times New Roman"/>
                <w:sz w:val="21"/>
                <w:szCs w:val="21"/>
              </w:rPr>
              <w:t>31.9291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5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4</w:t>
            </w:r>
          </w:p>
        </w:tc>
        <w:tc>
          <w:tcPr>
            <w:tcW w:w="387" w:type="pct"/>
            <w:vMerge w:val="restar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引水工程</w:t>
            </w:r>
          </w:p>
        </w:tc>
        <w:tc>
          <w:tcPr>
            <w:tcW w:w="6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二长河支沟谭家河</w:t>
            </w:r>
          </w:p>
        </w:tc>
        <w:tc>
          <w:tcPr>
            <w:tcW w:w="124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谭家河底格栏栅坝址至下游汇合口</w:t>
            </w:r>
          </w:p>
        </w:tc>
        <w:tc>
          <w:tcPr>
            <w:tcW w:w="49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.9</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106.8562</w:t>
            </w:r>
            <w:r>
              <w:rPr>
                <w:rFonts w:hint="eastAsia" w:ascii="Times New Roman" w:hAnsi="Times New Roman"/>
                <w:sz w:val="21"/>
                <w:szCs w:val="21"/>
              </w:rPr>
              <w:t>，</w:t>
            </w:r>
            <w:r>
              <w:rPr>
                <w:rFonts w:ascii="Times New Roman" w:hAnsi="Times New Roman"/>
                <w:sz w:val="21"/>
                <w:szCs w:val="21"/>
              </w:rPr>
              <w:t>31.9766</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106.8655</w:t>
            </w:r>
            <w:r>
              <w:rPr>
                <w:rFonts w:hint="eastAsia" w:ascii="Times New Roman" w:hAnsi="Times New Roman"/>
                <w:sz w:val="21"/>
                <w:szCs w:val="21"/>
              </w:rPr>
              <w:t>，</w:t>
            </w:r>
            <w:r>
              <w:rPr>
                <w:rFonts w:ascii="Times New Roman" w:hAnsi="Times New Roman"/>
                <w:sz w:val="21"/>
                <w:szCs w:val="21"/>
              </w:rPr>
              <w:t>31.9435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51"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ascii="Times New Roman" w:hAnsi="Times New Roman"/>
                <w:sz w:val="21"/>
                <w:szCs w:val="21"/>
              </w:rPr>
              <w:t>5</w:t>
            </w:r>
          </w:p>
        </w:tc>
        <w:tc>
          <w:tcPr>
            <w:tcW w:w="387" w:type="pct"/>
            <w:vMerge w:val="continue"/>
            <w:vAlign w:val="center"/>
          </w:tcPr>
          <w:p>
            <w:pPr>
              <w:pStyle w:val="2"/>
              <w:spacing w:before="0" w:line="240" w:lineRule="auto"/>
              <w:ind w:left="0" w:firstLine="0" w:firstLineChars="0"/>
              <w:contextualSpacing/>
              <w:jc w:val="center"/>
              <w:rPr>
                <w:rFonts w:ascii="Times New Roman" w:hAnsi="Times New Roman"/>
                <w:sz w:val="21"/>
                <w:szCs w:val="21"/>
              </w:rPr>
            </w:pPr>
          </w:p>
        </w:tc>
        <w:tc>
          <w:tcPr>
            <w:tcW w:w="6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二长河支沟刘家河</w:t>
            </w:r>
          </w:p>
        </w:tc>
        <w:tc>
          <w:tcPr>
            <w:tcW w:w="124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刘家河底格栏栅坝址至下游汇合口</w:t>
            </w:r>
          </w:p>
        </w:tc>
        <w:tc>
          <w:tcPr>
            <w:tcW w:w="498"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.7</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106.8685</w:t>
            </w:r>
            <w:r>
              <w:rPr>
                <w:rFonts w:hint="eastAsia" w:ascii="Times New Roman" w:hAnsi="Times New Roman"/>
                <w:sz w:val="21"/>
                <w:szCs w:val="21"/>
              </w:rPr>
              <w:t>，</w:t>
            </w:r>
            <w:r>
              <w:rPr>
                <w:rFonts w:ascii="Times New Roman" w:hAnsi="Times New Roman"/>
                <w:sz w:val="21"/>
                <w:szCs w:val="21"/>
              </w:rPr>
              <w:t>31.9731</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106.8655</w:t>
            </w:r>
            <w:r>
              <w:rPr>
                <w:rFonts w:hint="eastAsia" w:ascii="Times New Roman" w:hAnsi="Times New Roman"/>
                <w:sz w:val="21"/>
                <w:szCs w:val="21"/>
              </w:rPr>
              <w:t>，</w:t>
            </w:r>
            <w:r>
              <w:rPr>
                <w:rFonts w:ascii="Times New Roman" w:hAnsi="Times New Roman"/>
                <w:sz w:val="21"/>
                <w:szCs w:val="21"/>
              </w:rPr>
              <w:t>31.9435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6</w:t>
            </w:r>
          </w:p>
        </w:tc>
        <w:tc>
          <w:tcPr>
            <w:tcW w:w="387"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补水渠</w:t>
            </w:r>
          </w:p>
        </w:tc>
        <w:tc>
          <w:tcPr>
            <w:tcW w:w="672"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人工水体</w:t>
            </w:r>
          </w:p>
        </w:tc>
        <w:tc>
          <w:tcPr>
            <w:tcW w:w="124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w:t>
            </w:r>
          </w:p>
        </w:tc>
        <w:tc>
          <w:tcPr>
            <w:tcW w:w="49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.6</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106.8686</w:t>
            </w:r>
            <w:r>
              <w:rPr>
                <w:rFonts w:hint="eastAsia" w:ascii="Times New Roman" w:hAnsi="Times New Roman"/>
                <w:sz w:val="21"/>
                <w:szCs w:val="21"/>
              </w:rPr>
              <w:t>，</w:t>
            </w:r>
            <w:r>
              <w:rPr>
                <w:rFonts w:ascii="Times New Roman" w:hAnsi="Times New Roman"/>
                <w:sz w:val="21"/>
                <w:szCs w:val="21"/>
              </w:rPr>
              <w:t>31.9726</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106.8354</w:t>
            </w:r>
            <w:r>
              <w:rPr>
                <w:rFonts w:hint="eastAsia" w:ascii="Times New Roman" w:hAnsi="Times New Roman"/>
                <w:sz w:val="21"/>
                <w:szCs w:val="21"/>
              </w:rPr>
              <w:t>，</w:t>
            </w:r>
            <w:r>
              <w:rPr>
                <w:rFonts w:ascii="Times New Roman" w:hAnsi="Times New Roman"/>
                <w:sz w:val="21"/>
                <w:szCs w:val="21"/>
              </w:rPr>
              <w:t>31.9650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7</w:t>
            </w:r>
          </w:p>
        </w:tc>
        <w:tc>
          <w:tcPr>
            <w:tcW w:w="387"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灌溉干渠</w:t>
            </w:r>
          </w:p>
        </w:tc>
        <w:tc>
          <w:tcPr>
            <w:tcW w:w="6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hint="eastAsia" w:ascii="Times New Roman" w:hAnsi="Times New Roman"/>
                <w:sz w:val="21"/>
                <w:szCs w:val="21"/>
              </w:rPr>
              <w:t>人工水体</w:t>
            </w:r>
          </w:p>
        </w:tc>
        <w:tc>
          <w:tcPr>
            <w:tcW w:w="124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w:t>
            </w:r>
          </w:p>
        </w:tc>
        <w:tc>
          <w:tcPr>
            <w:tcW w:w="49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7</w:t>
            </w:r>
            <w:r>
              <w:rPr>
                <w:rFonts w:ascii="Times New Roman" w:hAnsi="Times New Roman"/>
                <w:sz w:val="21"/>
                <w:szCs w:val="21"/>
              </w:rPr>
              <w:t>.9</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106.8406</w:t>
            </w:r>
            <w:r>
              <w:rPr>
                <w:rFonts w:hint="eastAsia" w:ascii="Times New Roman" w:hAnsi="Times New Roman"/>
                <w:sz w:val="21"/>
                <w:szCs w:val="21"/>
              </w:rPr>
              <w:t>，</w:t>
            </w:r>
            <w:r>
              <w:rPr>
                <w:rFonts w:ascii="Times New Roman" w:hAnsi="Times New Roman"/>
                <w:sz w:val="21"/>
                <w:szCs w:val="21"/>
              </w:rPr>
              <w:t>31.9542</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106.8395</w:t>
            </w:r>
            <w:r>
              <w:rPr>
                <w:rFonts w:hint="eastAsia" w:ascii="Times New Roman" w:hAnsi="Times New Roman"/>
                <w:sz w:val="21"/>
                <w:szCs w:val="21"/>
              </w:rPr>
              <w:t>，</w:t>
            </w:r>
            <w:r>
              <w:rPr>
                <w:rFonts w:ascii="Times New Roman" w:hAnsi="Times New Roman"/>
                <w:sz w:val="21"/>
                <w:szCs w:val="21"/>
              </w:rPr>
              <w:t>31.8953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8</w:t>
            </w:r>
          </w:p>
        </w:tc>
        <w:tc>
          <w:tcPr>
            <w:tcW w:w="387"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灌溉退水</w:t>
            </w:r>
          </w:p>
        </w:tc>
        <w:tc>
          <w:tcPr>
            <w:tcW w:w="672"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龙滩河</w:t>
            </w:r>
          </w:p>
        </w:tc>
        <w:tc>
          <w:tcPr>
            <w:tcW w:w="124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龙滩河源头至天星桥水库库尾</w:t>
            </w:r>
          </w:p>
        </w:tc>
        <w:tc>
          <w:tcPr>
            <w:tcW w:w="498" w:type="pct"/>
            <w:vAlign w:val="center"/>
          </w:tcPr>
          <w:p>
            <w:pPr>
              <w:pStyle w:val="2"/>
              <w:spacing w:before="0" w:line="240" w:lineRule="auto"/>
              <w:ind w:left="0" w:firstLine="0" w:firstLineChars="0"/>
              <w:contextualSpacing/>
              <w:jc w:val="center"/>
              <w:rPr>
                <w:rFonts w:hint="eastAsia"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.0</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106.8207</w:t>
            </w:r>
            <w:r>
              <w:rPr>
                <w:rFonts w:hint="eastAsia" w:ascii="Times New Roman" w:hAnsi="Times New Roman"/>
                <w:sz w:val="21"/>
                <w:szCs w:val="21"/>
              </w:rPr>
              <w:t>，</w:t>
            </w:r>
            <w:r>
              <w:rPr>
                <w:rFonts w:ascii="Times New Roman" w:hAnsi="Times New Roman"/>
                <w:sz w:val="21"/>
                <w:szCs w:val="21"/>
              </w:rPr>
              <w:t>31.9159</w:t>
            </w:r>
          </w:p>
        </w:tc>
        <w:tc>
          <w:tcPr>
            <w:tcW w:w="972"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106.8047</w:t>
            </w:r>
            <w:r>
              <w:rPr>
                <w:rFonts w:hint="eastAsia" w:ascii="Times New Roman" w:hAnsi="Times New Roman"/>
                <w:sz w:val="21"/>
                <w:szCs w:val="21"/>
              </w:rPr>
              <w:t>，</w:t>
            </w:r>
            <w:r>
              <w:rPr>
                <w:rFonts w:ascii="Times New Roman" w:hAnsi="Times New Roman"/>
                <w:sz w:val="21"/>
                <w:szCs w:val="21"/>
              </w:rPr>
              <w:t>31.8895</w:t>
            </w:r>
          </w:p>
        </w:tc>
      </w:tr>
    </w:tbl>
    <w:p>
      <w:pPr>
        <w:pStyle w:val="5"/>
        <w:ind w:firstLine="0" w:firstLineChars="0"/>
        <w:contextualSpacing/>
        <w:rPr>
          <w:rFonts w:ascii="Times New Roman" w:hAnsi="Times New Roman"/>
        </w:rPr>
      </w:pPr>
      <w:bookmarkStart w:id="195" w:name="_Toc14468"/>
      <w:bookmarkStart w:id="196" w:name="_Toc16967"/>
      <w:bookmarkStart w:id="197" w:name="_Toc25249"/>
      <w:bookmarkStart w:id="198" w:name="_Toc12673"/>
      <w:bookmarkStart w:id="199" w:name="_Toc18149"/>
      <w:bookmarkStart w:id="200" w:name="_Toc14235"/>
      <w:bookmarkStart w:id="201" w:name="_Toc5227"/>
      <w:bookmarkStart w:id="202" w:name="_Toc21249"/>
      <w:bookmarkStart w:id="203" w:name="_Toc22622"/>
      <w:r>
        <w:rPr>
          <w:rFonts w:ascii="Times New Roman" w:hAnsi="Times New Roman"/>
        </w:rPr>
        <w:t>1.5.2</w:t>
      </w:r>
      <w:r>
        <w:rPr>
          <w:rFonts w:ascii="Times New Roman" w:hAnsi="宋体"/>
        </w:rPr>
        <w:t>地下水环境</w:t>
      </w:r>
      <w:bookmarkEnd w:id="195"/>
      <w:bookmarkEnd w:id="196"/>
      <w:bookmarkEnd w:id="197"/>
      <w:bookmarkEnd w:id="198"/>
      <w:bookmarkEnd w:id="199"/>
      <w:bookmarkEnd w:id="200"/>
      <w:bookmarkEnd w:id="201"/>
      <w:bookmarkEnd w:id="202"/>
      <w:bookmarkEnd w:id="203"/>
    </w:p>
    <w:p>
      <w:pPr>
        <w:pStyle w:val="65"/>
        <w:spacing w:line="360" w:lineRule="auto"/>
        <w:ind w:firstLine="480"/>
        <w:contextualSpacing/>
      </w:pPr>
      <w:r>
        <w:rPr>
          <w:rFonts w:hAnsi="宋体"/>
        </w:rPr>
        <w:t>工程影响区完整的水文地质单元，包括坝址枢纽区、水库淹没区及坝下游区域。</w:t>
      </w:r>
    </w:p>
    <w:p>
      <w:pPr>
        <w:pStyle w:val="5"/>
        <w:ind w:firstLine="0" w:firstLineChars="0"/>
        <w:contextualSpacing/>
        <w:rPr>
          <w:rFonts w:ascii="Times New Roman" w:hAnsi="Times New Roman"/>
        </w:rPr>
      </w:pPr>
      <w:bookmarkStart w:id="204" w:name="_Toc1043"/>
      <w:bookmarkStart w:id="205" w:name="_Toc5822"/>
      <w:bookmarkStart w:id="206" w:name="_Toc2108"/>
      <w:bookmarkStart w:id="207" w:name="_Toc5278"/>
      <w:bookmarkStart w:id="208" w:name="_Toc17037"/>
      <w:bookmarkStart w:id="209" w:name="_Toc28237"/>
      <w:bookmarkStart w:id="210" w:name="_Toc14948"/>
      <w:bookmarkStart w:id="211" w:name="_Toc15954"/>
      <w:bookmarkStart w:id="212" w:name="_Toc23802"/>
      <w:r>
        <w:rPr>
          <w:rFonts w:ascii="Times New Roman" w:hAnsi="Times New Roman"/>
        </w:rPr>
        <w:t>1.5.3</w:t>
      </w:r>
      <w:r>
        <w:rPr>
          <w:rFonts w:ascii="Times New Roman" w:hAnsi="宋体"/>
        </w:rPr>
        <w:t>生态环境</w:t>
      </w:r>
      <w:bookmarkEnd w:id="204"/>
      <w:bookmarkEnd w:id="205"/>
      <w:bookmarkEnd w:id="206"/>
      <w:bookmarkEnd w:id="207"/>
      <w:bookmarkEnd w:id="208"/>
      <w:bookmarkEnd w:id="209"/>
      <w:bookmarkEnd w:id="210"/>
      <w:bookmarkEnd w:id="211"/>
      <w:bookmarkEnd w:id="212"/>
    </w:p>
    <w:p>
      <w:pPr>
        <w:ind w:firstLine="480"/>
        <w:contextualSpacing/>
      </w:pPr>
      <w:r>
        <w:rPr>
          <w:rFonts w:hAnsi="宋体"/>
        </w:rPr>
        <w:t>（</w:t>
      </w:r>
      <w:r>
        <w:t>1</w:t>
      </w:r>
      <w:r>
        <w:rPr>
          <w:rFonts w:hAnsi="宋体"/>
        </w:rPr>
        <w:t>）陆生生态</w:t>
      </w:r>
    </w:p>
    <w:p>
      <w:pPr>
        <w:ind w:left="480" w:firstLine="0" w:firstLineChars="0"/>
        <w:contextualSpacing/>
        <w:rPr>
          <w:rFonts w:hint="eastAsia" w:hAnsi="宋体"/>
        </w:rPr>
      </w:pPr>
      <w:r>
        <w:rPr>
          <w:rFonts w:hAnsi="宋体"/>
        </w:rPr>
        <w:t>陆生生态评价范围包括水库淹没区、枢纽工程建设区、渠道工程建设区及临时工程占地区，以及以水库淹没范围间接影响区（正常蓄水位规划红线外约</w:t>
      </w:r>
      <w:r>
        <w:t>500m</w:t>
      </w:r>
      <w:r>
        <w:rPr>
          <w:rFonts w:hAnsi="宋体"/>
        </w:rPr>
        <w:t>范围）、主体工程与施工临时占地的间接影响区（施工红线垂直外延约</w:t>
      </w:r>
      <w:r>
        <w:t>500m</w:t>
      </w:r>
      <w:r>
        <w:rPr>
          <w:rFonts w:hAnsi="宋体"/>
        </w:rPr>
        <w:t>的范围）、减水河段河岸带外延</w:t>
      </w:r>
      <w:r>
        <w:t>200m</w:t>
      </w:r>
      <w:r>
        <w:rPr>
          <w:rFonts w:hAnsi="宋体"/>
        </w:rPr>
        <w:t>、新增灌区、改善灌区、退水区与受水区，局部评价边界参考等高线或现有道路确定。</w:t>
      </w:r>
      <w:r>
        <w:rPr>
          <w:rFonts w:hint="eastAsia" w:hAnsi="宋体"/>
        </w:rPr>
        <w:t>生态评价区范围共2469.8hm</w:t>
      </w:r>
      <w:r>
        <w:rPr>
          <w:rFonts w:hint="eastAsia" w:hAnsi="宋体"/>
          <w:vertAlign w:val="superscript"/>
        </w:rPr>
        <w:t>2</w:t>
      </w:r>
      <w:r>
        <w:rPr>
          <w:rFonts w:hint="eastAsia" w:hAnsi="宋体"/>
        </w:rPr>
        <w:t>，主要分为评价区域：枢纽工程及淹没区评价区域（507.7hm</w:t>
      </w:r>
      <w:r>
        <w:rPr>
          <w:rFonts w:hint="eastAsia" w:hAnsi="宋体"/>
          <w:vertAlign w:val="superscript"/>
        </w:rPr>
        <w:t>2</w:t>
      </w:r>
      <w:r>
        <w:rPr>
          <w:rFonts w:hint="eastAsia" w:hAnsi="宋体"/>
        </w:rPr>
        <w:t>）、减水河段评价区域（300.4hm</w:t>
      </w:r>
      <w:r>
        <w:rPr>
          <w:rFonts w:hint="eastAsia" w:hAnsi="宋体"/>
          <w:vertAlign w:val="superscript"/>
        </w:rPr>
        <w:t>2</w:t>
      </w:r>
      <w:r>
        <w:rPr>
          <w:rFonts w:hint="eastAsia" w:hAnsi="宋体"/>
        </w:rPr>
        <w:t>）、新增灌区（980hm</w:t>
      </w:r>
      <w:r>
        <w:rPr>
          <w:rFonts w:hint="eastAsia" w:hAnsi="宋体"/>
          <w:vertAlign w:val="superscript"/>
        </w:rPr>
        <w:t>2</w:t>
      </w:r>
      <w:r>
        <w:rPr>
          <w:rFonts w:hint="eastAsia" w:hAnsi="宋体"/>
        </w:rPr>
        <w:t>）、改善灌区（520hm</w:t>
      </w:r>
      <w:r>
        <w:rPr>
          <w:rFonts w:hint="eastAsia" w:hAnsi="宋体"/>
          <w:vertAlign w:val="superscript"/>
        </w:rPr>
        <w:t>2</w:t>
      </w:r>
      <w:r>
        <w:rPr>
          <w:rFonts w:hint="eastAsia" w:hAnsi="宋体"/>
        </w:rPr>
        <w:t>）、退水区与受水区（161.7hm</w:t>
      </w:r>
      <w:r>
        <w:rPr>
          <w:rFonts w:hint="eastAsia" w:hAnsi="宋体"/>
          <w:vertAlign w:val="superscript"/>
        </w:rPr>
        <w:t>2</w:t>
      </w:r>
      <w:r>
        <w:rPr>
          <w:rFonts w:hint="eastAsia" w:hAnsi="宋体"/>
        </w:rPr>
        <w:t>）等。</w:t>
      </w:r>
    </w:p>
    <w:p>
      <w:pPr>
        <w:ind w:left="480" w:firstLine="480"/>
        <w:contextualSpacing/>
        <w:rPr>
          <w:rFonts w:hAnsi="宋体"/>
        </w:rPr>
      </w:pPr>
      <w:r>
        <w:rPr>
          <w:rFonts w:hAnsi="宋体"/>
        </w:rPr>
        <w:t>（</w:t>
      </w:r>
      <w:r>
        <w:t>2</w:t>
      </w:r>
      <w:r>
        <w:rPr>
          <w:rFonts w:hAnsi="宋体"/>
        </w:rPr>
        <w:t>）水生生态</w:t>
      </w:r>
    </w:p>
    <w:p>
      <w:pPr>
        <w:pStyle w:val="2"/>
        <w:ind w:firstLine="480"/>
        <w:rPr>
          <w:rFonts w:hint="eastAsia"/>
        </w:rPr>
      </w:pPr>
      <w:r>
        <w:rPr>
          <w:rFonts w:hint="eastAsia"/>
        </w:rPr>
        <w:t>水生生态评价范围包括寒溪寺水库库尾、谭家河补水枢纽、刘家河补水枢纽以上2km河段，寒溪寺库区、寒溪寺坝下减水河段。</w:t>
      </w:r>
    </w:p>
    <w:p>
      <w:pPr>
        <w:pStyle w:val="5"/>
        <w:ind w:firstLine="0" w:firstLineChars="0"/>
        <w:contextualSpacing/>
        <w:rPr>
          <w:rFonts w:ascii="Times New Roman" w:hAnsi="Times New Roman"/>
        </w:rPr>
      </w:pPr>
      <w:bookmarkStart w:id="213" w:name="_Toc25685"/>
      <w:bookmarkStart w:id="214" w:name="_Toc32346"/>
      <w:bookmarkStart w:id="215" w:name="_Toc9558"/>
      <w:bookmarkStart w:id="216" w:name="_Toc17314"/>
      <w:bookmarkStart w:id="217" w:name="_Toc467"/>
      <w:bookmarkStart w:id="218" w:name="_Toc13554"/>
      <w:bookmarkStart w:id="219" w:name="_Toc11001"/>
      <w:bookmarkStart w:id="220" w:name="_Toc7099"/>
      <w:bookmarkStart w:id="221" w:name="_Toc7700"/>
      <w:r>
        <w:rPr>
          <w:rFonts w:ascii="Times New Roman" w:hAnsi="Times New Roman"/>
        </w:rPr>
        <w:t>1.5.4</w:t>
      </w:r>
      <w:r>
        <w:rPr>
          <w:rFonts w:ascii="Times New Roman" w:hAnsi="宋体"/>
        </w:rPr>
        <w:t>环境空气及声环境</w:t>
      </w:r>
      <w:bookmarkEnd w:id="213"/>
      <w:bookmarkEnd w:id="214"/>
      <w:bookmarkEnd w:id="215"/>
      <w:bookmarkEnd w:id="216"/>
      <w:bookmarkEnd w:id="217"/>
      <w:bookmarkEnd w:id="218"/>
      <w:bookmarkEnd w:id="219"/>
      <w:bookmarkEnd w:id="220"/>
      <w:bookmarkEnd w:id="221"/>
    </w:p>
    <w:p>
      <w:pPr>
        <w:pStyle w:val="65"/>
        <w:spacing w:line="360" w:lineRule="auto"/>
        <w:ind w:firstLine="480"/>
        <w:contextualSpacing/>
      </w:pPr>
      <w:r>
        <w:rPr>
          <w:rFonts w:hAnsi="宋体"/>
        </w:rPr>
        <w:t>工程永久占地、临时占地及施工道路两侧外扩</w:t>
      </w:r>
      <w:r>
        <w:t>200m</w:t>
      </w:r>
      <w:r>
        <w:rPr>
          <w:rFonts w:hAnsi="宋体"/>
        </w:rPr>
        <w:t>范围以内区域。</w:t>
      </w:r>
    </w:p>
    <w:p>
      <w:pPr>
        <w:pStyle w:val="5"/>
        <w:ind w:firstLine="0" w:firstLineChars="0"/>
        <w:contextualSpacing/>
        <w:rPr>
          <w:rFonts w:ascii="Times New Roman" w:hAnsi="Times New Roman"/>
        </w:rPr>
      </w:pPr>
      <w:bookmarkStart w:id="222" w:name="_Toc4261"/>
      <w:bookmarkStart w:id="223" w:name="_Toc5959"/>
      <w:bookmarkStart w:id="224" w:name="_Toc26502"/>
      <w:bookmarkStart w:id="225" w:name="_Toc8416"/>
      <w:bookmarkStart w:id="226" w:name="_Toc10956"/>
      <w:bookmarkStart w:id="227" w:name="_Toc26037"/>
      <w:bookmarkStart w:id="228" w:name="_Toc19608"/>
      <w:bookmarkStart w:id="229" w:name="_Toc21418"/>
      <w:bookmarkStart w:id="230" w:name="_Toc25188"/>
      <w:r>
        <w:rPr>
          <w:rFonts w:ascii="Times New Roman" w:hAnsi="Times New Roman"/>
        </w:rPr>
        <w:t>1.5.5</w:t>
      </w:r>
      <w:r>
        <w:rPr>
          <w:rFonts w:ascii="Times New Roman" w:hAnsi="宋体"/>
        </w:rPr>
        <w:t>土壤环境</w:t>
      </w:r>
      <w:bookmarkEnd w:id="222"/>
      <w:bookmarkEnd w:id="223"/>
      <w:bookmarkEnd w:id="224"/>
      <w:bookmarkEnd w:id="225"/>
      <w:bookmarkEnd w:id="226"/>
      <w:bookmarkEnd w:id="227"/>
      <w:bookmarkEnd w:id="228"/>
      <w:bookmarkEnd w:id="229"/>
      <w:bookmarkEnd w:id="230"/>
    </w:p>
    <w:p>
      <w:pPr>
        <w:ind w:firstLine="480"/>
        <w:contextualSpacing/>
        <w:rPr>
          <w:rFonts w:hint="eastAsia" w:hAnsi="宋体"/>
        </w:rPr>
      </w:pPr>
      <w:r>
        <w:rPr>
          <w:rFonts w:hint="eastAsia" w:hAnsi="宋体"/>
        </w:rPr>
        <w:t>本环评仅对土壤现状进行调查。</w:t>
      </w:r>
    </w:p>
    <w:p>
      <w:pPr>
        <w:pStyle w:val="4"/>
        <w:ind w:firstLine="0" w:firstLineChars="0"/>
        <w:contextualSpacing/>
      </w:pPr>
      <w:bookmarkStart w:id="231" w:name="_Toc130753406"/>
      <w:bookmarkStart w:id="232" w:name="_Toc22018"/>
      <w:bookmarkStart w:id="233" w:name="_Toc11404"/>
      <w:bookmarkStart w:id="234" w:name="_Toc19614"/>
      <w:bookmarkStart w:id="235" w:name="_Toc18204"/>
      <w:bookmarkStart w:id="236" w:name="_Toc27469"/>
      <w:bookmarkStart w:id="237" w:name="_Toc17526"/>
      <w:bookmarkStart w:id="238" w:name="_Toc25135"/>
      <w:bookmarkStart w:id="239" w:name="_Toc10291"/>
      <w:r>
        <w:t>1.6</w:t>
      </w:r>
      <w:r>
        <w:rPr>
          <w:rFonts w:hAnsi="宋体"/>
        </w:rPr>
        <w:t>环境保护目标和要求</w:t>
      </w:r>
      <w:bookmarkEnd w:id="231"/>
    </w:p>
    <w:p>
      <w:pPr>
        <w:pStyle w:val="5"/>
        <w:ind w:firstLine="0" w:firstLineChars="0"/>
        <w:contextualSpacing/>
        <w:rPr>
          <w:rFonts w:ascii="Times New Roman" w:hAnsi="Times New Roman"/>
        </w:rPr>
      </w:pPr>
      <w:r>
        <w:rPr>
          <w:rFonts w:ascii="Times New Roman" w:hAnsi="Times New Roman"/>
        </w:rPr>
        <w:t>1.6.1</w:t>
      </w:r>
      <w:r>
        <w:rPr>
          <w:rFonts w:ascii="Times New Roman" w:hAnsi="宋体"/>
        </w:rPr>
        <w:t>环境功能保护目标</w:t>
      </w:r>
    </w:p>
    <w:p>
      <w:pPr>
        <w:ind w:firstLine="480"/>
        <w:contextualSpacing/>
      </w:pPr>
      <w:r>
        <w:rPr>
          <w:rFonts w:hAnsi="宋体"/>
        </w:rPr>
        <w:t>（</w:t>
      </w:r>
      <w:r>
        <w:t>1</w:t>
      </w:r>
      <w:r>
        <w:rPr>
          <w:rFonts w:hAnsi="宋体"/>
        </w:rPr>
        <w:t>）水资源</w:t>
      </w:r>
    </w:p>
    <w:p>
      <w:pPr>
        <w:ind w:firstLine="480"/>
        <w:contextualSpacing/>
      </w:pPr>
      <w:r>
        <w:rPr>
          <w:rFonts w:hAnsi="宋体"/>
        </w:rPr>
        <w:t>合理开发利用和保护水资源，优化水库调度运行，减少工程实施对下游用水的不利影响，特别是要保证坝下河段内的生态环境用水。</w:t>
      </w:r>
    </w:p>
    <w:p>
      <w:pPr>
        <w:ind w:firstLine="480"/>
        <w:contextualSpacing/>
      </w:pPr>
      <w:r>
        <w:rPr>
          <w:rFonts w:hAnsi="宋体"/>
        </w:rPr>
        <w:t>（</w:t>
      </w:r>
      <w:r>
        <w:t>2</w:t>
      </w:r>
      <w:r>
        <w:rPr>
          <w:rFonts w:hAnsi="宋体"/>
        </w:rPr>
        <w:t>）地表水环境</w:t>
      </w:r>
    </w:p>
    <w:p>
      <w:pPr>
        <w:ind w:firstLine="480"/>
        <w:contextualSpacing/>
      </w:pPr>
      <w:r>
        <w:rPr>
          <w:rFonts w:hAnsi="宋体"/>
        </w:rPr>
        <w:t>维持施工区地表水体现有水域功能，对施工废水及生活污水进行达标处理，确保水体功能类别不因工程施工和运行而降低。通过饮用水水源地和应急处理措施，保障供水安全。确保工程影响地表水水域水质能够满足水环境功能要求。</w:t>
      </w:r>
    </w:p>
    <w:p>
      <w:pPr>
        <w:ind w:firstLine="480"/>
        <w:contextualSpacing/>
      </w:pPr>
      <w:r>
        <w:rPr>
          <w:rFonts w:hAnsi="宋体"/>
        </w:rPr>
        <w:t>（</w:t>
      </w:r>
      <w:r>
        <w:t>3</w:t>
      </w:r>
      <w:r>
        <w:rPr>
          <w:rFonts w:hAnsi="宋体"/>
        </w:rPr>
        <w:t>）地下水环境</w:t>
      </w:r>
    </w:p>
    <w:p>
      <w:pPr>
        <w:ind w:firstLine="480"/>
        <w:contextualSpacing/>
      </w:pPr>
      <w:r>
        <w:rPr>
          <w:rFonts w:hAnsi="宋体"/>
        </w:rPr>
        <w:t>工程区域地下水位和水质不因工程建设引起显著变化。</w:t>
      </w:r>
    </w:p>
    <w:p>
      <w:pPr>
        <w:ind w:firstLine="480"/>
        <w:contextualSpacing/>
      </w:pPr>
      <w:r>
        <w:rPr>
          <w:rFonts w:hAnsi="宋体"/>
        </w:rPr>
        <w:t>（</w:t>
      </w:r>
      <w:r>
        <w:t>4</w:t>
      </w:r>
      <w:r>
        <w:rPr>
          <w:rFonts w:hAnsi="宋体"/>
        </w:rPr>
        <w:t>）生态环境</w:t>
      </w:r>
    </w:p>
    <w:p>
      <w:pPr>
        <w:ind w:firstLine="480"/>
        <w:contextualSpacing/>
      </w:pPr>
      <w:r>
        <w:rPr>
          <w:rFonts w:hAnsi="宋体"/>
        </w:rPr>
        <w:t>陆生生态：保护区域自然生态系统与重要物种栖息地；维护工程影响区生态系统的完整性和稳定性，尽量减小本工程兴建对生态环境的影响；严格控制施工占地，尽可能减少对植被的破坏，降低对动物生境以及觅食、栖息、繁殖等行为的影响；保护工程影响区域内古树名木，重点保护野生动物及其栖息环境。</w:t>
      </w:r>
    </w:p>
    <w:p>
      <w:pPr>
        <w:ind w:firstLine="480"/>
        <w:contextualSpacing/>
      </w:pPr>
      <w:r>
        <w:rPr>
          <w:rFonts w:hAnsi="宋体"/>
        </w:rPr>
        <w:t>水生生态：保护工程影响区特有鱼类及其栖息生境；水库初期蓄水和运行期按要求下泄生态流量，满足水生生物对环境的需求；采取栖息地保护与修复、捕捞过鱼、增殖放流等措施，保护水生生物多样性，保持鱼类栖息地的有效性，减缓对水生生物通道阻隔的影响。</w:t>
      </w:r>
    </w:p>
    <w:p>
      <w:pPr>
        <w:ind w:firstLine="480"/>
        <w:contextualSpacing/>
      </w:pPr>
      <w:r>
        <w:rPr>
          <w:rFonts w:hAnsi="宋体"/>
        </w:rPr>
        <w:t>（</w:t>
      </w:r>
      <w:r>
        <w:t>5</w:t>
      </w:r>
      <w:r>
        <w:rPr>
          <w:rFonts w:hAnsi="宋体"/>
        </w:rPr>
        <w:t>）环境空气</w:t>
      </w:r>
    </w:p>
    <w:p>
      <w:pPr>
        <w:ind w:firstLine="480"/>
        <w:contextualSpacing/>
      </w:pPr>
      <w:r>
        <w:rPr>
          <w:rFonts w:hAnsi="宋体"/>
        </w:rPr>
        <w:t>保护施工区环境空气质量，不因工程施工造成施工区周围环境空气质量显著下降，使施工人员生活区域及周围区域达到《环境空气质量标准》（</w:t>
      </w:r>
      <w:r>
        <w:t>GB3095-2016</w:t>
      </w:r>
      <w:r>
        <w:rPr>
          <w:rFonts w:hAnsi="宋体"/>
        </w:rPr>
        <w:t>）二级标准。</w:t>
      </w:r>
    </w:p>
    <w:p>
      <w:pPr>
        <w:ind w:firstLine="480"/>
        <w:contextualSpacing/>
      </w:pPr>
      <w:r>
        <w:rPr>
          <w:rFonts w:hAnsi="宋体"/>
        </w:rPr>
        <w:t>（</w:t>
      </w:r>
      <w:r>
        <w:t>6</w:t>
      </w:r>
      <w:r>
        <w:rPr>
          <w:rFonts w:hAnsi="宋体"/>
        </w:rPr>
        <w:t>）声环境</w:t>
      </w:r>
    </w:p>
    <w:p>
      <w:pPr>
        <w:ind w:firstLine="480"/>
        <w:contextualSpacing/>
      </w:pPr>
      <w:r>
        <w:rPr>
          <w:rFonts w:hAnsi="宋体"/>
        </w:rPr>
        <w:t>保护施工区周边声环境质量，不因工程施工造成其声环境质量显著下降，声环境质量达到《声环境质量标准》（</w:t>
      </w:r>
      <w:r>
        <w:t>GB3096-2008</w:t>
      </w:r>
      <w:r>
        <w:rPr>
          <w:rFonts w:hAnsi="宋体"/>
        </w:rPr>
        <w:t>）相应功能区标准，施工场界噪声限值要达到《建筑施工场界环境噪声排放标准》（</w:t>
      </w:r>
      <w:r>
        <w:t>GB12523-2011</w:t>
      </w:r>
      <w:r>
        <w:rPr>
          <w:rFonts w:hAnsi="宋体"/>
        </w:rPr>
        <w:t>）的要求。</w:t>
      </w:r>
    </w:p>
    <w:p>
      <w:pPr>
        <w:pStyle w:val="5"/>
        <w:ind w:firstLine="0" w:firstLineChars="0"/>
        <w:contextualSpacing/>
        <w:rPr>
          <w:rFonts w:ascii="Times New Roman" w:hAnsi="Times New Roman"/>
        </w:rPr>
      </w:pPr>
      <w:r>
        <w:rPr>
          <w:rFonts w:ascii="Times New Roman" w:hAnsi="Times New Roman"/>
        </w:rPr>
        <w:t>1.6.2</w:t>
      </w:r>
      <w:r>
        <w:rPr>
          <w:rFonts w:ascii="Times New Roman" w:hAnsi="宋体"/>
        </w:rPr>
        <w:t>环境敏感目标</w:t>
      </w:r>
    </w:p>
    <w:p>
      <w:pPr>
        <w:ind w:firstLine="480"/>
        <w:contextualSpacing/>
      </w:pPr>
      <w:r>
        <w:rPr>
          <w:rFonts w:hAnsi="宋体"/>
        </w:rPr>
        <w:t>经现场调查和对工程方案的分析，评价区主要环境敏感目标如下：</w:t>
      </w:r>
    </w:p>
    <w:p>
      <w:pPr>
        <w:ind w:firstLine="480"/>
        <w:contextualSpacing/>
      </w:pPr>
      <w:r>
        <w:rPr>
          <w:rFonts w:hAnsi="宋体"/>
        </w:rPr>
        <w:t>（</w:t>
      </w:r>
      <w:r>
        <w:t>1</w:t>
      </w:r>
      <w:r>
        <w:rPr>
          <w:rFonts w:hAnsi="宋体"/>
        </w:rPr>
        <w:t>）地表水环境</w:t>
      </w:r>
    </w:p>
    <w:p>
      <w:pPr>
        <w:ind w:firstLine="480"/>
        <w:contextualSpacing/>
      </w:pPr>
      <w:r>
        <w:rPr>
          <w:rFonts w:hAnsi="宋体"/>
        </w:rPr>
        <w:t>本工程地表水环境敏感目标为退水受纳水体</w:t>
      </w:r>
      <w:r>
        <w:rPr>
          <w:rFonts w:hint="eastAsia" w:hAnsi="宋体"/>
        </w:rPr>
        <w:t>龙滩河、天星桥水库</w:t>
      </w:r>
      <w:r>
        <w:rPr>
          <w:rFonts w:hAnsi="宋体"/>
        </w:rPr>
        <w:t>。</w:t>
      </w:r>
    </w:p>
    <w:p>
      <w:pPr>
        <w:ind w:firstLine="480"/>
        <w:contextualSpacing/>
      </w:pPr>
      <w:r>
        <w:rPr>
          <w:rFonts w:hAnsi="宋体"/>
        </w:rPr>
        <w:t>（</w:t>
      </w:r>
      <w:r>
        <w:t>2</w:t>
      </w:r>
      <w:r>
        <w:rPr>
          <w:rFonts w:hAnsi="宋体"/>
        </w:rPr>
        <w:t>）地下水环境</w:t>
      </w:r>
    </w:p>
    <w:p>
      <w:pPr>
        <w:ind w:firstLine="480" w:firstLineChars="0"/>
        <w:contextualSpacing/>
      </w:pPr>
      <w:r>
        <w:rPr>
          <w:rFonts w:hAnsi="宋体"/>
        </w:rPr>
        <w:t>地下水环境保护目标主要为库区周边村镇分散地下水水井。居民分散供水水源，饮用水采用自来水管网供水，井水仅用于洗衣、灌溉等用途。</w:t>
      </w:r>
    </w:p>
    <w:p>
      <w:pPr>
        <w:ind w:firstLine="480"/>
        <w:contextualSpacing/>
      </w:pPr>
      <w:r>
        <w:rPr>
          <w:rFonts w:hAnsi="宋体"/>
        </w:rPr>
        <w:t>（</w:t>
      </w:r>
      <w:r>
        <w:t>3</w:t>
      </w:r>
      <w:r>
        <w:rPr>
          <w:rFonts w:hAnsi="宋体"/>
        </w:rPr>
        <w:t>）生态环境</w:t>
      </w:r>
    </w:p>
    <w:p>
      <w:pPr>
        <w:ind w:firstLine="480" w:firstLineChars="0"/>
        <w:contextualSpacing/>
      </w:pPr>
      <w:r>
        <w:rPr>
          <w:rFonts w:hAnsi="宋体"/>
        </w:rPr>
        <w:t>水库工程影响区不涉及</w:t>
      </w:r>
      <w:r>
        <w:t>生态保护红线、各类自然保护地、重要湿地、珍稀濒危野生动植物栖息地、水生生物重要生境</w:t>
      </w:r>
      <w:r>
        <w:rPr>
          <w:rFonts w:hint="eastAsia"/>
        </w:rPr>
        <w:t>等生态环境敏感区</w:t>
      </w:r>
      <w:r>
        <w:rPr>
          <w:rFonts w:hAnsi="宋体"/>
        </w:rPr>
        <w:t>。</w:t>
      </w:r>
    </w:p>
    <w:p>
      <w:pPr>
        <w:ind w:firstLine="480"/>
        <w:contextualSpacing/>
      </w:pPr>
      <w:r>
        <w:rPr>
          <w:rFonts w:hAnsi="宋体"/>
        </w:rPr>
        <w:t>（</w:t>
      </w:r>
      <w:r>
        <w:t>4</w:t>
      </w:r>
      <w:r>
        <w:rPr>
          <w:rFonts w:hAnsi="宋体"/>
        </w:rPr>
        <w:t>）环境空气和声环境</w:t>
      </w:r>
    </w:p>
    <w:p>
      <w:pPr>
        <w:ind w:firstLine="480"/>
        <w:contextualSpacing/>
        <w:rPr>
          <w:rFonts w:hint="eastAsia" w:hAnsi="宋体"/>
        </w:rPr>
      </w:pPr>
      <w:r>
        <w:rPr>
          <w:rFonts w:hAnsi="宋体"/>
        </w:rPr>
        <w:t>工程大气环境和声环境敏感目标主要为</w:t>
      </w:r>
      <w:r>
        <w:rPr>
          <w:rFonts w:hint="eastAsia" w:hAnsi="宋体"/>
        </w:rPr>
        <w:t>：</w:t>
      </w:r>
    </w:p>
    <w:p>
      <w:pPr>
        <w:ind w:firstLine="480"/>
        <w:contextualSpacing/>
      </w:pPr>
      <w:r>
        <w:rPr>
          <w:rFonts w:hint="eastAsia" w:hAnsi="宋体"/>
        </w:rPr>
        <w:t>移民安置后，</w:t>
      </w:r>
      <w:r>
        <w:rPr>
          <w:rFonts w:hAnsi="宋体"/>
        </w:rPr>
        <w:t>施工区附近的居民点</w:t>
      </w:r>
      <w:r>
        <w:rPr>
          <w:rFonts w:hint="eastAsia" w:hAnsi="宋体"/>
        </w:rPr>
        <w:t>在</w:t>
      </w:r>
      <w:r>
        <w:rPr>
          <w:rFonts w:hAnsi="宋体"/>
        </w:rPr>
        <w:t>评价范围内受施工影响的约有</w:t>
      </w:r>
      <w:r>
        <w:t>4</w:t>
      </w:r>
      <w:r>
        <w:rPr>
          <w:rFonts w:hint="eastAsia"/>
        </w:rPr>
        <w:t>处</w:t>
      </w:r>
      <w:r>
        <w:rPr>
          <w:rFonts w:hAnsi="宋体"/>
        </w:rPr>
        <w:t>，保护对象约有</w:t>
      </w:r>
      <w:r>
        <w:t>42</w:t>
      </w:r>
      <w:r>
        <w:rPr>
          <w:rFonts w:hAnsi="宋体"/>
        </w:rPr>
        <w:t>户</w:t>
      </w:r>
      <w:r>
        <w:rPr>
          <w:rFonts w:hint="eastAsia" w:hAnsi="宋体"/>
        </w:rPr>
        <w:t>约</w:t>
      </w:r>
      <w:r>
        <w:t>180</w:t>
      </w:r>
      <w:r>
        <w:rPr>
          <w:rFonts w:hAnsi="宋体"/>
        </w:rPr>
        <w:t>人。</w:t>
      </w:r>
    </w:p>
    <w:p>
      <w:pPr>
        <w:ind w:firstLine="0" w:firstLineChars="0"/>
        <w:contextualSpacing/>
        <w:jc w:val="center"/>
        <w:rPr>
          <w:b/>
          <w:bCs/>
          <w:sz w:val="21"/>
          <w:szCs w:val="21"/>
        </w:rPr>
        <w:sectPr>
          <w:footerReference r:id="rId16" w:type="default"/>
          <w:pgSz w:w="11906" w:h="16838"/>
          <w:pgMar w:top="1440" w:right="1800" w:bottom="1440" w:left="1800" w:header="851" w:footer="992" w:gutter="0"/>
          <w:pgNumType w:start="1"/>
          <w:cols w:space="720" w:num="1"/>
          <w:docGrid w:type="lines" w:linePitch="312" w:charSpace="0"/>
        </w:sectPr>
      </w:pPr>
    </w:p>
    <w:p>
      <w:pPr>
        <w:ind w:firstLine="0" w:firstLineChars="0"/>
        <w:contextualSpacing/>
        <w:jc w:val="center"/>
        <w:rPr>
          <w:rFonts w:hAnsi="宋体"/>
          <w:b/>
          <w:bCs/>
          <w:sz w:val="21"/>
          <w:szCs w:val="21"/>
        </w:rPr>
      </w:pPr>
    </w:p>
    <w:p>
      <w:pPr>
        <w:ind w:firstLine="0" w:firstLineChars="0"/>
        <w:contextualSpacing/>
        <w:jc w:val="center"/>
        <w:rPr>
          <w:rFonts w:hAnsi="宋体"/>
          <w:b/>
          <w:bCs/>
          <w:sz w:val="21"/>
          <w:szCs w:val="21"/>
        </w:rPr>
      </w:pPr>
    </w:p>
    <w:p>
      <w:pPr>
        <w:ind w:firstLine="0" w:firstLineChars="0"/>
        <w:contextualSpacing/>
        <w:jc w:val="center"/>
        <w:rPr>
          <w:rFonts w:hAnsi="宋体"/>
          <w:b/>
          <w:bCs/>
          <w:sz w:val="21"/>
          <w:szCs w:val="21"/>
        </w:rPr>
      </w:pPr>
    </w:p>
    <w:p>
      <w:pPr>
        <w:ind w:firstLine="0" w:firstLineChars="0"/>
        <w:contextualSpacing/>
        <w:jc w:val="center"/>
        <w:rPr>
          <w:rFonts w:hAnsi="宋体"/>
          <w:b/>
          <w:bCs/>
          <w:sz w:val="21"/>
          <w:szCs w:val="21"/>
        </w:rPr>
      </w:pPr>
      <w:r>
        <w:rPr>
          <w:rFonts w:hAnsi="宋体"/>
          <w:b/>
          <w:bCs/>
          <w:sz w:val="21"/>
          <w:szCs w:val="21"/>
        </w:rPr>
        <w:t>表</w:t>
      </w:r>
      <w:r>
        <w:rPr>
          <w:b/>
          <w:bCs/>
          <w:sz w:val="21"/>
          <w:szCs w:val="21"/>
        </w:rPr>
        <w:t xml:space="preserve">1.6.2  </w:t>
      </w:r>
      <w:r>
        <w:rPr>
          <w:rFonts w:hAnsi="宋体"/>
          <w:b/>
          <w:bCs/>
          <w:sz w:val="21"/>
          <w:szCs w:val="21"/>
        </w:rPr>
        <w:t>环境敏感目标统计表</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5"/>
        <w:gridCol w:w="3746"/>
        <w:gridCol w:w="2604"/>
        <w:gridCol w:w="2320"/>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环境要素</w:t>
            </w: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敏感保护对象</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规模与特性</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与工程的</w:t>
            </w:r>
          </w:p>
          <w:p>
            <w:pPr>
              <w:spacing w:line="240" w:lineRule="auto"/>
              <w:ind w:firstLine="0" w:firstLineChars="0"/>
              <w:contextualSpacing/>
              <w:jc w:val="center"/>
              <w:rPr>
                <w:sz w:val="21"/>
                <w:szCs w:val="21"/>
              </w:rPr>
            </w:pPr>
            <w:r>
              <w:rPr>
                <w:rFonts w:hAnsi="宋体"/>
                <w:sz w:val="21"/>
                <w:szCs w:val="21"/>
              </w:rPr>
              <w:t>位置关系</w:t>
            </w:r>
          </w:p>
        </w:tc>
        <w:tc>
          <w:tcPr>
            <w:tcW w:w="841" w:type="pct"/>
            <w:vAlign w:val="center"/>
          </w:tcPr>
          <w:p>
            <w:pPr>
              <w:spacing w:line="240" w:lineRule="auto"/>
              <w:ind w:firstLine="0" w:firstLineChars="0"/>
              <w:contextualSpacing/>
              <w:jc w:val="center"/>
              <w:rPr>
                <w:sz w:val="21"/>
                <w:szCs w:val="21"/>
              </w:rPr>
            </w:pPr>
            <w:r>
              <w:rPr>
                <w:rFonts w:hAnsi="宋体"/>
                <w:sz w:val="21"/>
                <w:szCs w:val="21"/>
              </w:rPr>
              <w:t>主要影</w:t>
            </w:r>
          </w:p>
          <w:p>
            <w:pPr>
              <w:spacing w:line="240" w:lineRule="auto"/>
              <w:ind w:firstLine="0" w:firstLineChars="0"/>
              <w:contextualSpacing/>
              <w:jc w:val="center"/>
              <w:rPr>
                <w:sz w:val="21"/>
                <w:szCs w:val="21"/>
              </w:rPr>
            </w:pPr>
            <w:r>
              <w:rPr>
                <w:rFonts w:hAnsi="宋体"/>
                <w:sz w:val="21"/>
                <w:szCs w:val="21"/>
              </w:rPr>
              <w:t>响因素</w:t>
            </w:r>
          </w:p>
        </w:tc>
        <w:tc>
          <w:tcPr>
            <w:tcW w:w="900"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restar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水</w:t>
            </w:r>
          </w:p>
          <w:p>
            <w:pPr>
              <w:spacing w:line="240" w:lineRule="auto"/>
              <w:ind w:firstLine="0" w:firstLineChars="0"/>
              <w:contextualSpacing/>
              <w:jc w:val="center"/>
              <w:rPr>
                <w:sz w:val="21"/>
                <w:szCs w:val="21"/>
              </w:rPr>
            </w:pPr>
            <w:r>
              <w:rPr>
                <w:rFonts w:hAnsi="宋体"/>
                <w:sz w:val="21"/>
                <w:szCs w:val="21"/>
              </w:rPr>
              <w:t>环</w:t>
            </w:r>
          </w:p>
          <w:p>
            <w:pPr>
              <w:spacing w:line="240" w:lineRule="auto"/>
              <w:ind w:firstLine="0" w:firstLineChars="0"/>
              <w:contextualSpacing/>
              <w:jc w:val="center"/>
              <w:rPr>
                <w:sz w:val="21"/>
                <w:szCs w:val="21"/>
              </w:rPr>
            </w:pPr>
            <w:r>
              <w:rPr>
                <w:rFonts w:hAnsi="宋体"/>
                <w:sz w:val="21"/>
                <w:szCs w:val="21"/>
              </w:rPr>
              <w:t>境</w:t>
            </w: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蔡家河</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控制流域面积</w:t>
            </w:r>
            <w:r>
              <w:rPr>
                <w:sz w:val="21"/>
                <w:szCs w:val="21"/>
              </w:rPr>
              <w:t>18.04km</w:t>
            </w:r>
            <w:r>
              <w:rPr>
                <w:sz w:val="21"/>
                <w:szCs w:val="21"/>
                <w:vertAlign w:val="superscript"/>
              </w:rPr>
              <w:t>2</w:t>
            </w:r>
            <w:r>
              <w:rPr>
                <w:rFonts w:hAnsi="宋体"/>
                <w:sz w:val="21"/>
                <w:szCs w:val="21"/>
              </w:rPr>
              <w:t>。现状水质达到《地表水环境质量标准》</w:t>
            </w:r>
            <w:r>
              <w:rPr>
                <w:sz w:val="21"/>
                <w:szCs w:val="21"/>
              </w:rPr>
              <w:t>Ⅲ</w:t>
            </w:r>
            <w:r>
              <w:rPr>
                <w:rFonts w:hAnsi="宋体"/>
                <w:sz w:val="21"/>
                <w:szCs w:val="21"/>
              </w:rPr>
              <w:t>类标准</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坝址所在河流</w:t>
            </w:r>
          </w:p>
        </w:tc>
        <w:tc>
          <w:tcPr>
            <w:tcW w:w="841" w:type="pct"/>
            <w:vMerge w:val="restart"/>
            <w:vAlign w:val="center"/>
          </w:tcPr>
          <w:p>
            <w:pPr>
              <w:spacing w:line="240" w:lineRule="auto"/>
              <w:ind w:firstLine="0" w:firstLineChars="0"/>
              <w:contextualSpacing/>
              <w:jc w:val="center"/>
              <w:rPr>
                <w:sz w:val="21"/>
                <w:szCs w:val="21"/>
              </w:rPr>
            </w:pPr>
            <w:r>
              <w:rPr>
                <w:rFonts w:hAnsi="宋体"/>
                <w:sz w:val="21"/>
                <w:szCs w:val="21"/>
              </w:rPr>
              <w:t>工程运行改变水文情势</w:t>
            </w:r>
          </w:p>
        </w:tc>
        <w:tc>
          <w:tcPr>
            <w:tcW w:w="900" w:type="pct"/>
            <w:vMerge w:val="restar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维持《地表水环境质量标准》</w:t>
            </w:r>
            <w:r>
              <w:rPr>
                <w:sz w:val="21"/>
                <w:szCs w:val="21"/>
              </w:rPr>
              <w:t>Ⅲ</w:t>
            </w:r>
            <w:r>
              <w:rPr>
                <w:rFonts w:hAnsi="宋体"/>
                <w:sz w:val="21"/>
                <w:szCs w:val="21"/>
              </w:rPr>
              <w:t>类水平；保证下游生态流量；避免水体富营养化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谭家河</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控制流域面积</w:t>
            </w:r>
            <w:r>
              <w:rPr>
                <w:sz w:val="21"/>
                <w:szCs w:val="21"/>
              </w:rPr>
              <w:t>5.68km</w:t>
            </w:r>
            <w:r>
              <w:rPr>
                <w:sz w:val="21"/>
                <w:szCs w:val="21"/>
                <w:vertAlign w:val="superscript"/>
              </w:rPr>
              <w:t>2</w:t>
            </w:r>
            <w:r>
              <w:rPr>
                <w:rFonts w:hAnsi="宋体"/>
                <w:sz w:val="21"/>
                <w:szCs w:val="21"/>
              </w:rPr>
              <w:t>。现状水质达到《地表水环境质量标准》</w:t>
            </w:r>
            <w:r>
              <w:rPr>
                <w:sz w:val="21"/>
                <w:szCs w:val="21"/>
              </w:rPr>
              <w:t>Ⅲ</w:t>
            </w:r>
            <w:r>
              <w:rPr>
                <w:rFonts w:hAnsi="宋体"/>
                <w:sz w:val="21"/>
                <w:szCs w:val="21"/>
              </w:rPr>
              <w:t>类标准</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补水河流</w:t>
            </w:r>
          </w:p>
        </w:tc>
        <w:tc>
          <w:tcPr>
            <w:tcW w:w="841" w:type="pct"/>
            <w:vMerge w:val="continue"/>
            <w:vAlign w:val="center"/>
          </w:tcPr>
          <w:p>
            <w:pPr>
              <w:spacing w:line="240" w:lineRule="auto"/>
              <w:ind w:firstLine="0" w:firstLineChars="0"/>
              <w:contextualSpacing/>
              <w:jc w:val="center"/>
              <w:rPr>
                <w:sz w:val="21"/>
                <w:szCs w:val="21"/>
              </w:rPr>
            </w:pPr>
          </w:p>
        </w:tc>
        <w:tc>
          <w:tcPr>
            <w:tcW w:w="900" w:type="pct"/>
            <w:vMerge w:val="continue"/>
            <w:tcMar>
              <w:left w:w="57" w:type="dxa"/>
              <w:right w:w="57" w:type="dxa"/>
            </w:tcMar>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刘家河</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控制流域面积</w:t>
            </w:r>
            <w:r>
              <w:rPr>
                <w:sz w:val="21"/>
                <w:szCs w:val="21"/>
              </w:rPr>
              <w:t>3.00km</w:t>
            </w:r>
            <w:r>
              <w:rPr>
                <w:sz w:val="21"/>
                <w:szCs w:val="21"/>
                <w:vertAlign w:val="superscript"/>
              </w:rPr>
              <w:t>2</w:t>
            </w:r>
            <w:r>
              <w:rPr>
                <w:rFonts w:hAnsi="宋体"/>
                <w:sz w:val="21"/>
                <w:szCs w:val="21"/>
              </w:rPr>
              <w:t>。现状水质达到《地表水环境质量标准》</w:t>
            </w:r>
            <w:r>
              <w:rPr>
                <w:sz w:val="21"/>
                <w:szCs w:val="21"/>
              </w:rPr>
              <w:t>Ⅲ</w:t>
            </w:r>
            <w:r>
              <w:rPr>
                <w:rFonts w:hAnsi="宋体"/>
                <w:sz w:val="21"/>
                <w:szCs w:val="21"/>
              </w:rPr>
              <w:t>类标准</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补水河流</w:t>
            </w:r>
          </w:p>
        </w:tc>
        <w:tc>
          <w:tcPr>
            <w:tcW w:w="841" w:type="pct"/>
            <w:vMerge w:val="continue"/>
            <w:vAlign w:val="center"/>
          </w:tcPr>
          <w:p>
            <w:pPr>
              <w:spacing w:line="240" w:lineRule="auto"/>
              <w:ind w:firstLine="0" w:firstLineChars="0"/>
              <w:contextualSpacing/>
              <w:jc w:val="center"/>
              <w:rPr>
                <w:sz w:val="21"/>
                <w:szCs w:val="21"/>
              </w:rPr>
            </w:pPr>
          </w:p>
        </w:tc>
        <w:tc>
          <w:tcPr>
            <w:tcW w:w="900" w:type="pct"/>
            <w:vMerge w:val="continue"/>
            <w:tcMar>
              <w:left w:w="57" w:type="dxa"/>
              <w:right w:w="57" w:type="dxa"/>
            </w:tcMar>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rFonts w:hint="eastAsia" w:hAnsi="宋体"/>
                <w:sz w:val="21"/>
                <w:szCs w:val="21"/>
              </w:rPr>
            </w:pPr>
            <w:r>
              <w:rPr>
                <w:rFonts w:hint="eastAsia" w:hAnsi="宋体"/>
                <w:sz w:val="21"/>
                <w:szCs w:val="21"/>
              </w:rPr>
              <w:t>龙滩河</w:t>
            </w:r>
          </w:p>
        </w:tc>
        <w:tc>
          <w:tcPr>
            <w:tcW w:w="1358" w:type="pct"/>
            <w:tcMar>
              <w:left w:w="57" w:type="dxa"/>
              <w:right w:w="57" w:type="dxa"/>
            </w:tcMar>
            <w:vAlign w:val="center"/>
          </w:tcPr>
          <w:p>
            <w:pPr>
              <w:spacing w:line="240" w:lineRule="auto"/>
              <w:ind w:firstLine="0" w:firstLineChars="0"/>
              <w:contextualSpacing/>
              <w:jc w:val="center"/>
              <w:rPr>
                <w:rFonts w:hint="eastAsia" w:hAnsi="宋体"/>
                <w:sz w:val="21"/>
                <w:szCs w:val="21"/>
              </w:rPr>
            </w:pPr>
            <w:r>
              <w:rPr>
                <w:rFonts w:hint="eastAsia" w:hAnsi="宋体"/>
                <w:sz w:val="21"/>
                <w:szCs w:val="21"/>
              </w:rPr>
              <w:t>天星桥上游河，</w:t>
            </w:r>
            <w:r>
              <w:rPr>
                <w:rFonts w:hAnsi="宋体"/>
                <w:sz w:val="21"/>
                <w:szCs w:val="21"/>
              </w:rPr>
              <w:t>现状水质达到《地表水环境质量标准》</w:t>
            </w:r>
            <w:r>
              <w:rPr>
                <w:sz w:val="21"/>
                <w:szCs w:val="21"/>
              </w:rPr>
              <w:t>Ⅲ</w:t>
            </w:r>
            <w:r>
              <w:rPr>
                <w:rFonts w:hAnsi="宋体"/>
                <w:sz w:val="21"/>
                <w:szCs w:val="21"/>
              </w:rPr>
              <w:t>类标准</w:t>
            </w:r>
          </w:p>
        </w:tc>
        <w:tc>
          <w:tcPr>
            <w:tcW w:w="944" w:type="pct"/>
            <w:tcMar>
              <w:left w:w="57" w:type="dxa"/>
              <w:right w:w="57" w:type="dxa"/>
            </w:tcMar>
            <w:vAlign w:val="center"/>
          </w:tcPr>
          <w:p>
            <w:pPr>
              <w:spacing w:line="240" w:lineRule="auto"/>
              <w:ind w:firstLine="0" w:firstLineChars="0"/>
              <w:contextualSpacing/>
              <w:jc w:val="center"/>
              <w:rPr>
                <w:rFonts w:hAnsi="宋体"/>
                <w:sz w:val="21"/>
                <w:szCs w:val="21"/>
              </w:rPr>
            </w:pPr>
            <w:r>
              <w:rPr>
                <w:rFonts w:hAnsi="宋体"/>
                <w:sz w:val="21"/>
                <w:szCs w:val="21"/>
              </w:rPr>
              <w:t>供水退水受纳河流</w:t>
            </w:r>
          </w:p>
        </w:tc>
        <w:tc>
          <w:tcPr>
            <w:tcW w:w="841" w:type="pct"/>
            <w:vMerge w:val="restart"/>
            <w:vAlign w:val="center"/>
          </w:tcPr>
          <w:p>
            <w:pPr>
              <w:spacing w:line="240" w:lineRule="auto"/>
              <w:ind w:firstLine="0" w:firstLineChars="0"/>
              <w:contextualSpacing/>
              <w:jc w:val="center"/>
              <w:rPr>
                <w:rFonts w:hAnsi="宋体"/>
                <w:sz w:val="21"/>
                <w:szCs w:val="21"/>
              </w:rPr>
            </w:pPr>
            <w:r>
              <w:rPr>
                <w:rFonts w:hAnsi="宋体"/>
                <w:sz w:val="21"/>
                <w:szCs w:val="21"/>
              </w:rPr>
              <w:t>供水量增加导致污废水排放量增加，污染负荷加重</w:t>
            </w:r>
          </w:p>
        </w:tc>
        <w:tc>
          <w:tcPr>
            <w:tcW w:w="900" w:type="pct"/>
            <w:vMerge w:val="restart"/>
            <w:tcMar>
              <w:left w:w="57" w:type="dxa"/>
              <w:right w:w="57" w:type="dxa"/>
            </w:tcMar>
            <w:vAlign w:val="center"/>
          </w:tcPr>
          <w:p>
            <w:pPr>
              <w:spacing w:line="240" w:lineRule="auto"/>
              <w:ind w:firstLine="0" w:firstLineChars="0"/>
              <w:contextualSpacing/>
              <w:jc w:val="center"/>
              <w:rPr>
                <w:rFonts w:hAnsi="宋体"/>
                <w:sz w:val="21"/>
                <w:szCs w:val="21"/>
              </w:rPr>
            </w:pPr>
            <w:r>
              <w:rPr>
                <w:rFonts w:hAnsi="宋体"/>
                <w:sz w:val="21"/>
                <w:szCs w:val="21"/>
              </w:rPr>
              <w:t>维持《地表水环境质量标准》</w:t>
            </w:r>
            <w:r>
              <w:rPr>
                <w:sz w:val="21"/>
                <w:szCs w:val="21"/>
              </w:rPr>
              <w:t>Ⅲ</w:t>
            </w:r>
            <w:r>
              <w:rPr>
                <w:rFonts w:hAnsi="宋体"/>
                <w:sz w:val="21"/>
                <w:szCs w:val="21"/>
              </w:rPr>
              <w:t>类水平；避免水体富营养化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rFonts w:hint="eastAsia" w:hAnsi="宋体"/>
                <w:sz w:val="21"/>
                <w:szCs w:val="21"/>
              </w:rPr>
            </w:pPr>
            <w:r>
              <w:rPr>
                <w:rFonts w:hint="eastAsia" w:hAnsi="宋体"/>
                <w:sz w:val="21"/>
                <w:szCs w:val="21"/>
              </w:rPr>
              <w:t>天星桥水库</w:t>
            </w:r>
          </w:p>
        </w:tc>
        <w:tc>
          <w:tcPr>
            <w:tcW w:w="1358" w:type="pct"/>
            <w:tcMar>
              <w:left w:w="57" w:type="dxa"/>
              <w:right w:w="57" w:type="dxa"/>
            </w:tcMar>
            <w:vAlign w:val="center"/>
          </w:tcPr>
          <w:p>
            <w:pPr>
              <w:spacing w:line="240" w:lineRule="auto"/>
              <w:ind w:firstLine="0" w:firstLineChars="0"/>
              <w:contextualSpacing/>
              <w:jc w:val="center"/>
              <w:rPr>
                <w:rFonts w:hAnsi="宋体"/>
                <w:sz w:val="21"/>
                <w:szCs w:val="21"/>
              </w:rPr>
            </w:pPr>
            <w:r>
              <w:rPr>
                <w:rFonts w:hAnsi="宋体"/>
                <w:sz w:val="21"/>
                <w:szCs w:val="21"/>
              </w:rPr>
              <w:t>控制流域面积</w:t>
            </w:r>
            <w:r>
              <w:rPr>
                <w:sz w:val="21"/>
                <w:szCs w:val="21"/>
              </w:rPr>
              <w:t>32.6km</w:t>
            </w:r>
            <w:r>
              <w:rPr>
                <w:sz w:val="21"/>
                <w:szCs w:val="21"/>
                <w:vertAlign w:val="superscript"/>
              </w:rPr>
              <w:t>2</w:t>
            </w:r>
            <w:r>
              <w:rPr>
                <w:rFonts w:hAnsi="宋体"/>
                <w:sz w:val="21"/>
                <w:szCs w:val="21"/>
              </w:rPr>
              <w:t>，现状水质达到《地表水环境质量标准》</w:t>
            </w:r>
            <w:r>
              <w:rPr>
                <w:sz w:val="21"/>
                <w:szCs w:val="21"/>
              </w:rPr>
              <w:t>Ⅲ</w:t>
            </w:r>
            <w:r>
              <w:rPr>
                <w:rFonts w:hAnsi="宋体"/>
                <w:sz w:val="21"/>
                <w:szCs w:val="21"/>
              </w:rPr>
              <w:t>类标准</w:t>
            </w:r>
          </w:p>
        </w:tc>
        <w:tc>
          <w:tcPr>
            <w:tcW w:w="944" w:type="pct"/>
            <w:tcMar>
              <w:left w:w="57" w:type="dxa"/>
              <w:right w:w="57" w:type="dxa"/>
            </w:tcMar>
            <w:vAlign w:val="center"/>
          </w:tcPr>
          <w:p>
            <w:pPr>
              <w:spacing w:line="240" w:lineRule="auto"/>
              <w:ind w:firstLine="0" w:firstLineChars="0"/>
              <w:contextualSpacing/>
              <w:jc w:val="center"/>
              <w:rPr>
                <w:rFonts w:hAnsi="宋体"/>
                <w:sz w:val="21"/>
                <w:szCs w:val="21"/>
              </w:rPr>
            </w:pPr>
            <w:r>
              <w:rPr>
                <w:rFonts w:hAnsi="宋体"/>
                <w:sz w:val="21"/>
                <w:szCs w:val="21"/>
              </w:rPr>
              <w:t>供水退水受纳</w:t>
            </w:r>
            <w:r>
              <w:rPr>
                <w:rFonts w:hint="eastAsia" w:hAnsi="宋体"/>
                <w:sz w:val="21"/>
                <w:szCs w:val="21"/>
              </w:rPr>
              <w:t>水体</w:t>
            </w:r>
          </w:p>
        </w:tc>
        <w:tc>
          <w:tcPr>
            <w:tcW w:w="841" w:type="pct"/>
            <w:vMerge w:val="continue"/>
            <w:vAlign w:val="center"/>
          </w:tcPr>
          <w:p>
            <w:pPr>
              <w:spacing w:line="240" w:lineRule="auto"/>
              <w:ind w:firstLine="0" w:firstLineChars="0"/>
              <w:contextualSpacing/>
              <w:jc w:val="center"/>
              <w:rPr>
                <w:rFonts w:hAnsi="宋体"/>
                <w:sz w:val="21"/>
                <w:szCs w:val="21"/>
              </w:rPr>
            </w:pPr>
          </w:p>
        </w:tc>
        <w:tc>
          <w:tcPr>
            <w:tcW w:w="900" w:type="pct"/>
            <w:vMerge w:val="continue"/>
            <w:tcMar>
              <w:left w:w="57" w:type="dxa"/>
              <w:right w:w="57" w:type="dxa"/>
            </w:tcMar>
            <w:vAlign w:val="center"/>
          </w:tcPr>
          <w:p>
            <w:pPr>
              <w:spacing w:line="240" w:lineRule="auto"/>
              <w:ind w:firstLine="0" w:firstLineChars="0"/>
              <w:contextualSpacing/>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地下水</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区内地下水类型主要包括</w:t>
            </w:r>
            <w:r>
              <w:rPr>
                <w:rFonts w:hint="eastAsia" w:hAnsi="宋体"/>
                <w:sz w:val="21"/>
                <w:szCs w:val="21"/>
              </w:rPr>
              <w:t>孔隙潜水</w:t>
            </w:r>
            <w:r>
              <w:rPr>
                <w:rFonts w:hAnsi="宋体"/>
                <w:sz w:val="21"/>
                <w:szCs w:val="21"/>
              </w:rPr>
              <w:t>和基岩裂隙水两大类，以基岩裂隙水分布最为广泛</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主要受大气降水补给，向邻近河溪排泄补给地表水，地下水位受地形起伏影响</w:t>
            </w:r>
          </w:p>
        </w:tc>
        <w:tc>
          <w:tcPr>
            <w:tcW w:w="841" w:type="pct"/>
            <w:vAlign w:val="center"/>
          </w:tcPr>
          <w:p>
            <w:pPr>
              <w:spacing w:line="240" w:lineRule="auto"/>
              <w:ind w:firstLine="0" w:firstLineChars="0"/>
              <w:contextualSpacing/>
              <w:jc w:val="center"/>
              <w:rPr>
                <w:spacing w:val="-6"/>
                <w:sz w:val="21"/>
                <w:szCs w:val="21"/>
              </w:rPr>
            </w:pPr>
            <w:r>
              <w:rPr>
                <w:rFonts w:hAnsi="宋体"/>
                <w:spacing w:val="-6"/>
                <w:sz w:val="21"/>
                <w:szCs w:val="21"/>
              </w:rPr>
              <w:t>水库蓄水后库区水位升高可能对库周产生渗漏、浸没等问题，取水隧洞开挖，可能对其周边地下水产生影响</w:t>
            </w:r>
          </w:p>
        </w:tc>
        <w:tc>
          <w:tcPr>
            <w:tcW w:w="900"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预防地下水涌水，做好防护措施。隧洞排水处理后回用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restar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生态环境</w:t>
            </w: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珍稀保护植物</w:t>
            </w:r>
          </w:p>
        </w:tc>
        <w:tc>
          <w:tcPr>
            <w:tcW w:w="1358" w:type="pct"/>
            <w:tcMar>
              <w:left w:w="57" w:type="dxa"/>
              <w:right w:w="57" w:type="dxa"/>
            </w:tcMar>
            <w:vAlign w:val="center"/>
          </w:tcPr>
          <w:p>
            <w:pPr>
              <w:spacing w:line="240" w:lineRule="auto"/>
              <w:ind w:firstLine="0" w:firstLineChars="0"/>
              <w:contextualSpacing/>
              <w:jc w:val="center"/>
              <w:rPr>
                <w:iCs/>
                <w:sz w:val="21"/>
                <w:szCs w:val="21"/>
              </w:rPr>
            </w:pPr>
            <w:r>
              <w:rPr>
                <w:rFonts w:hAnsi="宋体"/>
                <w:sz w:val="21"/>
                <w:szCs w:val="21"/>
              </w:rPr>
              <w:t>无</w:t>
            </w:r>
          </w:p>
        </w:tc>
        <w:tc>
          <w:tcPr>
            <w:tcW w:w="944" w:type="pct"/>
            <w:tcMar>
              <w:left w:w="57" w:type="dxa"/>
              <w:right w:w="57" w:type="dxa"/>
            </w:tcMar>
            <w:vAlign w:val="center"/>
          </w:tcPr>
          <w:p>
            <w:pPr>
              <w:spacing w:line="240" w:lineRule="auto"/>
              <w:ind w:firstLine="0" w:firstLineChars="0"/>
              <w:contextualSpacing/>
              <w:jc w:val="center"/>
              <w:rPr>
                <w:sz w:val="21"/>
                <w:szCs w:val="21"/>
              </w:rPr>
            </w:pPr>
            <w:r>
              <w:rPr>
                <w:sz w:val="21"/>
                <w:szCs w:val="21"/>
              </w:rPr>
              <w:t>/</w:t>
            </w:r>
          </w:p>
        </w:tc>
        <w:tc>
          <w:tcPr>
            <w:tcW w:w="841" w:type="pct"/>
            <w:vAlign w:val="center"/>
          </w:tcPr>
          <w:p>
            <w:pPr>
              <w:spacing w:line="240" w:lineRule="auto"/>
              <w:ind w:firstLine="0" w:firstLineChars="0"/>
              <w:contextualSpacing/>
              <w:jc w:val="center"/>
              <w:rPr>
                <w:sz w:val="21"/>
                <w:szCs w:val="21"/>
              </w:rPr>
            </w:pPr>
            <w:r>
              <w:rPr>
                <w:sz w:val="21"/>
                <w:szCs w:val="21"/>
              </w:rPr>
              <w:t>/</w:t>
            </w:r>
          </w:p>
        </w:tc>
        <w:tc>
          <w:tcPr>
            <w:tcW w:w="900" w:type="pct"/>
            <w:tcMar>
              <w:left w:w="57" w:type="dxa"/>
              <w:right w:w="57" w:type="dxa"/>
            </w:tcMar>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珍稀保护动物</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无</w:t>
            </w:r>
          </w:p>
        </w:tc>
        <w:tc>
          <w:tcPr>
            <w:tcW w:w="944" w:type="pct"/>
            <w:tcMar>
              <w:left w:w="57" w:type="dxa"/>
              <w:right w:w="57" w:type="dxa"/>
            </w:tcMar>
            <w:vAlign w:val="center"/>
          </w:tcPr>
          <w:p>
            <w:pPr>
              <w:spacing w:line="240" w:lineRule="auto"/>
              <w:ind w:firstLine="0" w:firstLineChars="0"/>
              <w:contextualSpacing/>
              <w:jc w:val="center"/>
              <w:rPr>
                <w:sz w:val="21"/>
                <w:szCs w:val="21"/>
              </w:rPr>
            </w:pPr>
            <w:r>
              <w:rPr>
                <w:rFonts w:hint="eastAsia" w:hAnsi="宋体"/>
                <w:sz w:val="21"/>
                <w:szCs w:val="21"/>
              </w:rPr>
              <w:t>/</w:t>
            </w:r>
          </w:p>
        </w:tc>
        <w:tc>
          <w:tcPr>
            <w:tcW w:w="841" w:type="pct"/>
            <w:vAlign w:val="center"/>
          </w:tcPr>
          <w:p>
            <w:pPr>
              <w:spacing w:line="240" w:lineRule="auto"/>
              <w:ind w:firstLine="0" w:firstLineChars="0"/>
              <w:contextualSpacing/>
              <w:jc w:val="center"/>
              <w:rPr>
                <w:sz w:val="21"/>
                <w:szCs w:val="21"/>
              </w:rPr>
            </w:pPr>
            <w:r>
              <w:rPr>
                <w:rFonts w:hint="eastAsia"/>
                <w:sz w:val="21"/>
                <w:szCs w:val="21"/>
              </w:rPr>
              <w:t>/</w:t>
            </w:r>
          </w:p>
        </w:tc>
        <w:tc>
          <w:tcPr>
            <w:tcW w:w="900" w:type="pct"/>
            <w:tcMar>
              <w:left w:w="57" w:type="dxa"/>
              <w:right w:w="57" w:type="dxa"/>
            </w:tcMar>
            <w:vAlign w:val="center"/>
          </w:tcPr>
          <w:p>
            <w:pPr>
              <w:spacing w:line="240" w:lineRule="auto"/>
              <w:ind w:firstLine="0" w:firstLineChars="0"/>
              <w:contextualSpacing/>
              <w:jc w:val="center"/>
              <w:rPr>
                <w:spacing w:val="-8"/>
                <w:sz w:val="21"/>
                <w:szCs w:val="21"/>
              </w:rPr>
            </w:pPr>
            <w:r>
              <w:rPr>
                <w:rFonts w:hint="eastAsia"/>
                <w:spacing w:val="-8"/>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62" w:type="pct"/>
            <w:vMerge w:val="continue"/>
            <w:tcMar>
              <w:left w:w="57" w:type="dxa"/>
              <w:right w:w="57" w:type="dxa"/>
            </w:tcMar>
            <w:vAlign w:val="center"/>
          </w:tcPr>
          <w:p>
            <w:pPr>
              <w:spacing w:line="240" w:lineRule="auto"/>
              <w:ind w:firstLine="0" w:firstLineChars="0"/>
              <w:contextualSpacing/>
              <w:jc w:val="center"/>
              <w:rPr>
                <w:sz w:val="21"/>
                <w:szCs w:val="21"/>
              </w:rPr>
            </w:pPr>
          </w:p>
        </w:tc>
        <w:tc>
          <w:tcPr>
            <w:tcW w:w="694"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生态保护红线</w:t>
            </w:r>
          </w:p>
        </w:tc>
        <w:tc>
          <w:tcPr>
            <w:tcW w:w="2302" w:type="pct"/>
            <w:gridSpan w:val="2"/>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工程不涉及生态保护红线</w:t>
            </w:r>
          </w:p>
        </w:tc>
        <w:tc>
          <w:tcPr>
            <w:tcW w:w="841" w:type="pct"/>
            <w:vAlign w:val="center"/>
          </w:tcPr>
          <w:p>
            <w:pPr>
              <w:spacing w:line="240" w:lineRule="auto"/>
              <w:ind w:firstLine="0" w:firstLineChars="0"/>
              <w:contextualSpacing/>
              <w:jc w:val="center"/>
              <w:rPr>
                <w:sz w:val="21"/>
                <w:szCs w:val="21"/>
              </w:rPr>
            </w:pPr>
            <w:r>
              <w:rPr>
                <w:rFonts w:hAnsi="宋体"/>
                <w:sz w:val="21"/>
                <w:szCs w:val="21"/>
              </w:rPr>
              <w:t>施工和运行引起的水土流失</w:t>
            </w:r>
          </w:p>
        </w:tc>
        <w:tc>
          <w:tcPr>
            <w:tcW w:w="900" w:type="pct"/>
            <w:tcMar>
              <w:left w:w="57" w:type="dxa"/>
              <w:right w:w="57" w:type="dxa"/>
            </w:tcMar>
            <w:vAlign w:val="center"/>
          </w:tcPr>
          <w:p>
            <w:pPr>
              <w:spacing w:line="240" w:lineRule="auto"/>
              <w:ind w:firstLine="0" w:firstLineChars="0"/>
              <w:contextualSpacing/>
              <w:jc w:val="center"/>
              <w:rPr>
                <w:sz w:val="21"/>
                <w:szCs w:val="21"/>
              </w:rPr>
            </w:pPr>
            <w:r>
              <w:rPr>
                <w:rFonts w:hAnsi="宋体"/>
                <w:sz w:val="21"/>
                <w:szCs w:val="21"/>
              </w:rPr>
              <w:t>采取水保措施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62"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大气和声环境</w:t>
            </w:r>
          </w:p>
        </w:tc>
        <w:tc>
          <w:tcPr>
            <w:tcW w:w="694" w:type="pct"/>
            <w:tcMar>
              <w:left w:w="57" w:type="dxa"/>
              <w:right w:w="57" w:type="dxa"/>
            </w:tcMar>
            <w:vAlign w:val="center"/>
          </w:tcPr>
          <w:p>
            <w:pPr>
              <w:pStyle w:val="2"/>
              <w:spacing w:before="0" w:line="240" w:lineRule="auto"/>
              <w:ind w:left="0" w:firstLine="0" w:firstLineChars="0"/>
              <w:contextualSpacing/>
              <w:jc w:val="center"/>
              <w:rPr>
                <w:sz w:val="21"/>
                <w:szCs w:val="21"/>
              </w:rPr>
            </w:pPr>
            <w:r>
              <w:rPr>
                <w:rFonts w:hint="eastAsia"/>
                <w:sz w:val="21"/>
                <w:szCs w:val="21"/>
              </w:rPr>
              <w:t>蔡家河</w:t>
            </w:r>
            <w:r>
              <w:rPr>
                <w:sz w:val="21"/>
                <w:szCs w:val="21"/>
              </w:rPr>
              <w:t>右岸，</w:t>
            </w:r>
            <w:r>
              <w:rPr>
                <w:rFonts w:hint="eastAsia"/>
                <w:sz w:val="21"/>
                <w:szCs w:val="21"/>
              </w:rPr>
              <w:t>生产生活区50m</w:t>
            </w:r>
          </w:p>
          <w:p>
            <w:pPr>
              <w:pStyle w:val="2"/>
              <w:spacing w:before="0" w:line="240" w:lineRule="auto"/>
              <w:ind w:left="0" w:firstLine="0" w:firstLineChars="0"/>
              <w:contextualSpacing/>
              <w:jc w:val="center"/>
              <w:rPr>
                <w:rFonts w:ascii="Times New Roman" w:hAnsi="Times New Roman"/>
                <w:sz w:val="21"/>
                <w:szCs w:val="21"/>
              </w:rPr>
            </w:pPr>
            <w:r>
              <w:rPr>
                <w:rFonts w:hint="eastAsia"/>
                <w:sz w:val="21"/>
                <w:szCs w:val="21"/>
              </w:rPr>
              <w:t>范围内居民点</w:t>
            </w:r>
          </w:p>
        </w:tc>
        <w:tc>
          <w:tcPr>
            <w:tcW w:w="1358" w:type="pct"/>
            <w:tcMar>
              <w:left w:w="57" w:type="dxa"/>
              <w:right w:w="57" w:type="dxa"/>
            </w:tcMar>
            <w:vAlign w:val="center"/>
          </w:tcPr>
          <w:p>
            <w:pPr>
              <w:spacing w:line="240" w:lineRule="auto"/>
              <w:ind w:firstLine="0" w:firstLineChars="0"/>
              <w:contextualSpacing/>
              <w:jc w:val="center"/>
              <w:rPr>
                <w:sz w:val="21"/>
                <w:szCs w:val="21"/>
              </w:rPr>
            </w:pPr>
            <w:r>
              <w:rPr>
                <w:sz w:val="21"/>
                <w:szCs w:val="21"/>
              </w:rPr>
              <w:t>26</w:t>
            </w:r>
            <w:r>
              <w:rPr>
                <w:rFonts w:hAnsi="宋体"/>
                <w:sz w:val="21"/>
                <w:szCs w:val="21"/>
              </w:rPr>
              <w:t>户，土砖结构</w:t>
            </w:r>
          </w:p>
        </w:tc>
        <w:tc>
          <w:tcPr>
            <w:tcW w:w="944" w:type="pct"/>
            <w:tcMar>
              <w:left w:w="57" w:type="dxa"/>
              <w:right w:w="57" w:type="dxa"/>
            </w:tcMar>
            <w:vAlign w:val="center"/>
          </w:tcPr>
          <w:p>
            <w:pPr>
              <w:spacing w:line="240" w:lineRule="auto"/>
              <w:ind w:firstLine="0" w:firstLineChars="0"/>
              <w:contextualSpacing/>
              <w:jc w:val="center"/>
              <w:rPr>
                <w:bCs/>
                <w:sz w:val="21"/>
                <w:szCs w:val="21"/>
              </w:rPr>
            </w:pPr>
            <w:r>
              <w:rPr>
                <w:rFonts w:hAnsi="宋体"/>
                <w:sz w:val="21"/>
                <w:szCs w:val="21"/>
              </w:rPr>
              <w:t>最近距离约</w:t>
            </w:r>
            <w:r>
              <w:rPr>
                <w:sz w:val="21"/>
                <w:szCs w:val="21"/>
              </w:rPr>
              <w:t>12m</w:t>
            </w:r>
          </w:p>
        </w:tc>
        <w:tc>
          <w:tcPr>
            <w:tcW w:w="841" w:type="pct"/>
            <w:vAlign w:val="center"/>
          </w:tcPr>
          <w:p>
            <w:pPr>
              <w:spacing w:line="240" w:lineRule="auto"/>
              <w:ind w:firstLine="0" w:firstLineChars="0"/>
              <w:contextualSpacing/>
              <w:jc w:val="center"/>
              <w:rPr>
                <w:bCs/>
                <w:sz w:val="21"/>
                <w:szCs w:val="21"/>
              </w:rPr>
            </w:pPr>
            <w:r>
              <w:rPr>
                <w:rFonts w:hAnsi="宋体"/>
                <w:bCs/>
                <w:sz w:val="21"/>
                <w:szCs w:val="21"/>
              </w:rPr>
              <w:t>工程区施工造成的噪声和大气污染</w:t>
            </w:r>
          </w:p>
        </w:tc>
        <w:tc>
          <w:tcPr>
            <w:tcW w:w="900"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满足相应的环境质量标准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restar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社会环境</w:t>
            </w:r>
          </w:p>
        </w:tc>
        <w:tc>
          <w:tcPr>
            <w:tcW w:w="694"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移民</w:t>
            </w:r>
          </w:p>
        </w:tc>
        <w:tc>
          <w:tcPr>
            <w:tcW w:w="2302" w:type="pct"/>
            <w:gridSpan w:val="2"/>
            <w:tcMar>
              <w:left w:w="57" w:type="dxa"/>
              <w:right w:w="57" w:type="dxa"/>
            </w:tcMar>
            <w:vAlign w:val="center"/>
          </w:tcPr>
          <w:p>
            <w:pPr>
              <w:spacing w:line="240" w:lineRule="auto"/>
              <w:ind w:firstLine="0" w:firstLineChars="0"/>
              <w:contextualSpacing/>
              <w:jc w:val="center"/>
              <w:rPr>
                <w:bCs/>
                <w:sz w:val="21"/>
                <w:szCs w:val="21"/>
              </w:rPr>
            </w:pPr>
            <w:r>
              <w:rPr>
                <w:rFonts w:hint="eastAsia" w:hAnsi="宋体"/>
                <w:bCs/>
                <w:sz w:val="21"/>
                <w:szCs w:val="21"/>
              </w:rPr>
              <w:t>搬迁人口5户27人</w:t>
            </w:r>
          </w:p>
        </w:tc>
        <w:tc>
          <w:tcPr>
            <w:tcW w:w="841" w:type="pct"/>
            <w:vAlign w:val="center"/>
          </w:tcPr>
          <w:p>
            <w:pPr>
              <w:spacing w:line="240" w:lineRule="auto"/>
              <w:ind w:firstLine="0" w:firstLineChars="0"/>
              <w:contextualSpacing/>
              <w:jc w:val="center"/>
              <w:rPr>
                <w:bCs/>
                <w:sz w:val="21"/>
                <w:szCs w:val="21"/>
              </w:rPr>
            </w:pPr>
            <w:r>
              <w:rPr>
                <w:rFonts w:hAnsi="宋体"/>
                <w:bCs/>
                <w:sz w:val="21"/>
                <w:szCs w:val="21"/>
              </w:rPr>
              <w:t>生产和搬迁安置对生产生活的影响</w:t>
            </w:r>
          </w:p>
        </w:tc>
        <w:tc>
          <w:tcPr>
            <w:tcW w:w="900"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生活质量和生产生活水平不受影响。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tcMar>
              <w:left w:w="57" w:type="dxa"/>
              <w:right w:w="57" w:type="dxa"/>
            </w:tcMar>
            <w:vAlign w:val="center"/>
          </w:tcPr>
          <w:p>
            <w:pPr>
              <w:spacing w:line="240" w:lineRule="auto"/>
              <w:ind w:firstLine="0" w:firstLineChars="0"/>
              <w:contextualSpacing/>
              <w:jc w:val="center"/>
              <w:rPr>
                <w:bCs/>
                <w:sz w:val="21"/>
                <w:szCs w:val="21"/>
              </w:rPr>
            </w:pPr>
          </w:p>
        </w:tc>
        <w:tc>
          <w:tcPr>
            <w:tcW w:w="694"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专业项目</w:t>
            </w:r>
          </w:p>
        </w:tc>
        <w:tc>
          <w:tcPr>
            <w:tcW w:w="2302" w:type="pct"/>
            <w:gridSpan w:val="2"/>
            <w:tcMar>
              <w:left w:w="57" w:type="dxa"/>
              <w:right w:w="57" w:type="dxa"/>
            </w:tcMar>
            <w:vAlign w:val="center"/>
          </w:tcPr>
          <w:p>
            <w:pPr>
              <w:spacing w:line="240" w:lineRule="auto"/>
              <w:ind w:firstLine="0" w:firstLineChars="0"/>
              <w:contextualSpacing/>
              <w:jc w:val="center"/>
              <w:rPr>
                <w:bCs/>
                <w:sz w:val="21"/>
                <w:szCs w:val="21"/>
              </w:rPr>
            </w:pPr>
            <w:r>
              <w:rPr>
                <w:rFonts w:hint="eastAsia" w:hAnsi="宋体"/>
                <w:bCs/>
                <w:sz w:val="21"/>
                <w:szCs w:val="21"/>
              </w:rPr>
              <w:t>各类房屋面积1402.59m2及附属设施；零星林（果）木1768株；坟墓62座；机耕道0.12km。</w:t>
            </w:r>
          </w:p>
        </w:tc>
        <w:tc>
          <w:tcPr>
            <w:tcW w:w="841" w:type="pct"/>
            <w:vAlign w:val="center"/>
          </w:tcPr>
          <w:p>
            <w:pPr>
              <w:spacing w:line="240" w:lineRule="auto"/>
              <w:ind w:firstLine="0" w:firstLineChars="0"/>
              <w:contextualSpacing/>
              <w:jc w:val="center"/>
              <w:rPr>
                <w:bCs/>
                <w:sz w:val="21"/>
                <w:szCs w:val="21"/>
              </w:rPr>
            </w:pPr>
            <w:r>
              <w:rPr>
                <w:rFonts w:hAnsi="宋体"/>
                <w:bCs/>
                <w:sz w:val="21"/>
                <w:szCs w:val="21"/>
              </w:rPr>
              <w:t>工程征地</w:t>
            </w:r>
          </w:p>
        </w:tc>
        <w:tc>
          <w:tcPr>
            <w:tcW w:w="900" w:type="pct"/>
            <w:tcMar>
              <w:left w:w="57" w:type="dxa"/>
              <w:right w:w="57" w:type="dxa"/>
            </w:tcMar>
            <w:vAlign w:val="center"/>
          </w:tcPr>
          <w:p>
            <w:pPr>
              <w:spacing w:line="240" w:lineRule="auto"/>
              <w:ind w:firstLine="0" w:firstLineChars="0"/>
              <w:contextualSpacing/>
              <w:jc w:val="center"/>
              <w:rPr>
                <w:bCs/>
                <w:sz w:val="21"/>
                <w:szCs w:val="21"/>
              </w:rPr>
            </w:pPr>
            <w:r>
              <w:rPr>
                <w:rFonts w:hAnsi="宋体"/>
                <w:bCs/>
                <w:sz w:val="21"/>
                <w:szCs w:val="21"/>
              </w:rPr>
              <w:t>专业项目复建</w:t>
            </w:r>
          </w:p>
        </w:tc>
      </w:tr>
    </w:tbl>
    <w:p>
      <w:pPr>
        <w:pStyle w:val="2"/>
        <w:ind w:firstLine="480"/>
      </w:pPr>
    </w:p>
    <w:p>
      <w:pPr>
        <w:spacing w:line="160" w:lineRule="exact"/>
        <w:ind w:firstLine="422"/>
        <w:contextualSpacing/>
        <w:jc w:val="center"/>
        <w:rPr>
          <w:b/>
          <w:bCs/>
          <w:sz w:val="21"/>
          <w:szCs w:val="21"/>
        </w:rPr>
        <w:sectPr>
          <w:pgSz w:w="16838" w:h="11906" w:orient="landscape"/>
          <w:pgMar w:top="1797" w:right="1440" w:bottom="1797" w:left="1440" w:header="851" w:footer="992" w:gutter="0"/>
          <w:cols w:space="720" w:num="1"/>
          <w:docGrid w:type="linesAndChars" w:linePitch="312" w:charSpace="0"/>
        </w:sectPr>
      </w:pPr>
    </w:p>
    <w:p>
      <w:pPr>
        <w:spacing w:line="160" w:lineRule="exact"/>
        <w:ind w:firstLine="422"/>
        <w:contextualSpacing/>
        <w:jc w:val="center"/>
        <w:rPr>
          <w:b/>
          <w:bCs/>
          <w:sz w:val="21"/>
          <w:szCs w:val="21"/>
        </w:rPr>
      </w:pPr>
    </w:p>
    <w:p>
      <w:pPr>
        <w:pStyle w:val="4"/>
        <w:ind w:firstLine="0" w:firstLineChars="0"/>
        <w:contextualSpacing/>
      </w:pPr>
      <w:bookmarkStart w:id="240" w:name="_Toc130753407"/>
      <w:bookmarkStart w:id="241" w:name="_Toc5016"/>
      <w:bookmarkStart w:id="242" w:name="_Toc24154"/>
      <w:bookmarkStart w:id="243" w:name="_Toc23472"/>
      <w:bookmarkStart w:id="244" w:name="_Toc11863"/>
      <w:bookmarkStart w:id="245" w:name="_Toc19964"/>
      <w:bookmarkStart w:id="246" w:name="_Toc1243"/>
      <w:bookmarkStart w:id="247" w:name="_Toc7906"/>
      <w:bookmarkStart w:id="248" w:name="_Toc1796"/>
      <w:bookmarkStart w:id="249" w:name="_Toc11683"/>
      <w:bookmarkStart w:id="250" w:name="_Toc30598"/>
      <w:r>
        <w:t>1.7</w:t>
      </w:r>
      <w:r>
        <w:rPr>
          <w:rFonts w:hAnsi="宋体"/>
        </w:rPr>
        <w:t>环境影响识别及评价重点</w:t>
      </w:r>
      <w:bookmarkEnd w:id="240"/>
      <w:bookmarkEnd w:id="241"/>
      <w:bookmarkEnd w:id="242"/>
      <w:bookmarkEnd w:id="243"/>
      <w:bookmarkEnd w:id="244"/>
      <w:bookmarkEnd w:id="245"/>
      <w:bookmarkEnd w:id="246"/>
      <w:bookmarkEnd w:id="247"/>
      <w:bookmarkEnd w:id="248"/>
      <w:bookmarkEnd w:id="249"/>
      <w:bookmarkEnd w:id="250"/>
    </w:p>
    <w:p>
      <w:pPr>
        <w:pStyle w:val="5"/>
        <w:ind w:firstLine="0" w:firstLineChars="0"/>
        <w:contextualSpacing/>
        <w:rPr>
          <w:rFonts w:ascii="Times New Roman" w:hAnsi="Times New Roman"/>
        </w:rPr>
      </w:pPr>
      <w:bookmarkStart w:id="251" w:name="_Toc2668"/>
      <w:bookmarkStart w:id="252" w:name="_Toc19301"/>
      <w:bookmarkStart w:id="253" w:name="_Toc31860"/>
      <w:bookmarkStart w:id="254" w:name="_Toc15614"/>
      <w:bookmarkStart w:id="255" w:name="_Toc5794"/>
      <w:bookmarkStart w:id="256" w:name="_Toc31884"/>
      <w:bookmarkStart w:id="257" w:name="_Toc7165"/>
      <w:bookmarkStart w:id="258" w:name="_Toc10328"/>
      <w:bookmarkStart w:id="259" w:name="_Toc9837"/>
      <w:r>
        <w:rPr>
          <w:rFonts w:ascii="Times New Roman" w:hAnsi="Times New Roman"/>
        </w:rPr>
        <w:t>1.7.1</w:t>
      </w:r>
      <w:r>
        <w:rPr>
          <w:rFonts w:ascii="Times New Roman" w:hAnsi="宋体"/>
        </w:rPr>
        <w:t>环境影响识别</w:t>
      </w:r>
      <w:bookmarkEnd w:id="251"/>
      <w:bookmarkEnd w:id="252"/>
      <w:bookmarkEnd w:id="253"/>
      <w:bookmarkEnd w:id="254"/>
      <w:bookmarkEnd w:id="255"/>
      <w:bookmarkEnd w:id="256"/>
      <w:bookmarkEnd w:id="257"/>
      <w:bookmarkEnd w:id="258"/>
      <w:bookmarkEnd w:id="259"/>
    </w:p>
    <w:p>
      <w:pPr>
        <w:ind w:firstLine="480"/>
        <w:contextualSpacing/>
      </w:pPr>
      <w:bookmarkStart w:id="260" w:name="_Toc28135"/>
      <w:bookmarkStart w:id="261" w:name="_Toc30351"/>
      <w:bookmarkStart w:id="262" w:name="_Toc4587"/>
      <w:r>
        <w:rPr>
          <w:rFonts w:hAnsi="宋体"/>
        </w:rPr>
        <w:t>（</w:t>
      </w:r>
      <w:r>
        <w:t>1</w:t>
      </w:r>
      <w:r>
        <w:rPr>
          <w:rFonts w:hAnsi="宋体"/>
        </w:rPr>
        <w:t>）施工期</w:t>
      </w:r>
      <w:bookmarkEnd w:id="260"/>
      <w:bookmarkEnd w:id="261"/>
      <w:bookmarkEnd w:id="262"/>
    </w:p>
    <w:p>
      <w:pPr>
        <w:ind w:firstLine="480"/>
        <w:contextualSpacing/>
      </w:pPr>
      <w:r>
        <w:rPr>
          <w:rFonts w:hAnsi="宋体"/>
        </w:rPr>
        <w:t>工程施工期对生态环境的影响主要为施工活动及施工占地扰动破坏植被，对陆生植物和陆生动物产生影响；</w:t>
      </w:r>
    </w:p>
    <w:p>
      <w:pPr>
        <w:ind w:firstLine="480"/>
        <w:contextualSpacing/>
      </w:pPr>
      <w:r>
        <w:rPr>
          <w:rFonts w:hAnsi="宋体"/>
        </w:rPr>
        <w:t>水环境的影响主要为施工期混凝土拌和系统冲洗废水、含油污水、基坑排水、</w:t>
      </w:r>
      <w:r>
        <w:rPr>
          <w:rFonts w:hint="eastAsia" w:hAnsi="宋体"/>
        </w:rPr>
        <w:t>隧洞排水、</w:t>
      </w:r>
      <w:r>
        <w:rPr>
          <w:rFonts w:hAnsi="宋体"/>
        </w:rPr>
        <w:t>施工人员生活污水排放对河流水质的影响；</w:t>
      </w:r>
    </w:p>
    <w:p>
      <w:pPr>
        <w:ind w:firstLine="480"/>
        <w:contextualSpacing/>
      </w:pPr>
      <w:r>
        <w:rPr>
          <w:rFonts w:hAnsi="宋体"/>
        </w:rPr>
        <w:t>环境空气的影响主要为基础开挖、炸药爆破、弃渣场弃渣以及车辆运输等产生的粉尘、扬尘、施工机械尾气等，对周边居民点产生影响；</w:t>
      </w:r>
    </w:p>
    <w:p>
      <w:pPr>
        <w:ind w:firstLine="480"/>
        <w:contextualSpacing/>
      </w:pPr>
      <w:r>
        <w:rPr>
          <w:rFonts w:hAnsi="宋体"/>
        </w:rPr>
        <w:t>声环境的影响主要为施工机械作业、车辆运输、炸药爆破等噪声，对施工人员及周边居民点产生影响；</w:t>
      </w:r>
    </w:p>
    <w:p>
      <w:pPr>
        <w:ind w:firstLine="480"/>
        <w:contextualSpacing/>
      </w:pPr>
      <w:r>
        <w:rPr>
          <w:rFonts w:hAnsi="宋体"/>
        </w:rPr>
        <w:t>固体废物主要来自土石方开挖等施工活动中所产生的弃渣以及施工人员的生活垃圾等，可能对施工环境产生影响。</w:t>
      </w:r>
    </w:p>
    <w:p>
      <w:pPr>
        <w:ind w:firstLine="480"/>
        <w:contextualSpacing/>
      </w:pPr>
      <w:bookmarkStart w:id="263" w:name="_Toc32329"/>
      <w:bookmarkStart w:id="264" w:name="_Toc19102"/>
      <w:bookmarkStart w:id="265" w:name="_Toc7979"/>
      <w:r>
        <w:rPr>
          <w:rFonts w:hAnsi="宋体"/>
        </w:rPr>
        <w:t>（</w:t>
      </w:r>
      <w:r>
        <w:t>2</w:t>
      </w:r>
      <w:r>
        <w:rPr>
          <w:rFonts w:hAnsi="宋体"/>
        </w:rPr>
        <w:t>）运行期</w:t>
      </w:r>
      <w:bookmarkEnd w:id="263"/>
      <w:bookmarkEnd w:id="264"/>
      <w:bookmarkEnd w:id="265"/>
    </w:p>
    <w:p>
      <w:pPr>
        <w:ind w:firstLine="480"/>
        <w:contextualSpacing/>
      </w:pPr>
      <w:r>
        <w:rPr>
          <w:rFonts w:hAnsi="宋体"/>
        </w:rPr>
        <w:t>运行期，水库库区及坝址下游水资源、水文情势发生变化，进而对库区及下游河流、退水受纳水体的</w:t>
      </w:r>
      <w:r>
        <w:rPr>
          <w:rFonts w:hint="eastAsia" w:hAnsi="宋体"/>
        </w:rPr>
        <w:t>地表</w:t>
      </w:r>
      <w:r>
        <w:rPr>
          <w:rFonts w:hAnsi="宋体"/>
        </w:rPr>
        <w:t>水、地下水、陆生生态、水生生态、土壤环境等产生影响。</w:t>
      </w:r>
    </w:p>
    <w:p>
      <w:pPr>
        <w:pStyle w:val="5"/>
        <w:ind w:firstLine="0" w:firstLineChars="0"/>
        <w:contextualSpacing/>
        <w:rPr>
          <w:rFonts w:ascii="Times New Roman" w:hAnsi="Times New Roman"/>
        </w:rPr>
      </w:pPr>
      <w:bookmarkStart w:id="266" w:name="_Toc8588"/>
      <w:bookmarkStart w:id="267" w:name="_Toc26588"/>
      <w:bookmarkStart w:id="268" w:name="_Toc27060"/>
      <w:bookmarkStart w:id="269" w:name="_Toc1858"/>
      <w:bookmarkStart w:id="270" w:name="_Toc4997"/>
      <w:bookmarkStart w:id="271" w:name="_Toc29775"/>
      <w:bookmarkStart w:id="272" w:name="_Toc20705"/>
      <w:bookmarkStart w:id="273" w:name="_Toc22235"/>
      <w:bookmarkStart w:id="274" w:name="_Toc9174"/>
      <w:r>
        <w:rPr>
          <w:rFonts w:ascii="Times New Roman" w:hAnsi="Times New Roman"/>
        </w:rPr>
        <w:t>1.7.2</w:t>
      </w:r>
      <w:r>
        <w:rPr>
          <w:rFonts w:ascii="Times New Roman" w:hAnsi="宋体"/>
        </w:rPr>
        <w:t>评价因子筛选</w:t>
      </w:r>
      <w:bookmarkEnd w:id="266"/>
      <w:bookmarkEnd w:id="267"/>
      <w:bookmarkEnd w:id="268"/>
      <w:bookmarkEnd w:id="269"/>
      <w:bookmarkEnd w:id="270"/>
      <w:bookmarkEnd w:id="271"/>
      <w:bookmarkEnd w:id="272"/>
      <w:bookmarkEnd w:id="273"/>
      <w:bookmarkEnd w:id="274"/>
    </w:p>
    <w:p>
      <w:pPr>
        <w:ind w:firstLine="480"/>
        <w:contextualSpacing/>
      </w:pPr>
      <w:r>
        <w:rPr>
          <w:rFonts w:hAnsi="宋体"/>
        </w:rPr>
        <w:t>根据工程的特点，结合评价区域环境现状特征，采用专家咨询法、类比分析法和矩阵法对工程环境影响因子进行分析和识别，识别及筛选初步结果见表</w:t>
      </w:r>
      <w:r>
        <w:t>1.7.2</w:t>
      </w:r>
      <w:r>
        <w:rPr>
          <w:rFonts w:hAnsi="宋体"/>
        </w:rPr>
        <w:t>。</w:t>
      </w:r>
    </w:p>
    <w:p>
      <w:pPr>
        <w:ind w:firstLine="480"/>
        <w:contextualSpacing/>
      </w:pPr>
      <w:r>
        <w:rPr>
          <w:rFonts w:hAnsi="宋体"/>
        </w:rPr>
        <w:t>通过环境影响识别，本工程重点评价的环境要素是水文情势、地表水环境、陆生生态、水生生态，一般评价的环境要素为大气环境、声环境、固体废物、土壤环境、土地资源、人群健康、移民安置。</w:t>
      </w:r>
    </w:p>
    <w:p>
      <w:pPr>
        <w:ind w:firstLine="0" w:firstLineChars="0"/>
        <w:contextualSpacing/>
        <w:jc w:val="center"/>
        <w:rPr>
          <w:b/>
          <w:bCs/>
          <w:sz w:val="21"/>
          <w:szCs w:val="21"/>
        </w:rPr>
      </w:pPr>
      <w:r>
        <w:rPr>
          <w:rFonts w:hAnsi="宋体"/>
          <w:b/>
          <w:bCs/>
          <w:sz w:val="21"/>
          <w:szCs w:val="21"/>
        </w:rPr>
        <w:t>表</w:t>
      </w:r>
      <w:r>
        <w:rPr>
          <w:b/>
          <w:bCs/>
          <w:sz w:val="21"/>
          <w:szCs w:val="21"/>
        </w:rPr>
        <w:t xml:space="preserve">1.7.2  </w:t>
      </w:r>
      <w:r>
        <w:rPr>
          <w:rFonts w:hAnsi="宋体"/>
          <w:b/>
          <w:bCs/>
          <w:sz w:val="21"/>
          <w:szCs w:val="21"/>
        </w:rPr>
        <w:t>寒溪寺水库工程环境影响识别矩阵表</w:t>
      </w:r>
    </w:p>
    <w:tbl>
      <w:tblPr>
        <w:tblStyle w:val="38"/>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2"/>
        <w:gridCol w:w="1193"/>
        <w:gridCol w:w="1193"/>
        <w:gridCol w:w="1194"/>
        <w:gridCol w:w="119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9"/>
              <w:contextualSpacing/>
              <w:rPr>
                <w:szCs w:val="21"/>
              </w:rPr>
            </w:pPr>
            <w:r>
              <w:rPr>
                <w:rFonts w:hAnsi="宋体"/>
                <w:szCs w:val="21"/>
              </w:rPr>
              <w:t>环境要素</w:t>
            </w:r>
          </w:p>
        </w:tc>
        <w:tc>
          <w:tcPr>
            <w:tcW w:w="1217" w:type="dxa"/>
            <w:vMerge w:val="restart"/>
            <w:vAlign w:val="center"/>
          </w:tcPr>
          <w:p>
            <w:pPr>
              <w:pStyle w:val="19"/>
              <w:contextualSpacing/>
              <w:rPr>
                <w:szCs w:val="21"/>
              </w:rPr>
            </w:pPr>
            <w:r>
              <w:rPr>
                <w:rFonts w:hAnsi="宋体"/>
                <w:szCs w:val="21"/>
              </w:rPr>
              <w:t>环境因子</w:t>
            </w:r>
          </w:p>
        </w:tc>
        <w:tc>
          <w:tcPr>
            <w:tcW w:w="4870" w:type="dxa"/>
            <w:gridSpan w:val="4"/>
            <w:vAlign w:val="center"/>
          </w:tcPr>
          <w:p>
            <w:pPr>
              <w:pStyle w:val="19"/>
              <w:contextualSpacing/>
              <w:rPr>
                <w:szCs w:val="21"/>
              </w:rPr>
            </w:pPr>
            <w:r>
              <w:rPr>
                <w:rFonts w:hAnsi="宋体"/>
                <w:szCs w:val="21"/>
              </w:rPr>
              <w:t>影响源</w:t>
            </w:r>
          </w:p>
        </w:tc>
        <w:tc>
          <w:tcPr>
            <w:tcW w:w="1218" w:type="dxa"/>
            <w:vMerge w:val="restart"/>
            <w:vAlign w:val="center"/>
          </w:tcPr>
          <w:p>
            <w:pPr>
              <w:pStyle w:val="19"/>
              <w:contextualSpacing/>
              <w:rPr>
                <w:szCs w:val="21"/>
              </w:rPr>
            </w:pPr>
            <w:r>
              <w:rPr>
                <w:rFonts w:hAnsi="宋体"/>
                <w:szCs w:val="21"/>
              </w:rPr>
              <w:t>识别结果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工程施工</w:t>
            </w:r>
          </w:p>
        </w:tc>
        <w:tc>
          <w:tcPr>
            <w:tcW w:w="1217" w:type="dxa"/>
            <w:vAlign w:val="center"/>
          </w:tcPr>
          <w:p>
            <w:pPr>
              <w:pStyle w:val="19"/>
              <w:contextualSpacing/>
              <w:rPr>
                <w:szCs w:val="21"/>
              </w:rPr>
            </w:pPr>
            <w:r>
              <w:rPr>
                <w:rFonts w:hAnsi="宋体"/>
                <w:szCs w:val="21"/>
              </w:rPr>
              <w:t>水库淹没</w:t>
            </w:r>
          </w:p>
        </w:tc>
        <w:tc>
          <w:tcPr>
            <w:tcW w:w="1218" w:type="dxa"/>
            <w:vAlign w:val="center"/>
          </w:tcPr>
          <w:p>
            <w:pPr>
              <w:pStyle w:val="19"/>
              <w:contextualSpacing/>
              <w:rPr>
                <w:szCs w:val="21"/>
              </w:rPr>
            </w:pPr>
            <w:r>
              <w:rPr>
                <w:rFonts w:hAnsi="宋体"/>
                <w:szCs w:val="21"/>
              </w:rPr>
              <w:t>工程运行</w:t>
            </w:r>
          </w:p>
        </w:tc>
        <w:tc>
          <w:tcPr>
            <w:tcW w:w="1218" w:type="dxa"/>
            <w:vAlign w:val="center"/>
          </w:tcPr>
          <w:p>
            <w:pPr>
              <w:pStyle w:val="19"/>
              <w:contextualSpacing/>
              <w:rPr>
                <w:szCs w:val="21"/>
              </w:rPr>
            </w:pPr>
            <w:r>
              <w:rPr>
                <w:rFonts w:hAnsi="宋体"/>
                <w:szCs w:val="21"/>
              </w:rPr>
              <w:t>移民安置</w:t>
            </w:r>
          </w:p>
        </w:tc>
        <w:tc>
          <w:tcPr>
            <w:tcW w:w="1218" w:type="dxa"/>
            <w:vMerge w:val="continue"/>
            <w:vAlign w:val="center"/>
          </w:tcPr>
          <w:p>
            <w:pPr>
              <w:pStyle w:val="19"/>
              <w:contextualSpacing/>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9"/>
              <w:contextualSpacing/>
              <w:rPr>
                <w:szCs w:val="21"/>
              </w:rPr>
            </w:pPr>
            <w:r>
              <w:rPr>
                <w:rFonts w:hAnsi="宋体"/>
                <w:szCs w:val="21"/>
              </w:rPr>
              <w:t>水文水资源</w:t>
            </w:r>
          </w:p>
        </w:tc>
        <w:tc>
          <w:tcPr>
            <w:tcW w:w="1217" w:type="dxa"/>
            <w:vAlign w:val="center"/>
          </w:tcPr>
          <w:p>
            <w:pPr>
              <w:pStyle w:val="19"/>
              <w:contextualSpacing/>
              <w:rPr>
                <w:szCs w:val="21"/>
              </w:rPr>
            </w:pPr>
            <w:r>
              <w:rPr>
                <w:rFonts w:hAnsi="宋体"/>
                <w:szCs w:val="21"/>
              </w:rPr>
              <w:t>水资源</w:t>
            </w:r>
          </w:p>
        </w:tc>
        <w:tc>
          <w:tcPr>
            <w:tcW w:w="1217" w:type="dxa"/>
            <w:vAlign w:val="center"/>
          </w:tcPr>
          <w:p>
            <w:pPr>
              <w:pStyle w:val="19"/>
              <w:contextualSpacing/>
              <w:rPr>
                <w:szCs w:val="21"/>
              </w:rPr>
            </w:pPr>
            <w:r>
              <w:rPr>
                <w:szCs w:val="21"/>
              </w:rPr>
              <w:t>0</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±2L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水文情势</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-2L</w:t>
            </w:r>
          </w:p>
        </w:tc>
        <w:tc>
          <w:tcPr>
            <w:tcW w:w="1218"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9"/>
              <w:contextualSpacing/>
              <w:rPr>
                <w:szCs w:val="21"/>
              </w:rPr>
            </w:pPr>
            <w:r>
              <w:rPr>
                <w:rFonts w:hAnsi="宋体"/>
                <w:szCs w:val="21"/>
              </w:rPr>
              <w:t>地表水</w:t>
            </w:r>
          </w:p>
        </w:tc>
        <w:tc>
          <w:tcPr>
            <w:tcW w:w="1217" w:type="dxa"/>
            <w:vAlign w:val="center"/>
          </w:tcPr>
          <w:p>
            <w:pPr>
              <w:pStyle w:val="19"/>
              <w:contextualSpacing/>
              <w:rPr>
                <w:szCs w:val="21"/>
              </w:rPr>
            </w:pPr>
            <w:r>
              <w:rPr>
                <w:rFonts w:hAnsi="宋体"/>
                <w:szCs w:val="21"/>
              </w:rPr>
              <w:t>水质</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水温</w:t>
            </w:r>
          </w:p>
        </w:tc>
        <w:tc>
          <w:tcPr>
            <w:tcW w:w="1217" w:type="dxa"/>
            <w:vAlign w:val="center"/>
          </w:tcPr>
          <w:p>
            <w:pPr>
              <w:pStyle w:val="19"/>
              <w:contextualSpacing/>
              <w:rPr>
                <w:szCs w:val="21"/>
              </w:rPr>
            </w:pPr>
            <w:r>
              <w:rPr>
                <w:szCs w:val="21"/>
              </w:rPr>
              <w:t>0</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9"/>
              <w:contextualSpacing/>
              <w:rPr>
                <w:szCs w:val="21"/>
              </w:rPr>
            </w:pPr>
            <w:r>
              <w:rPr>
                <w:rFonts w:hAnsi="宋体"/>
                <w:szCs w:val="21"/>
              </w:rPr>
              <w:t>地下水</w:t>
            </w:r>
          </w:p>
        </w:tc>
        <w:tc>
          <w:tcPr>
            <w:tcW w:w="1217" w:type="dxa"/>
            <w:vAlign w:val="center"/>
          </w:tcPr>
          <w:p>
            <w:pPr>
              <w:pStyle w:val="19"/>
              <w:contextualSpacing/>
              <w:rPr>
                <w:szCs w:val="21"/>
              </w:rPr>
            </w:pPr>
            <w:r>
              <w:rPr>
                <w:rFonts w:hAnsi="宋体"/>
                <w:szCs w:val="21"/>
              </w:rPr>
              <w:t>水质</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地下水位</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-2L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b/>
                <w:bCs/>
                <w:szCs w:val="21"/>
              </w:rPr>
            </w:pPr>
            <w:r>
              <w:rPr>
                <w:szCs w:val="21"/>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9"/>
              <w:contextualSpacing/>
              <w:rPr>
                <w:szCs w:val="21"/>
              </w:rPr>
            </w:pPr>
            <w:r>
              <w:rPr>
                <w:rFonts w:hAnsi="宋体"/>
                <w:szCs w:val="21"/>
              </w:rPr>
              <w:t>生态环境</w:t>
            </w:r>
          </w:p>
        </w:tc>
        <w:tc>
          <w:tcPr>
            <w:tcW w:w="1217" w:type="dxa"/>
            <w:vAlign w:val="center"/>
          </w:tcPr>
          <w:p>
            <w:pPr>
              <w:pStyle w:val="19"/>
              <w:contextualSpacing/>
              <w:rPr>
                <w:szCs w:val="21"/>
              </w:rPr>
            </w:pPr>
            <w:r>
              <w:rPr>
                <w:rFonts w:hAnsi="宋体"/>
                <w:szCs w:val="21"/>
              </w:rPr>
              <w:t>水生生态</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陆生生态</w:t>
            </w:r>
          </w:p>
        </w:tc>
        <w:tc>
          <w:tcPr>
            <w:tcW w:w="1217" w:type="dxa"/>
            <w:vAlign w:val="center"/>
          </w:tcPr>
          <w:p>
            <w:pPr>
              <w:pStyle w:val="19"/>
              <w:contextualSpacing/>
              <w:rPr>
                <w:szCs w:val="21"/>
              </w:rPr>
            </w:pPr>
            <w:r>
              <w:rPr>
                <w:szCs w:val="21"/>
              </w:rPr>
              <w:t>-2L</w:t>
            </w:r>
          </w:p>
        </w:tc>
        <w:tc>
          <w:tcPr>
            <w:tcW w:w="1217" w:type="dxa"/>
            <w:vAlign w:val="center"/>
          </w:tcPr>
          <w:p>
            <w:pPr>
              <w:pStyle w:val="19"/>
              <w:contextualSpacing/>
              <w:rPr>
                <w:szCs w:val="21"/>
              </w:rPr>
            </w:pPr>
            <w:r>
              <w:rPr>
                <w:szCs w:val="21"/>
              </w:rPr>
              <w:t>-3L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9"/>
              <w:contextualSpacing/>
              <w:rPr>
                <w:szCs w:val="21"/>
              </w:rPr>
            </w:pPr>
          </w:p>
        </w:tc>
        <w:tc>
          <w:tcPr>
            <w:tcW w:w="1217" w:type="dxa"/>
            <w:vAlign w:val="center"/>
          </w:tcPr>
          <w:p>
            <w:pPr>
              <w:pStyle w:val="19"/>
              <w:contextualSpacing/>
              <w:rPr>
                <w:szCs w:val="21"/>
              </w:rPr>
            </w:pPr>
            <w:r>
              <w:rPr>
                <w:rFonts w:hAnsi="宋体"/>
                <w:szCs w:val="21"/>
              </w:rPr>
              <w:t>水土流失</w:t>
            </w:r>
          </w:p>
        </w:tc>
        <w:tc>
          <w:tcPr>
            <w:tcW w:w="1217" w:type="dxa"/>
            <w:vAlign w:val="center"/>
          </w:tcPr>
          <w:p>
            <w:pPr>
              <w:pStyle w:val="19"/>
              <w:contextualSpacing/>
              <w:rPr>
                <w:szCs w:val="21"/>
              </w:rPr>
            </w:pPr>
            <w:r>
              <w:rPr>
                <w:szCs w:val="21"/>
              </w:rPr>
              <w:t>-2L</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19"/>
              <w:contextualSpacing/>
              <w:rPr>
                <w:szCs w:val="21"/>
              </w:rPr>
            </w:pPr>
            <w:r>
              <w:rPr>
                <w:rFonts w:hAnsi="宋体"/>
                <w:szCs w:val="21"/>
              </w:rPr>
              <w:t>声环境</w:t>
            </w:r>
          </w:p>
        </w:tc>
        <w:tc>
          <w:tcPr>
            <w:tcW w:w="1217" w:type="dxa"/>
            <w:vAlign w:val="center"/>
          </w:tcPr>
          <w:p>
            <w:pPr>
              <w:pStyle w:val="19"/>
              <w:contextualSpacing/>
              <w:rPr>
                <w:szCs w:val="21"/>
              </w:rPr>
            </w:pPr>
            <w:r>
              <w:rPr>
                <w:rFonts w:hAnsi="宋体"/>
                <w:szCs w:val="21"/>
              </w:rPr>
              <w:t>噪声</w:t>
            </w:r>
          </w:p>
        </w:tc>
        <w:tc>
          <w:tcPr>
            <w:tcW w:w="1217" w:type="dxa"/>
            <w:vAlign w:val="center"/>
          </w:tcPr>
          <w:p>
            <w:pPr>
              <w:pStyle w:val="19"/>
              <w:contextualSpacing/>
              <w:rPr>
                <w:szCs w:val="21"/>
              </w:rPr>
            </w:pPr>
            <w:r>
              <w:rPr>
                <w:szCs w:val="21"/>
              </w:rPr>
              <w:t>-1R</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-1R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19"/>
              <w:contextualSpacing/>
              <w:rPr>
                <w:szCs w:val="21"/>
              </w:rPr>
            </w:pPr>
            <w:r>
              <w:rPr>
                <w:rFonts w:hAnsi="宋体"/>
                <w:szCs w:val="21"/>
              </w:rPr>
              <w:t>大气环境</w:t>
            </w:r>
          </w:p>
        </w:tc>
        <w:tc>
          <w:tcPr>
            <w:tcW w:w="1217" w:type="dxa"/>
            <w:vAlign w:val="center"/>
          </w:tcPr>
          <w:p>
            <w:pPr>
              <w:pStyle w:val="19"/>
              <w:contextualSpacing/>
              <w:rPr>
                <w:szCs w:val="21"/>
              </w:rPr>
            </w:pPr>
            <w:r>
              <w:rPr>
                <w:rFonts w:hAnsi="宋体"/>
                <w:szCs w:val="21"/>
              </w:rPr>
              <w:t>环境空气</w:t>
            </w:r>
          </w:p>
        </w:tc>
        <w:tc>
          <w:tcPr>
            <w:tcW w:w="1217" w:type="dxa"/>
            <w:vAlign w:val="center"/>
          </w:tcPr>
          <w:p>
            <w:pPr>
              <w:pStyle w:val="19"/>
              <w:contextualSpacing/>
              <w:rPr>
                <w:szCs w:val="21"/>
              </w:rPr>
            </w:pPr>
            <w:r>
              <w:rPr>
                <w:szCs w:val="21"/>
              </w:rPr>
              <w:t>-1R</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-1R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19"/>
              <w:contextualSpacing/>
              <w:rPr>
                <w:szCs w:val="21"/>
              </w:rPr>
            </w:pPr>
            <w:r>
              <w:rPr>
                <w:rFonts w:hAnsi="宋体"/>
                <w:szCs w:val="21"/>
              </w:rPr>
              <w:t>固体废物</w:t>
            </w:r>
          </w:p>
        </w:tc>
        <w:tc>
          <w:tcPr>
            <w:tcW w:w="1217" w:type="dxa"/>
            <w:vAlign w:val="center"/>
          </w:tcPr>
          <w:p>
            <w:pPr>
              <w:pStyle w:val="19"/>
              <w:contextualSpacing/>
              <w:rPr>
                <w:szCs w:val="21"/>
              </w:rPr>
            </w:pPr>
            <w:r>
              <w:rPr>
                <w:rFonts w:hAnsi="宋体"/>
                <w:szCs w:val="21"/>
              </w:rPr>
              <w:t>固体废物</w:t>
            </w:r>
          </w:p>
        </w:tc>
        <w:tc>
          <w:tcPr>
            <w:tcW w:w="1217" w:type="dxa"/>
            <w:vAlign w:val="center"/>
          </w:tcPr>
          <w:p>
            <w:pPr>
              <w:pStyle w:val="19"/>
              <w:contextualSpacing/>
              <w:rPr>
                <w:szCs w:val="21"/>
              </w:rPr>
            </w:pPr>
            <w:r>
              <w:rPr>
                <w:szCs w:val="21"/>
              </w:rPr>
              <w:t>-1R</w:t>
            </w:r>
          </w:p>
        </w:tc>
        <w:tc>
          <w:tcPr>
            <w:tcW w:w="1217" w:type="dxa"/>
            <w:vAlign w:val="center"/>
          </w:tcPr>
          <w:p>
            <w:pPr>
              <w:pStyle w:val="19"/>
              <w:contextualSpacing/>
              <w:rPr>
                <w:szCs w:val="21"/>
              </w:rPr>
            </w:pPr>
            <w:r>
              <w:rPr>
                <w:szCs w:val="21"/>
              </w:rPr>
              <w:t>0</w:t>
            </w:r>
          </w:p>
        </w:tc>
        <w:tc>
          <w:tcPr>
            <w:tcW w:w="1218" w:type="dxa"/>
            <w:vAlign w:val="center"/>
          </w:tcPr>
          <w:p>
            <w:pPr>
              <w:pStyle w:val="19"/>
              <w:contextualSpacing/>
              <w:rPr>
                <w:szCs w:val="21"/>
              </w:rPr>
            </w:pPr>
            <w:r>
              <w:rPr>
                <w:szCs w:val="21"/>
              </w:rPr>
              <w:t>-1R</w:t>
            </w:r>
          </w:p>
        </w:tc>
        <w:tc>
          <w:tcPr>
            <w:tcW w:w="1218" w:type="dxa"/>
            <w:vAlign w:val="center"/>
          </w:tcPr>
          <w:p>
            <w:pPr>
              <w:pStyle w:val="19"/>
              <w:contextualSpacing/>
              <w:rPr>
                <w:szCs w:val="21"/>
              </w:rPr>
            </w:pPr>
            <w:r>
              <w:rPr>
                <w:szCs w:val="21"/>
              </w:rPr>
              <w:t>-1R</w:t>
            </w:r>
          </w:p>
        </w:tc>
        <w:tc>
          <w:tcPr>
            <w:tcW w:w="1218" w:type="dxa"/>
            <w:vAlign w:val="center"/>
          </w:tcPr>
          <w:p>
            <w:pPr>
              <w:pStyle w:val="19"/>
              <w:contextualSpacing/>
              <w:rPr>
                <w:szCs w:val="21"/>
              </w:rPr>
            </w:pPr>
            <w:r>
              <w:rPr>
                <w:szCs w:val="21"/>
              </w:rPr>
              <w:t>-1R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19"/>
              <w:contextualSpacing/>
              <w:rPr>
                <w:szCs w:val="21"/>
              </w:rPr>
            </w:pPr>
            <w:r>
              <w:rPr>
                <w:rFonts w:hAnsi="宋体"/>
                <w:szCs w:val="21"/>
              </w:rPr>
              <w:t>土壤环境</w:t>
            </w:r>
          </w:p>
        </w:tc>
        <w:tc>
          <w:tcPr>
            <w:tcW w:w="1217" w:type="dxa"/>
            <w:vAlign w:val="center"/>
          </w:tcPr>
          <w:p>
            <w:pPr>
              <w:pStyle w:val="19"/>
              <w:contextualSpacing/>
              <w:rPr>
                <w:szCs w:val="21"/>
              </w:rPr>
            </w:pPr>
            <w:r>
              <w:rPr>
                <w:rFonts w:hAnsi="宋体"/>
                <w:szCs w:val="21"/>
              </w:rPr>
              <w:t>土壤环境</w:t>
            </w:r>
          </w:p>
        </w:tc>
        <w:tc>
          <w:tcPr>
            <w:tcW w:w="1217" w:type="dxa"/>
            <w:vAlign w:val="center"/>
          </w:tcPr>
          <w:p>
            <w:pPr>
              <w:pStyle w:val="19"/>
              <w:contextualSpacing/>
              <w:rPr>
                <w:szCs w:val="21"/>
              </w:rPr>
            </w:pPr>
            <w:r>
              <w:rPr>
                <w:szCs w:val="21"/>
              </w:rPr>
              <w:t>-1L</w:t>
            </w:r>
          </w:p>
        </w:tc>
        <w:tc>
          <w:tcPr>
            <w:tcW w:w="1217"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c>
          <w:tcPr>
            <w:tcW w:w="1218" w:type="dxa"/>
            <w:vAlign w:val="center"/>
          </w:tcPr>
          <w:p>
            <w:pPr>
              <w:pStyle w:val="19"/>
              <w:contextualSpacing/>
              <w:rPr>
                <w:szCs w:val="21"/>
              </w:rPr>
            </w:pPr>
            <w:r>
              <w:rPr>
                <w:szCs w:val="21"/>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pPr>
              <w:pStyle w:val="19"/>
              <w:contextualSpacing/>
              <w:jc w:val="both"/>
              <w:rPr>
                <w:szCs w:val="21"/>
              </w:rPr>
            </w:pPr>
            <w:r>
              <w:rPr>
                <w:rFonts w:hAnsi="宋体"/>
                <w:szCs w:val="21"/>
              </w:rPr>
              <w:t>注：</w:t>
            </w:r>
            <w:r>
              <w:rPr>
                <w:szCs w:val="21"/>
              </w:rPr>
              <w:t>+</w:t>
            </w:r>
            <w:r>
              <w:rPr>
                <w:rFonts w:hAnsi="宋体"/>
                <w:szCs w:val="21"/>
              </w:rPr>
              <w:t>、</w:t>
            </w:r>
            <w:r>
              <w:rPr>
                <w:szCs w:val="21"/>
              </w:rPr>
              <w:t>-</w:t>
            </w:r>
            <w:r>
              <w:rPr>
                <w:rFonts w:hAnsi="宋体"/>
                <w:szCs w:val="21"/>
              </w:rPr>
              <w:t>分别表示有利影响和不利影响；</w:t>
            </w:r>
            <w:r>
              <w:rPr>
                <w:szCs w:val="21"/>
              </w:rPr>
              <w:t>0</w:t>
            </w:r>
            <w:r>
              <w:rPr>
                <w:rFonts w:hAnsi="宋体"/>
                <w:szCs w:val="21"/>
              </w:rPr>
              <w:t>、</w:t>
            </w:r>
            <w:r>
              <w:rPr>
                <w:szCs w:val="21"/>
              </w:rPr>
              <w:t>1</w:t>
            </w:r>
            <w:r>
              <w:rPr>
                <w:rFonts w:hAnsi="宋体"/>
                <w:szCs w:val="21"/>
              </w:rPr>
              <w:t>、</w:t>
            </w:r>
            <w:r>
              <w:rPr>
                <w:szCs w:val="21"/>
              </w:rPr>
              <w:t>2</w:t>
            </w:r>
            <w:r>
              <w:rPr>
                <w:rFonts w:hAnsi="宋体"/>
                <w:szCs w:val="21"/>
              </w:rPr>
              <w:t>、</w:t>
            </w:r>
            <w:r>
              <w:rPr>
                <w:szCs w:val="21"/>
              </w:rPr>
              <w:t>3</w:t>
            </w:r>
            <w:r>
              <w:rPr>
                <w:rFonts w:hAnsi="宋体"/>
                <w:szCs w:val="21"/>
              </w:rPr>
              <w:t>分别表示影响的程度忽略不计、小、中、大；</w:t>
            </w:r>
            <w:r>
              <w:rPr>
                <w:szCs w:val="21"/>
              </w:rPr>
              <w:t>R</w:t>
            </w:r>
            <w:r>
              <w:rPr>
                <w:rFonts w:hAnsi="宋体"/>
                <w:szCs w:val="21"/>
              </w:rPr>
              <w:t>、</w:t>
            </w:r>
            <w:r>
              <w:rPr>
                <w:szCs w:val="21"/>
              </w:rPr>
              <w:t>L</w:t>
            </w:r>
            <w:r>
              <w:rPr>
                <w:rFonts w:hAnsi="宋体"/>
                <w:szCs w:val="21"/>
              </w:rPr>
              <w:t>分别表示可逆和不可逆影响。</w:t>
            </w:r>
          </w:p>
        </w:tc>
      </w:tr>
    </w:tbl>
    <w:p>
      <w:pPr>
        <w:spacing w:line="160" w:lineRule="exact"/>
        <w:ind w:firstLine="422"/>
        <w:contextualSpacing/>
        <w:jc w:val="center"/>
        <w:rPr>
          <w:b/>
          <w:bCs/>
          <w:sz w:val="21"/>
          <w:szCs w:val="21"/>
        </w:rPr>
      </w:pPr>
    </w:p>
    <w:p>
      <w:pPr>
        <w:pStyle w:val="4"/>
        <w:ind w:firstLine="0" w:firstLineChars="0"/>
        <w:contextualSpacing/>
      </w:pPr>
      <w:bookmarkStart w:id="275" w:name="_Toc130753408"/>
      <w:r>
        <w:t>1.8</w:t>
      </w:r>
      <w:bookmarkEnd w:id="232"/>
      <w:bookmarkEnd w:id="233"/>
      <w:bookmarkEnd w:id="234"/>
      <w:bookmarkEnd w:id="235"/>
      <w:bookmarkEnd w:id="236"/>
      <w:bookmarkEnd w:id="237"/>
      <w:bookmarkEnd w:id="238"/>
      <w:bookmarkEnd w:id="239"/>
      <w:r>
        <w:rPr>
          <w:rFonts w:hAnsi="宋体"/>
        </w:rPr>
        <w:t>评价时段和评价重点</w:t>
      </w:r>
      <w:bookmarkEnd w:id="275"/>
    </w:p>
    <w:p>
      <w:pPr>
        <w:pStyle w:val="5"/>
        <w:ind w:firstLine="0" w:firstLineChars="0"/>
        <w:contextualSpacing/>
        <w:rPr>
          <w:rFonts w:ascii="Times New Roman" w:hAnsi="Times New Roman"/>
        </w:rPr>
      </w:pPr>
      <w:bookmarkStart w:id="276" w:name="_Toc20877"/>
      <w:bookmarkStart w:id="277" w:name="_Toc27041"/>
      <w:bookmarkStart w:id="278" w:name="_Toc29381"/>
      <w:bookmarkStart w:id="279" w:name="_Toc4782"/>
      <w:bookmarkStart w:id="280" w:name="_Toc12754"/>
      <w:bookmarkStart w:id="281" w:name="_Toc12971"/>
      <w:bookmarkStart w:id="282" w:name="_Toc15324"/>
      <w:bookmarkStart w:id="283" w:name="_Toc4797"/>
      <w:bookmarkStart w:id="284" w:name="_Toc25321"/>
      <w:r>
        <w:rPr>
          <w:rFonts w:ascii="Times New Roman" w:hAnsi="Times New Roman"/>
        </w:rPr>
        <w:t>1.8.1</w:t>
      </w:r>
      <w:r>
        <w:rPr>
          <w:rFonts w:ascii="Times New Roman" w:hAnsi="宋体"/>
        </w:rPr>
        <w:t>评价水平年</w:t>
      </w:r>
      <w:bookmarkEnd w:id="276"/>
      <w:bookmarkEnd w:id="277"/>
      <w:bookmarkEnd w:id="278"/>
      <w:bookmarkEnd w:id="279"/>
      <w:bookmarkEnd w:id="280"/>
      <w:bookmarkEnd w:id="281"/>
      <w:bookmarkEnd w:id="282"/>
      <w:bookmarkEnd w:id="283"/>
      <w:bookmarkEnd w:id="284"/>
    </w:p>
    <w:p>
      <w:pPr>
        <w:ind w:firstLine="480"/>
        <w:contextualSpacing/>
      </w:pPr>
      <w:r>
        <w:rPr>
          <w:rFonts w:hAnsi="宋体"/>
        </w:rPr>
        <w:t>地表水现状评价采用</w:t>
      </w:r>
      <w:r>
        <w:rPr>
          <w:rFonts w:hint="eastAsia"/>
        </w:rPr>
        <w:t>生态环境主管部门提供的2</w:t>
      </w:r>
      <w:r>
        <w:t>022</w:t>
      </w:r>
      <w:r>
        <w:rPr>
          <w:rFonts w:hAnsi="宋体"/>
        </w:rPr>
        <w:t>监测数据</w:t>
      </w:r>
      <w:r>
        <w:rPr>
          <w:rFonts w:hint="eastAsia" w:hAnsi="宋体"/>
        </w:rPr>
        <w:t>和2</w:t>
      </w:r>
      <w:r>
        <w:rPr>
          <w:rFonts w:hAnsi="宋体"/>
        </w:rPr>
        <w:t>023</w:t>
      </w:r>
      <w:r>
        <w:rPr>
          <w:rFonts w:hint="eastAsia" w:hAnsi="宋体"/>
        </w:rPr>
        <w:t>年</w:t>
      </w:r>
      <w:r>
        <w:rPr>
          <w:rFonts w:hAnsi="宋体"/>
        </w:rPr>
        <w:t>年现场监测数据；声环境采用</w:t>
      </w:r>
      <w:r>
        <w:t>2023</w:t>
      </w:r>
      <w:r>
        <w:rPr>
          <w:rFonts w:hAnsi="宋体"/>
        </w:rPr>
        <w:t>年现场调查与监测结果；环境空气采用</w:t>
      </w:r>
      <w:r>
        <w:rPr>
          <w:rFonts w:hint="eastAsia"/>
        </w:rPr>
        <w:t>生态环境主管部门</w:t>
      </w:r>
      <w:r>
        <w:rPr>
          <w:rFonts w:hint="eastAsia" w:hAnsi="宋体"/>
        </w:rPr>
        <w:t>发布的</w:t>
      </w:r>
      <w:r>
        <w:t>2022</w:t>
      </w:r>
      <w:r>
        <w:rPr>
          <w:rFonts w:hAnsi="宋体"/>
        </w:rPr>
        <w:t>年度环境质量状况公报数据；地下水环境采用</w:t>
      </w:r>
      <w:r>
        <w:t>2023</w:t>
      </w:r>
      <w:r>
        <w:rPr>
          <w:rFonts w:hAnsi="宋体"/>
        </w:rPr>
        <w:t>年现场调查与监测结果；土壤环境采用</w:t>
      </w:r>
      <w:r>
        <w:t>2023</w:t>
      </w:r>
      <w:r>
        <w:rPr>
          <w:rFonts w:hAnsi="宋体"/>
        </w:rPr>
        <w:t>年现场监测数据；陆生生态采用</w:t>
      </w:r>
      <w:r>
        <w:t>2023</w:t>
      </w:r>
      <w:r>
        <w:rPr>
          <w:rFonts w:hAnsi="宋体"/>
        </w:rPr>
        <w:t>年现场调查与监测结果；水生生态采用</w:t>
      </w:r>
      <w:r>
        <w:t>2023</w:t>
      </w:r>
      <w:r>
        <w:rPr>
          <w:rFonts w:hAnsi="宋体"/>
        </w:rPr>
        <w:t>年多次现场调查与监测结果。</w:t>
      </w:r>
    </w:p>
    <w:p>
      <w:pPr>
        <w:pStyle w:val="5"/>
        <w:ind w:firstLine="0" w:firstLineChars="0"/>
        <w:contextualSpacing/>
        <w:rPr>
          <w:rFonts w:ascii="Times New Roman" w:hAnsi="Times New Roman"/>
        </w:rPr>
      </w:pPr>
      <w:bookmarkStart w:id="285" w:name="_Toc25424"/>
      <w:bookmarkStart w:id="286" w:name="_Toc15647"/>
      <w:bookmarkStart w:id="287" w:name="_Toc6636"/>
      <w:bookmarkStart w:id="288" w:name="_Toc8964"/>
      <w:bookmarkStart w:id="289" w:name="_Toc24763"/>
      <w:bookmarkStart w:id="290" w:name="_Toc50"/>
      <w:bookmarkStart w:id="291" w:name="_Toc19106"/>
      <w:bookmarkStart w:id="292" w:name="_Toc14051"/>
      <w:bookmarkStart w:id="293" w:name="_Toc10848"/>
      <w:r>
        <w:rPr>
          <w:rFonts w:ascii="Times New Roman" w:hAnsi="Times New Roman"/>
        </w:rPr>
        <w:t>1.8.2</w:t>
      </w:r>
      <w:bookmarkEnd w:id="285"/>
      <w:bookmarkEnd w:id="286"/>
      <w:bookmarkEnd w:id="287"/>
      <w:bookmarkEnd w:id="288"/>
      <w:bookmarkEnd w:id="289"/>
      <w:bookmarkEnd w:id="290"/>
      <w:bookmarkEnd w:id="291"/>
      <w:bookmarkEnd w:id="292"/>
      <w:bookmarkEnd w:id="293"/>
      <w:r>
        <w:rPr>
          <w:rFonts w:ascii="Times New Roman" w:hAnsi="宋体"/>
        </w:rPr>
        <w:t>评价重点</w:t>
      </w:r>
    </w:p>
    <w:p>
      <w:pPr>
        <w:ind w:firstLine="480"/>
        <w:contextualSpacing/>
      </w:pPr>
      <w:r>
        <w:rPr>
          <w:rFonts w:hAnsi="宋体"/>
        </w:rPr>
        <w:t>工程设计水平年为</w:t>
      </w:r>
      <w:r>
        <w:t>2030</w:t>
      </w:r>
      <w:r>
        <w:rPr>
          <w:rFonts w:hAnsi="宋体"/>
        </w:rPr>
        <w:t>年。结合工程设计水平年，本项目环评施工期预测水平年为工程施工高峰年，即</w:t>
      </w:r>
      <w:r>
        <w:t>2023</w:t>
      </w:r>
      <w:r>
        <w:rPr>
          <w:rFonts w:hAnsi="宋体"/>
        </w:rPr>
        <w:t>年；运行期预测水平年为工程设计水平年，即</w:t>
      </w:r>
      <w:r>
        <w:t>2030</w:t>
      </w:r>
      <w:r>
        <w:rPr>
          <w:rFonts w:hAnsi="宋体"/>
        </w:rPr>
        <w:t>年。</w:t>
      </w:r>
    </w:p>
    <w:p>
      <w:pPr>
        <w:pStyle w:val="4"/>
        <w:ind w:firstLine="0" w:firstLineChars="0"/>
        <w:contextualSpacing/>
      </w:pPr>
      <w:bookmarkStart w:id="294" w:name="_Toc11707"/>
      <w:bookmarkStart w:id="295" w:name="_Toc9810"/>
      <w:bookmarkStart w:id="296" w:name="_Toc6268"/>
      <w:bookmarkStart w:id="297" w:name="_Toc10416"/>
      <w:bookmarkStart w:id="298" w:name="_Toc18191"/>
      <w:bookmarkStart w:id="299" w:name="_Toc3198"/>
      <w:bookmarkStart w:id="300" w:name="_Toc1197"/>
      <w:bookmarkStart w:id="301" w:name="_Toc15871"/>
      <w:bookmarkStart w:id="302" w:name="_Toc21872"/>
      <w:bookmarkStart w:id="303" w:name="_Toc130753409"/>
      <w:r>
        <w:t>1.9</w:t>
      </w:r>
      <w:r>
        <w:rPr>
          <w:rFonts w:hAnsi="宋体"/>
        </w:rPr>
        <w:t>环境影响评价程序</w:t>
      </w:r>
      <w:bookmarkEnd w:id="294"/>
      <w:bookmarkEnd w:id="295"/>
      <w:bookmarkEnd w:id="296"/>
      <w:bookmarkEnd w:id="297"/>
      <w:bookmarkEnd w:id="298"/>
      <w:bookmarkEnd w:id="299"/>
      <w:bookmarkEnd w:id="300"/>
      <w:bookmarkEnd w:id="301"/>
      <w:bookmarkEnd w:id="302"/>
      <w:bookmarkEnd w:id="303"/>
    </w:p>
    <w:p>
      <w:pPr>
        <w:ind w:firstLine="480"/>
        <w:contextualSpacing/>
      </w:pPr>
      <w:r>
        <w:rPr>
          <w:rFonts w:hAnsi="宋体"/>
        </w:rPr>
        <w:t>按照《建设项目环境保护管理条例》和环境影响评价技术导则的要求，本工程环境影响评价工作分以下三个阶段。</w:t>
      </w:r>
    </w:p>
    <w:p>
      <w:pPr>
        <w:ind w:firstLine="480"/>
        <w:contextualSpacing/>
      </w:pPr>
      <w:r>
        <w:rPr>
          <w:rFonts w:hAnsi="宋体"/>
        </w:rPr>
        <w:t>第一阶段：前期准备、调研和工作方案阶段。委托环评工作后，建设单位开展公众参与第一次公示。环评单位在研究相关技术文件和其它有关文件的基础上，进行初步工程分析，同时开展初步的环境现状调查。结合初步工程分析结果和环境现状资料，识别建设项目的环境影响因素，筛选主要的环境影响评价因子，明确评价重点和环境保护目标，确定环境影响评价的范围、评价工作等级和评价标准，制定工作方案。</w:t>
      </w:r>
    </w:p>
    <w:p>
      <w:pPr>
        <w:ind w:firstLine="480"/>
        <w:contextualSpacing/>
      </w:pPr>
      <w:r>
        <w:rPr>
          <w:rFonts w:hAnsi="宋体"/>
        </w:rPr>
        <w:t>第二阶段：分析论证和预测评价阶段。在第一阶段基础上，环评单位进行进一步工程分析，对评价区域内的地表水环境、地下水环境、环境空气、声环境、土壤环境进行现状监测，组织开展地表水环境、地下水环境、陆生生态、水生生态、水污染防治规划等各项专题研究工作，并在此基础上进行工程区环境影响预测评价。</w:t>
      </w:r>
    </w:p>
    <w:p>
      <w:pPr>
        <w:ind w:firstLine="480"/>
        <w:contextualSpacing/>
      </w:pPr>
      <w:r>
        <w:rPr>
          <w:rFonts w:hAnsi="宋体"/>
        </w:rPr>
        <w:t>第三阶段：报告书编制阶段。在第一、二阶段工作的基础上，环评单位制定相应的环境保护对策措施，进行环保投资概算和技术经济论证，并编制环境影响报告书初步成果；建设单位进行公众参与第二次信息公示和多种形式的公众意见调查工作；在上述工作的基础上，环评单位编制完成《巴中市巴州区寒溪寺水库扩建工程环境影响报告书》。</w:t>
      </w:r>
    </w:p>
    <w:p>
      <w:pPr>
        <w:ind w:firstLine="480"/>
        <w:contextualSpacing/>
      </w:pPr>
      <w:r>
        <w:rPr>
          <w:rFonts w:hAnsi="宋体"/>
        </w:rPr>
        <w:t>寒溪寺水库工程环境影响评价程序见图</w:t>
      </w:r>
      <w:r>
        <w:t>1.9</w:t>
      </w:r>
      <w:r>
        <w:rPr>
          <w:rFonts w:hAnsi="宋体"/>
        </w:rPr>
        <w:t>所示。</w:t>
      </w:r>
    </w:p>
    <w:p>
      <w:pPr>
        <w:ind w:firstLine="0" w:firstLineChars="0"/>
        <w:contextualSpacing/>
        <w:jc w:val="center"/>
        <w:rPr>
          <w:b/>
          <w:bCs/>
          <w:sz w:val="21"/>
          <w:szCs w:val="21"/>
        </w:rPr>
        <w:sectPr>
          <w:pgSz w:w="11906" w:h="16838"/>
          <w:pgMar w:top="1440" w:right="1800" w:bottom="1440" w:left="1800" w:header="851" w:footer="992" w:gutter="0"/>
          <w:cols w:space="720" w:num="1"/>
          <w:docGrid w:type="lines" w:linePitch="312" w:charSpace="0"/>
        </w:sectPr>
      </w:pPr>
      <w:r>
        <w:object>
          <v:shape id="_x0000_i1025" o:spt="75" type="#_x0000_t75" style="height:553.75pt;width:415pt;" o:ole="t" filled="f" o:preferrelative="t" stroked="f" coordsize="21600,21600">
            <v:path/>
            <v:fill on="f" focussize="0,0"/>
            <v:stroke on="f" joinstyle="miter"/>
            <v:imagedata r:id="rId37" o:title=""/>
            <o:lock v:ext="edit" aspectratio="f"/>
            <w10:wrap type="none"/>
            <w10:anchorlock/>
          </v:shape>
          <o:OLEObject Type="Embed" ProgID="Visio.Drawing.11" ShapeID="_x0000_i1025" DrawAspect="Content" ObjectID="_1468075725" r:id="rId36">
            <o:LockedField>false</o:LockedField>
          </o:OLEObject>
        </w:object>
      </w:r>
      <w:r>
        <w:rPr>
          <w:rFonts w:hAnsi="宋体"/>
          <w:b/>
          <w:bCs/>
          <w:sz w:val="21"/>
          <w:szCs w:val="21"/>
        </w:rPr>
        <w:t>图</w:t>
      </w:r>
      <w:r>
        <w:rPr>
          <w:b/>
          <w:bCs/>
          <w:sz w:val="21"/>
          <w:szCs w:val="21"/>
        </w:rPr>
        <w:t xml:space="preserve">1.9  </w:t>
      </w:r>
      <w:r>
        <w:rPr>
          <w:rFonts w:hAnsi="宋体"/>
          <w:b/>
          <w:bCs/>
          <w:sz w:val="21"/>
          <w:szCs w:val="21"/>
        </w:rPr>
        <w:t>本工程环境影响评价工作程序</w:t>
      </w:r>
    </w:p>
    <w:p>
      <w:pPr>
        <w:pStyle w:val="3"/>
        <w:ind w:firstLine="883"/>
        <w:contextualSpacing/>
        <w:rPr>
          <w:rFonts w:ascii="Times New Roman" w:hAnsi="Times New Roman"/>
        </w:rPr>
      </w:pPr>
      <w:bookmarkStart w:id="304" w:name="_Toc130753410"/>
      <w:bookmarkStart w:id="305" w:name="_Toc24245"/>
      <w:r>
        <w:rPr>
          <w:rFonts w:ascii="Times New Roman" w:hAnsi="Times New Roman"/>
        </w:rPr>
        <w:t>2</w:t>
      </w:r>
      <w:r>
        <w:rPr>
          <w:rFonts w:ascii="Times New Roman" w:hAnsi="宋体"/>
        </w:rPr>
        <w:t>工程概况</w:t>
      </w:r>
      <w:bookmarkEnd w:id="304"/>
      <w:bookmarkEnd w:id="305"/>
    </w:p>
    <w:p>
      <w:pPr>
        <w:pStyle w:val="4"/>
        <w:ind w:firstLine="0" w:firstLineChars="0"/>
        <w:contextualSpacing/>
      </w:pPr>
      <w:bookmarkStart w:id="306" w:name="_Toc26618"/>
      <w:bookmarkStart w:id="307" w:name="_Toc130753411"/>
      <w:r>
        <w:t>2.1</w:t>
      </w:r>
      <w:r>
        <w:rPr>
          <w:rFonts w:hAnsi="宋体"/>
        </w:rPr>
        <w:t>流域概况</w:t>
      </w:r>
      <w:bookmarkEnd w:id="306"/>
      <w:bookmarkEnd w:id="307"/>
    </w:p>
    <w:p>
      <w:pPr>
        <w:pStyle w:val="5"/>
        <w:ind w:firstLine="0" w:firstLineChars="0"/>
        <w:contextualSpacing/>
        <w:rPr>
          <w:rFonts w:ascii="Times New Roman" w:hAnsi="Times New Roman"/>
        </w:rPr>
      </w:pPr>
      <w:r>
        <w:rPr>
          <w:rFonts w:hint="eastAsia" w:ascii="Times New Roman" w:hAnsi="Times New Roman"/>
        </w:rPr>
        <w:t>2</w:t>
      </w:r>
      <w:r>
        <w:rPr>
          <w:rFonts w:ascii="Times New Roman" w:hAnsi="Times New Roman"/>
        </w:rPr>
        <w:t>.1.1</w:t>
      </w:r>
      <w:r>
        <w:rPr>
          <w:rFonts w:hint="eastAsia" w:ascii="Times New Roman" w:hAnsi="Times New Roman"/>
        </w:rPr>
        <w:t>流域概况</w:t>
      </w:r>
    </w:p>
    <w:p>
      <w:pPr>
        <w:ind w:firstLine="480"/>
        <w:contextualSpacing/>
        <w:rPr>
          <w:rFonts w:hint="eastAsia" w:hAnsi="宋体"/>
        </w:rPr>
      </w:pPr>
      <w:r>
        <w:rPr>
          <w:rFonts w:hint="eastAsia" w:hAnsi="宋体"/>
        </w:rPr>
        <w:t>寒溪寺水库地处巴中市巴州区古楼村四组，距巴中市城区28km，其地理坐标为东经106°49′57″～106°50′18″、北纬31°57′14″～31°58′07″之间。推荐坝线控制集雨面积4.53km</w:t>
      </w:r>
      <w:r>
        <w:rPr>
          <w:rFonts w:hint="eastAsia" w:hAnsi="宋体"/>
          <w:vertAlign w:val="superscript"/>
        </w:rPr>
        <w:t>2</w:t>
      </w:r>
      <w:r>
        <w:rPr>
          <w:rFonts w:hint="eastAsia" w:hAnsi="宋体"/>
        </w:rPr>
        <w:t>，河长4.12km，流域平均比降77.56‰。</w:t>
      </w:r>
    </w:p>
    <w:p>
      <w:pPr>
        <w:ind w:firstLine="480"/>
        <w:contextualSpacing/>
        <w:rPr>
          <w:rFonts w:hint="eastAsia" w:hAnsi="宋体"/>
        </w:rPr>
      </w:pPr>
      <w:r>
        <w:rPr>
          <w:rFonts w:hint="eastAsia" w:hAnsi="宋体"/>
        </w:rPr>
        <w:t>寒溪寺水库所在流域为渠江水系巴河二级支流蔡家河上，蔡家河主源发源于巴州区鸡公寨，河源高程1142m，自北向东南流，经安家坝、寒溪寺、蔡家河后折向东流，相继纳入两长河、吴家河后，折向东南流，最后汇入寒溪寺水库。流域内山高林密，河谷深切，水流湍急，河谷多为不规则的“U”型谷。流域地势北高南低，属中低山深切割侵蚀、剥蚀地貌，山顶高程小于1000m，相对高差大于300m。流域内植被较好，上游多为森林覆盖区，水土保持较好。蔡家河流域面积18.04km2，河长9.82km，流域平均比降64.5‰。</w:t>
      </w:r>
    </w:p>
    <w:p>
      <w:pPr>
        <w:ind w:firstLine="480"/>
        <w:contextualSpacing/>
        <w:rPr>
          <w:rFonts w:hint="eastAsia" w:hAnsi="宋体"/>
        </w:rPr>
      </w:pPr>
      <w:r>
        <w:rPr>
          <w:rFonts w:hint="eastAsia" w:hAnsi="宋体"/>
        </w:rPr>
        <w:t>本次设计从蔡家河临近流域两长河的两条支沟谭家河和刘家河建坝取水，谭家河补水枢纽位于天马山镇米家河附近，河床高程697～705m，坝线以上集雨面积5.68km2，河长4.25km，流域平均比降102.87‰。刘家河补水枢纽位于寺岭村处，河床高程697～701m，坝线以上控制集雨面积3.00km2，河长2.27km，流域平均比降214.58‰。</w:t>
      </w:r>
    </w:p>
    <w:p>
      <w:pPr>
        <w:ind w:firstLine="480"/>
        <w:contextualSpacing/>
      </w:pPr>
      <w:r>
        <w:rPr>
          <w:rFonts w:hint="eastAsia" w:hAnsi="宋体"/>
        </w:rPr>
        <w:t>寒溪寺及邻近流域水系图见附图。</w:t>
      </w:r>
    </w:p>
    <w:p>
      <w:pPr>
        <w:pStyle w:val="5"/>
        <w:ind w:firstLine="0" w:firstLineChars="0"/>
        <w:contextualSpacing/>
        <w:rPr>
          <w:rFonts w:ascii="Times New Roman" w:hAnsi="Times New Roman"/>
        </w:rPr>
      </w:pPr>
      <w:r>
        <w:rPr>
          <w:rFonts w:ascii="Times New Roman" w:hAnsi="Times New Roman"/>
        </w:rPr>
        <w:t>2.1.2</w:t>
      </w:r>
      <w:r>
        <w:rPr>
          <w:rFonts w:hint="eastAsia" w:ascii="Times New Roman" w:hAnsi="Times New Roman"/>
        </w:rPr>
        <w:t>巴州区</w:t>
      </w:r>
      <w:r>
        <w:rPr>
          <w:rFonts w:ascii="Times New Roman" w:hAnsi="Times New Roman"/>
        </w:rPr>
        <w:t>供水规划概况</w:t>
      </w:r>
    </w:p>
    <w:p>
      <w:pPr>
        <w:ind w:firstLine="480"/>
        <w:contextualSpacing/>
        <w:rPr>
          <w:rFonts w:hAnsi="宋体"/>
        </w:rPr>
      </w:pPr>
      <w:r>
        <w:rPr>
          <w:rFonts w:hint="eastAsia" w:hAnsi="宋体"/>
        </w:rPr>
        <w:t>根据供水现状、水资源总量和分布情况进行分析，规划水平年可供水量是在供需分析和方案比选过程中，充分考虑现有供水工程的供水潜力，考虑因工程性缺水而增加规划工程后所能提供的最大的供水量。因此，规划可供水量主要考虑新建蓄水工程、引水工程和灌区节水改造及续建配套工程。</w:t>
      </w:r>
    </w:p>
    <w:p>
      <w:pPr>
        <w:ind w:firstLine="480"/>
        <w:contextualSpacing/>
        <w:rPr>
          <w:rFonts w:hAnsi="宋体"/>
        </w:rPr>
      </w:pPr>
      <w:r>
        <w:rPr>
          <w:rFonts w:hint="eastAsia" w:hAnsi="宋体"/>
        </w:rPr>
        <w:t>（</w:t>
      </w:r>
      <w:r>
        <w:rPr>
          <w:rFonts w:hAnsi="宋体"/>
        </w:rPr>
        <w:t>1</w:t>
      </w:r>
      <w:r>
        <w:rPr>
          <w:rFonts w:hint="eastAsia" w:hAnsi="宋体"/>
        </w:rPr>
        <w:t>）已成灌区续建配套与节水改造</w:t>
      </w:r>
    </w:p>
    <w:p>
      <w:pPr>
        <w:ind w:firstLine="480"/>
        <w:contextualSpacing/>
        <w:rPr>
          <w:rFonts w:hAnsi="宋体"/>
        </w:rPr>
      </w:pPr>
      <w:r>
        <w:rPr>
          <w:rFonts w:hint="eastAsia" w:hAnsi="宋体"/>
        </w:rPr>
        <w:t>巴州区现有中型灌区（</w:t>
      </w:r>
      <w:r>
        <w:rPr>
          <w:rFonts w:hAnsi="宋体"/>
        </w:rPr>
        <w:t>1.0</w:t>
      </w:r>
      <w:r>
        <w:rPr>
          <w:rFonts w:hint="eastAsia" w:hAnsi="宋体"/>
        </w:rPr>
        <w:t>万亩以上）</w:t>
      </w:r>
      <w:r>
        <w:rPr>
          <w:rFonts w:hAnsi="宋体"/>
        </w:rPr>
        <w:t>3</w:t>
      </w:r>
      <w:r>
        <w:rPr>
          <w:rFonts w:hint="eastAsia" w:hAnsi="宋体"/>
        </w:rPr>
        <w:t>处，设计灌面</w:t>
      </w:r>
      <w:r>
        <w:rPr>
          <w:rFonts w:hAnsi="宋体"/>
        </w:rPr>
        <w:t>10.3</w:t>
      </w:r>
      <w:r>
        <w:rPr>
          <w:rFonts w:hint="eastAsia" w:hAnsi="宋体"/>
        </w:rPr>
        <w:t>万亩，现状有效灌面</w:t>
      </w:r>
      <w:r>
        <w:rPr>
          <w:rFonts w:hAnsi="宋体"/>
        </w:rPr>
        <w:t>5.05</w:t>
      </w:r>
      <w:r>
        <w:rPr>
          <w:rFonts w:hint="eastAsia" w:hAnsi="宋体"/>
        </w:rPr>
        <w:t>万亩。规划开展寒溪寺水库灌区、后溪沟水库灌区、龙洞沟水库灌区等</w:t>
      </w:r>
      <w:r>
        <w:rPr>
          <w:rFonts w:hAnsi="宋体"/>
        </w:rPr>
        <w:t>3</w:t>
      </w:r>
      <w:r>
        <w:rPr>
          <w:rFonts w:hint="eastAsia" w:hAnsi="宋体"/>
        </w:rPr>
        <w:t>座中型灌区的续建配套与节水改造，续建渠系</w:t>
      </w:r>
      <w:r>
        <w:rPr>
          <w:rFonts w:hAnsi="宋体"/>
        </w:rPr>
        <w:t>53.3km</w:t>
      </w:r>
      <w:r>
        <w:rPr>
          <w:rFonts w:hint="eastAsia" w:hAnsi="宋体"/>
        </w:rPr>
        <w:t>，整治渠系</w:t>
      </w:r>
      <w:r>
        <w:rPr>
          <w:rFonts w:hAnsi="宋体"/>
        </w:rPr>
        <w:t>77.8km</w:t>
      </w:r>
      <w:r>
        <w:rPr>
          <w:rFonts w:hint="eastAsia" w:hAnsi="宋体"/>
        </w:rPr>
        <w:t>，新增有效灌溉面积</w:t>
      </w:r>
      <w:r>
        <w:rPr>
          <w:rFonts w:hAnsi="宋体"/>
        </w:rPr>
        <w:t>2.89</w:t>
      </w:r>
      <w:r>
        <w:rPr>
          <w:rFonts w:hint="eastAsia" w:hAnsi="宋体"/>
        </w:rPr>
        <w:t>万亩，多年平均新增供水量</w:t>
      </w:r>
      <w:r>
        <w:rPr>
          <w:rFonts w:hAnsi="宋体"/>
        </w:rPr>
        <w:t>433</w:t>
      </w:r>
      <w:r>
        <w:rPr>
          <w:rFonts w:hint="eastAsia" w:hAnsi="宋体"/>
        </w:rPr>
        <w:t>万</w:t>
      </w:r>
      <w:r>
        <w:rPr>
          <w:rFonts w:hAnsi="宋体"/>
        </w:rPr>
        <w:t>m</w:t>
      </w:r>
      <w:r>
        <w:rPr>
          <w:rFonts w:hAnsi="宋体"/>
          <w:vertAlign w:val="superscript"/>
        </w:rPr>
        <w:t>3</w:t>
      </w:r>
      <w:r>
        <w:rPr>
          <w:rFonts w:hint="eastAsia" w:hAnsi="宋体"/>
        </w:rPr>
        <w:t>。巴州区现有小型灌区（</w:t>
      </w:r>
      <w:r>
        <w:rPr>
          <w:rFonts w:hAnsi="宋体"/>
        </w:rPr>
        <w:t>1.0</w:t>
      </w:r>
      <w:r>
        <w:rPr>
          <w:rFonts w:hint="eastAsia" w:hAnsi="宋体"/>
        </w:rPr>
        <w:t>万亩以下）</w:t>
      </w:r>
      <w:r>
        <w:rPr>
          <w:rFonts w:hAnsi="宋体"/>
        </w:rPr>
        <w:t>29</w:t>
      </w:r>
      <w:r>
        <w:rPr>
          <w:rFonts w:hint="eastAsia" w:hAnsi="宋体"/>
        </w:rPr>
        <w:t>处，设计灌面</w:t>
      </w:r>
      <w:r>
        <w:rPr>
          <w:rFonts w:hAnsi="宋体"/>
        </w:rPr>
        <w:t>2.86</w:t>
      </w:r>
      <w:r>
        <w:rPr>
          <w:rFonts w:hint="eastAsia" w:hAnsi="宋体"/>
        </w:rPr>
        <w:t>万亩，现状有效灌面</w:t>
      </w:r>
      <w:r>
        <w:rPr>
          <w:rFonts w:hAnsi="宋体"/>
        </w:rPr>
        <w:t>1.93</w:t>
      </w:r>
      <w:r>
        <w:rPr>
          <w:rFonts w:hint="eastAsia" w:hAnsi="宋体"/>
        </w:rPr>
        <w:t>万亩。规划开展</w:t>
      </w:r>
      <w:r>
        <w:rPr>
          <w:rFonts w:hAnsi="宋体"/>
        </w:rPr>
        <w:t>29</w:t>
      </w:r>
      <w:r>
        <w:rPr>
          <w:rFonts w:hint="eastAsia" w:hAnsi="宋体"/>
        </w:rPr>
        <w:t>处小型灌区续建配套与节水改造，新增有效灌溉面积</w:t>
      </w:r>
      <w:r>
        <w:rPr>
          <w:rFonts w:hAnsi="宋体"/>
        </w:rPr>
        <w:t>0.93</w:t>
      </w:r>
      <w:r>
        <w:rPr>
          <w:rFonts w:hint="eastAsia" w:hAnsi="宋体"/>
        </w:rPr>
        <w:t>万亩，多年平均新增供水量</w:t>
      </w:r>
      <w:r>
        <w:rPr>
          <w:rFonts w:hAnsi="宋体"/>
        </w:rPr>
        <w:t>111</w:t>
      </w:r>
      <w:r>
        <w:rPr>
          <w:rFonts w:hint="eastAsia" w:hAnsi="宋体"/>
        </w:rPr>
        <w:t>万</w:t>
      </w:r>
      <w:r>
        <w:rPr>
          <w:rFonts w:hAnsi="宋体"/>
        </w:rPr>
        <w:t>m</w:t>
      </w:r>
      <w:r>
        <w:rPr>
          <w:rFonts w:hAnsi="宋体"/>
          <w:vertAlign w:val="superscript"/>
        </w:rPr>
        <w:t>3</w:t>
      </w:r>
      <w:r>
        <w:rPr>
          <w:rFonts w:hint="eastAsia" w:hAnsi="宋体"/>
        </w:rPr>
        <w:t>。</w:t>
      </w:r>
    </w:p>
    <w:p>
      <w:pPr>
        <w:ind w:firstLine="480"/>
        <w:contextualSpacing/>
        <w:rPr>
          <w:rFonts w:hAnsi="宋体"/>
        </w:rPr>
      </w:pPr>
      <w:r>
        <w:rPr>
          <w:rFonts w:hint="eastAsia" w:hAnsi="宋体"/>
        </w:rPr>
        <w:t>（</w:t>
      </w:r>
      <w:r>
        <w:rPr>
          <w:rFonts w:hAnsi="宋体"/>
        </w:rPr>
        <w:t>2</w:t>
      </w:r>
      <w:r>
        <w:rPr>
          <w:rFonts w:hint="eastAsia" w:hAnsi="宋体"/>
        </w:rPr>
        <w:t>）骨干水源工程建设</w:t>
      </w:r>
    </w:p>
    <w:p>
      <w:pPr>
        <w:ind w:firstLine="480"/>
        <w:contextualSpacing/>
        <w:rPr>
          <w:rFonts w:hAnsi="宋体"/>
        </w:rPr>
      </w:pPr>
      <w:r>
        <w:rPr>
          <w:rFonts w:hAnsi="宋体"/>
        </w:rPr>
        <w:t>1</w:t>
      </w:r>
      <w:r>
        <w:rPr>
          <w:rFonts w:hint="eastAsia" w:hAnsi="宋体"/>
        </w:rPr>
        <w:t>）规划</w:t>
      </w:r>
      <w:r>
        <w:rPr>
          <w:rFonts w:hAnsi="宋体"/>
        </w:rPr>
        <w:t xml:space="preserve">2030 </w:t>
      </w:r>
      <w:r>
        <w:rPr>
          <w:rFonts w:hint="eastAsia" w:hAnsi="宋体"/>
        </w:rPr>
        <w:t>水平年</w:t>
      </w:r>
    </w:p>
    <w:p>
      <w:pPr>
        <w:ind w:firstLine="480"/>
        <w:contextualSpacing/>
        <w:rPr>
          <w:rFonts w:hAnsi="宋体"/>
        </w:rPr>
      </w:pPr>
      <w:r>
        <w:rPr>
          <w:rFonts w:hint="eastAsia" w:hAnsi="宋体"/>
        </w:rPr>
        <w:t>目前在建的中型水利工程有天星桥水库，总库容</w:t>
      </w:r>
      <w:r>
        <w:rPr>
          <w:rFonts w:hAnsi="宋体"/>
        </w:rPr>
        <w:t>1630</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1246</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3.86</w:t>
      </w:r>
      <w:r>
        <w:rPr>
          <w:rFonts w:hint="eastAsia" w:hAnsi="宋体"/>
        </w:rPr>
        <w:t>万</w:t>
      </w:r>
      <w:r>
        <w:rPr>
          <w:rFonts w:hAnsi="宋体"/>
        </w:rPr>
        <w:t>m</w:t>
      </w:r>
      <w:r>
        <w:rPr>
          <w:rFonts w:hAnsi="宋体"/>
          <w:vertAlign w:val="superscript"/>
        </w:rPr>
        <w:t>3</w:t>
      </w:r>
      <w:r>
        <w:rPr>
          <w:rFonts w:hint="eastAsia" w:hAnsi="宋体"/>
        </w:rPr>
        <w:t>，新增灌面</w:t>
      </w:r>
      <w:r>
        <w:rPr>
          <w:rFonts w:hAnsi="宋体"/>
        </w:rPr>
        <w:t>2.91</w:t>
      </w:r>
      <w:r>
        <w:rPr>
          <w:rFonts w:hint="eastAsia" w:hAnsi="宋体"/>
        </w:rPr>
        <w:t>万亩，规划期内稳步推进完成天星桥水库的建设。</w:t>
      </w:r>
    </w:p>
    <w:p>
      <w:pPr>
        <w:ind w:firstLine="480"/>
        <w:contextualSpacing/>
        <w:rPr>
          <w:rFonts w:hAnsi="宋体"/>
        </w:rPr>
      </w:pPr>
      <w:r>
        <w:rPr>
          <w:rFonts w:hint="eastAsia" w:hAnsi="宋体"/>
        </w:rPr>
        <w:t>除此外，根据《全国中型水库建设总体安排意见（</w:t>
      </w:r>
      <w:r>
        <w:rPr>
          <w:rFonts w:hAnsi="宋体"/>
        </w:rPr>
        <w:t>2013</w:t>
      </w:r>
      <w:r>
        <w:rPr>
          <w:rFonts w:hint="eastAsia" w:hAnsi="宋体"/>
        </w:rPr>
        <w:t>～</w:t>
      </w:r>
      <w:r>
        <w:rPr>
          <w:rFonts w:hAnsi="宋体"/>
        </w:rPr>
        <w:t>2017</w:t>
      </w:r>
      <w:r>
        <w:rPr>
          <w:rFonts w:hint="eastAsia" w:hAnsi="宋体"/>
        </w:rPr>
        <w:t>年）》（发改农经〔</w:t>
      </w:r>
      <w:r>
        <w:rPr>
          <w:rFonts w:hAnsi="宋体"/>
        </w:rPr>
        <w:t>2014</w:t>
      </w:r>
      <w:r>
        <w:rPr>
          <w:rFonts w:hint="eastAsia" w:hAnsi="宋体"/>
        </w:rPr>
        <w:t>〕</w:t>
      </w:r>
      <w:r>
        <w:rPr>
          <w:rFonts w:hAnsi="宋体"/>
        </w:rPr>
        <w:t>2411</w:t>
      </w:r>
      <w:r>
        <w:rPr>
          <w:rFonts w:hint="eastAsia" w:hAnsi="宋体"/>
        </w:rPr>
        <w:t>号）、《西南五省（自治区、直辖市）重的点水源工程近期建设规划报告》（水总规〔</w:t>
      </w:r>
      <w:r>
        <w:rPr>
          <w:rFonts w:hAnsi="宋体"/>
        </w:rPr>
        <w:t>2010</w:t>
      </w:r>
      <w:r>
        <w:rPr>
          <w:rFonts w:hint="eastAsia" w:hAnsi="宋体"/>
        </w:rPr>
        <w:t>〕</w:t>
      </w:r>
      <w:r>
        <w:rPr>
          <w:rFonts w:hAnsi="宋体"/>
        </w:rPr>
        <w:t>1089</w:t>
      </w:r>
      <w:r>
        <w:rPr>
          <w:rFonts w:hint="eastAsia" w:hAnsi="宋体"/>
        </w:rPr>
        <w:t>号）、《四川省渠江流域综合规划》（川府函〔</w:t>
      </w:r>
      <w:r>
        <w:rPr>
          <w:rFonts w:hAnsi="宋体"/>
        </w:rPr>
        <w:t>2013</w:t>
      </w:r>
      <w:r>
        <w:rPr>
          <w:rFonts w:hint="eastAsia" w:hAnsi="宋体"/>
        </w:rPr>
        <w:t>〕</w:t>
      </w:r>
      <w:r>
        <w:rPr>
          <w:rFonts w:hAnsi="宋体"/>
        </w:rPr>
        <w:t>205</w:t>
      </w:r>
      <w:r>
        <w:rPr>
          <w:rFonts w:hint="eastAsia" w:hAnsi="宋体"/>
        </w:rPr>
        <w:t>号）、《四川省渠江流域防洪规划》（水规计〔</w:t>
      </w:r>
      <w:r>
        <w:rPr>
          <w:rFonts w:hAnsi="宋体"/>
        </w:rPr>
        <w:t>2012</w:t>
      </w:r>
      <w:r>
        <w:rPr>
          <w:rFonts w:hint="eastAsia" w:hAnsi="宋体"/>
        </w:rPr>
        <w:t>〕</w:t>
      </w:r>
      <w:r>
        <w:rPr>
          <w:rFonts w:hAnsi="宋体"/>
        </w:rPr>
        <w:t>81</w:t>
      </w:r>
      <w:r>
        <w:rPr>
          <w:rFonts w:hint="eastAsia" w:hAnsi="宋体"/>
        </w:rPr>
        <w:t>号）等国家和省级规划指导意见，以及前期工作开展较好重点水源工程，规划建设青龙嘴、干沟河、龙洞沟（扩建）等</w:t>
      </w:r>
      <w:r>
        <w:rPr>
          <w:rFonts w:hAnsi="宋体"/>
        </w:rPr>
        <w:t>3</w:t>
      </w:r>
      <w:r>
        <w:rPr>
          <w:rFonts w:hint="eastAsia" w:hAnsi="宋体"/>
        </w:rPr>
        <w:t>座骨干水库工程，总库容合计</w:t>
      </w:r>
      <w:r>
        <w:rPr>
          <w:rFonts w:hAnsi="宋体"/>
        </w:rPr>
        <w:t>7592</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5683</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16.52</w:t>
      </w:r>
      <w:r>
        <w:rPr>
          <w:rFonts w:hint="eastAsia" w:hAnsi="宋体"/>
        </w:rPr>
        <w:t>万亩，新增灌面</w:t>
      </w:r>
      <w:r>
        <w:rPr>
          <w:rFonts w:hAnsi="宋体"/>
        </w:rPr>
        <w:t>11.05</w:t>
      </w:r>
      <w:r>
        <w:rPr>
          <w:rFonts w:hint="eastAsia" w:hAnsi="宋体"/>
        </w:rPr>
        <w:t>万亩。目前青龙嘴水库前期工作基础好，预计</w:t>
      </w:r>
      <w:r>
        <w:rPr>
          <w:rFonts w:hAnsi="宋体"/>
        </w:rPr>
        <w:t>2030</w:t>
      </w:r>
      <w:r>
        <w:rPr>
          <w:rFonts w:hint="eastAsia" w:hAnsi="宋体"/>
        </w:rPr>
        <w:t>内可以完工，干沟河和龙洞沟水库扩建工程部分建成受益。</w:t>
      </w:r>
    </w:p>
    <w:p>
      <w:pPr>
        <w:ind w:firstLine="480"/>
        <w:contextualSpacing/>
        <w:rPr>
          <w:rFonts w:hAnsi="宋体"/>
        </w:rPr>
      </w:pPr>
      <w:r>
        <w:rPr>
          <w:rFonts w:hint="eastAsia" w:hAnsi="宋体"/>
        </w:rPr>
        <w:t>综上，到</w:t>
      </w:r>
      <w:r>
        <w:rPr>
          <w:rFonts w:hAnsi="宋体"/>
        </w:rPr>
        <w:t>2030</w:t>
      </w:r>
      <w:r>
        <w:rPr>
          <w:rFonts w:hint="eastAsia" w:hAnsi="宋体"/>
        </w:rPr>
        <w:t>年，完成在建的天星桥中型水库工程，新建青龙嘴、干沟河和龙洞沟等</w:t>
      </w:r>
      <w:r>
        <w:rPr>
          <w:rFonts w:hAnsi="宋体"/>
        </w:rPr>
        <w:t>4</w:t>
      </w:r>
      <w:r>
        <w:rPr>
          <w:rFonts w:hint="eastAsia" w:hAnsi="宋体"/>
        </w:rPr>
        <w:t>座中型水库工程，合计新增总库容</w:t>
      </w:r>
      <w:r>
        <w:rPr>
          <w:rFonts w:hAnsi="宋体"/>
        </w:rPr>
        <w:t>9222</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6929</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20.38</w:t>
      </w:r>
      <w:r>
        <w:rPr>
          <w:rFonts w:hint="eastAsia" w:hAnsi="宋体"/>
        </w:rPr>
        <w:t>万亩，新增灌面</w:t>
      </w:r>
      <w:r>
        <w:rPr>
          <w:rFonts w:hAnsi="宋体"/>
        </w:rPr>
        <w:t>13.96</w:t>
      </w:r>
      <w:r>
        <w:rPr>
          <w:rFonts w:hint="eastAsia" w:hAnsi="宋体"/>
        </w:rPr>
        <w:t>万亩，其中规划期</w:t>
      </w:r>
      <w:r>
        <w:rPr>
          <w:rFonts w:hAnsi="宋体"/>
        </w:rPr>
        <w:t>2030</w:t>
      </w:r>
      <w:r>
        <w:rPr>
          <w:rFonts w:hint="eastAsia" w:hAnsi="宋体"/>
        </w:rPr>
        <w:t>年完成新增灌面</w:t>
      </w:r>
      <w:r>
        <w:rPr>
          <w:rFonts w:hAnsi="宋体"/>
        </w:rPr>
        <w:t>9.73</w:t>
      </w:r>
      <w:r>
        <w:rPr>
          <w:rFonts w:hint="eastAsia" w:hAnsi="宋体"/>
        </w:rPr>
        <w:t>万亩，多年平均新增供水量</w:t>
      </w:r>
      <w:r>
        <w:rPr>
          <w:rFonts w:hAnsi="宋体"/>
        </w:rPr>
        <w:t>5372</w:t>
      </w:r>
      <w:r>
        <w:rPr>
          <w:rFonts w:hint="eastAsia" w:hAnsi="宋体"/>
        </w:rPr>
        <w:t>万</w:t>
      </w:r>
      <w:r>
        <w:rPr>
          <w:rFonts w:hAnsi="宋体"/>
        </w:rPr>
        <w:t>m</w:t>
      </w:r>
      <w:r>
        <w:rPr>
          <w:rFonts w:hAnsi="宋体"/>
          <w:vertAlign w:val="superscript"/>
        </w:rPr>
        <w:t>3</w:t>
      </w:r>
      <w:r>
        <w:rPr>
          <w:rFonts w:hint="eastAsia" w:hAnsi="宋体"/>
        </w:rPr>
        <w:t>。</w:t>
      </w:r>
    </w:p>
    <w:p>
      <w:pPr>
        <w:ind w:firstLine="480"/>
        <w:contextualSpacing/>
        <w:rPr>
          <w:rFonts w:hAnsi="宋体"/>
        </w:rPr>
      </w:pPr>
      <w:r>
        <w:rPr>
          <w:rFonts w:hAnsi="宋体"/>
        </w:rPr>
        <w:t>2</w:t>
      </w:r>
      <w:r>
        <w:rPr>
          <w:rFonts w:hint="eastAsia" w:hAnsi="宋体"/>
        </w:rPr>
        <w:t>）远景</w:t>
      </w:r>
      <w:r>
        <w:rPr>
          <w:rFonts w:hAnsi="宋体"/>
        </w:rPr>
        <w:t>2040</w:t>
      </w:r>
      <w:r>
        <w:rPr>
          <w:rFonts w:hint="eastAsia" w:hAnsi="宋体"/>
        </w:rPr>
        <w:t>水平年</w:t>
      </w:r>
    </w:p>
    <w:p>
      <w:pPr>
        <w:ind w:firstLine="480"/>
        <w:contextualSpacing/>
        <w:rPr>
          <w:rFonts w:hAnsi="宋体"/>
        </w:rPr>
      </w:pPr>
      <w:r>
        <w:rPr>
          <w:rFonts w:hint="eastAsia" w:hAnsi="宋体"/>
        </w:rPr>
        <w:t>根据《四川省渠江流域综合规划》（川府函〔</w:t>
      </w:r>
      <w:r>
        <w:rPr>
          <w:rFonts w:hAnsi="宋体"/>
        </w:rPr>
        <w:t>2013</w:t>
      </w:r>
      <w:r>
        <w:rPr>
          <w:rFonts w:hint="eastAsia" w:hAnsi="宋体"/>
        </w:rPr>
        <w:t>〕</w:t>
      </w:r>
      <w:r>
        <w:rPr>
          <w:rFonts w:hAnsi="宋体"/>
        </w:rPr>
        <w:t>205</w:t>
      </w:r>
      <w:r>
        <w:rPr>
          <w:rFonts w:hint="eastAsia" w:hAnsi="宋体"/>
        </w:rPr>
        <w:t>号）、《四川省渠江流域防洪规划》（水规计〔</w:t>
      </w:r>
      <w:r>
        <w:rPr>
          <w:rFonts w:hAnsi="宋体"/>
        </w:rPr>
        <w:t>2012</w:t>
      </w:r>
      <w:r>
        <w:rPr>
          <w:rFonts w:hint="eastAsia" w:hAnsi="宋体"/>
        </w:rPr>
        <w:t>〕</w:t>
      </w:r>
      <w:r>
        <w:rPr>
          <w:rFonts w:hAnsi="宋体"/>
        </w:rPr>
        <w:t>81</w:t>
      </w:r>
      <w:r>
        <w:rPr>
          <w:rFonts w:hint="eastAsia" w:hAnsi="宋体"/>
        </w:rPr>
        <w:t>号）等规划指导意见，以及水源条件较好，供水效益较显著、具备一定前期工作基础的重点水源工程，规划完成马家河中型水库工程，设计灌溉面积</w:t>
      </w:r>
      <w:r>
        <w:rPr>
          <w:rFonts w:hAnsi="宋体"/>
        </w:rPr>
        <w:t>3.53</w:t>
      </w:r>
      <w:r>
        <w:rPr>
          <w:rFonts w:hint="eastAsia" w:hAnsi="宋体"/>
        </w:rPr>
        <w:t>万亩，新增灌面</w:t>
      </w:r>
      <w:r>
        <w:rPr>
          <w:rFonts w:hAnsi="宋体"/>
        </w:rPr>
        <w:t>2.58</w:t>
      </w:r>
      <w:r>
        <w:rPr>
          <w:rFonts w:hint="eastAsia" w:hAnsi="宋体"/>
        </w:rPr>
        <w:t>万亩。</w:t>
      </w:r>
    </w:p>
    <w:p>
      <w:pPr>
        <w:ind w:firstLine="480"/>
        <w:contextualSpacing/>
        <w:rPr>
          <w:rFonts w:hAnsi="宋体"/>
        </w:rPr>
      </w:pPr>
      <w:r>
        <w:rPr>
          <w:rFonts w:hint="eastAsia" w:hAnsi="宋体"/>
        </w:rPr>
        <w:t>（</w:t>
      </w:r>
      <w:r>
        <w:rPr>
          <w:rFonts w:hAnsi="宋体"/>
        </w:rPr>
        <w:t>3</w:t>
      </w:r>
      <w:r>
        <w:rPr>
          <w:rFonts w:hint="eastAsia" w:hAnsi="宋体"/>
        </w:rPr>
        <w:t>）小型水库建设</w:t>
      </w:r>
    </w:p>
    <w:p>
      <w:pPr>
        <w:ind w:firstLine="480"/>
        <w:contextualSpacing/>
        <w:rPr>
          <w:rFonts w:hAnsi="宋体"/>
        </w:rPr>
      </w:pPr>
      <w:r>
        <w:rPr>
          <w:rFonts w:hint="eastAsia" w:hAnsi="宋体"/>
        </w:rPr>
        <w:t>小型水库具有工程投资少、建设周期短、面上效益广的优点，是解决广大乡镇、农村生活供水，以及零星耕地灌溉的有效方式。在有条件地区建设小型水库工程解决人饮、农灌是非常必要的。根据《西南五省（自治区、直辖市）重点水源工程近期建设规划报告》（水总规〔</w:t>
      </w:r>
      <w:r>
        <w:rPr>
          <w:rFonts w:hAnsi="宋体"/>
        </w:rPr>
        <w:t>2010</w:t>
      </w:r>
      <w:r>
        <w:rPr>
          <w:rFonts w:hint="eastAsia" w:hAnsi="宋体"/>
        </w:rPr>
        <w:t>〕</w:t>
      </w:r>
      <w:r>
        <w:rPr>
          <w:rFonts w:hAnsi="宋体"/>
        </w:rPr>
        <w:t>1089</w:t>
      </w:r>
      <w:r>
        <w:rPr>
          <w:rFonts w:hint="eastAsia" w:hAnsi="宋体"/>
        </w:rPr>
        <w:t>号）、《秦巴山片区区域发展与扶贫攻坚规划》、《巴中市水资源开发总体规划报告》等规划指导，到</w:t>
      </w:r>
      <w:r>
        <w:rPr>
          <w:rFonts w:hAnsi="宋体"/>
        </w:rPr>
        <w:t>2030</w:t>
      </w:r>
      <w:r>
        <w:rPr>
          <w:rFonts w:hint="eastAsia" w:hAnsi="宋体"/>
        </w:rPr>
        <w:t>年，规划建设</w:t>
      </w:r>
      <w:r>
        <w:rPr>
          <w:rFonts w:hint="eastAsia" w:hAnsi="宋体"/>
          <w:b/>
          <w:bCs/>
        </w:rPr>
        <w:t>寒溪寺水库</w:t>
      </w:r>
      <w:r>
        <w:rPr>
          <w:rFonts w:hint="eastAsia" w:hAnsi="宋体"/>
        </w:rPr>
        <w:t>、光荣水库、古毛河水库、白花溪水库、何成溪水库、潮水洞水库、灵江渡水库、靴儿岩水库、红旗水库等</w:t>
      </w:r>
      <w:r>
        <w:rPr>
          <w:rFonts w:hAnsi="宋体"/>
        </w:rPr>
        <w:t>9</w:t>
      </w:r>
      <w:r>
        <w:rPr>
          <w:rFonts w:hint="eastAsia" w:hAnsi="宋体"/>
        </w:rPr>
        <w:t>座小型水库的建设，合计总库容</w:t>
      </w:r>
      <w:r>
        <w:rPr>
          <w:rFonts w:hAnsi="宋体"/>
        </w:rPr>
        <w:t>2026</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1562</w:t>
      </w:r>
      <w:r>
        <w:rPr>
          <w:rFonts w:hint="eastAsia" w:hAnsi="宋体"/>
        </w:rPr>
        <w:t>万</w:t>
      </w:r>
      <w:r>
        <w:rPr>
          <w:rFonts w:hAnsi="宋体"/>
        </w:rPr>
        <w:t>m</w:t>
      </w:r>
      <w:r>
        <w:rPr>
          <w:rFonts w:hAnsi="宋体"/>
          <w:vertAlign w:val="superscript"/>
        </w:rPr>
        <w:t>3</w:t>
      </w:r>
      <w:r>
        <w:rPr>
          <w:rFonts w:hint="eastAsia" w:hAnsi="宋体"/>
        </w:rPr>
        <w:t>，新增灌溉面积</w:t>
      </w:r>
      <w:r>
        <w:rPr>
          <w:rFonts w:hAnsi="宋体"/>
        </w:rPr>
        <w:t>4.43</w:t>
      </w:r>
      <w:r>
        <w:rPr>
          <w:rFonts w:hint="eastAsia" w:hAnsi="宋体"/>
        </w:rPr>
        <w:t>万亩，改善灌溉面积</w:t>
      </w:r>
      <w:r>
        <w:rPr>
          <w:rFonts w:hAnsi="宋体"/>
        </w:rPr>
        <w:t>2.84</w:t>
      </w:r>
      <w:r>
        <w:rPr>
          <w:rFonts w:hint="eastAsia" w:hAnsi="宋体"/>
        </w:rPr>
        <w:t>万亩，新增供水量</w:t>
      </w:r>
      <w:r>
        <w:rPr>
          <w:rFonts w:hAnsi="宋体"/>
        </w:rPr>
        <w:t>1093</w:t>
      </w:r>
      <w:r>
        <w:rPr>
          <w:rFonts w:hint="eastAsia" w:hAnsi="宋体"/>
        </w:rPr>
        <w:t>万</w:t>
      </w:r>
      <w:r>
        <w:rPr>
          <w:rFonts w:hAnsi="宋体"/>
        </w:rPr>
        <w:t>m</w:t>
      </w:r>
      <w:r>
        <w:rPr>
          <w:rFonts w:hAnsi="宋体"/>
          <w:vertAlign w:val="superscript"/>
        </w:rPr>
        <w:t>3</w:t>
      </w:r>
      <w:r>
        <w:rPr>
          <w:rFonts w:hint="eastAsia" w:hAnsi="宋体"/>
        </w:rPr>
        <w:t>。</w:t>
      </w:r>
    </w:p>
    <w:p>
      <w:pPr>
        <w:pStyle w:val="5"/>
        <w:ind w:firstLine="0" w:firstLineChars="0"/>
        <w:contextualSpacing/>
        <w:rPr>
          <w:rFonts w:ascii="Times New Roman" w:hAnsi="Times New Roman"/>
        </w:rPr>
      </w:pPr>
      <w:r>
        <w:rPr>
          <w:rFonts w:ascii="Times New Roman" w:hAnsi="Times New Roman"/>
        </w:rPr>
        <w:t>2.1.3</w:t>
      </w:r>
      <w:r>
        <w:rPr>
          <w:rFonts w:ascii="Times New Roman" w:hAnsi="宋体"/>
        </w:rPr>
        <w:t>流域水资源开发利用现状</w:t>
      </w:r>
    </w:p>
    <w:p>
      <w:pPr>
        <w:autoSpaceDE w:val="0"/>
        <w:autoSpaceDN w:val="0"/>
        <w:ind w:firstLine="0" w:firstLineChars="0"/>
        <w:contextualSpacing/>
        <w:outlineLvl w:val="3"/>
        <w:rPr>
          <w:b/>
          <w:bCs/>
        </w:rPr>
      </w:pPr>
      <w:r>
        <w:rPr>
          <w:b/>
          <w:bCs/>
        </w:rPr>
        <w:t>2.1.3.1</w:t>
      </w:r>
      <w:r>
        <w:rPr>
          <w:rFonts w:hAnsi="宋体"/>
          <w:b/>
          <w:bCs/>
        </w:rPr>
        <w:t>区域供水基础设施</w:t>
      </w:r>
    </w:p>
    <w:p>
      <w:pPr>
        <w:ind w:firstLine="480"/>
        <w:contextualSpacing/>
        <w:rPr>
          <w:rFonts w:hAnsi="宋体"/>
        </w:rPr>
      </w:pPr>
      <w:r>
        <w:rPr>
          <w:rFonts w:hint="eastAsia" w:hAnsi="宋体"/>
        </w:rPr>
        <w:t>供水基础设施包括地表水源、地下水源和其他水源等。</w:t>
      </w:r>
    </w:p>
    <w:p>
      <w:pPr>
        <w:ind w:firstLine="480"/>
        <w:contextualSpacing/>
        <w:rPr>
          <w:rFonts w:hAnsi="宋体"/>
        </w:rPr>
      </w:pPr>
      <w:r>
        <w:rPr>
          <w:rFonts w:hint="eastAsia" w:hAnsi="宋体"/>
        </w:rPr>
        <w:t>（</w:t>
      </w:r>
      <w:r>
        <w:rPr>
          <w:rFonts w:hAnsi="宋体"/>
        </w:rPr>
        <w:t>1</w:t>
      </w:r>
      <w:r>
        <w:rPr>
          <w:rFonts w:hint="eastAsia" w:hAnsi="宋体"/>
        </w:rPr>
        <w:t>）蓄水工程</w:t>
      </w:r>
    </w:p>
    <w:p>
      <w:pPr>
        <w:ind w:firstLine="480"/>
        <w:contextualSpacing/>
        <w:rPr>
          <w:rFonts w:hAnsi="宋体"/>
        </w:rPr>
      </w:pPr>
      <w:r>
        <w:rPr>
          <w:rFonts w:hAnsi="宋体"/>
        </w:rPr>
        <w:t>1</w:t>
      </w:r>
      <w:r>
        <w:rPr>
          <w:rFonts w:hint="eastAsia" w:hAnsi="宋体"/>
        </w:rPr>
        <w:t>）水库工程</w:t>
      </w:r>
    </w:p>
    <w:p>
      <w:pPr>
        <w:ind w:firstLine="480"/>
        <w:contextualSpacing/>
        <w:rPr>
          <w:rFonts w:hAnsi="宋体"/>
        </w:rPr>
      </w:pPr>
      <w:r>
        <w:rPr>
          <w:rFonts w:hint="eastAsia" w:hAnsi="宋体"/>
        </w:rPr>
        <w:t>巴州区已建水库</w:t>
      </w:r>
      <w:r>
        <w:rPr>
          <w:rFonts w:hAnsi="宋体"/>
        </w:rPr>
        <w:t>113</w:t>
      </w:r>
      <w:r>
        <w:rPr>
          <w:rFonts w:hint="eastAsia" w:hAnsi="宋体"/>
        </w:rPr>
        <w:t>座（以灌溉供水为主，不含发电水库），总库容</w:t>
      </w:r>
      <w:r>
        <w:rPr>
          <w:rFonts w:hAnsi="宋体"/>
        </w:rPr>
        <w:t>10483</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4423</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20.2</w:t>
      </w:r>
      <w:r>
        <w:rPr>
          <w:rFonts w:hint="eastAsia" w:hAnsi="宋体"/>
        </w:rPr>
        <w:t>万亩。其中：中型水库</w:t>
      </w:r>
      <w:r>
        <w:rPr>
          <w:rFonts w:hAnsi="宋体"/>
        </w:rPr>
        <w:t>1</w:t>
      </w:r>
      <w:r>
        <w:rPr>
          <w:rFonts w:hint="eastAsia" w:hAnsi="宋体"/>
        </w:rPr>
        <w:t>座，为寒溪寺水库，总库容</w:t>
      </w:r>
      <w:r>
        <w:rPr>
          <w:rFonts w:hAnsi="宋体"/>
        </w:rPr>
        <w:t>6565</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2798</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6.66</w:t>
      </w:r>
      <w:r>
        <w:rPr>
          <w:rFonts w:hint="eastAsia" w:hAnsi="宋体"/>
        </w:rPr>
        <w:t>万亩；小（</w:t>
      </w:r>
      <w:r>
        <w:rPr>
          <w:rFonts w:hAnsi="宋体"/>
        </w:rPr>
        <w:t>1</w:t>
      </w:r>
      <w:r>
        <w:rPr>
          <w:rFonts w:hint="eastAsia" w:hAnsi="宋体"/>
        </w:rPr>
        <w:t>）型水库</w:t>
      </w:r>
      <w:r>
        <w:rPr>
          <w:rFonts w:hAnsi="宋体"/>
        </w:rPr>
        <w:t>7</w:t>
      </w:r>
      <w:r>
        <w:rPr>
          <w:rFonts w:hint="eastAsia" w:hAnsi="宋体"/>
        </w:rPr>
        <w:t>座，合计总库容</w:t>
      </w:r>
      <w:r>
        <w:rPr>
          <w:rFonts w:hAnsi="宋体"/>
        </w:rPr>
        <w:t>1829</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1053</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5.87</w:t>
      </w:r>
      <w:r>
        <w:rPr>
          <w:rFonts w:hint="eastAsia" w:hAnsi="宋体"/>
        </w:rPr>
        <w:t>万亩；小（</w:t>
      </w:r>
      <w:r>
        <w:rPr>
          <w:rFonts w:hAnsi="宋体"/>
        </w:rPr>
        <w:t>2</w:t>
      </w:r>
      <w:r>
        <w:rPr>
          <w:rFonts w:hint="eastAsia" w:hAnsi="宋体"/>
        </w:rPr>
        <w:t>）型水库</w:t>
      </w:r>
      <w:r>
        <w:rPr>
          <w:rFonts w:hAnsi="宋体"/>
        </w:rPr>
        <w:t>105</w:t>
      </w:r>
      <w:r>
        <w:rPr>
          <w:rFonts w:hint="eastAsia" w:hAnsi="宋体"/>
        </w:rPr>
        <w:t>座，合计总库容</w:t>
      </w:r>
      <w:r>
        <w:rPr>
          <w:rFonts w:hAnsi="宋体"/>
        </w:rPr>
        <w:t>2088</w:t>
      </w:r>
      <w:r>
        <w:rPr>
          <w:rFonts w:hint="eastAsia" w:hAnsi="宋体"/>
        </w:rPr>
        <w:t>万</w:t>
      </w:r>
      <w:r>
        <w:rPr>
          <w:rFonts w:hAnsi="宋体"/>
        </w:rPr>
        <w:t>m</w:t>
      </w:r>
      <w:r>
        <w:rPr>
          <w:rFonts w:hAnsi="宋体"/>
          <w:vertAlign w:val="superscript"/>
        </w:rPr>
        <w:t>3</w:t>
      </w:r>
      <w:r>
        <w:rPr>
          <w:rFonts w:hint="eastAsia" w:hAnsi="宋体"/>
        </w:rPr>
        <w:t>，兴利库容</w:t>
      </w:r>
      <w:r>
        <w:rPr>
          <w:rFonts w:hAnsi="宋体"/>
        </w:rPr>
        <w:t>572</w:t>
      </w:r>
      <w:r>
        <w:rPr>
          <w:rFonts w:hint="eastAsia" w:hAnsi="宋体"/>
        </w:rPr>
        <w:t>万</w:t>
      </w:r>
      <w:r>
        <w:rPr>
          <w:rFonts w:hAnsi="宋体"/>
        </w:rPr>
        <w:t>m</w:t>
      </w:r>
      <w:r>
        <w:rPr>
          <w:rFonts w:hAnsi="宋体"/>
          <w:vertAlign w:val="superscript"/>
        </w:rPr>
        <w:t>3</w:t>
      </w:r>
      <w:r>
        <w:rPr>
          <w:rFonts w:hint="eastAsia" w:hAnsi="宋体"/>
        </w:rPr>
        <w:t>，设计灌溉面积</w:t>
      </w:r>
      <w:r>
        <w:rPr>
          <w:rFonts w:hAnsi="宋体"/>
        </w:rPr>
        <w:t>6.41</w:t>
      </w:r>
      <w:r>
        <w:rPr>
          <w:rFonts w:hint="eastAsia" w:hAnsi="宋体"/>
        </w:rPr>
        <w:t>万亩。</w:t>
      </w:r>
    </w:p>
    <w:p>
      <w:pPr>
        <w:ind w:firstLine="480"/>
        <w:contextualSpacing/>
        <w:rPr>
          <w:rFonts w:hAnsi="宋体"/>
        </w:rPr>
      </w:pPr>
      <w:r>
        <w:rPr>
          <w:rFonts w:hAnsi="宋体"/>
        </w:rPr>
        <w:t>2</w:t>
      </w:r>
      <w:r>
        <w:rPr>
          <w:rFonts w:hint="eastAsia" w:hAnsi="宋体"/>
        </w:rPr>
        <w:t>）塘坝</w:t>
      </w:r>
    </w:p>
    <w:p>
      <w:pPr>
        <w:ind w:firstLine="480"/>
        <w:contextualSpacing/>
        <w:rPr>
          <w:rFonts w:hAnsi="宋体"/>
        </w:rPr>
      </w:pPr>
      <w:r>
        <w:rPr>
          <w:rFonts w:hint="eastAsia" w:hAnsi="宋体"/>
        </w:rPr>
        <w:t>巴州区已建塘坝</w:t>
      </w:r>
      <w:r>
        <w:rPr>
          <w:rFonts w:hAnsi="宋体"/>
        </w:rPr>
        <w:t>6063</w:t>
      </w:r>
      <w:r>
        <w:rPr>
          <w:rFonts w:hint="eastAsia" w:hAnsi="宋体"/>
        </w:rPr>
        <w:t>处，总容积</w:t>
      </w:r>
      <w:r>
        <w:rPr>
          <w:rFonts w:hAnsi="宋体"/>
        </w:rPr>
        <w:t>3208</w:t>
      </w:r>
      <w:r>
        <w:rPr>
          <w:rFonts w:hint="eastAsia" w:hAnsi="宋体"/>
        </w:rPr>
        <w:t>万</w:t>
      </w:r>
      <w:r>
        <w:rPr>
          <w:rFonts w:hAnsi="宋体"/>
        </w:rPr>
        <w:t>m</w:t>
      </w:r>
      <w:r>
        <w:rPr>
          <w:rFonts w:hAnsi="宋体"/>
          <w:vertAlign w:val="superscript"/>
        </w:rPr>
        <w:t>3</w:t>
      </w:r>
      <w:r>
        <w:rPr>
          <w:rFonts w:hint="eastAsia" w:hAnsi="宋体"/>
        </w:rPr>
        <w:t>，灌溉面积</w:t>
      </w:r>
      <w:r>
        <w:rPr>
          <w:rFonts w:hAnsi="宋体"/>
        </w:rPr>
        <w:t>8.2</w:t>
      </w:r>
      <w:r>
        <w:rPr>
          <w:rFonts w:hint="eastAsia" w:hAnsi="宋体"/>
        </w:rPr>
        <w:t>万亩，供水人口</w:t>
      </w:r>
      <w:r>
        <w:rPr>
          <w:rFonts w:hAnsi="宋体"/>
        </w:rPr>
        <w:t>6341</w:t>
      </w:r>
      <w:r>
        <w:rPr>
          <w:rFonts w:hint="eastAsia" w:hAnsi="宋体"/>
        </w:rPr>
        <w:t>人。</w:t>
      </w:r>
    </w:p>
    <w:p>
      <w:pPr>
        <w:ind w:firstLine="480"/>
        <w:contextualSpacing/>
        <w:rPr>
          <w:rFonts w:hAnsi="宋体"/>
        </w:rPr>
      </w:pPr>
      <w:r>
        <w:rPr>
          <w:rFonts w:hint="eastAsia" w:hAnsi="宋体"/>
        </w:rPr>
        <w:t>（</w:t>
      </w:r>
      <w:r>
        <w:rPr>
          <w:rFonts w:hAnsi="宋体"/>
        </w:rPr>
        <w:t>2</w:t>
      </w:r>
      <w:r>
        <w:rPr>
          <w:rFonts w:hint="eastAsia" w:hAnsi="宋体"/>
        </w:rPr>
        <w:t>）引、提水工程</w:t>
      </w:r>
    </w:p>
    <w:p>
      <w:pPr>
        <w:ind w:firstLine="480"/>
        <w:contextualSpacing/>
        <w:rPr>
          <w:rFonts w:hAnsi="宋体"/>
        </w:rPr>
      </w:pPr>
      <w:r>
        <w:rPr>
          <w:rFonts w:hint="eastAsia" w:hAnsi="宋体"/>
        </w:rPr>
        <w:t>巴州区以山区地形为主，引水工程很少，引、提水工程以提水工程为主。提水工程</w:t>
      </w:r>
      <w:r>
        <w:rPr>
          <w:rFonts w:hAnsi="宋体"/>
        </w:rPr>
        <w:t>11</w:t>
      </w:r>
      <w:r>
        <w:rPr>
          <w:rFonts w:hint="eastAsia" w:hAnsi="宋体"/>
        </w:rPr>
        <w:t>处，提水泵数量合计</w:t>
      </w:r>
      <w:r>
        <w:rPr>
          <w:rFonts w:hAnsi="宋体"/>
        </w:rPr>
        <w:t>12</w:t>
      </w:r>
      <w:r>
        <w:rPr>
          <w:rFonts w:hint="eastAsia" w:hAnsi="宋体"/>
        </w:rPr>
        <w:t>台，合计装机功率</w:t>
      </w:r>
      <w:r>
        <w:rPr>
          <w:rFonts w:hAnsi="宋体"/>
        </w:rPr>
        <w:t>621kW</w:t>
      </w:r>
      <w:r>
        <w:rPr>
          <w:rFonts w:hint="eastAsia" w:hAnsi="宋体"/>
        </w:rPr>
        <w:t>，灌溉面积</w:t>
      </w:r>
      <w:r>
        <w:rPr>
          <w:rFonts w:hAnsi="宋体"/>
        </w:rPr>
        <w:t>0.69</w:t>
      </w:r>
      <w:r>
        <w:rPr>
          <w:rFonts w:hint="eastAsia" w:hAnsi="宋体"/>
        </w:rPr>
        <w:t>万亩。</w:t>
      </w:r>
    </w:p>
    <w:p>
      <w:pPr>
        <w:ind w:firstLine="480"/>
        <w:contextualSpacing/>
        <w:rPr>
          <w:rFonts w:hAnsi="宋体"/>
        </w:rPr>
      </w:pPr>
      <w:r>
        <w:rPr>
          <w:rFonts w:hint="eastAsia" w:hAnsi="宋体"/>
        </w:rPr>
        <w:t>（</w:t>
      </w:r>
      <w:r>
        <w:rPr>
          <w:rFonts w:hAnsi="宋体"/>
        </w:rPr>
        <w:t>3</w:t>
      </w:r>
      <w:r>
        <w:rPr>
          <w:rFonts w:hint="eastAsia" w:hAnsi="宋体"/>
        </w:rPr>
        <w:t>）其他水源工程</w:t>
      </w:r>
    </w:p>
    <w:p>
      <w:pPr>
        <w:ind w:firstLine="480"/>
        <w:contextualSpacing/>
        <w:rPr>
          <w:rFonts w:hAnsi="宋体"/>
        </w:rPr>
      </w:pPr>
      <w:r>
        <w:rPr>
          <w:rFonts w:hint="eastAsia" w:hAnsi="宋体"/>
        </w:rPr>
        <w:t>其他水源工程包括集雨工程、污水处理再利用等供水工程。其他水源工程主要为集雨工程，包括水池、水窖等。窖（池）共计</w:t>
      </w:r>
      <w:r>
        <w:rPr>
          <w:rFonts w:hAnsi="宋体"/>
        </w:rPr>
        <w:t>8603</w:t>
      </w:r>
      <w:r>
        <w:rPr>
          <w:rFonts w:hint="eastAsia" w:hAnsi="宋体"/>
        </w:rPr>
        <w:t>处，总容积</w:t>
      </w:r>
      <w:r>
        <w:rPr>
          <w:rFonts w:hAnsi="宋体"/>
        </w:rPr>
        <w:t>115</w:t>
      </w:r>
      <w:r>
        <w:rPr>
          <w:rFonts w:hint="eastAsia" w:hAnsi="宋体"/>
        </w:rPr>
        <w:t>万</w:t>
      </w:r>
      <w:r>
        <w:rPr>
          <w:rFonts w:hAnsi="宋体"/>
        </w:rPr>
        <w:t>m</w:t>
      </w:r>
      <w:r>
        <w:rPr>
          <w:rFonts w:hAnsi="宋体"/>
          <w:vertAlign w:val="superscript"/>
        </w:rPr>
        <w:t>3</w:t>
      </w:r>
      <w:r>
        <w:rPr>
          <w:rFonts w:hint="eastAsia" w:hAnsi="宋体"/>
        </w:rPr>
        <w:t>，抗旱补水面积</w:t>
      </w:r>
      <w:r>
        <w:rPr>
          <w:rFonts w:hAnsi="宋体"/>
        </w:rPr>
        <w:t>1.35</w:t>
      </w:r>
      <w:r>
        <w:rPr>
          <w:rFonts w:hint="eastAsia" w:hAnsi="宋体"/>
        </w:rPr>
        <w:t>万亩，供水人口</w:t>
      </w:r>
      <w:r>
        <w:rPr>
          <w:rFonts w:hAnsi="宋体"/>
        </w:rPr>
        <w:t xml:space="preserve">470 </w:t>
      </w:r>
      <w:r>
        <w:rPr>
          <w:rFonts w:hint="eastAsia" w:hAnsi="宋体"/>
        </w:rPr>
        <w:t>人。</w:t>
      </w:r>
    </w:p>
    <w:p>
      <w:pPr>
        <w:autoSpaceDE w:val="0"/>
        <w:autoSpaceDN w:val="0"/>
        <w:ind w:firstLine="0" w:firstLineChars="0"/>
        <w:contextualSpacing/>
        <w:outlineLvl w:val="3"/>
        <w:rPr>
          <w:b/>
          <w:bCs/>
        </w:rPr>
      </w:pPr>
      <w:r>
        <w:rPr>
          <w:b/>
          <w:bCs/>
        </w:rPr>
        <w:t>2.1.4.2</w:t>
      </w:r>
      <w:r>
        <w:rPr>
          <w:rFonts w:hAnsi="宋体"/>
          <w:b/>
          <w:bCs/>
        </w:rPr>
        <w:t>水资源开发利用程度</w:t>
      </w:r>
    </w:p>
    <w:p>
      <w:pPr>
        <w:ind w:firstLine="480"/>
        <w:contextualSpacing/>
        <w:rPr>
          <w:rFonts w:hint="eastAsia" w:hAnsi="宋体"/>
        </w:rPr>
      </w:pPr>
      <w:r>
        <w:rPr>
          <w:rFonts w:hint="eastAsia" w:hAnsi="宋体"/>
        </w:rPr>
        <w:t>（1） 水资源开发利用程度</w:t>
      </w:r>
    </w:p>
    <w:p>
      <w:pPr>
        <w:ind w:firstLine="480"/>
        <w:contextualSpacing/>
        <w:rPr>
          <w:rFonts w:hint="eastAsia" w:hAnsi="宋体"/>
        </w:rPr>
      </w:pPr>
      <w:r>
        <w:rPr>
          <w:rFonts w:hint="eastAsia" w:hAnsi="宋体"/>
        </w:rPr>
        <w:t>巴州区多年平均降水深1157.2mm，高于四川省平均值，折合降水总量16.5亿m</w:t>
      </w:r>
      <w:r>
        <w:rPr>
          <w:rFonts w:hint="eastAsia" w:hAnsi="宋体"/>
          <w:vertAlign w:val="superscript"/>
        </w:rPr>
        <w:t>3</w:t>
      </w:r>
      <w:r>
        <w:rPr>
          <w:rFonts w:hint="eastAsia" w:hAnsi="宋体"/>
        </w:rPr>
        <w:t>。全区多年平均地表水资源量约为7.98亿m</w:t>
      </w:r>
      <w:r>
        <w:rPr>
          <w:rFonts w:hint="eastAsia" w:hAnsi="宋体"/>
          <w:vertAlign w:val="superscript"/>
        </w:rPr>
        <w:t>3</w:t>
      </w:r>
      <w:r>
        <w:rPr>
          <w:rFonts w:hint="eastAsia" w:hAnsi="宋体"/>
        </w:rPr>
        <w:t>，地下水资源量0.61亿m</w:t>
      </w:r>
      <w:r>
        <w:rPr>
          <w:rFonts w:hint="eastAsia" w:hAnsi="宋体"/>
          <w:vertAlign w:val="superscript"/>
        </w:rPr>
        <w:t>3</w:t>
      </w:r>
      <w:r>
        <w:rPr>
          <w:rFonts w:hint="eastAsia" w:hAnsi="宋体"/>
        </w:rPr>
        <w:t>（全部为重复量），水资源总量为7.98亿m</w:t>
      </w:r>
      <w:r>
        <w:rPr>
          <w:rFonts w:hint="eastAsia" w:hAnsi="宋体"/>
          <w:vertAlign w:val="superscript"/>
        </w:rPr>
        <w:t>3</w:t>
      </w:r>
      <w:r>
        <w:rPr>
          <w:rFonts w:hint="eastAsia" w:hAnsi="宋体"/>
        </w:rPr>
        <w:t>。</w:t>
      </w:r>
    </w:p>
    <w:p>
      <w:pPr>
        <w:ind w:firstLine="480"/>
        <w:contextualSpacing/>
        <w:rPr>
          <w:rFonts w:hint="eastAsia" w:hAnsi="宋体"/>
        </w:rPr>
      </w:pPr>
      <w:r>
        <w:rPr>
          <w:rFonts w:hint="eastAsia" w:hAnsi="宋体"/>
        </w:rPr>
        <w:t>水资源开发利用程度与区域自然特征、地形地貌、水土资源条件、社会经济发展水平有关。根据多年平均水资源数量以及现状供用水分析，现状水资源开发利用率为16.3%，水资源开发利用程度还不高，开发利用潜力较大。</w:t>
      </w:r>
    </w:p>
    <w:p>
      <w:pPr>
        <w:ind w:firstLine="480"/>
        <w:contextualSpacing/>
        <w:rPr>
          <w:rFonts w:hint="eastAsia" w:hAnsi="宋体"/>
        </w:rPr>
      </w:pPr>
      <w:r>
        <w:rPr>
          <w:rFonts w:hint="eastAsia" w:hAnsi="宋体"/>
        </w:rPr>
        <w:t>（2） 现状用水水平</w:t>
      </w:r>
    </w:p>
    <w:p>
      <w:pPr>
        <w:ind w:firstLine="480"/>
        <w:contextualSpacing/>
        <w:rPr>
          <w:rFonts w:hAnsi="宋体"/>
        </w:rPr>
      </w:pPr>
      <w:r>
        <w:rPr>
          <w:rFonts w:hint="eastAsia" w:hAnsi="宋体"/>
        </w:rPr>
        <w:t>巴州区现状人均用水量177m</w:t>
      </w:r>
      <w:r>
        <w:rPr>
          <w:rFonts w:hint="eastAsia" w:hAnsi="宋体"/>
          <w:vertAlign w:val="superscript"/>
        </w:rPr>
        <w:t>3</w:t>
      </w:r>
      <w:r>
        <w:rPr>
          <w:rFonts w:hint="eastAsia" w:hAnsi="宋体"/>
        </w:rPr>
        <w:t>，万元GDP用水量为92m</w:t>
      </w:r>
      <w:r>
        <w:rPr>
          <w:rFonts w:hint="eastAsia" w:hAnsi="宋体"/>
          <w:vertAlign w:val="superscript"/>
        </w:rPr>
        <w:t>3</w:t>
      </w:r>
      <w:r>
        <w:rPr>
          <w:rFonts w:hint="eastAsia" w:hAnsi="宋体"/>
        </w:rPr>
        <w:t>，万元工业增加值用水量为56m</w:t>
      </w:r>
      <w:r>
        <w:rPr>
          <w:rFonts w:hint="eastAsia" w:hAnsi="宋体"/>
          <w:vertAlign w:val="superscript"/>
        </w:rPr>
        <w:t>3</w:t>
      </w:r>
      <w:r>
        <w:rPr>
          <w:rFonts w:hint="eastAsia" w:hAnsi="宋体"/>
        </w:rPr>
        <w:t>，农田灌溉亩均用水量为252m</w:t>
      </w:r>
      <w:r>
        <w:rPr>
          <w:rFonts w:hint="eastAsia" w:hAnsi="宋体"/>
          <w:vertAlign w:val="superscript"/>
        </w:rPr>
        <w:t>3</w:t>
      </w:r>
      <w:r>
        <w:rPr>
          <w:rFonts w:hint="eastAsia" w:hAnsi="宋体"/>
        </w:rPr>
        <w:t>，城镇居民用水量为125L/d。</w:t>
      </w:r>
    </w:p>
    <w:p>
      <w:pPr>
        <w:ind w:firstLine="480"/>
        <w:contextualSpacing/>
        <w:rPr>
          <w:rFonts w:hint="eastAsia" w:hAnsi="宋体"/>
        </w:rPr>
      </w:pPr>
      <w:r>
        <w:rPr>
          <w:rFonts w:hint="eastAsia" w:hAnsi="宋体"/>
        </w:rPr>
        <w:t>巴州区现状农田灌溉水有效利用系数为0.46，略高于四川省平均水平，与巴中市水平基本相当；万元GDP用水量为92m</w:t>
      </w:r>
      <w:r>
        <w:rPr>
          <w:rFonts w:hint="eastAsia" w:hAnsi="宋体"/>
          <w:vertAlign w:val="superscript"/>
        </w:rPr>
        <w:t>3</w:t>
      </w:r>
      <w:r>
        <w:rPr>
          <w:rFonts w:hint="eastAsia" w:hAnsi="宋体"/>
        </w:rPr>
        <w:t>/万元，低于四川省和巴中市平均水平；万元工业增加值用水量56m3/万元，低于四川省平均水平高于巴中市平均水平。与发达国家相比，巴州区用水水平和用水效率还具有很大差距，相对较为落后。</w:t>
      </w:r>
    </w:p>
    <w:p>
      <w:pPr>
        <w:ind w:firstLine="480"/>
        <w:contextualSpacing/>
      </w:pPr>
      <w:r>
        <w:rPr>
          <w:rFonts w:hint="eastAsia" w:hAnsi="宋体"/>
        </w:rPr>
        <w:t>随着社会经济的发展，区域水资源开发利用的水平和效率在不断提高，但总体而言水资源利用方式还很粗放，用水效率较低，浪费仍较严重，主要用水效率指标与国内其它发达地区尚有较大差距，节水管理与节水技术有待进一步提高。</w:t>
      </w:r>
    </w:p>
    <w:p>
      <w:pPr>
        <w:autoSpaceDE w:val="0"/>
        <w:autoSpaceDN w:val="0"/>
        <w:ind w:firstLine="0" w:firstLineChars="0"/>
        <w:contextualSpacing/>
        <w:outlineLvl w:val="3"/>
        <w:rPr>
          <w:b/>
          <w:bCs/>
        </w:rPr>
      </w:pPr>
      <w:r>
        <w:rPr>
          <w:b/>
          <w:bCs/>
        </w:rPr>
        <w:t>2.1.4.3</w:t>
      </w:r>
      <w:r>
        <w:rPr>
          <w:rFonts w:hAnsi="宋体"/>
          <w:b/>
          <w:bCs/>
        </w:rPr>
        <w:t>存在的问题</w:t>
      </w:r>
    </w:p>
    <w:p>
      <w:pPr>
        <w:ind w:firstLine="480"/>
        <w:contextualSpacing/>
        <w:rPr>
          <w:rFonts w:hint="eastAsia" w:hAnsi="宋体"/>
        </w:rPr>
      </w:pPr>
      <w:r>
        <w:rPr>
          <w:rFonts w:hint="eastAsia" w:hAnsi="宋体"/>
        </w:rPr>
        <w:t>（1）水资源分布不均，综合开发利用率较低</w:t>
      </w:r>
    </w:p>
    <w:p>
      <w:pPr>
        <w:ind w:firstLine="480"/>
        <w:contextualSpacing/>
        <w:rPr>
          <w:rFonts w:hint="eastAsia" w:hAnsi="宋体"/>
        </w:rPr>
      </w:pPr>
      <w:r>
        <w:rPr>
          <w:rFonts w:hint="eastAsia" w:hAnsi="宋体"/>
        </w:rPr>
        <w:t>巴州区水资源时空分配不均，主要体现在水资源的地区分布不均匀和水资源年际及年内分配变化大。</w:t>
      </w:r>
    </w:p>
    <w:p>
      <w:pPr>
        <w:ind w:firstLine="480"/>
        <w:contextualSpacing/>
        <w:rPr>
          <w:rFonts w:hint="eastAsia" w:hAnsi="宋体"/>
        </w:rPr>
      </w:pPr>
      <w:r>
        <w:rPr>
          <w:rFonts w:hint="eastAsia" w:hAnsi="宋体"/>
        </w:rPr>
        <w:t>从地域分配看，北部生态屏障保护区和中部经济发展区多年平均径流深分别为582mm和574mm，水资源量很丰富；位于巴河以南的南部低山区多年平均径流深为501mm，水资源相对丰富，较大地低于中北部。</w:t>
      </w:r>
    </w:p>
    <w:p>
      <w:pPr>
        <w:ind w:firstLine="480"/>
        <w:contextualSpacing/>
        <w:rPr>
          <w:rFonts w:hint="eastAsia" w:hAnsi="宋体"/>
        </w:rPr>
      </w:pPr>
      <w:r>
        <w:rPr>
          <w:rFonts w:hint="eastAsia" w:hAnsi="宋体"/>
        </w:rPr>
        <w:t>从时间分配看，径流年内主要集中在5～10月，径流占年径流量的87%，7～9月径流量最大，三月径流占全年的59.7%，这一时期，由于降雨相对集中，造成山洪暴发，酿成灾害。最大月径流一般多出现在7月，占全年径流量的23.9％。径流除年内分配不均外，其年际变化差异也很大，最大年与最小年径流量倍比高达5.75。</w:t>
      </w:r>
    </w:p>
    <w:p>
      <w:pPr>
        <w:ind w:firstLine="480"/>
        <w:contextualSpacing/>
        <w:rPr>
          <w:rFonts w:hint="eastAsia" w:hAnsi="宋体"/>
        </w:rPr>
      </w:pPr>
      <w:r>
        <w:rPr>
          <w:rFonts w:hint="eastAsia" w:hAnsi="宋体"/>
        </w:rPr>
        <w:t>巴州区多年平均水资源总量7.98亿m</w:t>
      </w:r>
      <w:r>
        <w:rPr>
          <w:rFonts w:hint="eastAsia" w:hAnsi="宋体"/>
          <w:vertAlign w:val="superscript"/>
        </w:rPr>
        <w:t>3</w:t>
      </w:r>
      <w:r>
        <w:rPr>
          <w:rFonts w:hint="eastAsia" w:hAnsi="宋体"/>
        </w:rPr>
        <w:t>，现状年用水量1.30亿m</w:t>
      </w:r>
      <w:r>
        <w:rPr>
          <w:rFonts w:hint="eastAsia" w:hAnsi="宋体"/>
          <w:vertAlign w:val="superscript"/>
        </w:rPr>
        <w:t>3</w:t>
      </w:r>
      <w:r>
        <w:rPr>
          <w:rFonts w:hint="eastAsia" w:hAnsi="宋体"/>
        </w:rPr>
        <w:t>，水资源开发利用程度仅16.3%，水资源开发利用程度不高，远低于国际公认30～40%的水资源合理利用程度。已成中型骨干水库只有1座，骨干工程缺乏，抵御干旱能力差。</w:t>
      </w:r>
    </w:p>
    <w:p>
      <w:pPr>
        <w:ind w:firstLine="480"/>
        <w:contextualSpacing/>
        <w:rPr>
          <w:rFonts w:hint="eastAsia" w:hAnsi="宋体"/>
        </w:rPr>
      </w:pPr>
      <w:r>
        <w:rPr>
          <w:rFonts w:hint="eastAsia" w:hAnsi="宋体"/>
        </w:rPr>
        <w:t>（2）防洪减灾能力不足，难以满足全面建设小康社会要求</w:t>
      </w:r>
    </w:p>
    <w:p>
      <w:pPr>
        <w:ind w:firstLine="480"/>
        <w:contextualSpacing/>
        <w:rPr>
          <w:rFonts w:hint="eastAsia" w:hAnsi="宋体"/>
        </w:rPr>
      </w:pPr>
      <w:r>
        <w:rPr>
          <w:rFonts w:hint="eastAsia" w:hAnsi="宋体"/>
        </w:rPr>
        <w:t>巴州区属大巴山暴雨区，洪水频发；同时水资源年内分配极不均匀，十年九旱，洪旱交错是巴州区的基本水情。由于缺少防洪控制性工程蓄洪削峰，沿河城镇堤防工程建设滞后，已建堤防工程防洪标准低，全区还有中小型病险水库山洪沟急需整治，防洪保安形势严峻。防汛抗旱信息传递和处理手段无法对重要雨情、水情做出科学预测预报，不能满足现代化防汛指挥要求，致使防汛工作仍处于“有灾救灾、出险抢险”的被动局面，防洪减灾能力依然严重不足。</w:t>
      </w:r>
    </w:p>
    <w:p>
      <w:pPr>
        <w:ind w:firstLine="480"/>
        <w:contextualSpacing/>
        <w:rPr>
          <w:rFonts w:hint="eastAsia" w:hAnsi="宋体"/>
        </w:rPr>
      </w:pPr>
      <w:r>
        <w:rPr>
          <w:rFonts w:hint="eastAsia" w:hAnsi="宋体"/>
        </w:rPr>
        <w:t>（3）农村水利基础设施薄弱，饮水不安全仍突出，农田灌溉保证率不足</w:t>
      </w:r>
    </w:p>
    <w:p>
      <w:pPr>
        <w:ind w:firstLine="480"/>
        <w:contextualSpacing/>
        <w:rPr>
          <w:rFonts w:hint="eastAsia" w:hAnsi="宋体"/>
        </w:rPr>
      </w:pPr>
      <w:r>
        <w:rPr>
          <w:rFonts w:hint="eastAsia" w:hAnsi="宋体"/>
        </w:rPr>
        <w:t>据核查，全区仍有11.8万人存在饮水不安全问题，急需通过实施农村饮水安全巩固提升工程予以解决。</w:t>
      </w:r>
    </w:p>
    <w:p>
      <w:pPr>
        <w:ind w:firstLine="480"/>
        <w:contextualSpacing/>
        <w:rPr>
          <w:rFonts w:hint="eastAsia" w:hAnsi="宋体"/>
        </w:rPr>
      </w:pPr>
      <w:r>
        <w:rPr>
          <w:rFonts w:hint="eastAsia" w:hAnsi="宋体"/>
        </w:rPr>
        <w:t>全区现有耕地面积79.5万亩，现状水利工程设施有效灌溉面积21.89万亩，其中耕地20.96万亩，耕地有效灌溉率26.4%灌溉率明显偏低。全区中型工程仅1座，由于缺乏骨干调蓄工程的调节，不能对径流的年际和年内变化进行重新分配，灌区灌溉保证能力差，调节灌溉峰值期用水能力低，造成季节性缺水严重，更加剧了水资源的供需矛盾，在南部低山区尤为明显。</w:t>
      </w:r>
    </w:p>
    <w:p>
      <w:pPr>
        <w:ind w:firstLine="480"/>
        <w:contextualSpacing/>
        <w:rPr>
          <w:rFonts w:hint="eastAsia" w:hAnsi="宋体"/>
        </w:rPr>
      </w:pPr>
      <w:r>
        <w:rPr>
          <w:rFonts w:hint="eastAsia" w:hAnsi="宋体"/>
        </w:rPr>
        <w:t>（4）水环境问题日趋严重</w:t>
      </w:r>
    </w:p>
    <w:p>
      <w:pPr>
        <w:ind w:firstLine="480"/>
        <w:contextualSpacing/>
        <w:rPr>
          <w:rFonts w:hint="eastAsia" w:hAnsi="宋体"/>
        </w:rPr>
      </w:pPr>
      <w:r>
        <w:rPr>
          <w:rFonts w:hint="eastAsia" w:hAnsi="宋体"/>
        </w:rPr>
        <w:t>由于降雨时空分布不均，每年汛期的水资源量占全年总量的80%左右，季节性缺水矛盾突出。受一些重大基础设施建设等因素影响，水土流失严重状况未得到根本扭转，全区每年向河流排放未经处理的工农业生产废水和生活污水使河流遭受不同程度污染，库塘富营养化养殖也造成水体污染，保持良好水生态面临挑战。</w:t>
      </w:r>
    </w:p>
    <w:p>
      <w:pPr>
        <w:ind w:firstLine="480"/>
        <w:contextualSpacing/>
        <w:rPr>
          <w:rFonts w:hint="eastAsia" w:hAnsi="宋体"/>
        </w:rPr>
      </w:pPr>
      <w:r>
        <w:rPr>
          <w:rFonts w:hint="eastAsia" w:hAnsi="宋体"/>
        </w:rPr>
        <w:t>（5）水利管理需进一步加强</w:t>
      </w:r>
    </w:p>
    <w:p>
      <w:pPr>
        <w:ind w:firstLine="480"/>
        <w:contextualSpacing/>
        <w:rPr>
          <w:rFonts w:hint="eastAsia" w:hAnsi="宋体"/>
        </w:rPr>
      </w:pPr>
      <w:r>
        <w:rPr>
          <w:rFonts w:hint="eastAsia" w:hAnsi="宋体"/>
        </w:rPr>
        <w:t>水务体制机制仍不完善。水务一体化改革不彻底，尤其是城镇供排水存在省与市、县（区）部门不对口、职能交叉，“多龙管水”问题未根本解决。水资源管理职能城乡分割、部门分割的状况仍然存在，水利投入稳定增长机制尚未建立，水价形成机制有待完善，水利工程良性运行机制尚需探索。</w:t>
      </w:r>
    </w:p>
    <w:p>
      <w:pPr>
        <w:ind w:firstLine="480"/>
        <w:contextualSpacing/>
        <w:rPr>
          <w:rFonts w:hint="eastAsia" w:hAnsi="宋体"/>
        </w:rPr>
      </w:pPr>
      <w:r>
        <w:rPr>
          <w:rFonts w:hint="eastAsia" w:hAnsi="宋体"/>
        </w:rPr>
        <w:t>由于水资源管理权限的分割，严重制约了水资源的节约保护和开发利用，执法力度有待加强，水资源统一管理和水务一体化管理体制还有待进一步完善。</w:t>
      </w:r>
    </w:p>
    <w:p>
      <w:pPr>
        <w:ind w:firstLine="480"/>
        <w:contextualSpacing/>
      </w:pPr>
      <w:r>
        <w:rPr>
          <w:rFonts w:hint="eastAsia" w:hAnsi="宋体"/>
        </w:rPr>
        <w:t>人才引进上，水利管理科技人才比较缺乏，水利信息化建设进展缓慢，离水利信息现代化建设的要求还有非常大的差距。</w:t>
      </w:r>
    </w:p>
    <w:p>
      <w:pPr>
        <w:pStyle w:val="5"/>
        <w:ind w:firstLine="0" w:firstLineChars="0"/>
        <w:contextualSpacing/>
        <w:rPr>
          <w:rFonts w:ascii="Times New Roman" w:hAnsi="Times New Roman"/>
        </w:rPr>
      </w:pPr>
      <w:r>
        <w:rPr>
          <w:rFonts w:ascii="Times New Roman" w:hAnsi="Times New Roman"/>
        </w:rPr>
        <w:t>2.1.4</w:t>
      </w:r>
      <w:r>
        <w:rPr>
          <w:rFonts w:ascii="Times New Roman" w:hAnsi="宋体"/>
        </w:rPr>
        <w:t>与本项目相关水库概况</w:t>
      </w:r>
    </w:p>
    <w:p>
      <w:pPr>
        <w:ind w:firstLine="482"/>
        <w:contextualSpacing/>
        <w:rPr>
          <w:rFonts w:hint="eastAsia"/>
          <w:b/>
          <w:bCs/>
        </w:rPr>
      </w:pPr>
      <w:r>
        <w:rPr>
          <w:rFonts w:hint="eastAsia" w:hAnsi="宋体"/>
          <w:b/>
          <w:bCs/>
        </w:rPr>
        <w:t>化成水库</w:t>
      </w:r>
    </w:p>
    <w:p>
      <w:pPr>
        <w:ind w:firstLine="480"/>
        <w:contextualSpacing/>
        <w:rPr>
          <w:rFonts w:hAnsi="宋体"/>
        </w:rPr>
      </w:pPr>
      <w:r>
        <w:rPr>
          <w:rFonts w:hint="eastAsia" w:hAnsi="宋体"/>
        </w:rPr>
        <w:t>工程所在蔡家河是渠江左岸支流驷马河右岸化成河支流，发源于寺岭乡鸡公寨，河源高程1142m，自北向东南流，经安家坝、寒溪寺、蔡家河后折向东流，相继纳入两长河、吴家河后，折向东南流，最后汇入</w:t>
      </w:r>
      <w:r>
        <w:rPr>
          <w:rFonts w:hint="eastAsia"/>
        </w:rPr>
        <w:t>化成水库</w:t>
      </w:r>
      <w:r>
        <w:rPr>
          <w:rFonts w:hint="eastAsia" w:hAnsi="宋体"/>
        </w:rPr>
        <w:t>。</w:t>
      </w:r>
    </w:p>
    <w:p>
      <w:pPr>
        <w:ind w:firstLine="480"/>
        <w:contextualSpacing/>
        <w:rPr>
          <w:rFonts w:hint="eastAsia"/>
        </w:rPr>
      </w:pPr>
      <w:r>
        <w:rPr>
          <w:rFonts w:hint="eastAsia"/>
        </w:rPr>
        <w:t>化成水库于1958年动工修建，1960年</w:t>
      </w:r>
      <w:r>
        <w:rPr>
          <w:rFonts w:hint="eastAsia" w:hAnsi="宋体"/>
        </w:rPr>
        <w:t>建成</w:t>
      </w:r>
      <w:r>
        <w:rPr>
          <w:rFonts w:hint="eastAsia"/>
        </w:rPr>
        <w:t>，一直由巴州区人民政府设立管理单位进行管理，考虑作为巴中市中心城市饮用水水源保护的需要，2013年7月1日起，巴中市委、市政府决定成立巴中市化成水库建设管理局，为巴中市水务局原事业单位，2020年因事业单位改革，更名为巴中市化成水库运行保护中心。化成水库于2015年4月16日正式划定为集中式饮用水水源保护区。由于历史原因，化成水库建设未进行环境影响评价。</w:t>
      </w:r>
    </w:p>
    <w:p>
      <w:pPr>
        <w:ind w:firstLine="480"/>
        <w:contextualSpacing/>
      </w:pPr>
      <w:r>
        <w:rPr>
          <w:rFonts w:hint="eastAsia"/>
        </w:rPr>
        <w:t>化成水库地处渠江水系巴河一级</w:t>
      </w:r>
      <w:r>
        <w:rPr>
          <w:rFonts w:hint="eastAsia" w:hAnsi="宋体"/>
        </w:rPr>
        <w:t>支流</w:t>
      </w:r>
      <w:r>
        <w:rPr>
          <w:rFonts w:hint="eastAsia"/>
        </w:rPr>
        <w:t>清江上游河段，是一座以农业灌溉、城镇供水为主，兼顾防汛、生态增殖、水利旅游等综合利用的中型水利工程，总库容6583万m</w:t>
      </w:r>
      <w:r>
        <w:rPr>
          <w:rFonts w:hint="eastAsia"/>
          <w:vertAlign w:val="superscript"/>
        </w:rPr>
        <w:t>3</w:t>
      </w:r>
      <w:r>
        <w:rPr>
          <w:rFonts w:hint="eastAsia"/>
        </w:rPr>
        <w:t>。</w:t>
      </w:r>
    </w:p>
    <w:p>
      <w:pPr>
        <w:ind w:firstLine="480"/>
        <w:contextualSpacing/>
        <w:rPr>
          <w:rFonts w:hint="eastAsia"/>
        </w:rPr>
      </w:pPr>
      <w:r>
        <w:rPr>
          <w:rFonts w:hint="eastAsia"/>
        </w:rPr>
        <w:t>2017年7月1日，巴中市水务局出具了《关于印发化成水库大坝安全鉴定报告书的通知》（巴市水函〔2017〕126 号），明确化成水库为三类坝，属病险水库。</w:t>
      </w:r>
    </w:p>
    <w:p>
      <w:pPr>
        <w:ind w:firstLine="480"/>
        <w:contextualSpacing/>
        <w:rPr>
          <w:rFonts w:hint="eastAsia"/>
        </w:rPr>
      </w:pPr>
      <w:r>
        <w:rPr>
          <w:rFonts w:hint="eastAsia"/>
        </w:rPr>
        <w:t>为消除安全隐患，保障供水安全，实施化成水库除险加固工程是必要的。2021 年启动了巴中市化成水库除险加固工程。</w:t>
      </w:r>
    </w:p>
    <w:p>
      <w:pPr>
        <w:ind w:firstLine="480"/>
        <w:contextualSpacing/>
        <w:rPr>
          <w:rFonts w:hint="eastAsia"/>
        </w:rPr>
      </w:pPr>
      <w:r>
        <w:rPr>
          <w:rFonts w:hint="eastAsia"/>
        </w:rPr>
        <w:t>根据《四川省人民政府关于同意划定巴中市化成水库集中式饮用水水源保护区、调整渠县县城集中式饮用水水源保护区和撤销蒲江县蒲江河右干渠饮用水水源保护区的批复》（川府函〔2015〕78 号），化成水库于2015年正式划定为集中式饮用水水源保护区。</w:t>
      </w:r>
    </w:p>
    <w:p>
      <w:pPr>
        <w:pStyle w:val="4"/>
        <w:ind w:firstLine="0" w:firstLineChars="0"/>
        <w:contextualSpacing/>
      </w:pPr>
      <w:bookmarkStart w:id="308" w:name="_Toc130753412"/>
      <w:bookmarkStart w:id="309" w:name="_Toc28352"/>
      <w:r>
        <w:t>2.2</w:t>
      </w:r>
      <w:r>
        <w:rPr>
          <w:rFonts w:hAnsi="宋体"/>
        </w:rPr>
        <w:t>工程概况</w:t>
      </w:r>
      <w:bookmarkEnd w:id="308"/>
    </w:p>
    <w:p>
      <w:pPr>
        <w:pStyle w:val="5"/>
        <w:ind w:firstLine="0" w:firstLineChars="0"/>
        <w:contextualSpacing/>
        <w:rPr>
          <w:rFonts w:ascii="Times New Roman" w:hAnsi="Times New Roman"/>
        </w:rPr>
      </w:pPr>
      <w:r>
        <w:rPr>
          <w:rFonts w:ascii="Times New Roman" w:hAnsi="Times New Roman"/>
        </w:rPr>
        <w:t>2.2.1</w:t>
      </w:r>
      <w:r>
        <w:rPr>
          <w:rFonts w:ascii="Times New Roman" w:hAnsi="宋体"/>
        </w:rPr>
        <w:t>工程地理位置</w:t>
      </w:r>
      <w:bookmarkEnd w:id="309"/>
    </w:p>
    <w:p>
      <w:pPr>
        <w:ind w:firstLine="480"/>
        <w:contextualSpacing/>
      </w:pPr>
      <w:r>
        <w:rPr>
          <w:rStyle w:val="67"/>
          <w:rFonts w:hint="eastAsia" w:ascii="Times New Roman" w:hAnsi="宋体"/>
          <w:color w:val="auto"/>
          <w:sz w:val="24"/>
        </w:rPr>
        <w:t>寒溪寺水库地处巴中市巴州区古楼村四组，位于寒溪寺水库上游支流蔡家河上游段；其地理坐标为东经106°49′57″～106°50′18″、北纬 31°57′14″～31°58′07″之间。本工程大坝下游约150m处有一公路S208和外界相连接，距巴中市城区约28km，交通较为方便。</w:t>
      </w:r>
    </w:p>
    <w:p>
      <w:pPr>
        <w:pStyle w:val="5"/>
        <w:ind w:firstLine="0" w:firstLineChars="0"/>
        <w:contextualSpacing/>
        <w:rPr>
          <w:rFonts w:ascii="Times New Roman" w:hAnsi="Times New Roman"/>
        </w:rPr>
      </w:pPr>
      <w:bookmarkStart w:id="310" w:name="_Toc19745"/>
      <w:r>
        <w:rPr>
          <w:rFonts w:ascii="Times New Roman" w:hAnsi="Times New Roman"/>
        </w:rPr>
        <w:t>2.2.2</w:t>
      </w:r>
      <w:r>
        <w:rPr>
          <w:rFonts w:ascii="Times New Roman" w:hAnsi="宋体"/>
        </w:rPr>
        <w:t>工程建设的必要性</w:t>
      </w:r>
      <w:bookmarkEnd w:id="310"/>
    </w:p>
    <w:p>
      <w:pPr>
        <w:ind w:firstLine="480"/>
        <w:contextualSpacing/>
        <w:rPr>
          <w:rFonts w:hint="eastAsia" w:hAnsi="宋体"/>
        </w:rPr>
      </w:pPr>
      <w:r>
        <w:rPr>
          <w:rFonts w:hint="eastAsia" w:hAnsi="宋体"/>
        </w:rPr>
        <w:t>1）寒溪寺水库是破解区域灌溉供水难题无可替代的重要水源配置工程</w:t>
      </w:r>
    </w:p>
    <w:p>
      <w:pPr>
        <w:ind w:firstLine="480"/>
        <w:contextualSpacing/>
        <w:rPr>
          <w:rFonts w:hint="eastAsia" w:hAnsi="宋体"/>
        </w:rPr>
      </w:pPr>
      <w:r>
        <w:rPr>
          <w:rFonts w:hint="eastAsia" w:hAnsi="宋体"/>
        </w:rPr>
        <w:t>寒溪寺水库规划供水范围为寒溪寺水库与天星桥水库之间的分水岭地带，属两水库集水区的旱片死角，灌区耕地和人口大部分布在420.00～650.00m之间。自“十一五”以来，地方政府屡屡将扩建寒溪寺水库列入建设计划，以解决该区域灌溉供水问题。</w:t>
      </w:r>
    </w:p>
    <w:p>
      <w:pPr>
        <w:ind w:firstLine="480"/>
        <w:contextualSpacing/>
        <w:rPr>
          <w:rFonts w:hint="eastAsia" w:hAnsi="宋体"/>
        </w:rPr>
      </w:pPr>
      <w:r>
        <w:rPr>
          <w:rFonts w:hint="eastAsia" w:hAnsi="宋体"/>
        </w:rPr>
        <w:t>2021年6月，水库扩建可行性研究报告获批，为工程建设创造了条件。扩建寒溪寺水库，拦截寒溪寺水库集水区来水，高水高用、调丰剂枯，可在供水范围420.00～650.00m空间区域供给365.7万m3生产生活用水，新增灌溉面积1.47万亩，新增集中供水人口1.26万人，区域耕地灌溉率由27%提高到80%，人口集中供水率由43%提高到90%，可支撑区域2030年社会经济发展用水需求，是区域重要的水资源配置工程。</w:t>
      </w:r>
    </w:p>
    <w:p>
      <w:pPr>
        <w:ind w:firstLine="480"/>
        <w:contextualSpacing/>
        <w:rPr>
          <w:rFonts w:hint="eastAsia" w:hAnsi="宋体"/>
        </w:rPr>
      </w:pPr>
      <w:r>
        <w:rPr>
          <w:rFonts w:hint="eastAsia" w:hAnsi="宋体"/>
        </w:rPr>
        <w:t>2）扩建寒溪寺水库是加强农村基础设施建设、助力乡村振兴的重要举措</w:t>
      </w:r>
    </w:p>
    <w:p>
      <w:pPr>
        <w:ind w:firstLine="480"/>
        <w:contextualSpacing/>
        <w:rPr>
          <w:rFonts w:hint="eastAsia" w:hAnsi="宋体"/>
        </w:rPr>
      </w:pPr>
      <w:r>
        <w:rPr>
          <w:rFonts w:hint="eastAsia" w:hAnsi="宋体"/>
        </w:rPr>
        <w:t>工程建设可促进灌区的基础设施建设</w:t>
      </w:r>
    </w:p>
    <w:p>
      <w:pPr>
        <w:ind w:firstLine="480"/>
        <w:contextualSpacing/>
        <w:rPr>
          <w:rFonts w:hint="eastAsia" w:hAnsi="宋体"/>
        </w:rPr>
      </w:pPr>
      <w:r>
        <w:rPr>
          <w:rFonts w:hint="eastAsia" w:hAnsi="宋体"/>
        </w:rPr>
        <w:t>寒溪寺水库的建设，将促进区域交通、供水等基础设施的改善。按照“山、水、田、林、路”统一规划，水库及其灌区工程兴建期间，将新建和扩建部分公路，改善灌区主要渠系周边地区的交通条件；供水安全统筹考虑，可为灌区内的场镇、人畜提供生产生活用水，可促进供水基础设施的改善。</w:t>
      </w:r>
    </w:p>
    <w:p>
      <w:pPr>
        <w:ind w:firstLine="480"/>
        <w:contextualSpacing/>
        <w:rPr>
          <w:rFonts w:hint="eastAsia" w:hAnsi="宋体"/>
        </w:rPr>
      </w:pPr>
      <w:r>
        <w:rPr>
          <w:rFonts w:hint="eastAsia" w:hAnsi="宋体"/>
        </w:rPr>
        <w:t>工程建设是贯彻乡村水务、推进城乡融合发展的需要</w:t>
      </w:r>
    </w:p>
    <w:p>
      <w:pPr>
        <w:ind w:firstLine="480"/>
        <w:contextualSpacing/>
        <w:rPr>
          <w:rFonts w:hint="eastAsia" w:hAnsi="宋体"/>
        </w:rPr>
      </w:pPr>
      <w:r>
        <w:rPr>
          <w:rFonts w:hint="eastAsia" w:hAnsi="宋体"/>
        </w:rPr>
        <w:t>根据“水利工程补短板、水利行业强监管”的工作总基调，按照《巴州区“十四五”农村供水保障规划》“建大、并中、减小”的农村供水思路，规划以寒溪寺水库为水源，规模化、标准化改扩建代洛供水工程，并延伸供水管网，集中供水人口由0.63万增加到2.33万人，区域农村自来水普及率达到90%。扩建寒溪寺水库，每年可为代洛供水工程提供原水84.1万m3，为代洛供水工程的“规模化、标准化”改扩建和城乡供水一体化创造了条件，以贯彻落实乡村水务、缩小城乡供水差距，达到促进城乡融合发展、助力乡村振兴的目的。</w:t>
      </w:r>
    </w:p>
    <w:p>
      <w:pPr>
        <w:ind w:firstLine="480"/>
        <w:contextualSpacing/>
        <w:rPr>
          <w:rFonts w:hint="eastAsia" w:hAnsi="宋体"/>
        </w:rPr>
      </w:pPr>
      <w:r>
        <w:rPr>
          <w:rFonts w:hint="eastAsia" w:hAnsi="宋体"/>
        </w:rPr>
        <w:t>农村人口是乡村振兴的主体和关键，农村交通、供水等基础设施的进一步完善和公共服务水平的进一步提高，城乡差距进一步缩小，将吸引乡村人口返乡回流，让愿意留在乡村、建设乡村的人留得安心，让愿意返乡下乡创业就业、回报乡村的人更有信心，推动乡村振兴美好目标的实现。</w:t>
      </w:r>
    </w:p>
    <w:p>
      <w:pPr>
        <w:ind w:firstLine="480"/>
        <w:contextualSpacing/>
        <w:rPr>
          <w:rFonts w:hint="eastAsia" w:hAnsi="宋体"/>
        </w:rPr>
      </w:pPr>
      <w:r>
        <w:rPr>
          <w:rFonts w:hint="eastAsia" w:hAnsi="宋体"/>
        </w:rPr>
        <w:t>3）扩建寒溪寺水库是区域粮食稳产保供、农业产业升级的需要</w:t>
      </w:r>
    </w:p>
    <w:p>
      <w:pPr>
        <w:ind w:firstLine="480"/>
        <w:contextualSpacing/>
        <w:rPr>
          <w:rFonts w:hint="eastAsia" w:hAnsi="宋体"/>
        </w:rPr>
      </w:pPr>
      <w:r>
        <w:rPr>
          <w:rFonts w:hint="eastAsia" w:hAnsi="宋体"/>
        </w:rPr>
        <w:t>寒溪寺水库灌区位于寒溪寺水库与天星桥水库两水库集水区的旱片死角，是巴州区重要的粮食基地，人口集中、农耕发达。寒溪寺水库的扩建，可解决区域的灌溉问题，新增灌溉面积1.47万亩，改善区域农业供水保障程度，提高区域抗御旱灾的能力，在提高当地粮食产量、保障粮食安全的基础上，依托区域特色，确保优质粮油稳产保供，加大茶叶、道地药材、特色果蔬等种植面积，融合发展茶叶、中药材和休闲观光体验、生态康养等产业，搞活乡村经济，促进农业产业升级。</w:t>
      </w:r>
    </w:p>
    <w:p>
      <w:pPr>
        <w:ind w:firstLine="480"/>
        <w:contextualSpacing/>
        <w:rPr>
          <w:bCs/>
        </w:rPr>
      </w:pPr>
      <w:r>
        <w:rPr>
          <w:rFonts w:hint="eastAsia" w:hAnsi="宋体"/>
        </w:rPr>
        <w:t>综上，扩建寒溪寺水库是优化区域水资源配置，解决区域灌溉供水问题，加强农村基础设施建设，助力乡村振兴，保障区域粮食安全、促进产业升级的综合利用民生工程，工程兴建可促进当地经济社会的可持续发展，是非常必要和迫切的。</w:t>
      </w:r>
    </w:p>
    <w:p>
      <w:pPr>
        <w:pStyle w:val="5"/>
        <w:ind w:firstLine="0" w:firstLineChars="0"/>
        <w:contextualSpacing/>
        <w:rPr>
          <w:rFonts w:ascii="Times New Roman" w:hAnsi="Times New Roman"/>
        </w:rPr>
      </w:pPr>
      <w:bookmarkStart w:id="311" w:name="_Toc2704"/>
      <w:r>
        <w:rPr>
          <w:rFonts w:ascii="Times New Roman" w:hAnsi="Times New Roman"/>
        </w:rPr>
        <w:t>2.2.3</w:t>
      </w:r>
      <w:r>
        <w:rPr>
          <w:rFonts w:ascii="Times New Roman" w:hAnsi="宋体"/>
        </w:rPr>
        <w:t>工程</w:t>
      </w:r>
      <w:bookmarkEnd w:id="311"/>
      <w:r>
        <w:rPr>
          <w:rFonts w:ascii="Times New Roman" w:hAnsi="宋体"/>
        </w:rPr>
        <w:t>任务及规模</w:t>
      </w:r>
    </w:p>
    <w:p>
      <w:pPr>
        <w:ind w:firstLine="0" w:firstLineChars="0"/>
        <w:contextualSpacing/>
        <w:outlineLvl w:val="3"/>
        <w:rPr>
          <w:bCs/>
        </w:rPr>
      </w:pPr>
      <w:r>
        <w:rPr>
          <w:b/>
          <w:bCs/>
        </w:rPr>
        <w:t>2.2.3.1</w:t>
      </w:r>
      <w:r>
        <w:rPr>
          <w:rFonts w:hAnsi="宋体"/>
          <w:b/>
          <w:bCs/>
        </w:rPr>
        <w:t>工程开发任务</w:t>
      </w:r>
    </w:p>
    <w:p>
      <w:pPr>
        <w:ind w:firstLine="480"/>
        <w:contextualSpacing/>
        <w:rPr>
          <w:rFonts w:hint="eastAsia" w:hAnsi="宋体"/>
        </w:rPr>
      </w:pPr>
      <w:r>
        <w:rPr>
          <w:rFonts w:hint="eastAsia" w:hAnsi="宋体"/>
        </w:rPr>
        <w:t>可研阶段根据水库所处地理位置和工程建设条件，提出寒溪寺水库工程开发任务为：农业灌溉、乡镇和农村人畜供水等综合利用。</w:t>
      </w:r>
    </w:p>
    <w:p>
      <w:pPr>
        <w:ind w:firstLine="480"/>
        <w:contextualSpacing/>
        <w:rPr>
          <w:rFonts w:hint="eastAsia" w:hAnsi="宋体"/>
        </w:rPr>
      </w:pPr>
      <w:r>
        <w:rPr>
          <w:rFonts w:hint="eastAsia" w:hAnsi="宋体"/>
        </w:rPr>
        <w:t>可研审查意见“基本同意工程开发任务是农业灌溉、乡村供水等综合利用。”</w:t>
      </w:r>
    </w:p>
    <w:p>
      <w:pPr>
        <w:ind w:firstLine="480"/>
        <w:contextualSpacing/>
      </w:pPr>
      <w:r>
        <w:rPr>
          <w:rFonts w:hint="eastAsia" w:hAnsi="宋体"/>
        </w:rPr>
        <w:t>经初设复核，寒溪寺水库建设的自身条件和外部条件均未发生较大变化，工程的开发任务仍为农业灌溉、乡村供水等综合利用。设计灌溉面积2.25万亩，其中：新增1.47万亩，改善0.78万亩；供水人口2.33万人（其中场镇人口0.70万人）。</w:t>
      </w:r>
    </w:p>
    <w:p>
      <w:pPr>
        <w:ind w:firstLine="0" w:firstLineChars="0"/>
        <w:contextualSpacing/>
        <w:outlineLvl w:val="3"/>
        <w:rPr>
          <w:b/>
          <w:bCs/>
        </w:rPr>
      </w:pPr>
      <w:r>
        <w:rPr>
          <w:b/>
          <w:bCs/>
        </w:rPr>
        <w:t>2.2.3.2</w:t>
      </w:r>
      <w:r>
        <w:rPr>
          <w:rFonts w:hAnsi="宋体"/>
          <w:b/>
          <w:bCs/>
        </w:rPr>
        <w:t>工程规模</w:t>
      </w:r>
    </w:p>
    <w:p>
      <w:pPr>
        <w:ind w:firstLine="480"/>
        <w:contextualSpacing/>
        <w:rPr>
          <w:rFonts w:hint="eastAsia" w:hAnsi="宋体"/>
        </w:rPr>
      </w:pPr>
      <w:r>
        <w:rPr>
          <w:rFonts w:hint="eastAsia" w:hAnsi="宋体"/>
        </w:rPr>
        <w:t>水库由枢纽工程、补水工程和灌区工程三部分组成。其中枢纽工程包括拦河大坝、溢洪道、左岸取水放空隧洞等建筑物，补水工程由底格拦栅坝取水枢纽和补水暗渠组成；渠道工程包括1条干渠，4条支渠，由管道、隧洞、渡槽等组成。</w:t>
      </w:r>
    </w:p>
    <w:p>
      <w:pPr>
        <w:ind w:firstLine="480"/>
        <w:contextualSpacing/>
        <w:rPr>
          <w:rFonts w:hint="eastAsia" w:hAnsi="宋体"/>
        </w:rPr>
      </w:pPr>
      <w:r>
        <w:rPr>
          <w:rFonts w:hint="eastAsia" w:hAnsi="宋体"/>
        </w:rPr>
        <w:t>枢纽工程大坝采用沥青混凝土心墙石渣坝，坝轴线全长250.00m，坝顶高程697.00m，最大坝高52.00m，坝顶宽6.00m。上游坝坡从上至下坡比为1：2.25、1：2.50，下游坝坡从上至下坡比为1：2.00、1：2.25、1：1.50。沥青混凝土心墙厚0.60m，心墙上、下游各设2.50m厚的过渡层，大坝上、下游坝壳采用砂泥岩石渣填筑。溢洪道布置于大坝左岸，长298.00m，由侧槽段、调整段、泄槽段、消力池段及尾水渠组成。左岸取水放空隧洞由原已成放空隧洞改建，进口底板高程667.00m，同时施工期做导流洞使用。采用岸塔式取水，由进水口段、闸室段、消能段、无压隧洞段、出口明渠段、台阶式泄槽段组成，全长342.86m。</w:t>
      </w:r>
    </w:p>
    <w:p>
      <w:pPr>
        <w:ind w:firstLine="480"/>
        <w:contextualSpacing/>
        <w:rPr>
          <w:rFonts w:hint="eastAsia" w:hAnsi="宋体"/>
        </w:rPr>
      </w:pPr>
      <w:r>
        <w:rPr>
          <w:rFonts w:hint="eastAsia" w:hAnsi="宋体"/>
        </w:rPr>
        <w:t>补水工程由2座补水枢纽和2条补水渠道组成。2座补水枢纽分别为谭家河补水枢纽和刘家河补水枢纽，2条补水渠道分别为谭家河补水渠道和刘家河补水渠道。谭家河补水枢纽（原1#底格拦栅坝）位于左支沟谭家河上李家碥处，补水坝采用底格拦栅坝，坝轴线处净宽18m，最大坝高6.50m。底格拦栅坝右岸进水闸后接补水渠道，全长1236.85m，末端接入刘家河补水渠道。刘家河补水枢纽（原2#底格拦栅坝）位于右支沟刘家河上中华咀处，补水坝底格拦栅坝坝轴线处净宽22m，最大坝高6.60m。底格拦栅坝右岸进水闸后接补水渠道，全长2360.24m（明、暗渠425.47m，隧洞1934.77m），末端接入寒溪寺水库库尾河道，出口底板高程696.22m。</w:t>
      </w:r>
    </w:p>
    <w:p>
      <w:pPr>
        <w:ind w:firstLine="480"/>
        <w:contextualSpacing/>
      </w:pPr>
      <w:r>
        <w:rPr>
          <w:rFonts w:hint="eastAsia" w:hAnsi="宋体"/>
        </w:rPr>
        <w:t>水库灌区范围为：北起尖佛山，西至龙潭子河东岸及天星桥水库，南止于原石门乡与兴文镇边界，东以寒溪寺水库及其右干渠灌区为界。灌区范围涉及玉堂街道、化成镇和天马山镇3个乡镇17个村共2.25万亩耕园地，其中：新增1.47万亩，改善0.78万亩；供水人口2.33万人（其中场镇人口0.70万人）。灌区共布置干渠1条，支渠4条（不计入本次投资），渠道走向大致由北向南，由左岸取水隧洞出口后沿蔡家河左岸行至陈家山，建渡槽跨至右岸，之后干渠南行过岳家坡、尖佛山、何家塝、冯家梁，到达原凌云乡代洛山，建隧洞穿山进入石门乡，之后继续南行止于登高寨。灌区干渠总长7.887km。</w:t>
      </w:r>
    </w:p>
    <w:p>
      <w:pPr>
        <w:pStyle w:val="5"/>
        <w:ind w:firstLine="0" w:firstLineChars="0"/>
        <w:contextualSpacing/>
        <w:rPr>
          <w:rFonts w:ascii="Times New Roman" w:hAnsi="Times New Roman"/>
        </w:rPr>
      </w:pPr>
      <w:r>
        <w:rPr>
          <w:rFonts w:ascii="Times New Roman" w:hAnsi="Times New Roman"/>
        </w:rPr>
        <w:t>2.2.4</w:t>
      </w:r>
      <w:r>
        <w:rPr>
          <w:rFonts w:ascii="Times New Roman" w:hAnsi="宋体"/>
        </w:rPr>
        <w:t>工程项目组成</w:t>
      </w:r>
    </w:p>
    <w:p>
      <w:pPr>
        <w:ind w:firstLine="480"/>
        <w:contextualSpacing/>
      </w:pPr>
      <w:r>
        <w:rPr>
          <w:rFonts w:hAnsi="宋体"/>
        </w:rPr>
        <w:t>具体项目组成详见下表。</w:t>
      </w:r>
    </w:p>
    <w:p>
      <w:pPr>
        <w:ind w:firstLine="0" w:firstLineChars="0"/>
        <w:contextualSpacing/>
        <w:jc w:val="center"/>
        <w:rPr>
          <w:b/>
          <w:bCs/>
          <w:sz w:val="21"/>
          <w:szCs w:val="21"/>
        </w:rPr>
      </w:pPr>
      <w:r>
        <w:rPr>
          <w:rFonts w:hAnsi="宋体"/>
          <w:b/>
          <w:bCs/>
          <w:sz w:val="21"/>
          <w:szCs w:val="21"/>
        </w:rPr>
        <w:t>表</w:t>
      </w:r>
      <w:r>
        <w:rPr>
          <w:b/>
          <w:bCs/>
          <w:sz w:val="21"/>
          <w:szCs w:val="21"/>
        </w:rPr>
        <w:t xml:space="preserve">2.2.4  </w:t>
      </w:r>
      <w:r>
        <w:rPr>
          <w:rFonts w:hAnsi="宋体"/>
          <w:b/>
          <w:bCs/>
          <w:sz w:val="21"/>
          <w:szCs w:val="21"/>
        </w:rPr>
        <w:t>工程项目组成一览表</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324"/>
        <w:gridCol w:w="626"/>
        <w:gridCol w:w="1017"/>
        <w:gridCol w:w="6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192" w:type="pct"/>
            <w:gridSpan w:val="3"/>
            <w:tcBorders>
              <w:top w:val="single" w:color="000000" w:sz="4" w:space="0"/>
              <w:left w:val="single" w:color="000000" w:sz="4" w:space="0"/>
              <w:bottom w:val="single" w:color="000000" w:sz="4" w:space="0"/>
              <w:right w:val="single" w:color="000000" w:sz="4" w:space="0"/>
            </w:tcBorders>
            <w:vAlign w:val="center"/>
          </w:tcPr>
          <w:p>
            <w:pPr>
              <w:pStyle w:val="19"/>
              <w:contextualSpacing/>
              <w:rPr>
                <w:rFonts w:hAnsi="宋体"/>
                <w:szCs w:val="21"/>
              </w:rPr>
            </w:pPr>
            <w:r>
              <w:rPr>
                <w:rFonts w:hAnsi="宋体"/>
                <w:szCs w:val="21"/>
              </w:rPr>
              <w:t>工程项目</w:t>
            </w:r>
          </w:p>
        </w:tc>
        <w:tc>
          <w:tcPr>
            <w:tcW w:w="3808" w:type="pct"/>
            <w:tcBorders>
              <w:top w:val="single" w:color="000000" w:sz="4" w:space="0"/>
              <w:left w:val="single" w:color="000000" w:sz="4" w:space="0"/>
              <w:bottom w:val="single" w:color="000000" w:sz="4" w:space="0"/>
              <w:right w:val="single" w:color="000000" w:sz="4" w:space="0"/>
            </w:tcBorders>
            <w:vAlign w:val="center"/>
          </w:tcPr>
          <w:p>
            <w:pPr>
              <w:pStyle w:val="19"/>
              <w:contextualSpacing/>
              <w:rPr>
                <w:rFonts w:hAnsi="宋体"/>
                <w:szCs w:val="21"/>
              </w:rPr>
            </w:pPr>
            <w:r>
              <w:rPr>
                <w:rFonts w:hAnsi="宋体"/>
                <w:szCs w:val="21"/>
              </w:rPr>
              <w:t>工程组成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3" w:hRule="atLeast"/>
          <w:jc w:val="center"/>
        </w:trPr>
        <w:tc>
          <w:tcPr>
            <w:tcW w:w="196" w:type="pct"/>
            <w:vMerge w:val="restart"/>
            <w:vAlign w:val="center"/>
          </w:tcPr>
          <w:p>
            <w:pPr>
              <w:pStyle w:val="19"/>
              <w:contextualSpacing/>
              <w:rPr>
                <w:szCs w:val="21"/>
              </w:rPr>
            </w:pPr>
            <w:r>
              <w:rPr>
                <w:rFonts w:hAnsi="宋体"/>
                <w:szCs w:val="21"/>
              </w:rPr>
              <w:t>主体工程</w:t>
            </w:r>
          </w:p>
        </w:tc>
        <w:tc>
          <w:tcPr>
            <w:tcW w:w="379" w:type="pct"/>
            <w:vMerge w:val="restart"/>
            <w:vAlign w:val="center"/>
          </w:tcPr>
          <w:p>
            <w:pPr>
              <w:pStyle w:val="19"/>
              <w:contextualSpacing/>
              <w:rPr>
                <w:szCs w:val="21"/>
              </w:rPr>
            </w:pPr>
            <w:r>
              <w:rPr>
                <w:rFonts w:hAnsi="宋体"/>
                <w:szCs w:val="21"/>
              </w:rPr>
              <w:t>枢纽工程</w:t>
            </w:r>
          </w:p>
        </w:tc>
        <w:tc>
          <w:tcPr>
            <w:tcW w:w="616" w:type="pct"/>
            <w:vAlign w:val="center"/>
          </w:tcPr>
          <w:p>
            <w:pPr>
              <w:pStyle w:val="19"/>
              <w:contextualSpacing/>
              <w:rPr>
                <w:szCs w:val="21"/>
              </w:rPr>
            </w:pPr>
            <w:r>
              <w:rPr>
                <w:rFonts w:hint="eastAsia" w:hAnsi="宋体"/>
                <w:szCs w:val="21"/>
              </w:rPr>
              <w:t>主</w:t>
            </w:r>
            <w:r>
              <w:rPr>
                <w:rFonts w:hAnsi="宋体"/>
                <w:szCs w:val="21"/>
              </w:rPr>
              <w:t>坝</w:t>
            </w:r>
          </w:p>
        </w:tc>
        <w:tc>
          <w:tcPr>
            <w:tcW w:w="3808" w:type="pct"/>
            <w:vAlign w:val="center"/>
          </w:tcPr>
          <w:p>
            <w:pPr>
              <w:pStyle w:val="19"/>
              <w:contextualSpacing/>
              <w:jc w:val="left"/>
              <w:rPr>
                <w:szCs w:val="21"/>
              </w:rPr>
            </w:pPr>
            <w:r>
              <w:rPr>
                <w:rFonts w:hint="eastAsia" w:hAnsi="宋体"/>
                <w:szCs w:val="21"/>
              </w:rPr>
              <w:t>沥青混凝土心墙石渣坝，坝轴线全长250.00m，坝顶高程697.00m，最大坝高52.00m，坝顶宽6.00m</w:t>
            </w:r>
            <w:r>
              <w:rPr>
                <w:rFonts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溢洪道</w:t>
            </w:r>
          </w:p>
        </w:tc>
        <w:tc>
          <w:tcPr>
            <w:tcW w:w="3808" w:type="pct"/>
            <w:vAlign w:val="center"/>
          </w:tcPr>
          <w:p>
            <w:pPr>
              <w:pStyle w:val="19"/>
              <w:contextualSpacing/>
              <w:jc w:val="left"/>
              <w:rPr>
                <w:szCs w:val="21"/>
              </w:rPr>
            </w:pPr>
            <w:r>
              <w:rPr>
                <w:rFonts w:hint="eastAsia" w:hAnsi="宋体"/>
                <w:szCs w:val="21"/>
              </w:rPr>
              <w:t>溢洪道布置于大坝左岸，长298.00m，由侧槽段、调整段、泄槽段、消力池段及尾水渠组成。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Merge w:val="restart"/>
            <w:vAlign w:val="center"/>
          </w:tcPr>
          <w:p>
            <w:pPr>
              <w:pStyle w:val="19"/>
              <w:contextualSpacing/>
            </w:pPr>
            <w:r>
              <w:t>取水（放空、导流）隧洞</w:t>
            </w:r>
          </w:p>
        </w:tc>
        <w:tc>
          <w:tcPr>
            <w:tcW w:w="3808" w:type="pct"/>
            <w:vAlign w:val="center"/>
          </w:tcPr>
          <w:p>
            <w:pPr>
              <w:pStyle w:val="19"/>
              <w:contextualSpacing/>
              <w:jc w:val="left"/>
              <w:rPr>
                <w:szCs w:val="21"/>
              </w:rPr>
            </w:pPr>
            <w:r>
              <w:rPr>
                <w:rFonts w:hint="eastAsia"/>
              </w:rPr>
              <w:t>左岸取水放空隧洞采用岸塔式取水，由进水口段、闸室段、消能段、无压隧洞段、出口明渠段、台阶式泄槽段组成，全长342.86m。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Merge w:val="continue"/>
            <w:vAlign w:val="center"/>
          </w:tcPr>
          <w:p>
            <w:pPr>
              <w:pStyle w:val="19"/>
              <w:contextualSpacing/>
            </w:pPr>
          </w:p>
        </w:tc>
        <w:tc>
          <w:tcPr>
            <w:tcW w:w="3808" w:type="pct"/>
            <w:vAlign w:val="center"/>
          </w:tcPr>
          <w:p>
            <w:pPr>
              <w:pStyle w:val="19"/>
              <w:contextualSpacing/>
              <w:jc w:val="left"/>
            </w:pPr>
            <w:r>
              <w:rPr>
                <w:rFonts w:hint="eastAsia" w:hAnsi="宋体"/>
                <w:szCs w:val="21"/>
              </w:rPr>
              <w:t>生态放水管进口采用分层取水。设置3个进水口，安装高程分别为：687.00m、677.00m和667.10m，采用DN100PE管。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rFonts w:hAnsi="宋体"/>
                <w:szCs w:val="21"/>
              </w:rPr>
            </w:pPr>
            <w:r>
              <w:rPr>
                <w:rFonts w:hint="eastAsia" w:hAnsi="宋体"/>
                <w:szCs w:val="21"/>
              </w:rPr>
              <w:t>交通工程</w:t>
            </w:r>
          </w:p>
        </w:tc>
        <w:tc>
          <w:tcPr>
            <w:tcW w:w="3808" w:type="pct"/>
            <w:vAlign w:val="center"/>
          </w:tcPr>
          <w:p>
            <w:pPr>
              <w:pStyle w:val="19"/>
              <w:contextualSpacing/>
              <w:jc w:val="left"/>
              <w:rPr>
                <w:rFonts w:hAnsi="宋体"/>
                <w:szCs w:val="21"/>
              </w:rPr>
            </w:pPr>
            <w:r>
              <w:t>枢纽区场内交通</w:t>
            </w:r>
            <w:r>
              <w:rPr>
                <w:rFonts w:hint="eastAsia"/>
              </w:rPr>
              <w:t>道路，总长815m，包括上坝公路474m，主、副坝连接道路341m。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int="eastAsia" w:hAnsi="宋体"/>
                <w:szCs w:val="21"/>
              </w:rPr>
              <w:t>管理房</w:t>
            </w:r>
          </w:p>
        </w:tc>
        <w:tc>
          <w:tcPr>
            <w:tcW w:w="3808" w:type="pct"/>
            <w:vAlign w:val="center"/>
          </w:tcPr>
          <w:p>
            <w:pPr>
              <w:pStyle w:val="19"/>
              <w:contextualSpacing/>
              <w:jc w:val="left"/>
              <w:rPr>
                <w:szCs w:val="21"/>
              </w:rPr>
            </w:pPr>
            <w:r>
              <w:rPr>
                <w:rFonts w:hAnsi="宋体"/>
                <w:szCs w:val="21"/>
              </w:rPr>
              <w:t>运行期管理用房，占地面积</w:t>
            </w:r>
            <w:r>
              <w:rPr>
                <w:szCs w:val="21"/>
              </w:rPr>
              <w:t>680m</w:t>
            </w:r>
            <w:r>
              <w:rPr>
                <w:szCs w:val="21"/>
                <w:vertAlign w:val="superscript"/>
              </w:rPr>
              <w:t>2</w:t>
            </w:r>
            <w:r>
              <w:rPr>
                <w:rFonts w:hint="eastAsia"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restart"/>
            <w:vAlign w:val="center"/>
          </w:tcPr>
          <w:p>
            <w:pPr>
              <w:pStyle w:val="19"/>
              <w:contextualSpacing/>
              <w:rPr>
                <w:szCs w:val="21"/>
              </w:rPr>
            </w:pPr>
            <w:r>
              <w:rPr>
                <w:rFonts w:hint="eastAsia"/>
                <w:szCs w:val="21"/>
              </w:rPr>
              <w:t>补水工程</w:t>
            </w:r>
          </w:p>
        </w:tc>
        <w:tc>
          <w:tcPr>
            <w:tcW w:w="616" w:type="pct"/>
            <w:vAlign w:val="center"/>
          </w:tcPr>
          <w:p>
            <w:pPr>
              <w:pStyle w:val="19"/>
              <w:contextualSpacing/>
              <w:rPr>
                <w:rFonts w:hAnsi="宋体"/>
                <w:szCs w:val="21"/>
              </w:rPr>
            </w:pPr>
            <w:r>
              <w:rPr>
                <w:rFonts w:hint="eastAsia" w:hAnsi="宋体"/>
                <w:szCs w:val="21"/>
              </w:rPr>
              <w:t>谭家河补水枢纽</w:t>
            </w:r>
          </w:p>
        </w:tc>
        <w:tc>
          <w:tcPr>
            <w:tcW w:w="3808" w:type="pct"/>
            <w:vAlign w:val="center"/>
          </w:tcPr>
          <w:p>
            <w:pPr>
              <w:pStyle w:val="19"/>
              <w:contextualSpacing/>
              <w:jc w:val="left"/>
              <w:rPr>
                <w:rFonts w:hAnsi="宋体"/>
                <w:szCs w:val="21"/>
              </w:rPr>
            </w:pPr>
            <w:r>
              <w:rPr>
                <w:rFonts w:hint="eastAsia" w:hAnsi="宋体"/>
                <w:szCs w:val="21"/>
              </w:rPr>
              <w:t>谭家河补水枢纽（原1#底格拦栅坝）位于左支沟谭家河上李家碥处，补水坝采用底格拦栅坝，底格拦栅坝右岸进水闸后接谭家河补水渠道，末端接入刘家河补水渠道。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rFonts w:hint="eastAsia"/>
                <w:szCs w:val="21"/>
              </w:rPr>
            </w:pPr>
          </w:p>
        </w:tc>
        <w:tc>
          <w:tcPr>
            <w:tcW w:w="616" w:type="pct"/>
            <w:vAlign w:val="center"/>
          </w:tcPr>
          <w:p>
            <w:pPr>
              <w:pStyle w:val="19"/>
              <w:contextualSpacing/>
              <w:rPr>
                <w:rFonts w:hint="eastAsia" w:hAnsi="宋体"/>
                <w:szCs w:val="21"/>
              </w:rPr>
            </w:pPr>
            <w:r>
              <w:rPr>
                <w:rFonts w:hint="eastAsia" w:hAnsi="宋体"/>
                <w:szCs w:val="21"/>
              </w:rPr>
              <w:t>谭家河补水渠道</w:t>
            </w:r>
          </w:p>
        </w:tc>
        <w:tc>
          <w:tcPr>
            <w:tcW w:w="3808" w:type="pct"/>
            <w:vAlign w:val="center"/>
          </w:tcPr>
          <w:p>
            <w:pPr>
              <w:pStyle w:val="19"/>
              <w:contextualSpacing/>
              <w:jc w:val="left"/>
              <w:rPr>
                <w:rFonts w:hint="eastAsia" w:hAnsi="宋体"/>
                <w:szCs w:val="21"/>
              </w:rPr>
            </w:pPr>
            <w:r>
              <w:rPr>
                <w:rFonts w:hint="eastAsia" w:hAnsi="宋体"/>
                <w:szCs w:val="21"/>
              </w:rPr>
              <w:t>谭家河补水渠道于谭家河底格拦栅坝取水闸出口取水，设计流量2.10m</w:t>
            </w:r>
            <w:r>
              <w:rPr>
                <w:rFonts w:hint="eastAsia" w:hAnsi="宋体"/>
                <w:szCs w:val="21"/>
                <w:vertAlign w:val="superscript"/>
              </w:rPr>
              <w:t>3</w:t>
            </w:r>
            <w:r>
              <w:rPr>
                <w:rFonts w:hint="eastAsia" w:hAnsi="宋体"/>
                <w:szCs w:val="21"/>
              </w:rPr>
              <w:t>/s，进口底板高程700.50m，自东向西过明渠（长163.11m）谭家河补水隧洞（长1016.81m）建箩筐岩渡槽（长49.30m）跨右支沟、以明渠（长7.63m）与刘家河补水渠相接，谭家河补水渠道全长1236.85m。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rFonts w:hint="eastAsia"/>
                <w:szCs w:val="21"/>
              </w:rPr>
            </w:pPr>
          </w:p>
        </w:tc>
        <w:tc>
          <w:tcPr>
            <w:tcW w:w="616" w:type="pct"/>
            <w:vAlign w:val="center"/>
          </w:tcPr>
          <w:p>
            <w:pPr>
              <w:pStyle w:val="19"/>
              <w:contextualSpacing/>
              <w:rPr>
                <w:rFonts w:hint="eastAsia" w:hAnsi="宋体"/>
                <w:szCs w:val="21"/>
              </w:rPr>
            </w:pPr>
            <w:r>
              <w:rPr>
                <w:rFonts w:hint="eastAsia" w:hAnsi="宋体"/>
                <w:szCs w:val="21"/>
              </w:rPr>
              <w:t>刘家河补水枢纽</w:t>
            </w:r>
          </w:p>
        </w:tc>
        <w:tc>
          <w:tcPr>
            <w:tcW w:w="3808" w:type="pct"/>
            <w:vAlign w:val="center"/>
          </w:tcPr>
          <w:p>
            <w:pPr>
              <w:pStyle w:val="19"/>
              <w:contextualSpacing/>
              <w:jc w:val="left"/>
              <w:rPr>
                <w:rFonts w:hint="eastAsia" w:hAnsi="宋体"/>
                <w:szCs w:val="21"/>
              </w:rPr>
            </w:pPr>
            <w:r>
              <w:rPr>
                <w:rFonts w:hint="eastAsia" w:hAnsi="宋体"/>
                <w:szCs w:val="21"/>
              </w:rPr>
              <w:t>刘家河补水枢纽（原2#底格拦栅坝）位于右支沟刘家河上中华咀处，补水坝采用底格拦栅坝，底格拦栅坝右岸进水闸后接补水渠道，末端接入寒溪寺水库库尾河道，出口底板高程695.30m。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rFonts w:hint="eastAsia"/>
                <w:szCs w:val="21"/>
              </w:rPr>
            </w:pPr>
          </w:p>
        </w:tc>
        <w:tc>
          <w:tcPr>
            <w:tcW w:w="616" w:type="pct"/>
            <w:vAlign w:val="center"/>
          </w:tcPr>
          <w:p>
            <w:pPr>
              <w:pStyle w:val="19"/>
              <w:contextualSpacing/>
              <w:rPr>
                <w:rFonts w:hAnsi="宋体"/>
                <w:szCs w:val="21"/>
              </w:rPr>
            </w:pPr>
            <w:r>
              <w:rPr>
                <w:rFonts w:hint="eastAsia" w:hAnsi="宋体"/>
                <w:szCs w:val="21"/>
              </w:rPr>
              <w:t>刘家河补水渠道</w:t>
            </w:r>
          </w:p>
        </w:tc>
        <w:tc>
          <w:tcPr>
            <w:tcW w:w="3808" w:type="pct"/>
            <w:vAlign w:val="center"/>
          </w:tcPr>
          <w:p>
            <w:pPr>
              <w:pStyle w:val="19"/>
              <w:contextualSpacing/>
              <w:jc w:val="left"/>
              <w:rPr>
                <w:rFonts w:hAnsi="宋体"/>
                <w:szCs w:val="21"/>
              </w:rPr>
            </w:pPr>
            <w:r>
              <w:rPr>
                <w:rFonts w:hint="eastAsia" w:hAnsi="宋体"/>
                <w:szCs w:val="21"/>
              </w:rPr>
              <w:t>刘家河补水渠道自刘家河底格拦栅坝取水闸出口取水，设计流量1.10m</w:t>
            </w:r>
            <w:r>
              <w:rPr>
                <w:rFonts w:hint="eastAsia" w:hAnsi="宋体"/>
                <w:szCs w:val="21"/>
                <w:vertAlign w:val="superscript"/>
              </w:rPr>
              <w:t>3</w:t>
            </w:r>
            <w:r>
              <w:rPr>
                <w:rFonts w:hint="eastAsia" w:hAnsi="宋体"/>
                <w:szCs w:val="21"/>
              </w:rPr>
              <w:t>/s，进口底板高程699.10m，过57.83m长明渠与谭家河补水渠道汇合，汇合后设计流量3.20m3/s，再经347.63m明渠、20.01m暗渠，过刘家河补水隧洞（长1914.77m），接20m的出口明渠，进入寒溪寺水库库尾，出口底板高程696.22m，刘家河补水渠道全长2360.24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34" w:hRule="atLeast"/>
          <w:jc w:val="center"/>
        </w:trPr>
        <w:tc>
          <w:tcPr>
            <w:tcW w:w="196" w:type="pct"/>
            <w:vMerge w:val="continue"/>
            <w:tcBorders>
              <w:bottom w:val="single" w:color="000000" w:sz="4" w:space="0"/>
            </w:tcBorders>
            <w:vAlign w:val="center"/>
          </w:tcPr>
          <w:p>
            <w:pPr>
              <w:pStyle w:val="19"/>
              <w:contextualSpacing/>
              <w:rPr>
                <w:szCs w:val="21"/>
              </w:rPr>
            </w:pPr>
          </w:p>
        </w:tc>
        <w:tc>
          <w:tcPr>
            <w:tcW w:w="379" w:type="pct"/>
            <w:tcBorders>
              <w:bottom w:val="single" w:color="000000" w:sz="4" w:space="0"/>
            </w:tcBorders>
            <w:vAlign w:val="center"/>
          </w:tcPr>
          <w:p>
            <w:pPr>
              <w:pStyle w:val="19"/>
              <w:contextualSpacing/>
              <w:rPr>
                <w:rFonts w:hAnsi="宋体"/>
                <w:szCs w:val="21"/>
              </w:rPr>
            </w:pPr>
            <w:r>
              <w:rPr>
                <w:rFonts w:hint="eastAsia" w:hAnsi="宋体"/>
                <w:szCs w:val="21"/>
              </w:rPr>
              <w:t>灌区</w:t>
            </w:r>
          </w:p>
          <w:p>
            <w:pPr>
              <w:pStyle w:val="19"/>
              <w:contextualSpacing/>
              <w:rPr>
                <w:rFonts w:hAnsi="宋体"/>
                <w:szCs w:val="21"/>
              </w:rPr>
            </w:pPr>
            <w:r>
              <w:rPr>
                <w:rFonts w:hAnsi="宋体"/>
                <w:szCs w:val="21"/>
              </w:rPr>
              <w:t>工程</w:t>
            </w:r>
          </w:p>
        </w:tc>
        <w:tc>
          <w:tcPr>
            <w:tcW w:w="616" w:type="pct"/>
            <w:vAlign w:val="center"/>
          </w:tcPr>
          <w:p>
            <w:pPr>
              <w:pStyle w:val="19"/>
              <w:contextualSpacing/>
              <w:rPr>
                <w:rFonts w:hAnsi="宋体"/>
                <w:szCs w:val="21"/>
              </w:rPr>
            </w:pPr>
            <w:r>
              <w:rPr>
                <w:rFonts w:hint="eastAsia" w:hAnsi="宋体"/>
                <w:szCs w:val="21"/>
              </w:rPr>
              <w:t>干渠</w:t>
            </w:r>
          </w:p>
        </w:tc>
        <w:tc>
          <w:tcPr>
            <w:tcW w:w="3808" w:type="pct"/>
            <w:tcBorders>
              <w:bottom w:val="single" w:color="000000" w:sz="4" w:space="0"/>
            </w:tcBorders>
            <w:vAlign w:val="center"/>
          </w:tcPr>
          <w:p>
            <w:pPr>
              <w:pStyle w:val="19"/>
              <w:contextualSpacing/>
              <w:jc w:val="left"/>
              <w:rPr>
                <w:rFonts w:hAnsi="宋体"/>
              </w:rPr>
            </w:pPr>
            <w:r>
              <w:rPr>
                <w:rFonts w:hint="eastAsia" w:hAnsi="宋体"/>
                <w:szCs w:val="21"/>
              </w:rPr>
              <w:t>干渠全长7887m，其中暗管长5493m，隧洞2座长2276m，渡槽1座长118m。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restart"/>
            <w:vAlign w:val="center"/>
          </w:tcPr>
          <w:p>
            <w:pPr>
              <w:pStyle w:val="19"/>
              <w:contextualSpacing/>
              <w:rPr>
                <w:szCs w:val="21"/>
              </w:rPr>
            </w:pPr>
            <w:r>
              <w:rPr>
                <w:rFonts w:hAnsi="宋体"/>
                <w:szCs w:val="21"/>
              </w:rPr>
              <w:t>移民安置工程</w:t>
            </w:r>
          </w:p>
        </w:tc>
        <w:tc>
          <w:tcPr>
            <w:tcW w:w="616" w:type="pct"/>
            <w:vAlign w:val="center"/>
          </w:tcPr>
          <w:p>
            <w:pPr>
              <w:pStyle w:val="19"/>
              <w:contextualSpacing/>
              <w:rPr>
                <w:szCs w:val="21"/>
              </w:rPr>
            </w:pPr>
            <w:r>
              <w:rPr>
                <w:rFonts w:hAnsi="宋体"/>
                <w:szCs w:val="21"/>
              </w:rPr>
              <w:t>库底清理</w:t>
            </w:r>
          </w:p>
        </w:tc>
        <w:tc>
          <w:tcPr>
            <w:tcW w:w="3808" w:type="pct"/>
            <w:vAlign w:val="center"/>
          </w:tcPr>
          <w:p>
            <w:pPr>
              <w:pStyle w:val="19"/>
              <w:contextualSpacing/>
              <w:jc w:val="left"/>
              <w:rPr>
                <w:szCs w:val="21"/>
              </w:rPr>
            </w:pPr>
            <w:r>
              <w:rPr>
                <w:rFonts w:hAnsi="宋体"/>
                <w:szCs w:val="21"/>
              </w:rPr>
              <w:t>对包括淹没区内林木清理、卫生清理和建构筑物的拆除与清理，清理出来的废物按要求进行分类收集处置。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248" w:hRule="atLeast"/>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移民安置</w:t>
            </w:r>
          </w:p>
        </w:tc>
        <w:tc>
          <w:tcPr>
            <w:tcW w:w="3808" w:type="pct"/>
            <w:vAlign w:val="center"/>
          </w:tcPr>
          <w:p>
            <w:pPr>
              <w:pStyle w:val="19"/>
              <w:contextualSpacing/>
              <w:jc w:val="left"/>
              <w:rPr>
                <w:rFonts w:hAnsi="宋体"/>
                <w:szCs w:val="21"/>
              </w:rPr>
            </w:pPr>
            <w:r>
              <w:rPr>
                <w:rFonts w:hint="eastAsia" w:hAnsi="宋体"/>
                <w:szCs w:val="21"/>
              </w:rPr>
              <w:t>寒溪寺水库工程建设征地基准年生产安置人口为55人，按人口自然增长率4.5‰计，至规划水平年生产安置人口为59人。</w:t>
            </w:r>
          </w:p>
          <w:p>
            <w:pPr>
              <w:pStyle w:val="19"/>
              <w:contextualSpacing/>
              <w:jc w:val="left"/>
              <w:rPr>
                <w:szCs w:val="21"/>
              </w:rPr>
            </w:pPr>
            <w:r>
              <w:rPr>
                <w:rFonts w:hint="eastAsia" w:hAnsi="宋体"/>
                <w:szCs w:val="21"/>
              </w:rPr>
              <w:t>规划在本村本组范围内调剂耕26.13亩，安置24人；在本村邻组及邻村邻组范围内调剂耕地14.3亩，安置13人；自谋职业安置22人。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专项设施</w:t>
            </w:r>
          </w:p>
        </w:tc>
        <w:tc>
          <w:tcPr>
            <w:tcW w:w="3808" w:type="pct"/>
            <w:vAlign w:val="center"/>
          </w:tcPr>
          <w:p>
            <w:pPr>
              <w:spacing w:line="240" w:lineRule="auto"/>
              <w:ind w:firstLine="0" w:firstLineChars="0"/>
              <w:contextualSpacing/>
              <w:jc w:val="left"/>
              <w:rPr>
                <w:sz w:val="21"/>
                <w:szCs w:val="21"/>
              </w:rPr>
            </w:pPr>
            <w:r>
              <w:rPr>
                <w:rFonts w:hint="eastAsia" w:hAnsi="宋体"/>
                <w:sz w:val="21"/>
                <w:szCs w:val="21"/>
              </w:rPr>
              <w:t>寒溪寺水库建设征地涉及机耕道0.12km，路面宽3.0m，土石路面。经与权属人协商，不对该处设施进行处理。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restart"/>
            <w:vAlign w:val="center"/>
          </w:tcPr>
          <w:p>
            <w:pPr>
              <w:pStyle w:val="19"/>
              <w:contextualSpacing/>
              <w:rPr>
                <w:szCs w:val="21"/>
              </w:rPr>
            </w:pPr>
            <w:r>
              <w:rPr>
                <w:rFonts w:hAnsi="宋体"/>
                <w:szCs w:val="21"/>
              </w:rPr>
              <w:t>临辅工程</w:t>
            </w:r>
          </w:p>
        </w:tc>
        <w:tc>
          <w:tcPr>
            <w:tcW w:w="379" w:type="pct"/>
            <w:vMerge w:val="restart"/>
            <w:vAlign w:val="center"/>
          </w:tcPr>
          <w:p>
            <w:pPr>
              <w:pStyle w:val="19"/>
              <w:contextualSpacing/>
              <w:rPr>
                <w:szCs w:val="21"/>
              </w:rPr>
            </w:pPr>
            <w:r>
              <w:rPr>
                <w:rFonts w:hAnsi="宋体"/>
                <w:szCs w:val="21"/>
              </w:rPr>
              <w:t>枢纽工区</w:t>
            </w:r>
          </w:p>
        </w:tc>
        <w:tc>
          <w:tcPr>
            <w:tcW w:w="616" w:type="pct"/>
            <w:vAlign w:val="center"/>
          </w:tcPr>
          <w:p>
            <w:pPr>
              <w:pStyle w:val="19"/>
              <w:contextualSpacing/>
              <w:rPr>
                <w:szCs w:val="21"/>
              </w:rPr>
            </w:pPr>
            <w:r>
              <w:rPr>
                <w:rFonts w:hAnsi="宋体"/>
                <w:szCs w:val="21"/>
              </w:rPr>
              <w:t>施工导流</w:t>
            </w:r>
          </w:p>
        </w:tc>
        <w:tc>
          <w:tcPr>
            <w:tcW w:w="3808" w:type="pct"/>
            <w:vAlign w:val="center"/>
          </w:tcPr>
          <w:p>
            <w:pPr>
              <w:pStyle w:val="19"/>
              <w:contextualSpacing/>
              <w:jc w:val="left"/>
              <w:rPr>
                <w:szCs w:val="21"/>
              </w:rPr>
            </w:pPr>
            <w:r>
              <w:rPr>
                <w:rFonts w:hAnsi="宋体"/>
                <w:szCs w:val="21"/>
              </w:rPr>
              <w:t>枢纽工程：</w:t>
            </w:r>
            <w:r>
              <w:rPr>
                <w:rFonts w:hint="eastAsia" w:hAnsi="宋体"/>
                <w:szCs w:val="21"/>
              </w:rPr>
              <w:t>低围堰挡枯期洪水，隧洞过流，一枯进行基础处理后坝体填筑至度汛断面，一汛坝体度汛断面挡水度汛，导流隧洞过流，继续填筑坝体至工程竣工</w:t>
            </w:r>
            <w:r>
              <w:rPr>
                <w:rFonts w:hAnsi="宋体"/>
                <w:szCs w:val="21"/>
              </w:rPr>
              <w:t>。灌区工程：</w:t>
            </w:r>
            <w:r>
              <w:rPr>
                <w:rFonts w:hint="eastAsia" w:hAnsi="宋体"/>
                <w:szCs w:val="21"/>
              </w:rPr>
              <w:t>采用修筑小基坑围堰导流或开挖小明渠导流方式</w:t>
            </w:r>
            <w:r>
              <w:rPr>
                <w:rFonts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临时道路</w:t>
            </w:r>
          </w:p>
        </w:tc>
        <w:tc>
          <w:tcPr>
            <w:tcW w:w="3808" w:type="pct"/>
            <w:vAlign w:val="center"/>
          </w:tcPr>
          <w:p>
            <w:pPr>
              <w:pStyle w:val="19"/>
              <w:contextualSpacing/>
              <w:jc w:val="left"/>
              <w:rPr>
                <w:szCs w:val="21"/>
              </w:rPr>
            </w:pPr>
            <w:r>
              <w:rPr>
                <w:rFonts w:hint="eastAsia" w:hAnsi="宋体"/>
                <w:szCs w:val="21"/>
              </w:rPr>
              <w:t>施工期间大坝下游右岸车辆、人员等进出利用大坝及交通桥涵与对外交通相连接。总计新建公路8.55km，路面宽4.0m～6.5m，采用泥结碎石路面。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施工营地</w:t>
            </w:r>
          </w:p>
        </w:tc>
        <w:tc>
          <w:tcPr>
            <w:tcW w:w="3808" w:type="pct"/>
            <w:vAlign w:val="center"/>
          </w:tcPr>
          <w:p>
            <w:pPr>
              <w:pStyle w:val="19"/>
              <w:contextualSpacing/>
              <w:jc w:val="left"/>
              <w:rPr>
                <w:szCs w:val="21"/>
              </w:rPr>
            </w:pPr>
            <w:r>
              <w:rPr>
                <w:rFonts w:hint="eastAsia" w:hAnsi="宋体"/>
                <w:szCs w:val="21"/>
              </w:rPr>
              <w:t>施工期间大坝下游右岸车辆、人员等进出利用大坝及交通桥涵与对外交通相连接。总计新建公路8.55km，路面宽4.0m～6.5m，采用泥结碎石路面。干渠施工营地利用民房。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渣场</w:t>
            </w:r>
          </w:p>
        </w:tc>
        <w:tc>
          <w:tcPr>
            <w:tcW w:w="3808" w:type="pct"/>
            <w:vAlign w:val="center"/>
          </w:tcPr>
          <w:p>
            <w:pPr>
              <w:pStyle w:val="19"/>
              <w:contextualSpacing/>
              <w:jc w:val="left"/>
              <w:rPr>
                <w:szCs w:val="21"/>
              </w:rPr>
            </w:pPr>
            <w:r>
              <w:rPr>
                <w:rFonts w:hAnsi="宋体"/>
                <w:szCs w:val="21"/>
              </w:rPr>
              <w:t>枢纽工程区设置了</w:t>
            </w:r>
            <w:r>
              <w:rPr>
                <w:szCs w:val="21"/>
              </w:rPr>
              <w:t>4</w:t>
            </w:r>
            <w:r>
              <w:rPr>
                <w:rFonts w:hAnsi="宋体"/>
                <w:szCs w:val="21"/>
              </w:rPr>
              <w:t>个弃渣场，用于枢纽建筑物和库区还建道路施工弃渣</w:t>
            </w:r>
            <w:r>
              <w:rPr>
                <w:rFonts w:hint="eastAsia" w:hAnsi="宋体"/>
                <w:szCs w:val="21"/>
              </w:rPr>
              <w:t>以及表土临时堆存。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混凝土</w:t>
            </w:r>
          </w:p>
        </w:tc>
        <w:tc>
          <w:tcPr>
            <w:tcW w:w="3808" w:type="pct"/>
            <w:vAlign w:val="center"/>
          </w:tcPr>
          <w:p>
            <w:pPr>
              <w:pStyle w:val="19"/>
              <w:contextualSpacing/>
              <w:jc w:val="left"/>
              <w:rPr>
                <w:szCs w:val="21"/>
              </w:rPr>
            </w:pPr>
            <w:r>
              <w:rPr>
                <w:rFonts w:hint="eastAsia" w:hAnsi="宋体"/>
                <w:szCs w:val="21"/>
              </w:rPr>
              <w:t>采用商品混凝土，工区内不再设置混凝土拌合系统。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砂石骨料堆</w:t>
            </w:r>
            <w:r>
              <w:rPr>
                <w:rFonts w:hint="eastAsia" w:hAnsi="宋体"/>
                <w:szCs w:val="21"/>
              </w:rPr>
              <w:t>存</w:t>
            </w:r>
            <w:r>
              <w:rPr>
                <w:rFonts w:hAnsi="宋体"/>
                <w:szCs w:val="21"/>
              </w:rPr>
              <w:t>场</w:t>
            </w:r>
          </w:p>
        </w:tc>
        <w:tc>
          <w:tcPr>
            <w:tcW w:w="3808" w:type="pct"/>
            <w:vAlign w:val="center"/>
          </w:tcPr>
          <w:p>
            <w:pPr>
              <w:pStyle w:val="19"/>
              <w:contextualSpacing/>
              <w:jc w:val="left"/>
              <w:rPr>
                <w:szCs w:val="21"/>
              </w:rPr>
            </w:pPr>
            <w:r>
              <w:rPr>
                <w:rFonts w:hAnsi="宋体"/>
                <w:szCs w:val="21"/>
              </w:rPr>
              <w:t>集中设置</w:t>
            </w:r>
            <w:r>
              <w:rPr>
                <w:szCs w:val="21"/>
              </w:rPr>
              <w:t>1</w:t>
            </w:r>
            <w:r>
              <w:rPr>
                <w:rFonts w:hAnsi="宋体"/>
                <w:szCs w:val="21"/>
              </w:rPr>
              <w:t>个砂石骨料堆放场。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料场</w:t>
            </w:r>
          </w:p>
        </w:tc>
        <w:tc>
          <w:tcPr>
            <w:tcW w:w="3808" w:type="pct"/>
            <w:vAlign w:val="center"/>
          </w:tcPr>
          <w:p>
            <w:pPr>
              <w:pStyle w:val="19"/>
              <w:contextualSpacing/>
              <w:jc w:val="left"/>
              <w:rPr>
                <w:szCs w:val="21"/>
              </w:rPr>
            </w:pPr>
            <w:r>
              <w:rPr>
                <w:rFonts w:hint="eastAsia" w:hAnsi="宋体"/>
                <w:szCs w:val="21"/>
              </w:rPr>
              <w:t>石渣料来源为蒋家河石料场，砌石料（堆石料）在南江县桥亭乡圣宝石料场进行外购。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施工供水</w:t>
            </w:r>
          </w:p>
        </w:tc>
        <w:tc>
          <w:tcPr>
            <w:tcW w:w="3808" w:type="pct"/>
            <w:vAlign w:val="center"/>
          </w:tcPr>
          <w:p>
            <w:pPr>
              <w:pStyle w:val="19"/>
              <w:contextualSpacing/>
              <w:jc w:val="left"/>
              <w:rPr>
                <w:szCs w:val="21"/>
              </w:rPr>
            </w:pPr>
            <w:r>
              <w:rPr>
                <w:rFonts w:hint="eastAsia" w:hAnsi="宋体"/>
                <w:szCs w:val="21"/>
              </w:rPr>
              <w:t>生产用水可直接抽取寒溪寺库内水，生活用水取用井水或当地村民经年使用的山泉水。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施工供风</w:t>
            </w:r>
          </w:p>
        </w:tc>
        <w:tc>
          <w:tcPr>
            <w:tcW w:w="3808" w:type="pct"/>
            <w:vAlign w:val="center"/>
          </w:tcPr>
          <w:p>
            <w:pPr>
              <w:pStyle w:val="19"/>
              <w:contextualSpacing/>
              <w:jc w:val="left"/>
              <w:rPr>
                <w:szCs w:val="21"/>
              </w:rPr>
            </w:pPr>
            <w:r>
              <w:rPr>
                <w:rFonts w:hint="eastAsia" w:hAnsi="宋体"/>
                <w:szCs w:val="21"/>
              </w:rPr>
              <w:t>枢纽工程分别在左岸、右岸和石渣料场设置集中供风站，站内配备空压机；补水工程及其他建筑物施工供风采用分散设置移动供风站，共设8座供风站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196" w:type="pct"/>
            <w:vMerge w:val="continue"/>
            <w:vAlign w:val="center"/>
          </w:tcPr>
          <w:p>
            <w:pPr>
              <w:pStyle w:val="19"/>
              <w:contextualSpacing/>
              <w:rPr>
                <w:szCs w:val="21"/>
              </w:rPr>
            </w:pPr>
          </w:p>
        </w:tc>
        <w:tc>
          <w:tcPr>
            <w:tcW w:w="379" w:type="pct"/>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施工用电</w:t>
            </w:r>
          </w:p>
        </w:tc>
        <w:tc>
          <w:tcPr>
            <w:tcW w:w="3808" w:type="pct"/>
            <w:vAlign w:val="center"/>
          </w:tcPr>
          <w:p>
            <w:pPr>
              <w:pStyle w:val="19"/>
              <w:contextualSpacing/>
              <w:jc w:val="left"/>
              <w:rPr>
                <w:szCs w:val="21"/>
              </w:rPr>
            </w:pPr>
            <w:r>
              <w:rPr>
                <w:rFonts w:hint="eastAsia" w:hAnsi="宋体"/>
                <w:szCs w:val="21"/>
              </w:rPr>
              <w:t>工程区紧临巴州区，巴州区有国家电网和地方电网覆盖，电源可靠，施工用电有保障。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restart"/>
            <w:vAlign w:val="center"/>
          </w:tcPr>
          <w:p>
            <w:pPr>
              <w:pStyle w:val="19"/>
              <w:contextualSpacing/>
              <w:rPr>
                <w:szCs w:val="21"/>
              </w:rPr>
            </w:pPr>
            <w:r>
              <w:rPr>
                <w:rFonts w:hAnsi="宋体"/>
                <w:szCs w:val="21"/>
              </w:rPr>
              <w:t>环境保护工程</w:t>
            </w:r>
          </w:p>
        </w:tc>
        <w:tc>
          <w:tcPr>
            <w:tcW w:w="616" w:type="pct"/>
            <w:vAlign w:val="center"/>
          </w:tcPr>
          <w:p>
            <w:pPr>
              <w:pStyle w:val="19"/>
              <w:contextualSpacing/>
              <w:rPr>
                <w:szCs w:val="21"/>
              </w:rPr>
            </w:pPr>
            <w:r>
              <w:rPr>
                <w:rFonts w:hAnsi="宋体"/>
                <w:szCs w:val="21"/>
              </w:rPr>
              <w:t>鱼类保护</w:t>
            </w:r>
          </w:p>
        </w:tc>
        <w:tc>
          <w:tcPr>
            <w:tcW w:w="3808" w:type="pct"/>
            <w:vAlign w:val="center"/>
          </w:tcPr>
          <w:p>
            <w:pPr>
              <w:pStyle w:val="19"/>
              <w:contextualSpacing/>
              <w:jc w:val="left"/>
              <w:rPr>
                <w:szCs w:val="21"/>
              </w:rPr>
            </w:pPr>
            <w:r>
              <w:rPr>
                <w:rFonts w:hAnsi="宋体"/>
                <w:szCs w:val="21"/>
              </w:rPr>
              <w:t>生态</w:t>
            </w:r>
            <w:r>
              <w:rPr>
                <w:rFonts w:hint="eastAsia" w:hAnsi="宋体"/>
                <w:szCs w:val="21"/>
              </w:rPr>
              <w:t>放水</w:t>
            </w:r>
            <w:r>
              <w:rPr>
                <w:rFonts w:hAnsi="宋体"/>
                <w:szCs w:val="21"/>
              </w:rPr>
              <w:t>管</w:t>
            </w:r>
            <w:r>
              <w:rPr>
                <w:rFonts w:hint="eastAsia"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陆生生态保护工程</w:t>
            </w:r>
          </w:p>
        </w:tc>
        <w:tc>
          <w:tcPr>
            <w:tcW w:w="3808" w:type="pct"/>
            <w:vAlign w:val="center"/>
          </w:tcPr>
          <w:p>
            <w:pPr>
              <w:pStyle w:val="19"/>
              <w:contextualSpacing/>
              <w:jc w:val="left"/>
              <w:rPr>
                <w:szCs w:val="21"/>
              </w:rPr>
            </w:pPr>
            <w:r>
              <w:rPr>
                <w:rFonts w:hAnsi="宋体"/>
                <w:szCs w:val="21"/>
              </w:rPr>
              <w:t>对石料场、施工临时占地区等实施生态修复工程</w:t>
            </w:r>
            <w:r>
              <w:rPr>
                <w:rFonts w:hint="eastAsia"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施工期污废水</w:t>
            </w:r>
            <w:r>
              <w:rPr>
                <w:rFonts w:hint="eastAsia" w:hAnsi="宋体"/>
                <w:szCs w:val="21"/>
              </w:rPr>
              <w:t>处理工程</w:t>
            </w:r>
          </w:p>
        </w:tc>
        <w:tc>
          <w:tcPr>
            <w:tcW w:w="3808" w:type="pct"/>
            <w:vAlign w:val="center"/>
          </w:tcPr>
          <w:p>
            <w:pPr>
              <w:pStyle w:val="19"/>
              <w:contextualSpacing/>
              <w:jc w:val="left"/>
              <w:rPr>
                <w:b/>
                <w:bCs/>
                <w:szCs w:val="21"/>
              </w:rPr>
            </w:pPr>
            <w:r>
              <w:rPr>
                <w:rFonts w:hAnsi="宋体"/>
                <w:szCs w:val="21"/>
              </w:rPr>
              <w:t>包括</w:t>
            </w:r>
            <w:r>
              <w:rPr>
                <w:rFonts w:hint="eastAsia" w:hAnsi="宋体"/>
                <w:szCs w:val="21"/>
              </w:rPr>
              <w:t>混</w:t>
            </w:r>
            <w:r>
              <w:rPr>
                <w:rFonts w:hAnsi="宋体"/>
                <w:szCs w:val="21"/>
              </w:rPr>
              <w:t>凝土废水处理系统、含油废水处理系统、</w:t>
            </w:r>
            <w:r>
              <w:rPr>
                <w:rFonts w:hint="eastAsia" w:hAnsi="宋体"/>
                <w:szCs w:val="21"/>
              </w:rPr>
              <w:t>基坑排水处理系统、隧洞排水处理系统、</w:t>
            </w:r>
            <w:r>
              <w:rPr>
                <w:rFonts w:hAnsi="宋体"/>
                <w:szCs w:val="21"/>
              </w:rPr>
              <w:t>生活污水处理系统等</w:t>
            </w:r>
            <w:r>
              <w:rPr>
                <w:rFonts w:hint="eastAsia"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运行期污废水</w:t>
            </w:r>
            <w:r>
              <w:rPr>
                <w:rFonts w:hint="eastAsia" w:hAnsi="宋体"/>
                <w:szCs w:val="21"/>
              </w:rPr>
              <w:t>处理工程</w:t>
            </w:r>
          </w:p>
        </w:tc>
        <w:tc>
          <w:tcPr>
            <w:tcW w:w="3808" w:type="pct"/>
            <w:vAlign w:val="center"/>
          </w:tcPr>
          <w:p>
            <w:pPr>
              <w:pStyle w:val="19"/>
              <w:contextualSpacing/>
              <w:jc w:val="left"/>
              <w:rPr>
                <w:szCs w:val="21"/>
              </w:rPr>
            </w:pPr>
            <w:r>
              <w:rPr>
                <w:rFonts w:hAnsi="宋体"/>
                <w:szCs w:val="21"/>
              </w:rPr>
              <w:t>管理房设置油水分离装置和成套生活污水处理设备</w:t>
            </w:r>
            <w:r>
              <w:rPr>
                <w:rFonts w:hint="eastAsia"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int="eastAsia" w:hAnsi="宋体"/>
                <w:szCs w:val="21"/>
              </w:rPr>
              <w:t>生态</w:t>
            </w:r>
            <w:r>
              <w:rPr>
                <w:rFonts w:hAnsi="宋体"/>
                <w:szCs w:val="21"/>
              </w:rPr>
              <w:t>流量监</w:t>
            </w:r>
            <w:r>
              <w:rPr>
                <w:rFonts w:hint="eastAsia" w:hAnsi="宋体"/>
                <w:szCs w:val="21"/>
              </w:rPr>
              <w:t>控设施</w:t>
            </w:r>
          </w:p>
        </w:tc>
        <w:tc>
          <w:tcPr>
            <w:tcW w:w="3808" w:type="pct"/>
            <w:vAlign w:val="center"/>
          </w:tcPr>
          <w:p>
            <w:pPr>
              <w:pStyle w:val="19"/>
              <w:contextualSpacing/>
              <w:jc w:val="left"/>
              <w:rPr>
                <w:szCs w:val="21"/>
              </w:rPr>
            </w:pPr>
            <w:r>
              <w:rPr>
                <w:rFonts w:hAnsi="宋体"/>
                <w:szCs w:val="21"/>
              </w:rPr>
              <w:t>枢纽大坝出水处设生态流量</w:t>
            </w:r>
            <w:r>
              <w:rPr>
                <w:rFonts w:hint="eastAsia" w:hAnsi="宋体"/>
                <w:szCs w:val="21"/>
              </w:rPr>
              <w:t>监控</w:t>
            </w:r>
            <w:r>
              <w:rPr>
                <w:rFonts w:hAnsi="宋体"/>
                <w:szCs w:val="21"/>
              </w:rPr>
              <w:t>监测</w:t>
            </w:r>
            <w:r>
              <w:rPr>
                <w:rFonts w:hint="eastAsia" w:hAnsi="宋体"/>
                <w:szCs w:val="21"/>
              </w:rPr>
              <w:t>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环境空气和声环境保护工程</w:t>
            </w:r>
          </w:p>
        </w:tc>
        <w:tc>
          <w:tcPr>
            <w:tcW w:w="3808" w:type="pct"/>
            <w:vAlign w:val="center"/>
          </w:tcPr>
          <w:p>
            <w:pPr>
              <w:pStyle w:val="19"/>
              <w:contextualSpacing/>
              <w:jc w:val="left"/>
              <w:rPr>
                <w:szCs w:val="21"/>
              </w:rPr>
            </w:pPr>
            <w:r>
              <w:rPr>
                <w:rFonts w:hAnsi="宋体"/>
                <w:szCs w:val="21"/>
              </w:rPr>
              <w:t>配置洒水车在无雨日每天洒水</w:t>
            </w:r>
            <w:r>
              <w:rPr>
                <w:szCs w:val="21"/>
              </w:rPr>
              <w:t>4</w:t>
            </w:r>
            <w:r>
              <w:rPr>
                <w:rFonts w:hAnsi="宋体"/>
                <w:szCs w:val="21"/>
              </w:rPr>
              <w:t>～</w:t>
            </w:r>
            <w:r>
              <w:rPr>
                <w:szCs w:val="21"/>
              </w:rPr>
              <w:t>5</w:t>
            </w:r>
            <w:r>
              <w:rPr>
                <w:rFonts w:hAnsi="宋体"/>
                <w:szCs w:val="21"/>
              </w:rPr>
              <w:t>次。施工沿线设置拦挡围护隔声。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Merge w:val="continue"/>
            <w:vAlign w:val="center"/>
          </w:tcPr>
          <w:p>
            <w:pPr>
              <w:pStyle w:val="19"/>
              <w:contextualSpacing/>
              <w:rPr>
                <w:szCs w:val="21"/>
              </w:rPr>
            </w:pPr>
          </w:p>
        </w:tc>
        <w:tc>
          <w:tcPr>
            <w:tcW w:w="616" w:type="pct"/>
            <w:vAlign w:val="center"/>
          </w:tcPr>
          <w:p>
            <w:pPr>
              <w:pStyle w:val="19"/>
              <w:contextualSpacing/>
              <w:rPr>
                <w:szCs w:val="21"/>
              </w:rPr>
            </w:pPr>
            <w:r>
              <w:rPr>
                <w:rFonts w:hAnsi="宋体"/>
                <w:szCs w:val="21"/>
              </w:rPr>
              <w:t>水土保持工程</w:t>
            </w:r>
          </w:p>
        </w:tc>
        <w:tc>
          <w:tcPr>
            <w:tcW w:w="3808" w:type="pct"/>
            <w:vAlign w:val="center"/>
          </w:tcPr>
          <w:p>
            <w:pPr>
              <w:pStyle w:val="19"/>
              <w:contextualSpacing/>
              <w:jc w:val="left"/>
            </w:pPr>
            <w:r>
              <w:rPr>
                <w:rFonts w:hAnsi="宋体"/>
                <w:szCs w:val="21"/>
              </w:rPr>
              <w:t>采取植物、工程等措施、临时措施分区防治。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576" w:type="pct"/>
            <w:gridSpan w:val="2"/>
            <w:vAlign w:val="center"/>
          </w:tcPr>
          <w:p>
            <w:pPr>
              <w:pStyle w:val="19"/>
              <w:contextualSpacing/>
              <w:rPr>
                <w:szCs w:val="21"/>
              </w:rPr>
            </w:pPr>
            <w:r>
              <w:rPr>
                <w:rFonts w:hAnsi="宋体"/>
                <w:szCs w:val="21"/>
              </w:rPr>
              <w:t>建设征地</w:t>
            </w:r>
          </w:p>
        </w:tc>
        <w:tc>
          <w:tcPr>
            <w:tcW w:w="4424" w:type="pct"/>
            <w:gridSpan w:val="2"/>
            <w:vAlign w:val="center"/>
          </w:tcPr>
          <w:p>
            <w:pPr>
              <w:pStyle w:val="19"/>
              <w:contextualSpacing/>
              <w:jc w:val="left"/>
              <w:rPr>
                <w:szCs w:val="21"/>
              </w:rPr>
            </w:pPr>
            <w:r>
              <w:rPr>
                <w:rFonts w:hint="eastAsia" w:hAnsi="宋体"/>
                <w:szCs w:val="21"/>
              </w:rPr>
              <w:t>土地总面积631.79亩，其中耕地107.91亩、园地0.17亩、林地453.12亩。</w:t>
            </w:r>
          </w:p>
        </w:tc>
      </w:tr>
    </w:tbl>
    <w:p>
      <w:pPr>
        <w:pStyle w:val="5"/>
        <w:ind w:firstLine="0" w:firstLineChars="0"/>
        <w:contextualSpacing/>
        <w:rPr>
          <w:rFonts w:ascii="Times New Roman" w:hAnsi="Times New Roman"/>
        </w:rPr>
      </w:pPr>
      <w:r>
        <w:rPr>
          <w:rFonts w:ascii="Times New Roman" w:hAnsi="Times New Roman"/>
        </w:rPr>
        <w:t>2.2.5</w:t>
      </w:r>
      <w:r>
        <w:rPr>
          <w:rFonts w:ascii="Times New Roman" w:hAnsi="宋体"/>
        </w:rPr>
        <w:t>工程特性表</w:t>
      </w:r>
    </w:p>
    <w:p>
      <w:pPr>
        <w:ind w:firstLine="480"/>
        <w:contextualSpacing/>
      </w:pPr>
      <w:r>
        <w:rPr>
          <w:rFonts w:hAnsi="宋体"/>
        </w:rPr>
        <w:t>水库工程主要特性见表</w:t>
      </w:r>
      <w:r>
        <w:t>2.2.5</w:t>
      </w:r>
      <w:r>
        <w:rPr>
          <w:rFonts w:hAnsi="宋体"/>
        </w:rPr>
        <w:t>。</w:t>
      </w:r>
    </w:p>
    <w:p>
      <w:pPr>
        <w:ind w:firstLine="0" w:firstLineChars="0"/>
        <w:contextualSpacing/>
        <w:jc w:val="center"/>
        <w:rPr>
          <w:rFonts w:hAnsi="宋体"/>
          <w:b/>
          <w:bCs/>
          <w:sz w:val="21"/>
          <w:szCs w:val="21"/>
        </w:rPr>
      </w:pPr>
      <w:r>
        <w:rPr>
          <w:rFonts w:hAnsi="宋体"/>
          <w:b/>
          <w:bCs/>
          <w:sz w:val="21"/>
          <w:szCs w:val="21"/>
        </w:rPr>
        <w:t>表</w:t>
      </w:r>
      <w:r>
        <w:rPr>
          <w:b/>
          <w:bCs/>
          <w:sz w:val="21"/>
          <w:szCs w:val="21"/>
        </w:rPr>
        <w:t xml:space="preserve">2.2.5  </w:t>
      </w:r>
      <w:r>
        <w:rPr>
          <w:rFonts w:hAnsi="宋体"/>
          <w:b/>
          <w:bCs/>
          <w:sz w:val="21"/>
          <w:szCs w:val="21"/>
        </w:rPr>
        <w:t>工程特性表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509"/>
        <w:gridCol w:w="816"/>
        <w:gridCol w:w="1432"/>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623" w:type="pct"/>
            <w:vAlign w:val="center"/>
          </w:tcPr>
          <w:p>
            <w:pPr>
              <w:pStyle w:val="139"/>
              <w:spacing w:line="240" w:lineRule="auto"/>
              <w:rPr>
                <w:rFonts w:cs="Times New Roman"/>
                <w:szCs w:val="18"/>
              </w:rPr>
            </w:pPr>
            <w:r>
              <w:rPr>
                <w:rFonts w:cs="Times New Roman"/>
                <w:szCs w:val="18"/>
              </w:rPr>
              <w:t>序 号</w:t>
            </w:r>
          </w:p>
        </w:tc>
        <w:tc>
          <w:tcPr>
            <w:tcW w:w="1472" w:type="pct"/>
            <w:vAlign w:val="center"/>
          </w:tcPr>
          <w:p>
            <w:pPr>
              <w:pStyle w:val="139"/>
              <w:spacing w:line="240" w:lineRule="auto"/>
              <w:rPr>
                <w:rFonts w:cs="Times New Roman"/>
                <w:szCs w:val="18"/>
              </w:rPr>
            </w:pPr>
            <w:r>
              <w:rPr>
                <w:rFonts w:cs="Times New Roman"/>
                <w:szCs w:val="18"/>
              </w:rPr>
              <w:t>名        称</w:t>
            </w:r>
          </w:p>
        </w:tc>
        <w:tc>
          <w:tcPr>
            <w:tcW w:w="479" w:type="pct"/>
            <w:vAlign w:val="center"/>
          </w:tcPr>
          <w:p>
            <w:pPr>
              <w:pStyle w:val="139"/>
              <w:spacing w:line="240" w:lineRule="auto"/>
              <w:rPr>
                <w:rFonts w:cs="Times New Roman"/>
                <w:szCs w:val="18"/>
              </w:rPr>
            </w:pPr>
            <w:r>
              <w:rPr>
                <w:rFonts w:cs="Times New Roman"/>
                <w:szCs w:val="18"/>
              </w:rPr>
              <w:t>单  位</w:t>
            </w:r>
          </w:p>
        </w:tc>
        <w:tc>
          <w:tcPr>
            <w:tcW w:w="840" w:type="pct"/>
            <w:vAlign w:val="center"/>
          </w:tcPr>
          <w:p>
            <w:pPr>
              <w:pStyle w:val="139"/>
              <w:spacing w:line="240" w:lineRule="auto"/>
              <w:rPr>
                <w:rFonts w:cs="Times New Roman"/>
                <w:szCs w:val="18"/>
              </w:rPr>
            </w:pPr>
            <w:r>
              <w:rPr>
                <w:rFonts w:cs="Times New Roman"/>
                <w:szCs w:val="18"/>
              </w:rPr>
              <w:t>数   量</w:t>
            </w:r>
          </w:p>
        </w:tc>
        <w:tc>
          <w:tcPr>
            <w:tcW w:w="1587" w:type="pct"/>
            <w:vAlign w:val="center"/>
          </w:tcPr>
          <w:p>
            <w:pPr>
              <w:pStyle w:val="139"/>
              <w:spacing w:line="240" w:lineRule="auto"/>
              <w:rPr>
                <w:rFonts w:cs="Times New Roman"/>
                <w:szCs w:val="18"/>
              </w:rPr>
            </w:pPr>
            <w:r>
              <w:rPr>
                <w:rFonts w:cs="Times New Roman"/>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一</w:t>
            </w:r>
          </w:p>
        </w:tc>
        <w:tc>
          <w:tcPr>
            <w:tcW w:w="1472" w:type="pct"/>
            <w:vAlign w:val="center"/>
          </w:tcPr>
          <w:p>
            <w:pPr>
              <w:pStyle w:val="139"/>
              <w:spacing w:line="240" w:lineRule="auto"/>
              <w:rPr>
                <w:rFonts w:cs="Times New Roman"/>
                <w:szCs w:val="18"/>
              </w:rPr>
            </w:pPr>
            <w:r>
              <w:rPr>
                <w:rFonts w:cs="Times New Roman"/>
                <w:szCs w:val="18"/>
              </w:rPr>
              <w:t>水文</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流域面积</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全流域面积</w:t>
            </w:r>
          </w:p>
        </w:tc>
        <w:tc>
          <w:tcPr>
            <w:tcW w:w="479" w:type="pct"/>
            <w:vAlign w:val="center"/>
          </w:tcPr>
          <w:p>
            <w:pPr>
              <w:pStyle w:val="139"/>
              <w:spacing w:line="240" w:lineRule="auto"/>
              <w:rPr>
                <w:rFonts w:cs="Times New Roman"/>
                <w:szCs w:val="18"/>
              </w:rPr>
            </w:pPr>
            <w:r>
              <w:rPr>
                <w:rFonts w:cs="Times New Roman"/>
                <w:szCs w:val="18"/>
              </w:rPr>
              <w:t>km</w:t>
            </w:r>
            <w:r>
              <w:rPr>
                <w:rFonts w:cs="Times New Roman"/>
                <w:szCs w:val="18"/>
                <w:vertAlign w:val="superscript"/>
              </w:rPr>
              <w:t>2</w:t>
            </w:r>
          </w:p>
        </w:tc>
        <w:tc>
          <w:tcPr>
            <w:tcW w:w="840" w:type="pct"/>
            <w:vAlign w:val="center"/>
          </w:tcPr>
          <w:p>
            <w:pPr>
              <w:pStyle w:val="139"/>
              <w:spacing w:line="240" w:lineRule="auto"/>
              <w:rPr>
                <w:rFonts w:cs="Times New Roman"/>
                <w:szCs w:val="18"/>
              </w:rPr>
            </w:pPr>
            <w:r>
              <w:rPr>
                <w:rFonts w:cs="Times New Roman"/>
                <w:szCs w:val="18"/>
              </w:rPr>
              <w:t>18.04</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水库坝址以上</w:t>
            </w:r>
          </w:p>
        </w:tc>
        <w:tc>
          <w:tcPr>
            <w:tcW w:w="479" w:type="pct"/>
            <w:vAlign w:val="center"/>
          </w:tcPr>
          <w:p>
            <w:pPr>
              <w:pStyle w:val="139"/>
              <w:spacing w:line="240" w:lineRule="auto"/>
              <w:rPr>
                <w:rFonts w:cs="Times New Roman"/>
                <w:szCs w:val="18"/>
              </w:rPr>
            </w:pPr>
            <w:r>
              <w:rPr>
                <w:rFonts w:cs="Times New Roman"/>
                <w:szCs w:val="18"/>
              </w:rPr>
              <w:t>km</w:t>
            </w:r>
            <w:r>
              <w:rPr>
                <w:rFonts w:cs="Times New Roman"/>
                <w:szCs w:val="18"/>
                <w:vertAlign w:val="superscript"/>
              </w:rPr>
              <w:t>2</w:t>
            </w:r>
          </w:p>
        </w:tc>
        <w:tc>
          <w:tcPr>
            <w:tcW w:w="840" w:type="pct"/>
            <w:vAlign w:val="center"/>
          </w:tcPr>
          <w:p>
            <w:pPr>
              <w:pStyle w:val="139"/>
              <w:spacing w:line="240" w:lineRule="auto"/>
              <w:rPr>
                <w:rFonts w:cs="Times New Roman"/>
                <w:szCs w:val="18"/>
              </w:rPr>
            </w:pPr>
            <w:r>
              <w:rPr>
                <w:rFonts w:cs="Times New Roman"/>
                <w:szCs w:val="18"/>
              </w:rPr>
              <w:t>4.53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利用的水文资料年限</w:t>
            </w:r>
          </w:p>
        </w:tc>
        <w:tc>
          <w:tcPr>
            <w:tcW w:w="479" w:type="pct"/>
            <w:vAlign w:val="center"/>
          </w:tcPr>
          <w:p>
            <w:pPr>
              <w:pStyle w:val="139"/>
              <w:spacing w:line="240" w:lineRule="auto"/>
              <w:rPr>
                <w:rFonts w:cs="Times New Roman"/>
                <w:szCs w:val="18"/>
              </w:rPr>
            </w:pPr>
            <w:r>
              <w:rPr>
                <w:rFonts w:cs="Times New Roman"/>
                <w:szCs w:val="18"/>
              </w:rPr>
              <w:t>年</w:t>
            </w:r>
          </w:p>
        </w:tc>
        <w:tc>
          <w:tcPr>
            <w:tcW w:w="840" w:type="pct"/>
            <w:vAlign w:val="center"/>
          </w:tcPr>
          <w:p>
            <w:pPr>
              <w:pStyle w:val="139"/>
              <w:spacing w:line="240" w:lineRule="auto"/>
              <w:rPr>
                <w:rFonts w:cs="Times New Roman"/>
                <w:szCs w:val="18"/>
              </w:rPr>
            </w:pPr>
            <w:r>
              <w:rPr>
                <w:rFonts w:cs="Times New Roman"/>
                <w:szCs w:val="18"/>
              </w:rPr>
              <w:t>53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多年平均年径流量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264.60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代表性流量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多年平均流量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0.084</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设计洪水标准及流量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70.3</w:t>
            </w:r>
          </w:p>
        </w:tc>
        <w:tc>
          <w:tcPr>
            <w:tcW w:w="1587" w:type="pct"/>
            <w:vAlign w:val="center"/>
          </w:tcPr>
          <w:p>
            <w:pPr>
              <w:pStyle w:val="139"/>
              <w:spacing w:line="240" w:lineRule="auto"/>
              <w:rPr>
                <w:rFonts w:cs="Times New Roman"/>
                <w:szCs w:val="18"/>
              </w:rPr>
            </w:pPr>
            <w:r>
              <w:rPr>
                <w:rFonts w:cs="Times New Roman"/>
                <w:szCs w:val="18"/>
              </w:rPr>
              <w:t>P=3.33%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校核洪水标准及流量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114</w:t>
            </w:r>
          </w:p>
        </w:tc>
        <w:tc>
          <w:tcPr>
            <w:tcW w:w="1587" w:type="pct"/>
            <w:vAlign w:val="center"/>
          </w:tcPr>
          <w:p>
            <w:pPr>
              <w:pStyle w:val="139"/>
              <w:spacing w:line="240" w:lineRule="auto"/>
              <w:rPr>
                <w:rFonts w:cs="Times New Roman"/>
                <w:szCs w:val="18"/>
              </w:rPr>
            </w:pPr>
            <w:r>
              <w:rPr>
                <w:rFonts w:cs="Times New Roman"/>
                <w:szCs w:val="18"/>
              </w:rPr>
              <w:t>P=0.33%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施工导流标准及流量（枯期）</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3.63</w:t>
            </w:r>
          </w:p>
        </w:tc>
        <w:tc>
          <w:tcPr>
            <w:tcW w:w="1587" w:type="pct"/>
            <w:vAlign w:val="center"/>
          </w:tcPr>
          <w:p>
            <w:pPr>
              <w:pStyle w:val="139"/>
              <w:spacing w:line="240" w:lineRule="auto"/>
              <w:rPr>
                <w:rFonts w:cs="Times New Roman"/>
                <w:szCs w:val="18"/>
              </w:rPr>
            </w:pPr>
            <w:r>
              <w:rPr>
                <w:rFonts w:cs="Times New Roman"/>
                <w:szCs w:val="18"/>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洪量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设计洪水总量</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129.82</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校核洪水总量</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208.79</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6</w:t>
            </w:r>
          </w:p>
        </w:tc>
        <w:tc>
          <w:tcPr>
            <w:tcW w:w="1472" w:type="pct"/>
            <w:vAlign w:val="center"/>
          </w:tcPr>
          <w:p>
            <w:pPr>
              <w:pStyle w:val="139"/>
              <w:spacing w:line="240" w:lineRule="auto"/>
              <w:rPr>
                <w:rFonts w:cs="Times New Roman"/>
                <w:szCs w:val="18"/>
              </w:rPr>
            </w:pPr>
            <w:r>
              <w:rPr>
                <w:rFonts w:cs="Times New Roman"/>
                <w:szCs w:val="18"/>
              </w:rPr>
              <w:t>泥沙</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多年平均悬移质年输沙量</w:t>
            </w:r>
          </w:p>
        </w:tc>
        <w:tc>
          <w:tcPr>
            <w:tcW w:w="479" w:type="pct"/>
            <w:vAlign w:val="center"/>
          </w:tcPr>
          <w:p>
            <w:pPr>
              <w:pStyle w:val="139"/>
              <w:spacing w:line="240" w:lineRule="auto"/>
              <w:rPr>
                <w:rFonts w:cs="Times New Roman"/>
                <w:szCs w:val="18"/>
              </w:rPr>
            </w:pPr>
            <w:r>
              <w:rPr>
                <w:rFonts w:cs="Times New Roman"/>
                <w:szCs w:val="18"/>
              </w:rPr>
              <w:t>t</w:t>
            </w:r>
          </w:p>
        </w:tc>
        <w:tc>
          <w:tcPr>
            <w:tcW w:w="840" w:type="pct"/>
            <w:vAlign w:val="center"/>
          </w:tcPr>
          <w:p>
            <w:pPr>
              <w:pStyle w:val="139"/>
              <w:spacing w:line="240" w:lineRule="auto"/>
              <w:rPr>
                <w:rFonts w:cs="Times New Roman"/>
                <w:szCs w:val="18"/>
              </w:rPr>
            </w:pPr>
            <w:r>
              <w:rPr>
                <w:rFonts w:cs="Times New Roman"/>
                <w:szCs w:val="18"/>
              </w:rPr>
              <w:t>1721</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多年平均含沙量</w:t>
            </w:r>
          </w:p>
        </w:tc>
        <w:tc>
          <w:tcPr>
            <w:tcW w:w="479" w:type="pct"/>
            <w:vAlign w:val="center"/>
          </w:tcPr>
          <w:p>
            <w:pPr>
              <w:pStyle w:val="139"/>
              <w:spacing w:line="240" w:lineRule="auto"/>
              <w:rPr>
                <w:rFonts w:cs="Times New Roman"/>
                <w:szCs w:val="18"/>
              </w:rPr>
            </w:pPr>
            <w:r>
              <w:rPr>
                <w:rFonts w:cs="Times New Roman"/>
                <w:szCs w:val="18"/>
              </w:rPr>
              <w:t>kg/m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0.618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多年平均推移质年输沙量</w:t>
            </w:r>
          </w:p>
        </w:tc>
        <w:tc>
          <w:tcPr>
            <w:tcW w:w="479" w:type="pct"/>
            <w:vAlign w:val="center"/>
          </w:tcPr>
          <w:p>
            <w:pPr>
              <w:pStyle w:val="139"/>
              <w:spacing w:line="240" w:lineRule="auto"/>
              <w:rPr>
                <w:rFonts w:cs="Times New Roman"/>
                <w:szCs w:val="18"/>
              </w:rPr>
            </w:pPr>
            <w:r>
              <w:rPr>
                <w:rFonts w:cs="Times New Roman"/>
                <w:szCs w:val="18"/>
              </w:rPr>
              <w:t>t</w:t>
            </w:r>
          </w:p>
        </w:tc>
        <w:tc>
          <w:tcPr>
            <w:tcW w:w="840" w:type="pct"/>
            <w:vAlign w:val="center"/>
          </w:tcPr>
          <w:p>
            <w:pPr>
              <w:pStyle w:val="139"/>
              <w:spacing w:line="240" w:lineRule="auto"/>
              <w:rPr>
                <w:rFonts w:cs="Times New Roman"/>
                <w:szCs w:val="18"/>
              </w:rPr>
            </w:pPr>
            <w:r>
              <w:rPr>
                <w:rFonts w:cs="Times New Roman"/>
                <w:szCs w:val="18"/>
              </w:rPr>
              <w:t>258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二</w:t>
            </w:r>
          </w:p>
        </w:tc>
        <w:tc>
          <w:tcPr>
            <w:tcW w:w="1472" w:type="pct"/>
            <w:vAlign w:val="center"/>
          </w:tcPr>
          <w:p>
            <w:pPr>
              <w:pStyle w:val="139"/>
              <w:spacing w:line="240" w:lineRule="auto"/>
              <w:rPr>
                <w:rFonts w:cs="Times New Roman"/>
                <w:szCs w:val="18"/>
              </w:rPr>
            </w:pPr>
            <w:r>
              <w:rPr>
                <w:rFonts w:cs="Times New Roman"/>
                <w:szCs w:val="18"/>
              </w:rPr>
              <w:t>工程规模</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水库</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正常蓄水位</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695.00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设计洪水位</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695.91</w:t>
            </w:r>
          </w:p>
        </w:tc>
        <w:tc>
          <w:tcPr>
            <w:tcW w:w="1587" w:type="pct"/>
            <w:vAlign w:val="center"/>
          </w:tcPr>
          <w:p>
            <w:pPr>
              <w:pStyle w:val="139"/>
              <w:spacing w:line="240" w:lineRule="auto"/>
              <w:rPr>
                <w:rFonts w:cs="Times New Roman"/>
                <w:szCs w:val="18"/>
              </w:rPr>
            </w:pPr>
            <w:r>
              <w:rPr>
                <w:rFonts w:cs="Times New Roman"/>
                <w:szCs w:val="18"/>
              </w:rPr>
              <w:t>P=3.33%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校核洪水位</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696.27</w:t>
            </w:r>
          </w:p>
        </w:tc>
        <w:tc>
          <w:tcPr>
            <w:tcW w:w="1587" w:type="pct"/>
            <w:vAlign w:val="center"/>
          </w:tcPr>
          <w:p>
            <w:pPr>
              <w:pStyle w:val="139"/>
              <w:spacing w:line="240" w:lineRule="auto"/>
              <w:rPr>
                <w:rFonts w:cs="Times New Roman"/>
                <w:szCs w:val="18"/>
              </w:rPr>
            </w:pPr>
            <w:r>
              <w:rPr>
                <w:rFonts w:cs="Times New Roman"/>
                <w:szCs w:val="18"/>
              </w:rPr>
              <w:t>P=0.33%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死水位</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669.00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总库容</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337.7</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6）</w:t>
            </w:r>
          </w:p>
        </w:tc>
        <w:tc>
          <w:tcPr>
            <w:tcW w:w="1472" w:type="pct"/>
            <w:vAlign w:val="center"/>
          </w:tcPr>
          <w:p>
            <w:pPr>
              <w:pStyle w:val="139"/>
              <w:spacing w:line="240" w:lineRule="auto"/>
              <w:rPr>
                <w:rFonts w:cs="Times New Roman"/>
                <w:szCs w:val="18"/>
              </w:rPr>
            </w:pPr>
            <w:r>
              <w:rPr>
                <w:rFonts w:cs="Times New Roman"/>
                <w:szCs w:val="18"/>
              </w:rPr>
              <w:t>调节库容</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297.9</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7）</w:t>
            </w:r>
          </w:p>
        </w:tc>
        <w:tc>
          <w:tcPr>
            <w:tcW w:w="1472" w:type="pct"/>
            <w:vAlign w:val="center"/>
          </w:tcPr>
          <w:p>
            <w:pPr>
              <w:pStyle w:val="139"/>
              <w:spacing w:line="240" w:lineRule="auto"/>
              <w:rPr>
                <w:rFonts w:cs="Times New Roman"/>
                <w:szCs w:val="18"/>
              </w:rPr>
            </w:pPr>
            <w:r>
              <w:rPr>
                <w:rFonts w:cs="Times New Roman"/>
                <w:szCs w:val="18"/>
              </w:rPr>
              <w:t>死库容</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15.8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8）</w:t>
            </w:r>
          </w:p>
        </w:tc>
        <w:tc>
          <w:tcPr>
            <w:tcW w:w="1472" w:type="pct"/>
            <w:vAlign w:val="center"/>
          </w:tcPr>
          <w:p>
            <w:pPr>
              <w:pStyle w:val="139"/>
              <w:spacing w:line="240" w:lineRule="auto"/>
              <w:rPr>
                <w:rFonts w:cs="Times New Roman"/>
                <w:szCs w:val="18"/>
              </w:rPr>
            </w:pPr>
            <w:r>
              <w:rPr>
                <w:rFonts w:cs="Times New Roman"/>
                <w:szCs w:val="18"/>
              </w:rPr>
              <w:t>正常蓄水位时水库面积</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2</w:t>
            </w:r>
          </w:p>
        </w:tc>
        <w:tc>
          <w:tcPr>
            <w:tcW w:w="840" w:type="pct"/>
            <w:vAlign w:val="center"/>
          </w:tcPr>
          <w:p>
            <w:pPr>
              <w:pStyle w:val="139"/>
              <w:spacing w:line="240" w:lineRule="auto"/>
              <w:rPr>
                <w:rFonts w:cs="Times New Roman"/>
                <w:szCs w:val="18"/>
              </w:rPr>
            </w:pPr>
            <w:r>
              <w:rPr>
                <w:rFonts w:cs="Times New Roman"/>
                <w:szCs w:val="18"/>
              </w:rPr>
              <w:t>18.6</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9）</w:t>
            </w:r>
          </w:p>
        </w:tc>
        <w:tc>
          <w:tcPr>
            <w:tcW w:w="1472" w:type="pct"/>
            <w:vAlign w:val="center"/>
          </w:tcPr>
          <w:p>
            <w:pPr>
              <w:pStyle w:val="139"/>
              <w:spacing w:line="240" w:lineRule="auto"/>
              <w:rPr>
                <w:rFonts w:cs="Times New Roman"/>
                <w:szCs w:val="18"/>
              </w:rPr>
            </w:pPr>
            <w:r>
              <w:rPr>
                <w:rFonts w:cs="Times New Roman"/>
                <w:szCs w:val="18"/>
              </w:rPr>
              <w:t>回水长度</w:t>
            </w:r>
          </w:p>
        </w:tc>
        <w:tc>
          <w:tcPr>
            <w:tcW w:w="479" w:type="pct"/>
            <w:vAlign w:val="center"/>
          </w:tcPr>
          <w:p>
            <w:pPr>
              <w:pStyle w:val="139"/>
              <w:spacing w:line="240" w:lineRule="auto"/>
              <w:rPr>
                <w:rFonts w:cs="Times New Roman"/>
                <w:szCs w:val="18"/>
              </w:rPr>
            </w:pPr>
            <w:r>
              <w:rPr>
                <w:rFonts w:cs="Times New Roman"/>
                <w:szCs w:val="18"/>
              </w:rPr>
              <w:t>km</w:t>
            </w:r>
          </w:p>
        </w:tc>
        <w:tc>
          <w:tcPr>
            <w:tcW w:w="840" w:type="pct"/>
            <w:vAlign w:val="center"/>
          </w:tcPr>
          <w:p>
            <w:pPr>
              <w:pStyle w:val="139"/>
              <w:spacing w:line="240" w:lineRule="auto"/>
              <w:rPr>
                <w:rFonts w:cs="Times New Roman"/>
                <w:szCs w:val="18"/>
              </w:rPr>
            </w:pPr>
            <w:r>
              <w:rPr>
                <w:rFonts w:cs="Times New Roman"/>
                <w:szCs w:val="18"/>
              </w:rPr>
              <w:t>1.28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10）</w:t>
            </w:r>
          </w:p>
        </w:tc>
        <w:tc>
          <w:tcPr>
            <w:tcW w:w="1472" w:type="pct"/>
            <w:vAlign w:val="center"/>
          </w:tcPr>
          <w:p>
            <w:pPr>
              <w:pStyle w:val="139"/>
              <w:spacing w:line="240" w:lineRule="auto"/>
              <w:rPr>
                <w:rFonts w:cs="Times New Roman"/>
                <w:szCs w:val="18"/>
              </w:rPr>
            </w:pPr>
            <w:r>
              <w:rPr>
                <w:rFonts w:cs="Times New Roman"/>
                <w:szCs w:val="18"/>
              </w:rPr>
              <w:t>库容系数</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0.62</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11）</w:t>
            </w:r>
          </w:p>
        </w:tc>
        <w:tc>
          <w:tcPr>
            <w:tcW w:w="1472" w:type="pct"/>
            <w:vAlign w:val="center"/>
          </w:tcPr>
          <w:p>
            <w:pPr>
              <w:pStyle w:val="139"/>
              <w:spacing w:line="240" w:lineRule="auto"/>
              <w:rPr>
                <w:rFonts w:cs="Times New Roman"/>
                <w:szCs w:val="18"/>
              </w:rPr>
            </w:pPr>
            <w:r>
              <w:rPr>
                <w:rFonts w:cs="Times New Roman"/>
                <w:szCs w:val="18"/>
              </w:rPr>
              <w:t>调节系数</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多年调节</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12）</w:t>
            </w:r>
          </w:p>
        </w:tc>
        <w:tc>
          <w:tcPr>
            <w:tcW w:w="1472" w:type="pct"/>
            <w:vAlign w:val="center"/>
          </w:tcPr>
          <w:p>
            <w:pPr>
              <w:pStyle w:val="139"/>
              <w:spacing w:line="240" w:lineRule="auto"/>
              <w:rPr>
                <w:rFonts w:cs="Times New Roman"/>
                <w:szCs w:val="18"/>
              </w:rPr>
            </w:pPr>
            <w:r>
              <w:rPr>
                <w:rFonts w:cs="Times New Roman"/>
                <w:szCs w:val="18"/>
              </w:rPr>
              <w:t>校核洪水时最大泄量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108.50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13）</w:t>
            </w:r>
          </w:p>
        </w:tc>
        <w:tc>
          <w:tcPr>
            <w:tcW w:w="1472" w:type="pct"/>
            <w:vAlign w:val="center"/>
          </w:tcPr>
          <w:p>
            <w:pPr>
              <w:pStyle w:val="139"/>
              <w:spacing w:line="240" w:lineRule="auto"/>
              <w:rPr>
                <w:rFonts w:cs="Times New Roman"/>
                <w:szCs w:val="18"/>
              </w:rPr>
            </w:pPr>
            <w:r>
              <w:rPr>
                <w:rFonts w:cs="Times New Roman"/>
                <w:szCs w:val="18"/>
              </w:rPr>
              <w:t>设计洪水时最大泄量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65.90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14）</w:t>
            </w:r>
          </w:p>
        </w:tc>
        <w:tc>
          <w:tcPr>
            <w:tcW w:w="1472" w:type="pct"/>
            <w:vAlign w:val="center"/>
          </w:tcPr>
          <w:p>
            <w:pPr>
              <w:pStyle w:val="139"/>
              <w:spacing w:line="240" w:lineRule="auto"/>
              <w:rPr>
                <w:rFonts w:cs="Times New Roman"/>
                <w:szCs w:val="18"/>
              </w:rPr>
            </w:pPr>
            <w:r>
              <w:rPr>
                <w:rFonts w:cs="Times New Roman"/>
                <w:szCs w:val="18"/>
              </w:rPr>
              <w:t>最小下泄量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0.008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灌区工程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设计灌溉面积</w:t>
            </w:r>
          </w:p>
        </w:tc>
        <w:tc>
          <w:tcPr>
            <w:tcW w:w="479" w:type="pct"/>
            <w:vAlign w:val="center"/>
          </w:tcPr>
          <w:p>
            <w:pPr>
              <w:pStyle w:val="139"/>
              <w:spacing w:line="240" w:lineRule="auto"/>
              <w:rPr>
                <w:rFonts w:cs="Times New Roman"/>
                <w:szCs w:val="18"/>
              </w:rPr>
            </w:pPr>
            <w:r>
              <w:rPr>
                <w:rFonts w:cs="Times New Roman"/>
                <w:szCs w:val="18"/>
              </w:rPr>
              <w:t>万亩</w:t>
            </w:r>
          </w:p>
        </w:tc>
        <w:tc>
          <w:tcPr>
            <w:tcW w:w="840" w:type="pct"/>
            <w:vAlign w:val="center"/>
          </w:tcPr>
          <w:p>
            <w:pPr>
              <w:pStyle w:val="139"/>
              <w:spacing w:line="240" w:lineRule="auto"/>
              <w:rPr>
                <w:rFonts w:cs="Times New Roman"/>
                <w:szCs w:val="18"/>
              </w:rPr>
            </w:pPr>
            <w:r>
              <w:rPr>
                <w:rFonts w:cs="Times New Roman"/>
                <w:szCs w:val="18"/>
              </w:rPr>
              <w:t>2.25</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设计/加大引水流量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0.92/1.20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灌溉保证率</w:t>
            </w:r>
          </w:p>
        </w:tc>
        <w:tc>
          <w:tcPr>
            <w:tcW w:w="479" w:type="pct"/>
            <w:vAlign w:val="center"/>
          </w:tcPr>
          <w:p>
            <w:pPr>
              <w:pStyle w:val="139"/>
              <w:spacing w:line="240" w:lineRule="auto"/>
              <w:rPr>
                <w:rFonts w:cs="Times New Roman"/>
                <w:szCs w:val="18"/>
              </w:rPr>
            </w:pPr>
            <w:r>
              <w:rPr>
                <w:rFonts w:cs="Times New Roman"/>
                <w:szCs w:val="18"/>
              </w:rPr>
              <w:t>%</w:t>
            </w:r>
          </w:p>
        </w:tc>
        <w:tc>
          <w:tcPr>
            <w:tcW w:w="840" w:type="pct"/>
            <w:vAlign w:val="center"/>
          </w:tcPr>
          <w:p>
            <w:pPr>
              <w:pStyle w:val="139"/>
              <w:spacing w:line="240" w:lineRule="auto"/>
              <w:rPr>
                <w:rFonts w:cs="Times New Roman"/>
                <w:szCs w:val="18"/>
              </w:rPr>
            </w:pPr>
            <w:r>
              <w:rPr>
                <w:rFonts w:cs="Times New Roman"/>
                <w:szCs w:val="18"/>
              </w:rPr>
              <w:t>70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三</w:t>
            </w:r>
          </w:p>
        </w:tc>
        <w:tc>
          <w:tcPr>
            <w:tcW w:w="1472" w:type="pct"/>
            <w:vAlign w:val="center"/>
          </w:tcPr>
          <w:p>
            <w:pPr>
              <w:pStyle w:val="139"/>
              <w:spacing w:line="240" w:lineRule="auto"/>
              <w:rPr>
                <w:rFonts w:cs="Times New Roman"/>
                <w:szCs w:val="18"/>
              </w:rPr>
            </w:pPr>
            <w:r>
              <w:rPr>
                <w:rFonts w:cs="Times New Roman"/>
                <w:szCs w:val="18"/>
              </w:rPr>
              <w:t>淹没及工程占地</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淹没影响土地</w:t>
            </w:r>
          </w:p>
        </w:tc>
        <w:tc>
          <w:tcPr>
            <w:tcW w:w="479" w:type="pct"/>
            <w:vAlign w:val="center"/>
          </w:tcPr>
          <w:p>
            <w:pPr>
              <w:pStyle w:val="139"/>
              <w:spacing w:line="240" w:lineRule="auto"/>
              <w:rPr>
                <w:rFonts w:cs="Times New Roman"/>
                <w:szCs w:val="18"/>
              </w:rPr>
            </w:pPr>
            <w:r>
              <w:rPr>
                <w:rFonts w:hint="eastAsia" w:cs="Times New Roman"/>
                <w:szCs w:val="18"/>
              </w:rPr>
              <w:t>亩</w:t>
            </w:r>
          </w:p>
        </w:tc>
        <w:tc>
          <w:tcPr>
            <w:tcW w:w="840" w:type="pct"/>
            <w:vAlign w:val="center"/>
          </w:tcPr>
          <w:p>
            <w:pPr>
              <w:pStyle w:val="139"/>
              <w:spacing w:line="240" w:lineRule="auto"/>
              <w:rPr>
                <w:rFonts w:cs="Times New Roman"/>
                <w:szCs w:val="18"/>
              </w:rPr>
            </w:pPr>
            <w:r>
              <w:rPr>
                <w:rFonts w:cs="Times New Roman"/>
                <w:szCs w:val="18"/>
              </w:rPr>
              <w:t>162.93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工程建设征地</w:t>
            </w:r>
          </w:p>
        </w:tc>
        <w:tc>
          <w:tcPr>
            <w:tcW w:w="479" w:type="pct"/>
            <w:vAlign w:val="center"/>
          </w:tcPr>
          <w:p>
            <w:pPr>
              <w:pStyle w:val="139"/>
              <w:spacing w:line="240" w:lineRule="auto"/>
              <w:rPr>
                <w:rFonts w:cs="Times New Roman"/>
                <w:szCs w:val="18"/>
              </w:rPr>
            </w:pPr>
            <w:r>
              <w:rPr>
                <w:rFonts w:hint="eastAsia" w:cs="Times New Roman"/>
                <w:szCs w:val="18"/>
              </w:rPr>
              <w:t>亩</w:t>
            </w:r>
          </w:p>
        </w:tc>
        <w:tc>
          <w:tcPr>
            <w:tcW w:w="840" w:type="pct"/>
            <w:vAlign w:val="center"/>
          </w:tcPr>
          <w:p>
            <w:pPr>
              <w:pStyle w:val="139"/>
              <w:spacing w:line="240" w:lineRule="auto"/>
              <w:rPr>
                <w:rFonts w:cs="Times New Roman"/>
                <w:szCs w:val="18"/>
              </w:rPr>
            </w:pPr>
            <w:r>
              <w:rPr>
                <w:rFonts w:cs="Times New Roman"/>
                <w:szCs w:val="18"/>
              </w:rPr>
              <w:t>223.7</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p>
        </w:tc>
        <w:tc>
          <w:tcPr>
            <w:tcW w:w="1472" w:type="pct"/>
            <w:vAlign w:val="center"/>
          </w:tcPr>
          <w:p>
            <w:pPr>
              <w:pStyle w:val="139"/>
              <w:spacing w:line="240" w:lineRule="auto"/>
              <w:rPr>
                <w:rFonts w:cs="Times New Roman"/>
                <w:szCs w:val="18"/>
              </w:rPr>
            </w:pPr>
            <w:r>
              <w:rPr>
                <w:rFonts w:cs="Times New Roman"/>
                <w:szCs w:val="18"/>
              </w:rPr>
              <w:t>其中：耕地</w:t>
            </w:r>
          </w:p>
        </w:tc>
        <w:tc>
          <w:tcPr>
            <w:tcW w:w="479" w:type="pct"/>
            <w:vAlign w:val="center"/>
          </w:tcPr>
          <w:p>
            <w:pPr>
              <w:pStyle w:val="139"/>
              <w:spacing w:line="240" w:lineRule="auto"/>
              <w:rPr>
                <w:rFonts w:cs="Times New Roman"/>
                <w:szCs w:val="18"/>
              </w:rPr>
            </w:pPr>
            <w:r>
              <w:rPr>
                <w:rFonts w:hint="eastAsia" w:cs="Times New Roman"/>
                <w:szCs w:val="18"/>
              </w:rPr>
              <w:t>亩</w:t>
            </w:r>
          </w:p>
        </w:tc>
        <w:tc>
          <w:tcPr>
            <w:tcW w:w="840" w:type="pct"/>
            <w:vAlign w:val="center"/>
          </w:tcPr>
          <w:p>
            <w:pPr>
              <w:pStyle w:val="139"/>
              <w:spacing w:line="240" w:lineRule="auto"/>
              <w:rPr>
                <w:rFonts w:cs="Times New Roman"/>
                <w:szCs w:val="18"/>
              </w:rPr>
            </w:pPr>
            <w:r>
              <w:rPr>
                <w:rFonts w:cs="Times New Roman"/>
                <w:szCs w:val="18"/>
              </w:rPr>
              <w:t>41.37</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征地影响人口</w:t>
            </w:r>
          </w:p>
        </w:tc>
        <w:tc>
          <w:tcPr>
            <w:tcW w:w="479" w:type="pct"/>
            <w:vAlign w:val="center"/>
          </w:tcPr>
          <w:p>
            <w:pPr>
              <w:pStyle w:val="139"/>
              <w:spacing w:line="240" w:lineRule="auto"/>
              <w:rPr>
                <w:rFonts w:cs="Times New Roman"/>
                <w:szCs w:val="18"/>
              </w:rPr>
            </w:pPr>
            <w:r>
              <w:rPr>
                <w:rFonts w:cs="Times New Roman"/>
                <w:szCs w:val="18"/>
              </w:rPr>
              <w:t>户/人</w:t>
            </w:r>
          </w:p>
        </w:tc>
        <w:tc>
          <w:tcPr>
            <w:tcW w:w="840" w:type="pct"/>
            <w:vAlign w:val="center"/>
          </w:tcPr>
          <w:p>
            <w:pPr>
              <w:pStyle w:val="139"/>
              <w:spacing w:line="240" w:lineRule="auto"/>
              <w:rPr>
                <w:rFonts w:cs="Times New Roman"/>
                <w:szCs w:val="18"/>
              </w:rPr>
            </w:pPr>
            <w:r>
              <w:rPr>
                <w:rFonts w:cs="Times New Roman"/>
                <w:szCs w:val="18"/>
              </w:rPr>
              <w:t>16/3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影响房屋面积</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40" w:type="pct"/>
            <w:vAlign w:val="center"/>
          </w:tcPr>
          <w:p>
            <w:pPr>
              <w:pStyle w:val="139"/>
              <w:spacing w:line="240" w:lineRule="auto"/>
              <w:rPr>
                <w:rFonts w:cs="Times New Roman"/>
                <w:szCs w:val="18"/>
              </w:rPr>
            </w:pPr>
            <w:r>
              <w:rPr>
                <w:rFonts w:cs="Times New Roman"/>
                <w:szCs w:val="18"/>
              </w:rPr>
              <w:t>712.25</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四</w:t>
            </w:r>
          </w:p>
        </w:tc>
        <w:tc>
          <w:tcPr>
            <w:tcW w:w="1472" w:type="pct"/>
            <w:vAlign w:val="center"/>
          </w:tcPr>
          <w:p>
            <w:pPr>
              <w:pStyle w:val="139"/>
              <w:spacing w:line="240" w:lineRule="auto"/>
              <w:rPr>
                <w:rFonts w:cs="Times New Roman"/>
                <w:szCs w:val="18"/>
              </w:rPr>
            </w:pPr>
            <w:r>
              <w:rPr>
                <w:rFonts w:cs="Times New Roman"/>
                <w:szCs w:val="18"/>
              </w:rPr>
              <w:t>主要建筑物</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枢纽工程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拦河大坝</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型式</w:t>
            </w:r>
          </w:p>
        </w:tc>
        <w:tc>
          <w:tcPr>
            <w:tcW w:w="2906" w:type="pct"/>
            <w:gridSpan w:val="3"/>
            <w:vAlign w:val="center"/>
          </w:tcPr>
          <w:p>
            <w:pPr>
              <w:pStyle w:val="139"/>
              <w:spacing w:line="240" w:lineRule="auto"/>
              <w:rPr>
                <w:rFonts w:cs="Times New Roman"/>
                <w:szCs w:val="18"/>
              </w:rPr>
            </w:pPr>
            <w:r>
              <w:rPr>
                <w:rFonts w:hint="eastAsia" w:cs="Times New Roman"/>
                <w:szCs w:val="18"/>
              </w:rPr>
              <w:t>沥青</w:t>
            </w:r>
            <w:r>
              <w:rPr>
                <w:rFonts w:cs="Times New Roman"/>
                <w:szCs w:val="18"/>
              </w:rPr>
              <w:t>混凝土心墙石渣坝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地基特性</w:t>
            </w:r>
          </w:p>
        </w:tc>
        <w:tc>
          <w:tcPr>
            <w:tcW w:w="2906" w:type="pct"/>
            <w:gridSpan w:val="3"/>
            <w:vAlign w:val="center"/>
          </w:tcPr>
          <w:p>
            <w:pPr>
              <w:pStyle w:val="139"/>
              <w:spacing w:line="240" w:lineRule="auto"/>
              <w:rPr>
                <w:rFonts w:cs="Times New Roman"/>
                <w:szCs w:val="18"/>
              </w:rPr>
            </w:pPr>
            <w:r>
              <w:rPr>
                <w:rFonts w:cs="Times New Roman"/>
                <w:szCs w:val="18"/>
              </w:rPr>
              <w:t>砂岩、粉砂质泥岩互层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地震动峰值加速度</w:t>
            </w:r>
          </w:p>
        </w:tc>
        <w:tc>
          <w:tcPr>
            <w:tcW w:w="479" w:type="pct"/>
            <w:vAlign w:val="center"/>
          </w:tcPr>
          <w:p>
            <w:pPr>
              <w:pStyle w:val="139"/>
              <w:spacing w:line="240" w:lineRule="auto"/>
              <w:rPr>
                <w:rFonts w:cs="Times New Roman"/>
                <w:szCs w:val="18"/>
              </w:rPr>
            </w:pPr>
            <w:r>
              <w:rPr>
                <w:rFonts w:cs="Times New Roman"/>
                <w:szCs w:val="18"/>
              </w:rPr>
              <w:t>g</w:t>
            </w:r>
          </w:p>
        </w:tc>
        <w:tc>
          <w:tcPr>
            <w:tcW w:w="840" w:type="pct"/>
            <w:vAlign w:val="center"/>
          </w:tcPr>
          <w:p>
            <w:pPr>
              <w:pStyle w:val="139"/>
              <w:spacing w:line="240" w:lineRule="auto"/>
              <w:rPr>
                <w:rFonts w:cs="Times New Roman"/>
                <w:szCs w:val="18"/>
              </w:rPr>
            </w:pPr>
            <w:r>
              <w:rPr>
                <w:rFonts w:cs="Times New Roman"/>
                <w:szCs w:val="18"/>
              </w:rPr>
              <w:t>0.05</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地震基本烈度</w:t>
            </w:r>
          </w:p>
        </w:tc>
        <w:tc>
          <w:tcPr>
            <w:tcW w:w="479" w:type="pct"/>
            <w:vAlign w:val="center"/>
          </w:tcPr>
          <w:p>
            <w:pPr>
              <w:pStyle w:val="139"/>
              <w:spacing w:line="240" w:lineRule="auto"/>
              <w:rPr>
                <w:rFonts w:cs="Times New Roman"/>
                <w:szCs w:val="18"/>
              </w:rPr>
            </w:pPr>
            <w:r>
              <w:rPr>
                <w:rFonts w:cs="Times New Roman"/>
                <w:szCs w:val="18"/>
              </w:rPr>
              <w:t>度</w:t>
            </w:r>
          </w:p>
        </w:tc>
        <w:tc>
          <w:tcPr>
            <w:tcW w:w="840" w:type="pct"/>
            <w:vAlign w:val="center"/>
          </w:tcPr>
          <w:p>
            <w:pPr>
              <w:pStyle w:val="139"/>
              <w:spacing w:line="240" w:lineRule="auto"/>
              <w:rPr>
                <w:rFonts w:cs="Times New Roman"/>
                <w:szCs w:val="18"/>
              </w:rPr>
            </w:pPr>
            <w:r>
              <w:rPr>
                <w:rFonts w:cs="Times New Roman"/>
                <w:szCs w:val="18"/>
              </w:rPr>
              <w:t>Ⅵ</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坝顶高程</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697.00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（6）</w:t>
            </w:r>
          </w:p>
        </w:tc>
        <w:tc>
          <w:tcPr>
            <w:tcW w:w="1472" w:type="pct"/>
            <w:vAlign w:val="center"/>
          </w:tcPr>
          <w:p>
            <w:pPr>
              <w:pStyle w:val="139"/>
              <w:spacing w:line="240" w:lineRule="auto"/>
              <w:rPr>
                <w:rFonts w:cs="Times New Roman"/>
                <w:szCs w:val="18"/>
              </w:rPr>
            </w:pPr>
            <w:r>
              <w:rPr>
                <w:rFonts w:cs="Times New Roman"/>
                <w:szCs w:val="18"/>
              </w:rPr>
              <w:t>最大坝高</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hint="eastAsia" w:cs="Times New Roman"/>
                <w:szCs w:val="18"/>
              </w:rPr>
              <w:t>52.00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（7）</w:t>
            </w:r>
          </w:p>
        </w:tc>
        <w:tc>
          <w:tcPr>
            <w:tcW w:w="1472" w:type="pct"/>
            <w:vAlign w:val="center"/>
          </w:tcPr>
          <w:p>
            <w:pPr>
              <w:pStyle w:val="139"/>
              <w:spacing w:line="240" w:lineRule="auto"/>
              <w:rPr>
                <w:rFonts w:cs="Times New Roman"/>
                <w:szCs w:val="18"/>
              </w:rPr>
            </w:pPr>
            <w:r>
              <w:rPr>
                <w:rFonts w:cs="Times New Roman"/>
                <w:szCs w:val="18"/>
              </w:rPr>
              <w:t>坝顶长度</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250.00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溢洪道</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型式</w:t>
            </w:r>
          </w:p>
        </w:tc>
        <w:tc>
          <w:tcPr>
            <w:tcW w:w="2906" w:type="pct"/>
            <w:gridSpan w:val="3"/>
            <w:vAlign w:val="center"/>
          </w:tcPr>
          <w:p>
            <w:pPr>
              <w:pStyle w:val="139"/>
              <w:spacing w:line="240" w:lineRule="auto"/>
              <w:rPr>
                <w:rFonts w:cs="Times New Roman"/>
                <w:szCs w:val="18"/>
              </w:rPr>
            </w:pPr>
            <w:r>
              <w:rPr>
                <w:rFonts w:cs="Times New Roman"/>
                <w:szCs w:val="18"/>
              </w:rPr>
              <w:t>侧槽式无闸控制溢洪道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堰顶高程</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695.00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溢流段长度</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40.00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设计泄洪流量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65.9</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校核泄洪流量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108.5</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（6）</w:t>
            </w:r>
          </w:p>
        </w:tc>
        <w:tc>
          <w:tcPr>
            <w:tcW w:w="1472" w:type="pct"/>
            <w:vAlign w:val="center"/>
          </w:tcPr>
          <w:p>
            <w:pPr>
              <w:pStyle w:val="139"/>
              <w:spacing w:line="240" w:lineRule="auto"/>
              <w:rPr>
                <w:rFonts w:cs="Times New Roman"/>
                <w:szCs w:val="18"/>
              </w:rPr>
            </w:pPr>
            <w:r>
              <w:rPr>
                <w:rFonts w:cs="Times New Roman"/>
                <w:szCs w:val="18"/>
              </w:rPr>
              <w:t>消能型式</w:t>
            </w:r>
          </w:p>
        </w:tc>
        <w:tc>
          <w:tcPr>
            <w:tcW w:w="1319" w:type="pct"/>
            <w:gridSpan w:val="2"/>
            <w:vAlign w:val="center"/>
          </w:tcPr>
          <w:p>
            <w:pPr>
              <w:pStyle w:val="139"/>
              <w:spacing w:line="240" w:lineRule="auto"/>
              <w:rPr>
                <w:rFonts w:cs="Times New Roman"/>
                <w:szCs w:val="18"/>
              </w:rPr>
            </w:pPr>
            <w:r>
              <w:rPr>
                <w:rFonts w:cs="Times New Roman"/>
                <w:szCs w:val="18"/>
              </w:rPr>
              <w:t>底流消能</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左岸取水、放空隧洞</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r>
              <w:rPr>
                <w:rFonts w:cs="Times New Roman"/>
                <w:szCs w:val="18"/>
              </w:rPr>
              <w:t>利用原左岸隧洞改建，施工期兼作导流隧洞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取水口形式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岸塔式</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进口底板高程</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667.00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工作闸门孔口尺寸（宽×高）</w:t>
            </w:r>
          </w:p>
        </w:tc>
        <w:tc>
          <w:tcPr>
            <w:tcW w:w="479" w:type="pct"/>
            <w:vAlign w:val="center"/>
          </w:tcPr>
          <w:p>
            <w:pPr>
              <w:pStyle w:val="139"/>
              <w:spacing w:line="240" w:lineRule="auto"/>
              <w:rPr>
                <w:rFonts w:cs="Times New Roman"/>
                <w:szCs w:val="18"/>
              </w:rPr>
            </w:pPr>
            <w:r>
              <w:rPr>
                <w:rFonts w:cs="Times New Roman"/>
                <w:szCs w:val="18"/>
              </w:rPr>
              <w:t>m×m</w:t>
            </w:r>
          </w:p>
        </w:tc>
        <w:tc>
          <w:tcPr>
            <w:tcW w:w="840" w:type="pct"/>
            <w:vAlign w:val="center"/>
          </w:tcPr>
          <w:p>
            <w:pPr>
              <w:pStyle w:val="139"/>
              <w:spacing w:line="240" w:lineRule="auto"/>
              <w:rPr>
                <w:rFonts w:cs="Times New Roman"/>
                <w:szCs w:val="18"/>
              </w:rPr>
            </w:pPr>
            <w:r>
              <w:rPr>
                <w:rFonts w:cs="Times New Roman"/>
                <w:szCs w:val="18"/>
              </w:rPr>
              <w:t>2.20×2.00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洞身尺寸（宽×高）</w:t>
            </w:r>
          </w:p>
        </w:tc>
        <w:tc>
          <w:tcPr>
            <w:tcW w:w="479" w:type="pct"/>
            <w:vAlign w:val="center"/>
          </w:tcPr>
          <w:p>
            <w:pPr>
              <w:pStyle w:val="139"/>
              <w:spacing w:line="240" w:lineRule="auto"/>
              <w:rPr>
                <w:rFonts w:cs="Times New Roman"/>
                <w:szCs w:val="18"/>
              </w:rPr>
            </w:pPr>
            <w:r>
              <w:rPr>
                <w:rFonts w:cs="Times New Roman"/>
                <w:szCs w:val="18"/>
              </w:rPr>
              <w:t>m×m</w:t>
            </w:r>
          </w:p>
        </w:tc>
        <w:tc>
          <w:tcPr>
            <w:tcW w:w="840" w:type="pct"/>
            <w:vAlign w:val="center"/>
          </w:tcPr>
          <w:p>
            <w:pPr>
              <w:pStyle w:val="139"/>
              <w:spacing w:line="240" w:lineRule="auto"/>
              <w:rPr>
                <w:rFonts w:cs="Times New Roman"/>
                <w:szCs w:val="18"/>
              </w:rPr>
            </w:pPr>
            <w:r>
              <w:rPr>
                <w:rFonts w:cs="Times New Roman"/>
                <w:szCs w:val="18"/>
              </w:rPr>
              <w:t>2.00×3.00</w:t>
            </w:r>
          </w:p>
        </w:tc>
        <w:tc>
          <w:tcPr>
            <w:tcW w:w="1587" w:type="pct"/>
            <w:vAlign w:val="center"/>
          </w:tcPr>
          <w:p>
            <w:pPr>
              <w:pStyle w:val="139"/>
              <w:spacing w:line="240" w:lineRule="auto"/>
              <w:rPr>
                <w:rFonts w:cs="Times New Roman"/>
                <w:szCs w:val="18"/>
              </w:rPr>
            </w:pPr>
            <w:r>
              <w:rPr>
                <w:rFonts w:cs="Times New Roman"/>
                <w:szCs w:val="18"/>
              </w:rPr>
              <w:t>城门洞型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隧洞长度</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342.86</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设计取水流量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0.92</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（6）</w:t>
            </w:r>
          </w:p>
        </w:tc>
        <w:tc>
          <w:tcPr>
            <w:tcW w:w="1472" w:type="pct"/>
            <w:vAlign w:val="center"/>
          </w:tcPr>
          <w:p>
            <w:pPr>
              <w:pStyle w:val="139"/>
              <w:spacing w:line="240" w:lineRule="auto"/>
              <w:rPr>
                <w:rFonts w:cs="Times New Roman"/>
                <w:szCs w:val="18"/>
              </w:rPr>
            </w:pPr>
            <w:r>
              <w:rPr>
                <w:rFonts w:cs="Times New Roman"/>
                <w:szCs w:val="18"/>
              </w:rPr>
              <w:t>放空流量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1.38</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右岸原取水隧洞</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r>
              <w:rPr>
                <w:rFonts w:cs="Times New Roman"/>
                <w:szCs w:val="18"/>
              </w:rPr>
              <w:t>本次封堵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补水工程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谭家河补水工程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补水枢纽型式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底格栏栅坝</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挡水堰挡水高程</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702.80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最大堰高</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6.50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补水流量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2.10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补水渠道长度</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1236.85</w:t>
            </w:r>
          </w:p>
        </w:tc>
        <w:tc>
          <w:tcPr>
            <w:tcW w:w="1587" w:type="pct"/>
            <w:vAlign w:val="center"/>
          </w:tcPr>
          <w:p>
            <w:pPr>
              <w:pStyle w:val="139"/>
              <w:spacing w:line="240" w:lineRule="auto"/>
              <w:rPr>
                <w:rFonts w:cs="Times New Roman"/>
                <w:szCs w:val="18"/>
              </w:rPr>
            </w:pPr>
            <w:r>
              <w:rPr>
                <w:rFonts w:cs="Times New Roman"/>
                <w:szCs w:val="18"/>
              </w:rPr>
              <w:t>其中：明渠长170.74m、渡槽长49.3m、隧洞长1016.81m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刘家河补水工程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补水枢纽型式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cs="Times New Roman"/>
                <w:szCs w:val="18"/>
              </w:rPr>
              <w:t>底格栏栅坝</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挡水堰挡水高程</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701.20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最大堰高</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6.60</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补水流量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1.10</w:t>
            </w:r>
          </w:p>
        </w:tc>
        <w:tc>
          <w:tcPr>
            <w:tcW w:w="1587" w:type="pct"/>
            <w:vAlign w:val="center"/>
          </w:tcPr>
          <w:p>
            <w:pPr>
              <w:pStyle w:val="139"/>
              <w:spacing w:line="240" w:lineRule="auto"/>
              <w:rPr>
                <w:rFonts w:cs="Times New Roman"/>
                <w:szCs w:val="18"/>
              </w:rPr>
            </w:pPr>
            <w:r>
              <w:rPr>
                <w:rFonts w:cs="Times New Roman"/>
                <w:szCs w:val="18"/>
              </w:rPr>
              <w:t>在汇合后为3.2 m</w:t>
            </w:r>
            <w:r>
              <w:rPr>
                <w:rFonts w:cs="Times New Roman"/>
                <w:szCs w:val="18"/>
                <w:vertAlign w:val="superscript"/>
              </w:rPr>
              <w:t>3</w:t>
            </w:r>
            <w:r>
              <w:rPr>
                <w:rFonts w:cs="Times New Roman"/>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（5）</w:t>
            </w:r>
          </w:p>
        </w:tc>
        <w:tc>
          <w:tcPr>
            <w:tcW w:w="1472" w:type="pct"/>
            <w:vAlign w:val="center"/>
          </w:tcPr>
          <w:p>
            <w:pPr>
              <w:pStyle w:val="139"/>
              <w:spacing w:line="240" w:lineRule="auto"/>
              <w:rPr>
                <w:rFonts w:cs="Times New Roman"/>
                <w:szCs w:val="18"/>
              </w:rPr>
            </w:pPr>
            <w:r>
              <w:rPr>
                <w:rFonts w:cs="Times New Roman"/>
                <w:szCs w:val="18"/>
              </w:rPr>
              <w:t>补水渠道长度</w:t>
            </w:r>
          </w:p>
        </w:tc>
        <w:tc>
          <w:tcPr>
            <w:tcW w:w="479" w:type="pct"/>
            <w:vAlign w:val="center"/>
          </w:tcPr>
          <w:p>
            <w:pPr>
              <w:pStyle w:val="139"/>
              <w:spacing w:line="240" w:lineRule="auto"/>
              <w:rPr>
                <w:rFonts w:cs="Times New Roman"/>
                <w:szCs w:val="18"/>
              </w:rPr>
            </w:pPr>
            <w:r>
              <w:rPr>
                <w:rFonts w:cs="Times New Roman"/>
                <w:szCs w:val="18"/>
              </w:rPr>
              <w:t>m</w:t>
            </w:r>
          </w:p>
        </w:tc>
        <w:tc>
          <w:tcPr>
            <w:tcW w:w="840" w:type="pct"/>
            <w:vAlign w:val="center"/>
          </w:tcPr>
          <w:p>
            <w:pPr>
              <w:pStyle w:val="139"/>
              <w:spacing w:line="240" w:lineRule="auto"/>
              <w:rPr>
                <w:rFonts w:cs="Times New Roman"/>
                <w:szCs w:val="18"/>
              </w:rPr>
            </w:pPr>
            <w:r>
              <w:rPr>
                <w:rFonts w:cs="Times New Roman"/>
                <w:szCs w:val="18"/>
              </w:rPr>
              <w:t>2360.24</w:t>
            </w:r>
          </w:p>
        </w:tc>
        <w:tc>
          <w:tcPr>
            <w:tcW w:w="1587" w:type="pct"/>
            <w:vAlign w:val="center"/>
          </w:tcPr>
          <w:p>
            <w:pPr>
              <w:pStyle w:val="139"/>
              <w:spacing w:line="240" w:lineRule="auto"/>
              <w:rPr>
                <w:rFonts w:cs="Times New Roman"/>
                <w:szCs w:val="18"/>
              </w:rPr>
            </w:pPr>
            <w:r>
              <w:rPr>
                <w:rFonts w:cs="Times New Roman"/>
                <w:szCs w:val="18"/>
              </w:rPr>
              <w:t>其中：明渠长425.46m、隧洞长1914.77m、暗渠长20.01m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灌区工程</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干渠长度</w:t>
            </w:r>
          </w:p>
        </w:tc>
        <w:tc>
          <w:tcPr>
            <w:tcW w:w="479" w:type="pct"/>
            <w:vAlign w:val="center"/>
          </w:tcPr>
          <w:p>
            <w:pPr>
              <w:pStyle w:val="139"/>
              <w:spacing w:line="240" w:lineRule="auto"/>
              <w:rPr>
                <w:rFonts w:cs="Times New Roman"/>
                <w:szCs w:val="18"/>
              </w:rPr>
            </w:pPr>
            <w:r>
              <w:rPr>
                <w:rFonts w:cs="Times New Roman"/>
                <w:szCs w:val="18"/>
              </w:rPr>
              <w:t>km/条</w:t>
            </w:r>
          </w:p>
        </w:tc>
        <w:tc>
          <w:tcPr>
            <w:tcW w:w="840" w:type="pct"/>
            <w:vAlign w:val="center"/>
          </w:tcPr>
          <w:p>
            <w:pPr>
              <w:pStyle w:val="139"/>
              <w:spacing w:line="240" w:lineRule="auto"/>
              <w:rPr>
                <w:rFonts w:cs="Times New Roman"/>
                <w:szCs w:val="18"/>
              </w:rPr>
            </w:pPr>
            <w:r>
              <w:rPr>
                <w:rFonts w:cs="Times New Roman"/>
                <w:szCs w:val="18"/>
              </w:rPr>
              <w:t>7.887/1</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支渠长度</w:t>
            </w:r>
          </w:p>
        </w:tc>
        <w:tc>
          <w:tcPr>
            <w:tcW w:w="479" w:type="pct"/>
            <w:vAlign w:val="center"/>
          </w:tcPr>
          <w:p>
            <w:pPr>
              <w:pStyle w:val="139"/>
              <w:spacing w:line="240" w:lineRule="auto"/>
              <w:rPr>
                <w:rFonts w:cs="Times New Roman"/>
                <w:szCs w:val="18"/>
              </w:rPr>
            </w:pPr>
            <w:r>
              <w:rPr>
                <w:rFonts w:cs="Times New Roman"/>
                <w:szCs w:val="18"/>
              </w:rPr>
              <w:t>km/条</w:t>
            </w:r>
          </w:p>
        </w:tc>
        <w:tc>
          <w:tcPr>
            <w:tcW w:w="840" w:type="pct"/>
            <w:vAlign w:val="center"/>
          </w:tcPr>
          <w:p>
            <w:pPr>
              <w:pStyle w:val="139"/>
              <w:spacing w:line="240" w:lineRule="auto"/>
              <w:rPr>
                <w:rFonts w:cs="Times New Roman"/>
                <w:szCs w:val="18"/>
              </w:rPr>
            </w:pPr>
            <w:r>
              <w:rPr>
                <w:rFonts w:cs="Times New Roman"/>
                <w:szCs w:val="18"/>
              </w:rPr>
              <w:t>18.616/4</w:t>
            </w:r>
          </w:p>
        </w:tc>
        <w:tc>
          <w:tcPr>
            <w:tcW w:w="1587" w:type="pct"/>
            <w:vAlign w:val="center"/>
          </w:tcPr>
          <w:p>
            <w:pPr>
              <w:pStyle w:val="139"/>
              <w:spacing w:line="240" w:lineRule="auto"/>
              <w:rPr>
                <w:rFonts w:cs="Times New Roman"/>
                <w:szCs w:val="18"/>
              </w:rPr>
            </w:pPr>
            <w:r>
              <w:rPr>
                <w:rFonts w:cs="Times New Roman"/>
                <w:szCs w:val="18"/>
              </w:rPr>
              <w:t>均为万亩以下支渠，本次不计入投资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干渠设计流量</w:t>
            </w:r>
          </w:p>
        </w:tc>
        <w:tc>
          <w:tcPr>
            <w:tcW w:w="479"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40" w:type="pct"/>
            <w:vAlign w:val="center"/>
          </w:tcPr>
          <w:p>
            <w:pPr>
              <w:pStyle w:val="139"/>
              <w:spacing w:line="240" w:lineRule="auto"/>
              <w:rPr>
                <w:rFonts w:cs="Times New Roman"/>
                <w:szCs w:val="18"/>
              </w:rPr>
            </w:pPr>
            <w:r>
              <w:rPr>
                <w:rFonts w:cs="Times New Roman"/>
                <w:szCs w:val="18"/>
              </w:rPr>
              <w:t>0.92</w:t>
            </w:r>
            <w:r>
              <w:rPr>
                <w:rFonts w:hint="eastAsia" w:cs="Times New Roman"/>
                <w:szCs w:val="18"/>
              </w:rPr>
              <w:t>～</w:t>
            </w:r>
            <w:r>
              <w:rPr>
                <w:rFonts w:cs="Times New Roman"/>
                <w:szCs w:val="18"/>
              </w:rPr>
              <w:t>0.59</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五</w:t>
            </w:r>
          </w:p>
        </w:tc>
        <w:tc>
          <w:tcPr>
            <w:tcW w:w="1472" w:type="pct"/>
            <w:vAlign w:val="center"/>
          </w:tcPr>
          <w:p>
            <w:pPr>
              <w:pStyle w:val="139"/>
              <w:spacing w:line="240" w:lineRule="auto"/>
              <w:rPr>
                <w:rFonts w:cs="Times New Roman"/>
                <w:szCs w:val="18"/>
              </w:rPr>
            </w:pPr>
            <w:r>
              <w:rPr>
                <w:rFonts w:cs="Times New Roman"/>
                <w:szCs w:val="18"/>
              </w:rPr>
              <w:t>施工</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主要工程量</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土石方开挖</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38.1</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土石方填筑</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62.2</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混凝土</w:t>
            </w:r>
          </w:p>
        </w:tc>
        <w:tc>
          <w:tcPr>
            <w:tcW w:w="479" w:type="pct"/>
            <w:vAlign w:val="center"/>
          </w:tcPr>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840" w:type="pct"/>
            <w:vAlign w:val="center"/>
          </w:tcPr>
          <w:p>
            <w:pPr>
              <w:pStyle w:val="139"/>
              <w:spacing w:line="240" w:lineRule="auto"/>
              <w:rPr>
                <w:rFonts w:cs="Times New Roman"/>
                <w:szCs w:val="18"/>
              </w:rPr>
            </w:pPr>
            <w:r>
              <w:rPr>
                <w:rFonts w:cs="Times New Roman"/>
                <w:szCs w:val="18"/>
              </w:rPr>
              <w:t>3.7</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4）</w:t>
            </w:r>
          </w:p>
        </w:tc>
        <w:tc>
          <w:tcPr>
            <w:tcW w:w="1472" w:type="pct"/>
            <w:vAlign w:val="center"/>
          </w:tcPr>
          <w:p>
            <w:pPr>
              <w:pStyle w:val="139"/>
              <w:spacing w:line="240" w:lineRule="auto"/>
              <w:rPr>
                <w:rFonts w:cs="Times New Roman"/>
                <w:szCs w:val="18"/>
              </w:rPr>
            </w:pPr>
            <w:r>
              <w:rPr>
                <w:rFonts w:cs="Times New Roman"/>
                <w:szCs w:val="18"/>
              </w:rPr>
              <w:t>钢筋</w:t>
            </w:r>
          </w:p>
        </w:tc>
        <w:tc>
          <w:tcPr>
            <w:tcW w:w="479" w:type="pct"/>
            <w:vAlign w:val="center"/>
          </w:tcPr>
          <w:p>
            <w:pPr>
              <w:pStyle w:val="139"/>
              <w:spacing w:line="240" w:lineRule="auto"/>
              <w:rPr>
                <w:rFonts w:cs="Times New Roman"/>
                <w:szCs w:val="18"/>
              </w:rPr>
            </w:pPr>
            <w:r>
              <w:rPr>
                <w:rFonts w:cs="Times New Roman"/>
                <w:szCs w:val="18"/>
              </w:rPr>
              <w:t>t</w:t>
            </w:r>
          </w:p>
        </w:tc>
        <w:tc>
          <w:tcPr>
            <w:tcW w:w="840" w:type="pct"/>
            <w:vAlign w:val="center"/>
          </w:tcPr>
          <w:p>
            <w:pPr>
              <w:pStyle w:val="139"/>
              <w:spacing w:line="240" w:lineRule="auto"/>
              <w:rPr>
                <w:rFonts w:cs="Times New Roman"/>
                <w:szCs w:val="18"/>
              </w:rPr>
            </w:pPr>
            <w:r>
              <w:rPr>
                <w:rFonts w:cs="Times New Roman"/>
                <w:szCs w:val="18"/>
              </w:rPr>
              <w:t>1143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施工工期</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枢纽及补水工程施工期</w:t>
            </w:r>
          </w:p>
        </w:tc>
        <w:tc>
          <w:tcPr>
            <w:tcW w:w="479" w:type="pct"/>
            <w:vAlign w:val="center"/>
          </w:tcPr>
          <w:p>
            <w:pPr>
              <w:pStyle w:val="139"/>
              <w:spacing w:line="240" w:lineRule="auto"/>
              <w:rPr>
                <w:rFonts w:cs="Times New Roman"/>
                <w:szCs w:val="18"/>
              </w:rPr>
            </w:pPr>
            <w:r>
              <w:rPr>
                <w:rFonts w:cs="Times New Roman"/>
                <w:szCs w:val="18"/>
              </w:rPr>
              <w:t>月</w:t>
            </w:r>
          </w:p>
        </w:tc>
        <w:tc>
          <w:tcPr>
            <w:tcW w:w="840" w:type="pct"/>
            <w:vAlign w:val="center"/>
          </w:tcPr>
          <w:p>
            <w:pPr>
              <w:pStyle w:val="139"/>
              <w:spacing w:line="240" w:lineRule="auto"/>
              <w:rPr>
                <w:rFonts w:cs="Times New Roman"/>
                <w:szCs w:val="18"/>
              </w:rPr>
            </w:pPr>
            <w:r>
              <w:rPr>
                <w:rFonts w:hint="eastAsia" w:cs="Times New Roman"/>
                <w:szCs w:val="18"/>
              </w:rPr>
              <w:t>32</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灌区渠道工程施工期</w:t>
            </w:r>
          </w:p>
        </w:tc>
        <w:tc>
          <w:tcPr>
            <w:tcW w:w="479" w:type="pct"/>
            <w:vAlign w:val="center"/>
          </w:tcPr>
          <w:p>
            <w:pPr>
              <w:pStyle w:val="139"/>
              <w:spacing w:line="240" w:lineRule="auto"/>
              <w:rPr>
                <w:rFonts w:cs="Times New Roman"/>
                <w:szCs w:val="18"/>
              </w:rPr>
            </w:pPr>
            <w:r>
              <w:rPr>
                <w:rFonts w:cs="Times New Roman"/>
                <w:szCs w:val="18"/>
              </w:rPr>
              <w:t>月</w:t>
            </w:r>
          </w:p>
        </w:tc>
        <w:tc>
          <w:tcPr>
            <w:tcW w:w="840" w:type="pct"/>
            <w:vAlign w:val="center"/>
          </w:tcPr>
          <w:p>
            <w:pPr>
              <w:pStyle w:val="139"/>
              <w:spacing w:line="240" w:lineRule="auto"/>
              <w:rPr>
                <w:rFonts w:cs="Times New Roman"/>
                <w:szCs w:val="18"/>
              </w:rPr>
            </w:pPr>
            <w:r>
              <w:rPr>
                <w:rFonts w:hint="eastAsia" w:cs="Times New Roman"/>
                <w:szCs w:val="18"/>
              </w:rPr>
              <w:t>23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六</w:t>
            </w:r>
          </w:p>
        </w:tc>
        <w:tc>
          <w:tcPr>
            <w:tcW w:w="1472" w:type="pct"/>
            <w:vAlign w:val="center"/>
          </w:tcPr>
          <w:p>
            <w:pPr>
              <w:pStyle w:val="139"/>
              <w:spacing w:line="240" w:lineRule="auto"/>
              <w:rPr>
                <w:rFonts w:cs="Times New Roman"/>
                <w:szCs w:val="18"/>
              </w:rPr>
            </w:pPr>
            <w:r>
              <w:rPr>
                <w:rFonts w:cs="Times New Roman"/>
                <w:szCs w:val="18"/>
              </w:rPr>
              <w:t>工程投资</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工程静态总投资</w:t>
            </w:r>
          </w:p>
        </w:tc>
        <w:tc>
          <w:tcPr>
            <w:tcW w:w="479" w:type="pct"/>
            <w:vAlign w:val="center"/>
          </w:tcPr>
          <w:p>
            <w:pPr>
              <w:pStyle w:val="139"/>
              <w:spacing w:line="240" w:lineRule="auto"/>
              <w:rPr>
                <w:rFonts w:cs="Times New Roman"/>
                <w:szCs w:val="18"/>
              </w:rPr>
            </w:pPr>
            <w:r>
              <w:rPr>
                <w:rFonts w:cs="Times New Roman"/>
                <w:szCs w:val="18"/>
              </w:rPr>
              <w:t>万元</w:t>
            </w:r>
          </w:p>
        </w:tc>
        <w:tc>
          <w:tcPr>
            <w:tcW w:w="840" w:type="pct"/>
            <w:vAlign w:val="center"/>
          </w:tcPr>
          <w:p>
            <w:pPr>
              <w:pStyle w:val="139"/>
              <w:spacing w:line="240" w:lineRule="auto"/>
              <w:rPr>
                <w:rFonts w:cs="Times New Roman"/>
                <w:szCs w:val="18"/>
              </w:rPr>
            </w:pPr>
            <w:r>
              <w:rPr>
                <w:rFonts w:hint="eastAsia"/>
              </w:rPr>
              <w:t>26266.01</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p>
        </w:tc>
        <w:tc>
          <w:tcPr>
            <w:tcW w:w="1472" w:type="pct"/>
            <w:vAlign w:val="center"/>
          </w:tcPr>
          <w:p>
            <w:pPr>
              <w:pStyle w:val="139"/>
              <w:spacing w:line="240" w:lineRule="auto"/>
              <w:rPr>
                <w:rFonts w:cs="Times New Roman"/>
                <w:szCs w:val="18"/>
              </w:rPr>
            </w:pPr>
            <w:r>
              <w:rPr>
                <w:rFonts w:cs="Times New Roman"/>
                <w:szCs w:val="18"/>
              </w:rPr>
              <w:t>其中：枢纽及补水工程投资</w:t>
            </w:r>
          </w:p>
        </w:tc>
        <w:tc>
          <w:tcPr>
            <w:tcW w:w="479" w:type="pct"/>
            <w:vAlign w:val="center"/>
          </w:tcPr>
          <w:p>
            <w:pPr>
              <w:pStyle w:val="139"/>
              <w:spacing w:line="240" w:lineRule="auto"/>
              <w:rPr>
                <w:rFonts w:cs="Times New Roman"/>
                <w:szCs w:val="18"/>
              </w:rPr>
            </w:pPr>
            <w:r>
              <w:rPr>
                <w:rFonts w:cs="Times New Roman"/>
                <w:szCs w:val="18"/>
              </w:rPr>
              <w:t>万元</w:t>
            </w:r>
          </w:p>
        </w:tc>
        <w:tc>
          <w:tcPr>
            <w:tcW w:w="840" w:type="pct"/>
            <w:vAlign w:val="center"/>
          </w:tcPr>
          <w:p>
            <w:pPr>
              <w:pStyle w:val="139"/>
              <w:spacing w:line="240" w:lineRule="auto"/>
              <w:rPr>
                <w:rFonts w:cs="Times New Roman"/>
                <w:szCs w:val="18"/>
              </w:rPr>
            </w:pPr>
            <w:r>
              <w:rPr>
                <w:rFonts w:hint="eastAsia"/>
              </w:rPr>
              <w:t>21940.25</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p>
        </w:tc>
        <w:tc>
          <w:tcPr>
            <w:tcW w:w="1472" w:type="pct"/>
            <w:vAlign w:val="center"/>
          </w:tcPr>
          <w:p>
            <w:pPr>
              <w:pStyle w:val="139"/>
              <w:spacing w:line="240" w:lineRule="auto"/>
              <w:rPr>
                <w:rFonts w:cs="Times New Roman"/>
                <w:szCs w:val="18"/>
              </w:rPr>
            </w:pPr>
            <w:r>
              <w:rPr>
                <w:rFonts w:cs="Times New Roman"/>
                <w:szCs w:val="18"/>
              </w:rPr>
              <w:t>灌区工程投资</w:t>
            </w:r>
          </w:p>
        </w:tc>
        <w:tc>
          <w:tcPr>
            <w:tcW w:w="479" w:type="pct"/>
            <w:vAlign w:val="center"/>
          </w:tcPr>
          <w:p>
            <w:pPr>
              <w:pStyle w:val="139"/>
              <w:spacing w:line="240" w:lineRule="auto"/>
              <w:rPr>
                <w:rFonts w:cs="Times New Roman"/>
                <w:szCs w:val="18"/>
              </w:rPr>
            </w:pPr>
            <w:r>
              <w:rPr>
                <w:rFonts w:cs="Times New Roman"/>
                <w:szCs w:val="18"/>
              </w:rPr>
              <w:t>万元</w:t>
            </w:r>
          </w:p>
        </w:tc>
        <w:tc>
          <w:tcPr>
            <w:tcW w:w="840" w:type="pct"/>
            <w:vAlign w:val="center"/>
          </w:tcPr>
          <w:p>
            <w:pPr>
              <w:pStyle w:val="139"/>
              <w:spacing w:line="240" w:lineRule="auto"/>
              <w:rPr>
                <w:rFonts w:cs="Times New Roman"/>
                <w:szCs w:val="18"/>
              </w:rPr>
            </w:pPr>
            <w:r>
              <w:rPr>
                <w:rFonts w:hint="eastAsia" w:cs="Times New Roman"/>
                <w:szCs w:val="18"/>
              </w:rPr>
              <w:t>4325.76</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七</w:t>
            </w:r>
          </w:p>
        </w:tc>
        <w:tc>
          <w:tcPr>
            <w:tcW w:w="1472" w:type="pct"/>
            <w:vAlign w:val="center"/>
          </w:tcPr>
          <w:p>
            <w:pPr>
              <w:pStyle w:val="139"/>
              <w:spacing w:line="240" w:lineRule="auto"/>
              <w:rPr>
                <w:rFonts w:cs="Times New Roman"/>
                <w:szCs w:val="18"/>
              </w:rPr>
            </w:pPr>
            <w:r>
              <w:rPr>
                <w:rFonts w:cs="Times New Roman"/>
                <w:szCs w:val="18"/>
              </w:rPr>
              <w:t>效益指标</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1）</w:t>
            </w:r>
          </w:p>
        </w:tc>
        <w:tc>
          <w:tcPr>
            <w:tcW w:w="1472" w:type="pct"/>
            <w:vAlign w:val="center"/>
          </w:tcPr>
          <w:p>
            <w:pPr>
              <w:pStyle w:val="139"/>
              <w:spacing w:line="240" w:lineRule="auto"/>
              <w:rPr>
                <w:rFonts w:cs="Times New Roman"/>
                <w:szCs w:val="18"/>
              </w:rPr>
            </w:pPr>
            <w:r>
              <w:rPr>
                <w:rFonts w:cs="Times New Roman"/>
                <w:szCs w:val="18"/>
              </w:rPr>
              <w:t>经济净现值</w:t>
            </w:r>
          </w:p>
        </w:tc>
        <w:tc>
          <w:tcPr>
            <w:tcW w:w="479" w:type="pct"/>
            <w:vAlign w:val="center"/>
          </w:tcPr>
          <w:p>
            <w:pPr>
              <w:pStyle w:val="139"/>
              <w:spacing w:line="240" w:lineRule="auto"/>
              <w:rPr>
                <w:rFonts w:cs="Times New Roman"/>
                <w:szCs w:val="18"/>
              </w:rPr>
            </w:pPr>
            <w:r>
              <w:rPr>
                <w:rFonts w:cs="Times New Roman"/>
                <w:szCs w:val="18"/>
              </w:rPr>
              <w:t>万元</w:t>
            </w:r>
          </w:p>
        </w:tc>
        <w:tc>
          <w:tcPr>
            <w:tcW w:w="840" w:type="pct"/>
            <w:vAlign w:val="center"/>
          </w:tcPr>
          <w:p>
            <w:pPr>
              <w:pStyle w:val="139"/>
              <w:spacing w:line="240" w:lineRule="auto"/>
              <w:rPr>
                <w:rFonts w:cs="Times New Roman"/>
                <w:szCs w:val="18"/>
              </w:rPr>
            </w:pPr>
            <w:r>
              <w:rPr>
                <w:rFonts w:hint="eastAsia"/>
              </w:rPr>
              <w:t>3496.93</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2）</w:t>
            </w:r>
          </w:p>
        </w:tc>
        <w:tc>
          <w:tcPr>
            <w:tcW w:w="1472" w:type="pct"/>
            <w:vAlign w:val="center"/>
          </w:tcPr>
          <w:p>
            <w:pPr>
              <w:pStyle w:val="139"/>
              <w:spacing w:line="240" w:lineRule="auto"/>
              <w:rPr>
                <w:rFonts w:cs="Times New Roman"/>
                <w:szCs w:val="18"/>
              </w:rPr>
            </w:pPr>
            <w:r>
              <w:rPr>
                <w:rFonts w:cs="Times New Roman"/>
                <w:szCs w:val="18"/>
              </w:rPr>
              <w:t>效益费用比</w:t>
            </w:r>
          </w:p>
        </w:tc>
        <w:tc>
          <w:tcPr>
            <w:tcW w:w="479" w:type="pct"/>
            <w:vAlign w:val="center"/>
          </w:tcPr>
          <w:p>
            <w:pPr>
              <w:pStyle w:val="139"/>
              <w:spacing w:line="240" w:lineRule="auto"/>
              <w:rPr>
                <w:rFonts w:cs="Times New Roman"/>
                <w:szCs w:val="18"/>
              </w:rPr>
            </w:pPr>
          </w:p>
        </w:tc>
        <w:tc>
          <w:tcPr>
            <w:tcW w:w="840" w:type="pct"/>
            <w:vAlign w:val="center"/>
          </w:tcPr>
          <w:p>
            <w:pPr>
              <w:pStyle w:val="139"/>
              <w:spacing w:line="240" w:lineRule="auto"/>
              <w:rPr>
                <w:rFonts w:cs="Times New Roman"/>
                <w:szCs w:val="18"/>
              </w:rPr>
            </w:pPr>
            <w:r>
              <w:rPr>
                <w:rFonts w:hint="eastAsia" w:cs="Times New Roman"/>
                <w:szCs w:val="18"/>
              </w:rPr>
              <w:t>1.36</w:t>
            </w:r>
          </w:p>
        </w:tc>
        <w:tc>
          <w:tcPr>
            <w:tcW w:w="158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3" w:type="pct"/>
            <w:vAlign w:val="center"/>
          </w:tcPr>
          <w:p>
            <w:pPr>
              <w:pStyle w:val="139"/>
              <w:spacing w:line="240" w:lineRule="auto"/>
              <w:rPr>
                <w:rFonts w:cs="Times New Roman"/>
                <w:szCs w:val="18"/>
              </w:rPr>
            </w:pPr>
            <w:r>
              <w:rPr>
                <w:rFonts w:cs="Times New Roman"/>
                <w:szCs w:val="18"/>
              </w:rPr>
              <w:t>3）</w:t>
            </w:r>
          </w:p>
        </w:tc>
        <w:tc>
          <w:tcPr>
            <w:tcW w:w="1472" w:type="pct"/>
            <w:vAlign w:val="center"/>
          </w:tcPr>
          <w:p>
            <w:pPr>
              <w:pStyle w:val="139"/>
              <w:spacing w:line="240" w:lineRule="auto"/>
              <w:rPr>
                <w:rFonts w:cs="Times New Roman"/>
                <w:szCs w:val="18"/>
              </w:rPr>
            </w:pPr>
            <w:r>
              <w:rPr>
                <w:rFonts w:cs="Times New Roman"/>
                <w:szCs w:val="18"/>
              </w:rPr>
              <w:t>经济内部收益率</w:t>
            </w:r>
          </w:p>
        </w:tc>
        <w:tc>
          <w:tcPr>
            <w:tcW w:w="479" w:type="pct"/>
            <w:vAlign w:val="center"/>
          </w:tcPr>
          <w:p>
            <w:pPr>
              <w:pStyle w:val="139"/>
              <w:spacing w:line="240" w:lineRule="auto"/>
              <w:rPr>
                <w:rFonts w:cs="Times New Roman"/>
                <w:szCs w:val="18"/>
              </w:rPr>
            </w:pPr>
            <w:r>
              <w:rPr>
                <w:rFonts w:cs="Times New Roman"/>
                <w:szCs w:val="18"/>
              </w:rPr>
              <w:t>%</w:t>
            </w:r>
          </w:p>
        </w:tc>
        <w:tc>
          <w:tcPr>
            <w:tcW w:w="840" w:type="pct"/>
            <w:vAlign w:val="center"/>
          </w:tcPr>
          <w:p>
            <w:pPr>
              <w:pStyle w:val="139"/>
              <w:spacing w:line="240" w:lineRule="auto"/>
              <w:rPr>
                <w:rFonts w:cs="Times New Roman"/>
                <w:szCs w:val="18"/>
              </w:rPr>
            </w:pPr>
            <w:r>
              <w:rPr>
                <w:rFonts w:hint="eastAsia" w:cs="Times New Roman"/>
                <w:szCs w:val="18"/>
              </w:rPr>
              <w:t>7.3</w:t>
            </w:r>
          </w:p>
        </w:tc>
        <w:tc>
          <w:tcPr>
            <w:tcW w:w="1587" w:type="pct"/>
            <w:vAlign w:val="center"/>
          </w:tcPr>
          <w:p>
            <w:pPr>
              <w:pStyle w:val="139"/>
              <w:spacing w:line="240" w:lineRule="auto"/>
              <w:rPr>
                <w:rFonts w:cs="Times New Roman"/>
                <w:szCs w:val="18"/>
              </w:rPr>
            </w:pPr>
          </w:p>
        </w:tc>
      </w:tr>
    </w:tbl>
    <w:p>
      <w:pPr>
        <w:pStyle w:val="19"/>
        <w:spacing w:line="160" w:lineRule="exact"/>
        <w:contextualSpacing/>
      </w:pPr>
    </w:p>
    <w:p>
      <w:pPr>
        <w:pStyle w:val="5"/>
        <w:ind w:firstLine="0" w:firstLineChars="0"/>
        <w:contextualSpacing/>
        <w:rPr>
          <w:rFonts w:ascii="Times New Roman" w:hAnsi="Times New Roman"/>
        </w:rPr>
      </w:pPr>
      <w:r>
        <w:rPr>
          <w:rFonts w:ascii="Times New Roman" w:hAnsi="Times New Roman"/>
        </w:rPr>
        <w:t>2.2.7</w:t>
      </w:r>
      <w:r>
        <w:rPr>
          <w:rFonts w:ascii="Times New Roman" w:hAnsi="宋体"/>
        </w:rPr>
        <w:t>工程等别与设计标准</w:t>
      </w:r>
    </w:p>
    <w:p>
      <w:pPr>
        <w:ind w:firstLine="424" w:firstLineChars="177"/>
        <w:contextualSpacing/>
      </w:pPr>
      <w:r>
        <w:rPr>
          <w:rFonts w:hint="eastAsia" w:hAnsi="宋体"/>
        </w:rPr>
        <w:t>寒溪寺水库总库容337.7万m</w:t>
      </w:r>
      <w:r>
        <w:rPr>
          <w:rFonts w:hint="eastAsia" w:hAnsi="宋体"/>
          <w:vertAlign w:val="superscript"/>
        </w:rPr>
        <w:t>3</w:t>
      </w:r>
      <w:r>
        <w:rPr>
          <w:rFonts w:hint="eastAsia" w:hAnsi="宋体"/>
        </w:rPr>
        <w:t>，设计灌面2.25万亩，根据《水利水电工程等级划分及洪水标准》（SL252-2017）的规定，确定寒溪寺水库枢纽工程等别为Ⅳ等，水库规模为小（1）型水库。枢纽工程主要建筑物如大坝、溢洪道、取水放空隧洞等按4级建筑物设计，次要建筑物按5级建筑物设计。</w:t>
      </w:r>
      <w:r>
        <w:t>补水工程主要建筑物如底格拦栅坝等按4级建筑物设计，次要建筑物按5级建筑物设计。灌区渠道工程为Ⅴ等，渠道建筑物均按5级建筑物设计。</w:t>
      </w:r>
    </w:p>
    <w:p>
      <w:pPr>
        <w:pStyle w:val="5"/>
        <w:ind w:firstLine="0" w:firstLineChars="0"/>
        <w:contextualSpacing/>
        <w:rPr>
          <w:rFonts w:ascii="Times New Roman" w:hAnsi="Times New Roman"/>
        </w:rPr>
      </w:pPr>
      <w:r>
        <w:rPr>
          <w:rFonts w:ascii="Times New Roman" w:hAnsi="Times New Roman"/>
        </w:rPr>
        <w:t>2.2.6</w:t>
      </w:r>
      <w:r>
        <w:rPr>
          <w:rFonts w:ascii="Times New Roman" w:hAnsi="宋体"/>
        </w:rPr>
        <w:t>工程总体布置及主要建筑物</w:t>
      </w:r>
    </w:p>
    <w:p>
      <w:pPr>
        <w:ind w:firstLine="424" w:firstLineChars="177"/>
        <w:contextualSpacing/>
      </w:pPr>
      <w:r>
        <w:rPr>
          <w:rFonts w:hint="eastAsia" w:hAnsi="宋体"/>
        </w:rPr>
        <w:t>水库由枢纽工程、补水工程和灌区工程三部分组成。其中枢纽工程包括拦河大坝、溢洪道、左岸取水放空隧洞等建筑物，补水工程由底格拦栅坝取水枢纽和补水暗渠组成；灌区工程包括1条干渠，支渠4条（不计入本次投资），干渠总长7.887km，由管道、隧洞、渡槽等组成。</w:t>
      </w:r>
    </w:p>
    <w:p>
      <w:pPr>
        <w:ind w:firstLine="0" w:firstLineChars="0"/>
        <w:contextualSpacing/>
        <w:outlineLvl w:val="3"/>
        <w:rPr>
          <w:bCs/>
        </w:rPr>
      </w:pPr>
      <w:r>
        <w:rPr>
          <w:b/>
          <w:bCs/>
        </w:rPr>
        <w:t>2.6.2.1</w:t>
      </w:r>
      <w:r>
        <w:rPr>
          <w:rFonts w:hint="eastAsia" w:hAnsi="宋体"/>
          <w:b/>
          <w:bCs/>
        </w:rPr>
        <w:t>枢纽工程</w:t>
      </w:r>
    </w:p>
    <w:p>
      <w:pPr>
        <w:ind w:firstLine="424" w:firstLineChars="177"/>
        <w:contextualSpacing/>
        <w:rPr>
          <w:rFonts w:hint="eastAsia" w:hAnsi="宋体"/>
        </w:rPr>
      </w:pPr>
      <w:r>
        <w:rPr>
          <w:rFonts w:hint="eastAsia" w:hAnsi="宋体"/>
        </w:rPr>
        <w:t>大坝采用沥青混凝土心墙石渣坝，坝轴线全长250.00m，坝顶高程697.00m，防浪墙高1.20m，最大坝高52.00m，坝顶宽6.00m。上游坝坡设2级坡，从上至下坡比为1：2.25、1：2.50，高程682.00m设2m宽马道，高程668.00m处接至老坝体，利用老坝体充当坝脚；下游坝坡设2级坡，从上至下坡比为1：2.00、1：2.25、1：1.50，在高程680.00m、655.00m处各设2m宽马道，高程655.00m以下为排水棱体，棱体顶宽2m。沥青混凝土心墙厚0.60m，心墙上、下游各设2.50m厚的过渡层。大坝上、下游坝壳采用砂泥岩石渣填筑，下游坝壳高程652.00～651.00m为1m厚的反滤层，高层651.00m以下为块石排水带。</w:t>
      </w:r>
    </w:p>
    <w:p>
      <w:pPr>
        <w:ind w:firstLine="424" w:firstLineChars="177"/>
        <w:contextualSpacing/>
        <w:rPr>
          <w:rFonts w:hint="eastAsia" w:hAnsi="宋体"/>
        </w:rPr>
      </w:pPr>
      <w:r>
        <w:rPr>
          <w:rFonts w:hint="eastAsia" w:hAnsi="宋体"/>
        </w:rPr>
        <w:t>溢洪道布置于大坝左岸，长298.00m，由侧槽段、调整段、泄槽段、消力池段及尾水渠组成。侧槽段长40.00m，纵坡i=0.03，侧槽首端底板高程691.35m，末端底板高程690.15m。首端底宽3.00m，末端底宽6.00m，溢流堰净宽40.00m，采用宽顶堰，堰顶高程695.00m。调整段长18.00m，底宽6.00m，出口底板高程690.15m。泄槽段长189.50m，宽6.00m，断面为矩形。消力池段长35.00m，宽6.00m，深2.40m，矩形断面，池底板高程645.80m。边墙高8.00m。尾水渠段长15.50m，宽6.00m，矩形断面，出水渠底高程649.00m。尾水接入下游原河道。</w:t>
      </w:r>
    </w:p>
    <w:p>
      <w:pPr>
        <w:ind w:firstLine="424" w:firstLineChars="177"/>
        <w:contextualSpacing/>
      </w:pPr>
      <w:r>
        <w:rPr>
          <w:rFonts w:hint="eastAsia" w:hAnsi="宋体"/>
        </w:rPr>
        <w:t>左岸取水放空隧洞由原已成放空隧洞改建，进口底板高程666.00m，同时施工期做导流洞使用。采用岸塔式取水，由进水口段、闸室段、消能段、无压隧洞段、出口明渠段、台阶式泄槽段组成，全长342.86m。取水塔为圆形结构，直径8.50m。闸室设事故检修门及工作门各一扇，闸门孔口尺寸为2.20m×2.00m，均为平板钢闸门。消能段长18m，采用底流消能。无压隧洞段长253.50m，底坡i=0.005。隧洞为城门洞型，净空尺寸2.20m×3.00m（宽×高），全断面采用0.35m厚的C30W6钢筋混凝土衬砌，对顶拱120°范围进行回填灌浆。出口明渠段长26.00m，宽2.20m，高3.00m。台阶式泄槽段长30.86m，以跌坎方式消能，接入溢洪道泄槽。</w:t>
      </w:r>
    </w:p>
    <w:p>
      <w:pPr>
        <w:ind w:firstLine="0" w:firstLineChars="0"/>
        <w:contextualSpacing/>
        <w:outlineLvl w:val="3"/>
        <w:rPr>
          <w:rFonts w:hint="eastAsia"/>
          <w:b/>
          <w:bCs/>
        </w:rPr>
      </w:pPr>
      <w:r>
        <w:rPr>
          <w:b/>
          <w:bCs/>
        </w:rPr>
        <w:t>2.6.2.2</w:t>
      </w:r>
      <w:r>
        <w:rPr>
          <w:rFonts w:hint="eastAsia" w:hAnsi="宋体"/>
          <w:b/>
          <w:bCs/>
        </w:rPr>
        <w:t>补水工程</w:t>
      </w:r>
    </w:p>
    <w:p>
      <w:pPr>
        <w:ind w:firstLine="480"/>
        <w:contextualSpacing/>
        <w:rPr>
          <w:rFonts w:hint="eastAsia" w:hAnsi="宋体"/>
        </w:rPr>
      </w:pPr>
      <w:r>
        <w:rPr>
          <w:rFonts w:hint="eastAsia" w:hAnsi="宋体"/>
        </w:rPr>
        <w:t>补水工程由2座补水枢纽和2条补水渠道组成。2座补水枢纽分别为谭家河补水枢纽和刘家河补水枢纽，2条补水渠道分别为谭家河补水渠道和刘家河补水渠道。</w:t>
      </w:r>
    </w:p>
    <w:p>
      <w:pPr>
        <w:ind w:firstLine="480"/>
        <w:contextualSpacing/>
        <w:rPr>
          <w:rFonts w:hint="eastAsia" w:hAnsi="宋体"/>
        </w:rPr>
      </w:pPr>
      <w:r>
        <w:rPr>
          <w:rFonts w:hint="eastAsia" w:hAnsi="宋体"/>
        </w:rPr>
        <w:t>谭家河补水枢纽（原1#底格拦栅坝）位于左支沟谭家河上李家碥处，补水坝采用底格拦栅坝，坝轴线处净宽18m，最大坝高6.50m。底格拦栅坝右岸设置节制闸，闸后设置沉沙池，长20m，沉沙池末端进水闸，进水闸后接补水渠道，全长1236.85m（明渠及渡槽220.04m，隧洞1016.81m），末端接入刘家河补水渠道。</w:t>
      </w:r>
    </w:p>
    <w:p>
      <w:pPr>
        <w:ind w:firstLine="480"/>
        <w:contextualSpacing/>
        <w:rPr>
          <w:b/>
          <w:bCs/>
        </w:rPr>
      </w:pPr>
      <w:r>
        <w:rPr>
          <w:rFonts w:hint="eastAsia" w:hAnsi="宋体"/>
        </w:rPr>
        <w:t>刘家河补水枢纽（原2#底格拦栅坝）位于右支沟刘家河上中华咀处，补水坝底格拦栅坝坝轴线处净宽22m，最大坝高6.60m。底格拦栅坝右岸设置节制闸，闸后设置沉沙池，长15m，沉沙池末端进水闸，进水闸后接补水渠道，全长2360.24m（明、暗渠425.47m，隧洞1934.77m），末端接入寒溪寺水库库尾河道，出口底板高程696.22m。</w:t>
      </w:r>
    </w:p>
    <w:p>
      <w:pPr>
        <w:ind w:firstLine="0" w:firstLineChars="0"/>
        <w:contextualSpacing/>
        <w:outlineLvl w:val="3"/>
        <w:rPr>
          <w:b/>
          <w:bCs/>
        </w:rPr>
      </w:pPr>
      <w:r>
        <w:rPr>
          <w:b/>
          <w:bCs/>
        </w:rPr>
        <w:t>2.6.2.3</w:t>
      </w:r>
      <w:r>
        <w:rPr>
          <w:rFonts w:hint="eastAsia"/>
          <w:b/>
          <w:bCs/>
        </w:rPr>
        <w:t>灌区工程</w:t>
      </w:r>
    </w:p>
    <w:p>
      <w:pPr>
        <w:ind w:firstLine="480"/>
        <w:contextualSpacing/>
        <w:rPr>
          <w:rFonts w:hint="eastAsia"/>
        </w:rPr>
      </w:pPr>
      <w:r>
        <w:rPr>
          <w:rFonts w:hint="eastAsia"/>
        </w:rPr>
        <w:t>寒溪寺水库灌区范围为：北起尖佛山，西至龙潭子河东岸及天星桥水库，南止于原石门乡与兴文镇边界，东以寒溪寺水库及其右干渠灌区为界。灌区范围涉及玉堂街道、化成镇和天马山镇3个乡镇17个村共2.25万亩耕园地，其中：新增1.47万亩，改善0.78万亩；供水人口2.33万人（其中场镇人口0.70万人）。</w:t>
      </w:r>
    </w:p>
    <w:p>
      <w:pPr>
        <w:ind w:firstLine="480"/>
        <w:contextualSpacing/>
      </w:pPr>
      <w:r>
        <w:rPr>
          <w:rFonts w:hint="eastAsia"/>
        </w:rPr>
        <w:t>灌区共布置干渠1条，支渠4条（不计入本次投资），渠道走向大致由北向南，由左岸取水隧洞出口后沿蔡家河左岸行至陈家山，建渡槽跨至右岸，之后干渠南行过岳家坡、尖佛山、何家塝、冯家梁，到达原凌云乡代洛山，建隧洞穿山进入石门乡，之后继续南行止于登高寨。灌区干渠总长7.887km。</w:t>
      </w:r>
    </w:p>
    <w:p>
      <w:pPr>
        <w:ind w:firstLine="0" w:firstLineChars="0"/>
        <w:contextualSpacing/>
        <w:outlineLvl w:val="3"/>
        <w:rPr>
          <w:b/>
          <w:bCs/>
        </w:rPr>
      </w:pPr>
      <w:r>
        <w:rPr>
          <w:b/>
          <w:bCs/>
        </w:rPr>
        <w:t>2.6.2.4</w:t>
      </w:r>
      <w:r>
        <w:rPr>
          <w:rFonts w:hint="eastAsia"/>
          <w:b/>
          <w:bCs/>
        </w:rPr>
        <w:t>附属工程</w:t>
      </w:r>
    </w:p>
    <w:p>
      <w:pPr>
        <w:ind w:firstLine="424" w:firstLineChars="177"/>
        <w:contextualSpacing/>
      </w:pPr>
      <w:r>
        <w:rPr>
          <w:rFonts w:hint="eastAsia"/>
        </w:rPr>
        <w:t>在大坝右岸新建上坝公路1km，改建上坝公路2.5km，连至凌南路。上坝公路路基宽5m，路面宽4.5m，为</w:t>
      </w:r>
      <w:r>
        <w:rPr>
          <w:rFonts w:hint="eastAsia" w:hAnsi="宋体"/>
        </w:rPr>
        <w:t>混凝土</w:t>
      </w:r>
      <w:r>
        <w:rPr>
          <w:rFonts w:hint="eastAsia"/>
        </w:rPr>
        <w:t>路面，C30混凝土面层厚20cm、5%水泥稳定级配碎石基层厚20cm。道路两侧设C25混凝土路肩石，靠山侧布置M7.5浆砌卵石排水沟，靠外侧设置波形安全护栏。</w:t>
      </w:r>
    </w:p>
    <w:p>
      <w:pPr>
        <w:ind w:firstLine="424" w:firstLineChars="177"/>
        <w:contextualSpacing/>
      </w:pPr>
      <w:r>
        <w:rPr>
          <w:rFonts w:hint="eastAsia"/>
        </w:rPr>
        <w:t>办公用房为200m</w:t>
      </w:r>
      <w:r>
        <w:rPr>
          <w:rFonts w:hint="eastAsia"/>
          <w:vertAlign w:val="superscript"/>
        </w:rPr>
        <w:t>2</w:t>
      </w:r>
      <w:r>
        <w:rPr>
          <w:rFonts w:hint="eastAsia"/>
        </w:rPr>
        <w:t>。职工住宅、文化福利用房共计280m</w:t>
      </w:r>
      <w:r>
        <w:rPr>
          <w:rFonts w:hint="eastAsia"/>
          <w:vertAlign w:val="superscript"/>
        </w:rPr>
        <w:t>2</w:t>
      </w:r>
      <w:r>
        <w:rPr>
          <w:rFonts w:hint="eastAsia"/>
        </w:rPr>
        <w:t>。仓库、车库等生产用房计200m</w:t>
      </w:r>
      <w:r>
        <w:rPr>
          <w:rFonts w:hint="eastAsia"/>
          <w:vertAlign w:val="superscript"/>
        </w:rPr>
        <w:t>2</w:t>
      </w:r>
      <w:r>
        <w:rPr>
          <w:rFonts w:hint="eastAsia"/>
        </w:rPr>
        <w:t>。寒溪寺水库管理所办公及生产、生活用房面积共计680m</w:t>
      </w:r>
      <w:r>
        <w:rPr>
          <w:rFonts w:hint="eastAsia"/>
          <w:vertAlign w:val="superscript"/>
        </w:rPr>
        <w:t>2</w:t>
      </w:r>
      <w:r>
        <w:rPr>
          <w:rFonts w:hint="eastAsia"/>
        </w:rPr>
        <w:t>，占地面积为2亩。管理房布置于大坝右岸，靠近上坝公路，采用普通砖混预制结构。</w:t>
      </w:r>
    </w:p>
    <w:p>
      <w:pPr>
        <w:pStyle w:val="4"/>
        <w:ind w:firstLine="0" w:firstLineChars="0"/>
        <w:contextualSpacing/>
      </w:pPr>
      <w:bookmarkStart w:id="312" w:name="_Toc11197"/>
      <w:bookmarkStart w:id="313" w:name="_Toc130753413"/>
      <w:r>
        <w:t>2.3</w:t>
      </w:r>
      <w:r>
        <w:rPr>
          <w:rFonts w:hAnsi="宋体"/>
        </w:rPr>
        <w:t>施工</w:t>
      </w:r>
      <w:bookmarkEnd w:id="312"/>
      <w:r>
        <w:rPr>
          <w:rFonts w:hAnsi="宋体"/>
        </w:rPr>
        <w:t>规划</w:t>
      </w:r>
      <w:bookmarkEnd w:id="313"/>
    </w:p>
    <w:p>
      <w:pPr>
        <w:pStyle w:val="5"/>
        <w:ind w:firstLine="0" w:firstLineChars="0"/>
        <w:contextualSpacing/>
        <w:rPr>
          <w:rFonts w:ascii="Times New Roman" w:hAnsi="Times New Roman"/>
        </w:rPr>
      </w:pPr>
      <w:r>
        <w:rPr>
          <w:rFonts w:ascii="Times New Roman" w:hAnsi="Times New Roman"/>
        </w:rPr>
        <w:t>2.3.1</w:t>
      </w:r>
      <w:r>
        <w:rPr>
          <w:rFonts w:ascii="Times New Roman" w:hAnsi="宋体"/>
        </w:rPr>
        <w:t>施工条件</w:t>
      </w:r>
    </w:p>
    <w:p>
      <w:pPr>
        <w:ind w:firstLine="0" w:firstLineChars="0"/>
        <w:contextualSpacing/>
        <w:outlineLvl w:val="3"/>
        <w:rPr>
          <w:b/>
          <w:bCs/>
        </w:rPr>
      </w:pPr>
      <w:r>
        <w:rPr>
          <w:b/>
          <w:bCs/>
        </w:rPr>
        <w:t>2.3.1.1</w:t>
      </w:r>
      <w:r>
        <w:rPr>
          <w:rFonts w:hAnsi="宋体"/>
          <w:b/>
          <w:bCs/>
        </w:rPr>
        <w:t>对外交通</w:t>
      </w:r>
    </w:p>
    <w:p>
      <w:pPr>
        <w:ind w:firstLine="480"/>
        <w:contextualSpacing/>
        <w:rPr>
          <w:rFonts w:hint="eastAsia" w:hAnsi="宋体"/>
        </w:rPr>
      </w:pPr>
      <w:r>
        <w:rPr>
          <w:rFonts w:hint="eastAsia" w:hAnsi="宋体"/>
        </w:rPr>
        <w:t>寒溪寺水库扩建工程坝址位于巴中市巴州区玉堂街道，距巴州区城区约23.0km。巴州区为巴中市市辖区，位于四川省东北部，米仓山南麓。东接通江县、平昌县，南邻仪陇县，西连巴中市恩阳区，北与南江县抵界。幅员面积1285平方公里。巴州区向西北方向有恩广高速至广元市约148.0km；经银昆高速北行182.0km至陕西省汉中市界；沿恩广高速往东南方向至达州市约132.0km；西南方向有成巴高速直达成都市约345.0km。农村实施村村通工程后，乡村道路已基本普及，初步形成了四通八达的公路网络，工程施工均有公路可供使用，对外交通方便。</w:t>
      </w:r>
    </w:p>
    <w:p>
      <w:pPr>
        <w:ind w:firstLine="480"/>
        <w:contextualSpacing/>
      </w:pPr>
      <w:r>
        <w:rPr>
          <w:rFonts w:hint="eastAsia" w:hAnsi="宋体"/>
        </w:rPr>
        <w:t>枢纽工程对外交通运输路线为：巴州区公路→寒溪寺水库→大坝下游右岸进场公路→坝址。</w:t>
      </w:r>
    </w:p>
    <w:p>
      <w:pPr>
        <w:ind w:firstLine="0" w:firstLineChars="0"/>
        <w:contextualSpacing/>
        <w:outlineLvl w:val="3"/>
        <w:rPr>
          <w:b/>
          <w:bCs/>
        </w:rPr>
      </w:pPr>
      <w:r>
        <w:rPr>
          <w:b/>
          <w:bCs/>
        </w:rPr>
        <w:t>2.3.1.2</w:t>
      </w:r>
      <w:r>
        <w:rPr>
          <w:rFonts w:hAnsi="宋体"/>
          <w:b/>
          <w:bCs/>
        </w:rPr>
        <w:t>场内交通</w:t>
      </w:r>
    </w:p>
    <w:p>
      <w:pPr>
        <w:ind w:firstLine="480"/>
        <w:contextualSpacing/>
        <w:rPr>
          <w:rFonts w:hAnsi="宋体"/>
        </w:rPr>
      </w:pPr>
      <w:r>
        <w:rPr>
          <w:rFonts w:hAnsi="宋体"/>
        </w:rPr>
        <w:t>枢纽场内交通以从右岸经过的县乡公路为交通干线，建成场内公路系统，分别联接到料场、枢纽工区各施工辅助企业、生活区和拦河坝下游上坝公路。施工期间大坝下游右岸车辆、人员等进出利用大坝及交通桥涵与对外交通相连接。总计新建公路8.55km，路面宽4.0</w:t>
      </w:r>
      <w:r>
        <w:rPr>
          <w:rFonts w:hint="eastAsia" w:hAnsi="宋体"/>
        </w:rPr>
        <w:t>m～</w:t>
      </w:r>
      <w:r>
        <w:rPr>
          <w:rFonts w:hAnsi="宋体"/>
        </w:rPr>
        <w:t>6.5m，采用泥结碎石路面。枢纽场内公路统计见</w:t>
      </w:r>
      <w:r>
        <w:rPr>
          <w:rFonts w:hint="eastAsia" w:hAnsi="宋体"/>
        </w:rPr>
        <w:t>下表</w:t>
      </w:r>
      <w:r>
        <w:rPr>
          <w:rFonts w:hAnsi="宋体"/>
        </w:rPr>
        <w:t>。</w:t>
      </w:r>
    </w:p>
    <w:p>
      <w:pPr>
        <w:ind w:firstLine="0" w:firstLineChars="0"/>
        <w:contextualSpacing/>
        <w:jc w:val="center"/>
        <w:rPr>
          <w:rFonts w:hAnsi="宋体"/>
          <w:b/>
          <w:bCs/>
          <w:sz w:val="21"/>
          <w:szCs w:val="21"/>
        </w:rPr>
      </w:pPr>
      <w:r>
        <w:rPr>
          <w:rFonts w:hint="eastAsia" w:hAnsi="宋体"/>
          <w:b/>
          <w:bCs/>
          <w:sz w:val="21"/>
          <w:szCs w:val="21"/>
        </w:rPr>
        <w:t>标2</w:t>
      </w:r>
      <w:r>
        <w:rPr>
          <w:rFonts w:hAnsi="宋体"/>
          <w:b/>
          <w:bCs/>
          <w:sz w:val="21"/>
          <w:szCs w:val="21"/>
        </w:rPr>
        <w:t>.3.1</w:t>
      </w:r>
      <w:r>
        <w:rPr>
          <w:rFonts w:hint="eastAsia" w:hAnsi="宋体"/>
          <w:b/>
          <w:bCs/>
          <w:sz w:val="21"/>
          <w:szCs w:val="21"/>
        </w:rPr>
        <w:t>-</w:t>
      </w:r>
      <w:r>
        <w:rPr>
          <w:rFonts w:hAnsi="宋体"/>
          <w:b/>
          <w:bCs/>
          <w:sz w:val="21"/>
          <w:szCs w:val="21"/>
        </w:rPr>
        <w:t>1  场内施工公路统计表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4029"/>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720" w:type="pct"/>
            <w:noWrap/>
            <w:vAlign w:val="center"/>
          </w:tcPr>
          <w:p>
            <w:pPr>
              <w:pStyle w:val="139"/>
              <w:spacing w:line="240" w:lineRule="auto"/>
              <w:rPr>
                <w:rFonts w:cs="Times New Roman"/>
              </w:rPr>
            </w:pPr>
            <w:r>
              <w:rPr>
                <w:rFonts w:cs="Times New Roman"/>
              </w:rPr>
              <w:t>公路</w:t>
            </w:r>
          </w:p>
        </w:tc>
        <w:tc>
          <w:tcPr>
            <w:tcW w:w="2364" w:type="pct"/>
            <w:noWrap/>
            <w:vAlign w:val="center"/>
          </w:tcPr>
          <w:p>
            <w:pPr>
              <w:pStyle w:val="139"/>
              <w:spacing w:line="240" w:lineRule="auto"/>
              <w:rPr>
                <w:rFonts w:cs="Times New Roman"/>
              </w:rPr>
            </w:pPr>
            <w:r>
              <w:rPr>
                <w:rFonts w:cs="Times New Roman"/>
              </w:rPr>
              <w:t>新建（km）</w:t>
            </w:r>
          </w:p>
        </w:tc>
        <w:tc>
          <w:tcPr>
            <w:tcW w:w="916" w:type="pct"/>
            <w:noWrap/>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放空、导流隧洞进口</w:t>
            </w:r>
          </w:p>
        </w:tc>
        <w:tc>
          <w:tcPr>
            <w:tcW w:w="2364" w:type="pct"/>
            <w:noWrap/>
            <w:vAlign w:val="center"/>
          </w:tcPr>
          <w:p>
            <w:pPr>
              <w:pStyle w:val="139"/>
              <w:spacing w:line="240" w:lineRule="auto"/>
              <w:rPr>
                <w:rFonts w:cs="Times New Roman"/>
              </w:rPr>
            </w:pPr>
            <w:r>
              <w:rPr>
                <w:rFonts w:cs="Times New Roman"/>
              </w:rPr>
              <w:t>0.70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放空、导流隧洞出口</w:t>
            </w:r>
          </w:p>
        </w:tc>
        <w:tc>
          <w:tcPr>
            <w:tcW w:w="2364" w:type="pct"/>
            <w:noWrap/>
            <w:vAlign w:val="center"/>
          </w:tcPr>
          <w:p>
            <w:pPr>
              <w:pStyle w:val="139"/>
              <w:spacing w:line="240" w:lineRule="auto"/>
              <w:rPr>
                <w:rFonts w:cs="Times New Roman"/>
              </w:rPr>
            </w:pPr>
            <w:r>
              <w:rPr>
                <w:rFonts w:cs="Times New Roman"/>
              </w:rPr>
              <w:t>0.20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大坝下游弃渣场</w:t>
            </w:r>
          </w:p>
        </w:tc>
        <w:tc>
          <w:tcPr>
            <w:tcW w:w="2364" w:type="pct"/>
            <w:noWrap/>
            <w:vAlign w:val="center"/>
          </w:tcPr>
          <w:p>
            <w:pPr>
              <w:pStyle w:val="139"/>
              <w:spacing w:line="240" w:lineRule="auto"/>
              <w:rPr>
                <w:rFonts w:cs="Times New Roman"/>
              </w:rPr>
            </w:pPr>
            <w:r>
              <w:rPr>
                <w:rFonts w:cs="Times New Roman"/>
              </w:rPr>
              <w:t>0.80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右岸670m高程上坝公路</w:t>
            </w:r>
          </w:p>
        </w:tc>
        <w:tc>
          <w:tcPr>
            <w:tcW w:w="2364" w:type="pct"/>
            <w:noWrap/>
            <w:vAlign w:val="center"/>
          </w:tcPr>
          <w:p>
            <w:pPr>
              <w:pStyle w:val="139"/>
              <w:spacing w:line="240" w:lineRule="auto"/>
              <w:rPr>
                <w:rFonts w:cs="Times New Roman"/>
              </w:rPr>
            </w:pPr>
            <w:r>
              <w:rPr>
                <w:rFonts w:cs="Times New Roman"/>
              </w:rPr>
              <w:t>1.00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右岸685m高程上坝公路</w:t>
            </w:r>
          </w:p>
        </w:tc>
        <w:tc>
          <w:tcPr>
            <w:tcW w:w="2364" w:type="pct"/>
            <w:noWrap/>
            <w:vAlign w:val="center"/>
          </w:tcPr>
          <w:p>
            <w:pPr>
              <w:pStyle w:val="139"/>
              <w:spacing w:line="240" w:lineRule="auto"/>
              <w:rPr>
                <w:rFonts w:cs="Times New Roman"/>
              </w:rPr>
            </w:pPr>
            <w:r>
              <w:rPr>
                <w:rFonts w:cs="Times New Roman"/>
              </w:rPr>
              <w:t>0.50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石料场</w:t>
            </w:r>
          </w:p>
        </w:tc>
        <w:tc>
          <w:tcPr>
            <w:tcW w:w="2364" w:type="pct"/>
            <w:noWrap/>
            <w:vAlign w:val="center"/>
          </w:tcPr>
          <w:p>
            <w:pPr>
              <w:pStyle w:val="139"/>
              <w:spacing w:line="240" w:lineRule="auto"/>
              <w:rPr>
                <w:rFonts w:cs="Times New Roman"/>
              </w:rPr>
            </w:pPr>
            <w:r>
              <w:rPr>
                <w:rFonts w:cs="Times New Roman"/>
              </w:rPr>
              <w:t>0.75</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1#补水枢纽</w:t>
            </w:r>
          </w:p>
        </w:tc>
        <w:tc>
          <w:tcPr>
            <w:tcW w:w="2364" w:type="pct"/>
            <w:noWrap/>
            <w:vAlign w:val="center"/>
          </w:tcPr>
          <w:p>
            <w:pPr>
              <w:pStyle w:val="139"/>
              <w:spacing w:line="240" w:lineRule="auto"/>
              <w:rPr>
                <w:rFonts w:cs="Times New Roman"/>
              </w:rPr>
            </w:pPr>
            <w:r>
              <w:rPr>
                <w:rFonts w:cs="Times New Roman"/>
              </w:rPr>
              <w:t>0.50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2#补水枢纽</w:t>
            </w:r>
          </w:p>
        </w:tc>
        <w:tc>
          <w:tcPr>
            <w:tcW w:w="2364" w:type="pct"/>
            <w:noWrap/>
            <w:vAlign w:val="center"/>
          </w:tcPr>
          <w:p>
            <w:pPr>
              <w:pStyle w:val="139"/>
              <w:spacing w:line="240" w:lineRule="auto"/>
              <w:rPr>
                <w:rFonts w:cs="Times New Roman"/>
              </w:rPr>
            </w:pPr>
            <w:r>
              <w:rPr>
                <w:rFonts w:cs="Times New Roman"/>
              </w:rPr>
              <w:t>0.40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1#补水隧洞进口</w:t>
            </w:r>
          </w:p>
        </w:tc>
        <w:tc>
          <w:tcPr>
            <w:tcW w:w="2364" w:type="pct"/>
            <w:noWrap/>
            <w:vAlign w:val="center"/>
          </w:tcPr>
          <w:p>
            <w:pPr>
              <w:pStyle w:val="139"/>
              <w:spacing w:line="240" w:lineRule="auto"/>
              <w:rPr>
                <w:rFonts w:cs="Times New Roman"/>
              </w:rPr>
            </w:pPr>
            <w:r>
              <w:rPr>
                <w:rFonts w:cs="Times New Roman"/>
              </w:rPr>
              <w:t>0.80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1#补水隧洞出口</w:t>
            </w:r>
          </w:p>
        </w:tc>
        <w:tc>
          <w:tcPr>
            <w:tcW w:w="2364" w:type="pct"/>
            <w:noWrap/>
            <w:vAlign w:val="center"/>
          </w:tcPr>
          <w:p>
            <w:pPr>
              <w:pStyle w:val="139"/>
              <w:spacing w:line="240" w:lineRule="auto"/>
              <w:rPr>
                <w:rFonts w:cs="Times New Roman"/>
              </w:rPr>
            </w:pPr>
            <w:r>
              <w:rPr>
                <w:rFonts w:cs="Times New Roman"/>
              </w:rPr>
              <w:t>0.35</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2#补水隧洞进口</w:t>
            </w:r>
          </w:p>
        </w:tc>
        <w:tc>
          <w:tcPr>
            <w:tcW w:w="2364" w:type="pct"/>
            <w:noWrap/>
            <w:vAlign w:val="center"/>
          </w:tcPr>
          <w:p>
            <w:pPr>
              <w:pStyle w:val="139"/>
              <w:spacing w:line="240" w:lineRule="auto"/>
              <w:rPr>
                <w:rFonts w:cs="Times New Roman"/>
              </w:rPr>
            </w:pPr>
            <w:r>
              <w:rPr>
                <w:rFonts w:cs="Times New Roman"/>
              </w:rPr>
              <w:t>0.35</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2#补水隧洞出口</w:t>
            </w:r>
          </w:p>
        </w:tc>
        <w:tc>
          <w:tcPr>
            <w:tcW w:w="2364" w:type="pct"/>
            <w:noWrap/>
            <w:vAlign w:val="center"/>
          </w:tcPr>
          <w:p>
            <w:pPr>
              <w:pStyle w:val="139"/>
              <w:spacing w:line="240" w:lineRule="auto"/>
              <w:rPr>
                <w:rFonts w:cs="Times New Roman"/>
              </w:rPr>
            </w:pPr>
            <w:r>
              <w:rPr>
                <w:rFonts w:cs="Times New Roman"/>
              </w:rPr>
              <w:t>0.70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其他连接道</w:t>
            </w:r>
          </w:p>
        </w:tc>
        <w:tc>
          <w:tcPr>
            <w:tcW w:w="2364" w:type="pct"/>
            <w:noWrap/>
            <w:vAlign w:val="center"/>
          </w:tcPr>
          <w:p>
            <w:pPr>
              <w:pStyle w:val="139"/>
              <w:spacing w:line="240" w:lineRule="auto"/>
              <w:rPr>
                <w:rFonts w:cs="Times New Roman"/>
              </w:rPr>
            </w:pPr>
            <w:r>
              <w:rPr>
                <w:rFonts w:cs="Times New Roman"/>
              </w:rPr>
              <w:t>1.50</w:t>
            </w:r>
          </w:p>
        </w:tc>
        <w:tc>
          <w:tcPr>
            <w:tcW w:w="916" w:type="pct"/>
            <w:noWrap/>
            <w:vAlign w:val="center"/>
          </w:tcPr>
          <w:p>
            <w:pPr>
              <w:pStyle w:val="139"/>
              <w:spacing w:line="240" w:lineRule="auto"/>
              <w:rPr>
                <w:rFonts w:cs="Times New Roman"/>
              </w:rPr>
            </w:pPr>
            <w:r>
              <w:rPr>
                <w:rFonts w:cs="Times New Roma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20" w:type="pct"/>
            <w:noWrap/>
            <w:vAlign w:val="center"/>
          </w:tcPr>
          <w:p>
            <w:pPr>
              <w:pStyle w:val="139"/>
              <w:spacing w:line="240" w:lineRule="auto"/>
              <w:rPr>
                <w:rFonts w:cs="Times New Roman"/>
              </w:rPr>
            </w:pPr>
            <w:r>
              <w:rPr>
                <w:rFonts w:cs="Times New Roman"/>
              </w:rPr>
              <w:t>小计</w:t>
            </w:r>
          </w:p>
        </w:tc>
        <w:tc>
          <w:tcPr>
            <w:tcW w:w="2364" w:type="pct"/>
            <w:noWrap/>
            <w:vAlign w:val="center"/>
          </w:tcPr>
          <w:p>
            <w:pPr>
              <w:pStyle w:val="139"/>
              <w:spacing w:line="240" w:lineRule="auto"/>
              <w:rPr>
                <w:rFonts w:cs="Times New Roman"/>
              </w:rPr>
            </w:pPr>
            <w:r>
              <w:rPr>
                <w:rFonts w:cs="Times New Roman"/>
              </w:rPr>
              <w:t>8.55</w:t>
            </w:r>
          </w:p>
        </w:tc>
        <w:tc>
          <w:tcPr>
            <w:tcW w:w="916" w:type="pct"/>
            <w:noWrap/>
            <w:vAlign w:val="center"/>
          </w:tcPr>
          <w:p>
            <w:pPr>
              <w:pStyle w:val="139"/>
              <w:spacing w:line="240" w:lineRule="auto"/>
              <w:rPr>
                <w:rFonts w:cs="Times New Roman"/>
              </w:rPr>
            </w:pPr>
          </w:p>
        </w:tc>
      </w:tr>
    </w:tbl>
    <w:p>
      <w:pPr>
        <w:pStyle w:val="5"/>
        <w:ind w:firstLine="0" w:firstLineChars="0"/>
        <w:contextualSpacing/>
        <w:rPr>
          <w:rFonts w:ascii="Times New Roman" w:hAnsi="Times New Roman"/>
        </w:rPr>
      </w:pPr>
      <w:r>
        <w:rPr>
          <w:rFonts w:ascii="Times New Roman" w:hAnsi="Times New Roman"/>
        </w:rPr>
        <w:t>2.3.2</w:t>
      </w:r>
      <w:r>
        <w:rPr>
          <w:rFonts w:ascii="Times New Roman" w:hAnsi="宋体"/>
        </w:rPr>
        <w:t>施工导截流</w:t>
      </w:r>
    </w:p>
    <w:p>
      <w:pPr>
        <w:ind w:firstLine="0" w:firstLineChars="0"/>
        <w:contextualSpacing/>
        <w:outlineLvl w:val="3"/>
        <w:rPr>
          <w:b/>
          <w:bCs/>
        </w:rPr>
      </w:pPr>
      <w:r>
        <w:rPr>
          <w:b/>
          <w:bCs/>
        </w:rPr>
        <w:t>2.3.2.1</w:t>
      </w:r>
      <w:r>
        <w:rPr>
          <w:rFonts w:hAnsi="宋体"/>
          <w:b/>
          <w:bCs/>
        </w:rPr>
        <w:t>导流标准</w:t>
      </w:r>
    </w:p>
    <w:p>
      <w:pPr>
        <w:ind w:firstLine="480"/>
        <w:contextualSpacing/>
      </w:pPr>
      <w:r>
        <w:rPr>
          <w:rFonts w:hAnsi="宋体"/>
        </w:rPr>
        <w:t>（</w:t>
      </w:r>
      <w:r>
        <w:t>1</w:t>
      </w:r>
      <w:r>
        <w:rPr>
          <w:rFonts w:hAnsi="宋体"/>
        </w:rPr>
        <w:t>）枢纽工程</w:t>
      </w:r>
    </w:p>
    <w:p>
      <w:pPr>
        <w:ind w:firstLine="480"/>
        <w:contextualSpacing/>
        <w:rPr>
          <w:rFonts w:hAnsi="宋体"/>
        </w:rPr>
      </w:pPr>
      <w:r>
        <w:rPr>
          <w:rFonts w:hAnsi="宋体"/>
        </w:rPr>
        <w:t>寒溪寺水库为四等小（1）型工程，其主要建筑物为4级，根据《水利水电工程施工组织设计规范》（SL303－2017）有关规定，临时建筑物为5级。</w:t>
      </w:r>
    </w:p>
    <w:p>
      <w:pPr>
        <w:ind w:firstLine="480"/>
        <w:contextualSpacing/>
        <w:rPr>
          <w:rFonts w:hAnsi="宋体"/>
        </w:rPr>
      </w:pPr>
      <w:r>
        <w:rPr>
          <w:rFonts w:hAnsi="宋体"/>
        </w:rPr>
        <w:t>本工程采用土石围堰隧洞导流方式导流，根据SL303－2017规定，枯期低水围堰为5级，导流标准重现期为5</w:t>
      </w:r>
      <w:r>
        <w:rPr>
          <w:rFonts w:hint="eastAsia" w:hAnsi="宋体"/>
        </w:rPr>
        <w:t>～</w:t>
      </w:r>
      <w:r>
        <w:rPr>
          <w:rFonts w:hAnsi="宋体"/>
        </w:rPr>
        <w:t>10年。枯期导流标准比较见</w:t>
      </w:r>
      <w:r>
        <w:rPr>
          <w:rFonts w:hint="eastAsia" w:hAnsi="宋体"/>
        </w:rPr>
        <w:t>下表</w:t>
      </w:r>
      <w:r>
        <w:rPr>
          <w:rFonts w:hAnsi="宋体"/>
        </w:rPr>
        <w:t>。</w:t>
      </w:r>
    </w:p>
    <w:p>
      <w:pPr>
        <w:ind w:firstLine="0" w:firstLineChars="0"/>
        <w:contextualSpacing/>
        <w:jc w:val="center"/>
        <w:rPr>
          <w:rFonts w:hAnsi="宋体"/>
          <w:b/>
          <w:bCs/>
          <w:sz w:val="21"/>
          <w:szCs w:val="21"/>
        </w:rPr>
      </w:pPr>
      <w:r>
        <w:rPr>
          <w:rFonts w:hAnsi="宋体"/>
          <w:b/>
          <w:bCs/>
          <w:sz w:val="21"/>
          <w:szCs w:val="21"/>
        </w:rPr>
        <w:t>表2.3.1</w:t>
      </w:r>
      <w:r>
        <w:rPr>
          <w:rFonts w:hint="eastAsia" w:hAnsi="宋体"/>
          <w:b/>
          <w:bCs/>
          <w:sz w:val="21"/>
          <w:szCs w:val="21"/>
        </w:rPr>
        <w:t>-</w:t>
      </w:r>
      <w:r>
        <w:rPr>
          <w:rFonts w:hAnsi="宋体"/>
          <w:b/>
          <w:bCs/>
          <w:sz w:val="21"/>
          <w:szCs w:val="21"/>
        </w:rPr>
        <w:t>2  枯期导流标准比较表</w:t>
      </w:r>
    </w:p>
    <w:tbl>
      <w:tblPr>
        <w:tblStyle w:val="38"/>
        <w:tblW w:w="483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463"/>
        <w:gridCol w:w="2311"/>
        <w:gridCol w:w="2311"/>
        <w:gridCol w:w="115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项目</w:t>
            </w:r>
          </w:p>
        </w:tc>
        <w:tc>
          <w:tcPr>
            <w:tcW w:w="1402" w:type="pct"/>
            <w:vAlign w:val="center"/>
          </w:tcPr>
          <w:p>
            <w:pPr>
              <w:pStyle w:val="139"/>
              <w:spacing w:line="240" w:lineRule="auto"/>
              <w:rPr>
                <w:rFonts w:cs="Times New Roman"/>
                <w:szCs w:val="18"/>
              </w:rPr>
            </w:pPr>
            <w:r>
              <w:rPr>
                <w:rFonts w:cs="Times New Roman"/>
                <w:szCs w:val="18"/>
              </w:rPr>
              <w:t>导流标准P=10%</w:t>
            </w:r>
          </w:p>
        </w:tc>
        <w:tc>
          <w:tcPr>
            <w:tcW w:w="1402" w:type="pct"/>
            <w:vAlign w:val="center"/>
          </w:tcPr>
          <w:p>
            <w:pPr>
              <w:pStyle w:val="139"/>
              <w:spacing w:line="240" w:lineRule="auto"/>
              <w:rPr>
                <w:rFonts w:cs="Times New Roman"/>
                <w:szCs w:val="18"/>
              </w:rPr>
            </w:pPr>
            <w:r>
              <w:rPr>
                <w:rFonts w:cs="Times New Roman"/>
                <w:szCs w:val="18"/>
              </w:rPr>
              <w:t>导流标准P=20%</w:t>
            </w:r>
          </w:p>
        </w:tc>
        <w:tc>
          <w:tcPr>
            <w:tcW w:w="700" w:type="pct"/>
            <w:vAlign w:val="center"/>
          </w:tcPr>
          <w:p>
            <w:pPr>
              <w:pStyle w:val="139"/>
              <w:spacing w:line="240" w:lineRule="auto"/>
              <w:rPr>
                <w:rFonts w:cs="Times New Roman"/>
                <w:szCs w:val="18"/>
              </w:rPr>
            </w:pPr>
            <w:r>
              <w:rPr>
                <w:rFonts w:cs="Times New Roman"/>
                <w:szCs w:val="18"/>
              </w:rPr>
              <w:t>差值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导流时段</w:t>
            </w:r>
          </w:p>
        </w:tc>
        <w:tc>
          <w:tcPr>
            <w:tcW w:w="1402" w:type="pct"/>
            <w:vAlign w:val="center"/>
          </w:tcPr>
          <w:p>
            <w:pPr>
              <w:pStyle w:val="139"/>
              <w:spacing w:line="240" w:lineRule="auto"/>
              <w:rPr>
                <w:rFonts w:cs="Times New Roman"/>
                <w:szCs w:val="18"/>
              </w:rPr>
            </w:pPr>
            <w:r>
              <w:rPr>
                <w:rFonts w:cs="Times New Roman"/>
                <w:szCs w:val="18"/>
              </w:rPr>
              <w:t>11～4月</w:t>
            </w:r>
          </w:p>
        </w:tc>
        <w:tc>
          <w:tcPr>
            <w:tcW w:w="1402" w:type="pct"/>
            <w:vAlign w:val="center"/>
          </w:tcPr>
          <w:p>
            <w:pPr>
              <w:pStyle w:val="139"/>
              <w:spacing w:line="240" w:lineRule="auto"/>
              <w:rPr>
                <w:rFonts w:cs="Times New Roman"/>
                <w:szCs w:val="18"/>
              </w:rPr>
            </w:pPr>
            <w:r>
              <w:rPr>
                <w:rFonts w:cs="Times New Roman"/>
                <w:szCs w:val="18"/>
              </w:rPr>
              <w:t>11～4月</w:t>
            </w:r>
          </w:p>
        </w:tc>
        <w:tc>
          <w:tcPr>
            <w:tcW w:w="700" w:type="pct"/>
            <w:vAlign w:val="center"/>
          </w:tcPr>
          <w:p>
            <w:pPr>
              <w:pStyle w:val="139"/>
              <w:spacing w:line="240" w:lineRule="auto"/>
              <w:rPr>
                <w:rFonts w:cs="Times New Roman"/>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导流流量（m</w:t>
            </w:r>
            <w:r>
              <w:rPr>
                <w:rFonts w:cs="Times New Roman"/>
                <w:szCs w:val="18"/>
                <w:vertAlign w:val="superscript"/>
              </w:rPr>
              <w:t>3</w:t>
            </w:r>
            <w:r>
              <w:rPr>
                <w:rFonts w:cs="Times New Roman"/>
                <w:szCs w:val="18"/>
              </w:rPr>
              <w:t>/s）</w:t>
            </w:r>
          </w:p>
        </w:tc>
        <w:tc>
          <w:tcPr>
            <w:tcW w:w="1402" w:type="pct"/>
            <w:vAlign w:val="center"/>
          </w:tcPr>
          <w:p>
            <w:pPr>
              <w:pStyle w:val="139"/>
              <w:spacing w:line="240" w:lineRule="auto"/>
              <w:rPr>
                <w:rFonts w:cs="Times New Roman"/>
                <w:szCs w:val="18"/>
              </w:rPr>
            </w:pPr>
            <w:r>
              <w:rPr>
                <w:rFonts w:cs="Times New Roman"/>
                <w:szCs w:val="18"/>
              </w:rPr>
              <w:t>6.66</w:t>
            </w:r>
          </w:p>
        </w:tc>
        <w:tc>
          <w:tcPr>
            <w:tcW w:w="1402" w:type="pct"/>
            <w:vAlign w:val="center"/>
          </w:tcPr>
          <w:p>
            <w:pPr>
              <w:pStyle w:val="139"/>
              <w:spacing w:line="240" w:lineRule="auto"/>
              <w:rPr>
                <w:rFonts w:cs="Times New Roman"/>
                <w:szCs w:val="18"/>
              </w:rPr>
            </w:pPr>
            <w:r>
              <w:rPr>
                <w:rFonts w:cs="Times New Roman"/>
                <w:szCs w:val="18"/>
              </w:rPr>
              <w:t>3.63</w:t>
            </w:r>
          </w:p>
        </w:tc>
        <w:tc>
          <w:tcPr>
            <w:tcW w:w="700" w:type="pct"/>
            <w:vAlign w:val="center"/>
          </w:tcPr>
          <w:p>
            <w:pPr>
              <w:pStyle w:val="139"/>
              <w:spacing w:line="240" w:lineRule="auto"/>
              <w:rPr>
                <w:rFonts w:cs="Times New Roman"/>
                <w:szCs w:val="18"/>
              </w:rPr>
            </w:pPr>
            <w:r>
              <w:rPr>
                <w:rFonts w:cs="Times New Roman"/>
                <w:szCs w:val="18"/>
              </w:rPr>
              <w:t>3.03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导流隧洞洞径（m）宽×高</w:t>
            </w:r>
          </w:p>
        </w:tc>
        <w:tc>
          <w:tcPr>
            <w:tcW w:w="1402" w:type="pct"/>
            <w:vAlign w:val="center"/>
          </w:tcPr>
          <w:p>
            <w:pPr>
              <w:pStyle w:val="139"/>
              <w:spacing w:line="240" w:lineRule="auto"/>
              <w:rPr>
                <w:rFonts w:cs="Times New Roman"/>
                <w:szCs w:val="18"/>
              </w:rPr>
            </w:pPr>
            <w:r>
              <w:rPr>
                <w:rFonts w:cs="Times New Roman"/>
                <w:szCs w:val="18"/>
              </w:rPr>
              <w:t>2.2×3.0</w:t>
            </w:r>
          </w:p>
        </w:tc>
        <w:tc>
          <w:tcPr>
            <w:tcW w:w="1402" w:type="pct"/>
            <w:vAlign w:val="center"/>
          </w:tcPr>
          <w:p>
            <w:pPr>
              <w:pStyle w:val="139"/>
              <w:spacing w:line="240" w:lineRule="auto"/>
              <w:rPr>
                <w:rFonts w:cs="Times New Roman"/>
                <w:szCs w:val="18"/>
              </w:rPr>
            </w:pPr>
            <w:r>
              <w:rPr>
                <w:rFonts w:cs="Times New Roman"/>
                <w:szCs w:val="18"/>
              </w:rPr>
              <w:t>2.2×3.0</w:t>
            </w:r>
          </w:p>
        </w:tc>
        <w:tc>
          <w:tcPr>
            <w:tcW w:w="700" w:type="pct"/>
            <w:vAlign w:val="center"/>
          </w:tcPr>
          <w:p>
            <w:pPr>
              <w:pStyle w:val="139"/>
              <w:spacing w:line="240" w:lineRule="auto"/>
              <w:rPr>
                <w:rFonts w:cs="Times New Roman"/>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上游堰前水位（m）</w:t>
            </w:r>
          </w:p>
        </w:tc>
        <w:tc>
          <w:tcPr>
            <w:tcW w:w="1402" w:type="pct"/>
            <w:vAlign w:val="center"/>
          </w:tcPr>
          <w:p>
            <w:pPr>
              <w:pStyle w:val="139"/>
              <w:spacing w:line="240" w:lineRule="auto"/>
              <w:rPr>
                <w:rFonts w:cs="Times New Roman"/>
                <w:szCs w:val="18"/>
              </w:rPr>
            </w:pPr>
            <w:r>
              <w:rPr>
                <w:rFonts w:cs="Times New Roman"/>
                <w:szCs w:val="18"/>
              </w:rPr>
              <w:t>668.01</w:t>
            </w:r>
          </w:p>
        </w:tc>
        <w:tc>
          <w:tcPr>
            <w:tcW w:w="1402" w:type="pct"/>
            <w:vAlign w:val="center"/>
          </w:tcPr>
          <w:p>
            <w:pPr>
              <w:pStyle w:val="139"/>
              <w:spacing w:line="240" w:lineRule="auto"/>
              <w:rPr>
                <w:rFonts w:cs="Times New Roman"/>
                <w:szCs w:val="18"/>
              </w:rPr>
            </w:pPr>
            <w:r>
              <w:rPr>
                <w:rFonts w:cs="Times New Roman"/>
                <w:szCs w:val="18"/>
              </w:rPr>
              <w:t>667.15</w:t>
            </w:r>
          </w:p>
        </w:tc>
        <w:tc>
          <w:tcPr>
            <w:tcW w:w="700" w:type="pct"/>
            <w:vAlign w:val="center"/>
          </w:tcPr>
          <w:p>
            <w:pPr>
              <w:pStyle w:val="139"/>
              <w:spacing w:line="240" w:lineRule="auto"/>
              <w:rPr>
                <w:rFonts w:cs="Times New Roman"/>
                <w:szCs w:val="18"/>
              </w:rPr>
            </w:pPr>
            <w:r>
              <w:rPr>
                <w:rFonts w:cs="Times New Roman"/>
                <w:szCs w:val="18"/>
              </w:rPr>
              <w:t>0.86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94" w:type="pct"/>
            <w:vAlign w:val="center"/>
          </w:tcPr>
          <w:p>
            <w:pPr>
              <w:pStyle w:val="139"/>
              <w:spacing w:line="240" w:lineRule="auto"/>
              <w:rPr>
                <w:rFonts w:cs="Times New Roman"/>
                <w:szCs w:val="18"/>
              </w:rPr>
            </w:pPr>
            <w:r>
              <w:rPr>
                <w:rFonts w:cs="Times New Roman"/>
                <w:szCs w:val="18"/>
              </w:rPr>
              <w:t>上游堰顶高程（m）</w:t>
            </w:r>
          </w:p>
        </w:tc>
        <w:tc>
          <w:tcPr>
            <w:tcW w:w="1402" w:type="pct"/>
            <w:vAlign w:val="center"/>
          </w:tcPr>
          <w:p>
            <w:pPr>
              <w:pStyle w:val="139"/>
              <w:spacing w:line="240" w:lineRule="auto"/>
              <w:rPr>
                <w:rFonts w:cs="Times New Roman"/>
                <w:szCs w:val="18"/>
              </w:rPr>
            </w:pPr>
            <w:r>
              <w:rPr>
                <w:rFonts w:cs="Times New Roman"/>
                <w:szCs w:val="18"/>
              </w:rPr>
              <w:t>668.70</w:t>
            </w:r>
          </w:p>
        </w:tc>
        <w:tc>
          <w:tcPr>
            <w:tcW w:w="1402" w:type="pct"/>
            <w:vAlign w:val="center"/>
          </w:tcPr>
          <w:p>
            <w:pPr>
              <w:pStyle w:val="139"/>
              <w:spacing w:line="240" w:lineRule="auto"/>
              <w:rPr>
                <w:rFonts w:cs="Times New Roman"/>
                <w:szCs w:val="18"/>
              </w:rPr>
            </w:pPr>
            <w:r>
              <w:rPr>
                <w:rFonts w:cs="Times New Roman"/>
                <w:szCs w:val="18"/>
              </w:rPr>
              <w:t>667.85</w:t>
            </w:r>
          </w:p>
        </w:tc>
        <w:tc>
          <w:tcPr>
            <w:tcW w:w="700" w:type="pct"/>
            <w:vAlign w:val="center"/>
          </w:tcPr>
          <w:p>
            <w:pPr>
              <w:pStyle w:val="139"/>
              <w:spacing w:line="240" w:lineRule="auto"/>
              <w:rPr>
                <w:rFonts w:cs="Times New Roman"/>
                <w:szCs w:val="18"/>
              </w:rPr>
            </w:pPr>
            <w:r>
              <w:rPr>
                <w:rFonts w:cs="Times New Roman"/>
                <w:szCs w:val="18"/>
              </w:rPr>
              <w:t>0.85</w:t>
            </w:r>
          </w:p>
        </w:tc>
      </w:tr>
    </w:tbl>
    <w:p>
      <w:pPr>
        <w:ind w:firstLine="480"/>
        <w:contextualSpacing/>
        <w:rPr>
          <w:rFonts w:hAnsi="宋体"/>
        </w:rPr>
      </w:pPr>
      <w:r>
        <w:rPr>
          <w:rFonts w:hAnsi="宋体"/>
        </w:rPr>
        <w:t>由上表知，5年与10年一遇导流标准围堰顶高程分别为667.85m、668.70m，原坝体顶高程为668.10</w:t>
      </w:r>
      <w:r>
        <w:rPr>
          <w:rFonts w:hint="eastAsia" w:hAnsi="宋体"/>
        </w:rPr>
        <w:t>m～</w:t>
      </w:r>
      <w:r>
        <w:rPr>
          <w:rFonts w:hAnsi="宋体"/>
        </w:rPr>
        <w:t>668.60m之间，由于新建坝体位于原坝体下游，故本工程不需要修筑上游枯期围堰，利用原坝体挡水。本阶段选定导流洪水重现期为5年，满足规范要求。如遇枯期10年洪水，仅需要对原坝体进行编织袋装土填筑加高0.5m左右即可保证枯期施工安全。</w:t>
      </w:r>
    </w:p>
    <w:p>
      <w:pPr>
        <w:ind w:firstLine="480"/>
        <w:contextualSpacing/>
        <w:rPr>
          <w:rFonts w:hAnsi="宋体"/>
        </w:rPr>
      </w:pPr>
      <w:r>
        <w:rPr>
          <w:rFonts w:hAnsi="宋体"/>
        </w:rPr>
        <w:t>汛期施工利用新填筑坝体断面挡水度汛，导流放空隧洞过流，坝体断面挡水拦洪库容小于1000万m</w:t>
      </w:r>
      <w:r>
        <w:rPr>
          <w:rFonts w:hAnsi="宋体"/>
          <w:vertAlign w:val="superscript"/>
        </w:rPr>
        <w:t>3</w:t>
      </w:r>
      <w:r>
        <w:rPr>
          <w:rFonts w:hAnsi="宋体"/>
        </w:rPr>
        <w:t>，其度汛标准为重现期20</w:t>
      </w:r>
      <w:r>
        <w:rPr>
          <w:rFonts w:hint="eastAsia" w:hAnsi="宋体"/>
        </w:rPr>
        <w:t>年</w:t>
      </w:r>
      <w:r>
        <w:rPr>
          <w:rFonts w:hAnsi="宋体"/>
        </w:rPr>
        <w:t>～50年洪水。拟定重现期20年、30年、50年三个标准，以导流隧洞过流进行水力计算，其成果见</w:t>
      </w:r>
      <w:r>
        <w:rPr>
          <w:rFonts w:hint="eastAsia" w:hAnsi="宋体"/>
        </w:rPr>
        <w:t>下表</w:t>
      </w:r>
      <w:r>
        <w:rPr>
          <w:rFonts w:hAnsi="宋体"/>
        </w:rPr>
        <w:t>。</w:t>
      </w:r>
    </w:p>
    <w:p>
      <w:pPr>
        <w:ind w:firstLine="0" w:firstLineChars="0"/>
        <w:contextualSpacing/>
        <w:jc w:val="center"/>
        <w:rPr>
          <w:rFonts w:hAnsi="宋体"/>
          <w:b/>
          <w:bCs/>
          <w:sz w:val="21"/>
          <w:szCs w:val="21"/>
        </w:rPr>
      </w:pPr>
      <w:r>
        <w:rPr>
          <w:rFonts w:hAnsi="宋体"/>
          <w:b/>
          <w:bCs/>
          <w:sz w:val="21"/>
          <w:szCs w:val="21"/>
        </w:rPr>
        <w:t>表2.3.1</w:t>
      </w:r>
      <w:r>
        <w:rPr>
          <w:rFonts w:hint="eastAsia" w:hAnsi="宋体"/>
          <w:b/>
          <w:bCs/>
          <w:sz w:val="21"/>
          <w:szCs w:val="21"/>
        </w:rPr>
        <w:t>-</w:t>
      </w:r>
      <w:r>
        <w:rPr>
          <w:rFonts w:hAnsi="宋体"/>
          <w:b/>
          <w:bCs/>
          <w:sz w:val="21"/>
          <w:szCs w:val="21"/>
        </w:rPr>
        <w:t>3  坝体施工期间临时</w:t>
      </w:r>
      <w:r>
        <w:rPr>
          <w:rFonts w:hint="eastAsia" w:hAnsi="宋体"/>
          <w:b/>
          <w:bCs/>
          <w:sz w:val="21"/>
          <w:szCs w:val="21"/>
          <w:lang w:eastAsia="zh-CN"/>
        </w:rPr>
        <w:t>度汛</w:t>
      </w:r>
      <w:r>
        <w:rPr>
          <w:rFonts w:hAnsi="宋体"/>
          <w:b/>
          <w:bCs/>
          <w:sz w:val="21"/>
          <w:szCs w:val="21"/>
        </w:rPr>
        <w:t>洪水标准比较表</w:t>
      </w:r>
    </w:p>
    <w:tbl>
      <w:tblPr>
        <w:tblStyle w:val="38"/>
        <w:tblW w:w="486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1"/>
        <w:gridCol w:w="1130"/>
        <w:gridCol w:w="1564"/>
        <w:gridCol w:w="1351"/>
        <w:gridCol w:w="1564"/>
        <w:gridCol w:w="17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550" w:type="pct"/>
            <w:vAlign w:val="center"/>
          </w:tcPr>
          <w:p>
            <w:pPr>
              <w:pStyle w:val="139"/>
              <w:spacing w:line="240" w:lineRule="auto"/>
              <w:rPr>
                <w:rFonts w:cs="Times New Roman"/>
                <w:szCs w:val="18"/>
              </w:rPr>
            </w:pPr>
            <w:r>
              <w:rPr>
                <w:rFonts w:cs="Times New Roman"/>
                <w:szCs w:val="18"/>
              </w:rPr>
              <w:t>项目</w:t>
            </w:r>
          </w:p>
          <w:p>
            <w:pPr>
              <w:pStyle w:val="139"/>
              <w:spacing w:line="240" w:lineRule="auto"/>
              <w:rPr>
                <w:rFonts w:cs="Times New Roman"/>
                <w:szCs w:val="18"/>
              </w:rPr>
            </w:pPr>
            <w:r>
              <w:rPr>
                <w:rFonts w:cs="Times New Roman"/>
                <w:szCs w:val="18"/>
              </w:rPr>
              <w:t>重现期</w:t>
            </w:r>
          </w:p>
        </w:tc>
        <w:tc>
          <w:tcPr>
            <w:tcW w:w="682" w:type="pct"/>
            <w:vAlign w:val="center"/>
          </w:tcPr>
          <w:p>
            <w:pPr>
              <w:pStyle w:val="139"/>
              <w:spacing w:line="240" w:lineRule="auto"/>
              <w:rPr>
                <w:rFonts w:cs="Times New Roman"/>
                <w:szCs w:val="18"/>
              </w:rPr>
            </w:pPr>
            <w:r>
              <w:rPr>
                <w:rFonts w:cs="Times New Roman"/>
                <w:szCs w:val="18"/>
              </w:rPr>
              <w:t>导流流量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944" w:type="pct"/>
            <w:vAlign w:val="center"/>
          </w:tcPr>
          <w:p>
            <w:pPr>
              <w:pStyle w:val="139"/>
              <w:spacing w:line="240" w:lineRule="auto"/>
              <w:rPr>
                <w:rFonts w:cs="Times New Roman"/>
                <w:szCs w:val="18"/>
              </w:rPr>
            </w:pPr>
            <w:r>
              <w:rPr>
                <w:rFonts w:cs="Times New Roman"/>
                <w:szCs w:val="18"/>
              </w:rPr>
              <w:t>导流下泄流量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815" w:type="pct"/>
            <w:vAlign w:val="center"/>
          </w:tcPr>
          <w:p>
            <w:pPr>
              <w:pStyle w:val="139"/>
              <w:spacing w:line="240" w:lineRule="auto"/>
              <w:rPr>
                <w:rFonts w:cs="Times New Roman"/>
                <w:szCs w:val="18"/>
              </w:rPr>
            </w:pPr>
            <w:r>
              <w:rPr>
                <w:rFonts w:cs="Times New Roman"/>
                <w:szCs w:val="18"/>
              </w:rPr>
              <w:t>滞洪库容</w:t>
            </w:r>
          </w:p>
          <w:p>
            <w:pPr>
              <w:pStyle w:val="139"/>
              <w:spacing w:line="240" w:lineRule="auto"/>
              <w:rPr>
                <w:rFonts w:cs="Times New Roman"/>
                <w:szCs w:val="18"/>
              </w:rPr>
            </w:pPr>
            <w:r>
              <w:rPr>
                <w:rFonts w:cs="Times New Roman"/>
                <w:szCs w:val="18"/>
              </w:rPr>
              <w:t>万m</w:t>
            </w:r>
            <w:r>
              <w:rPr>
                <w:rFonts w:cs="Times New Roman"/>
                <w:szCs w:val="18"/>
                <w:vertAlign w:val="superscript"/>
              </w:rPr>
              <w:t>3</w:t>
            </w:r>
          </w:p>
        </w:tc>
        <w:tc>
          <w:tcPr>
            <w:tcW w:w="944" w:type="pct"/>
            <w:vAlign w:val="center"/>
          </w:tcPr>
          <w:p>
            <w:pPr>
              <w:pStyle w:val="139"/>
              <w:spacing w:line="240" w:lineRule="auto"/>
              <w:rPr>
                <w:rFonts w:cs="Times New Roman"/>
                <w:szCs w:val="18"/>
              </w:rPr>
            </w:pPr>
            <w:r>
              <w:rPr>
                <w:rFonts w:cs="Times New Roman"/>
                <w:szCs w:val="18"/>
              </w:rPr>
              <w:t>上游拦洪水位</w:t>
            </w:r>
          </w:p>
          <w:p>
            <w:pPr>
              <w:pStyle w:val="139"/>
              <w:spacing w:line="240" w:lineRule="auto"/>
              <w:rPr>
                <w:rFonts w:cs="Times New Roman"/>
                <w:szCs w:val="18"/>
              </w:rPr>
            </w:pPr>
            <w:r>
              <w:rPr>
                <w:rFonts w:cs="Times New Roman"/>
                <w:szCs w:val="18"/>
              </w:rPr>
              <w:t>m</w:t>
            </w:r>
          </w:p>
        </w:tc>
        <w:tc>
          <w:tcPr>
            <w:tcW w:w="1063" w:type="pct"/>
            <w:vAlign w:val="center"/>
          </w:tcPr>
          <w:p>
            <w:pPr>
              <w:pStyle w:val="139"/>
              <w:spacing w:line="240" w:lineRule="auto"/>
              <w:rPr>
                <w:rFonts w:cs="Times New Roman"/>
                <w:szCs w:val="18"/>
              </w:rPr>
            </w:pPr>
            <w:r>
              <w:rPr>
                <w:rFonts w:cs="Times New Roman"/>
                <w:szCs w:val="18"/>
              </w:rPr>
              <w:t>拦洪断面填筑强度</w:t>
            </w:r>
          </w:p>
          <w:p>
            <w:pPr>
              <w:pStyle w:val="139"/>
              <w:spacing w:line="240" w:lineRule="auto"/>
              <w:rPr>
                <w:rFonts w:cs="Times New Roman"/>
                <w:szCs w:val="18"/>
              </w:rPr>
            </w:pPr>
            <w:r>
              <w:rPr>
                <w:rFonts w:cs="Times New Roman"/>
                <w:szCs w:val="18"/>
              </w:rPr>
              <w:t>万m</w:t>
            </w:r>
            <w:r>
              <w:rPr>
                <w:rFonts w:cs="Times New Roman"/>
                <w:szCs w:val="18"/>
                <w:vertAlign w:val="superscript"/>
              </w:rPr>
              <w:t>3</w:t>
            </w:r>
            <w:r>
              <w:rPr>
                <w:rFonts w:cs="Times New Roman"/>
                <w:szCs w:val="18"/>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0" w:type="pct"/>
            <w:vAlign w:val="center"/>
          </w:tcPr>
          <w:p>
            <w:pPr>
              <w:pStyle w:val="139"/>
              <w:spacing w:line="240" w:lineRule="auto"/>
              <w:rPr>
                <w:rFonts w:cs="Times New Roman"/>
                <w:szCs w:val="18"/>
              </w:rPr>
            </w:pPr>
            <w:r>
              <w:rPr>
                <w:rFonts w:cs="Times New Roman"/>
                <w:szCs w:val="18"/>
              </w:rPr>
              <w:t>20年</w:t>
            </w:r>
          </w:p>
        </w:tc>
        <w:tc>
          <w:tcPr>
            <w:tcW w:w="682" w:type="pct"/>
            <w:vAlign w:val="center"/>
          </w:tcPr>
          <w:p>
            <w:pPr>
              <w:pStyle w:val="139"/>
              <w:spacing w:line="240" w:lineRule="auto"/>
              <w:rPr>
                <w:rFonts w:cs="Times New Roman"/>
                <w:szCs w:val="18"/>
              </w:rPr>
            </w:pPr>
            <w:r>
              <w:rPr>
                <w:rFonts w:cs="Times New Roman"/>
                <w:szCs w:val="18"/>
              </w:rPr>
              <w:t>62.80</w:t>
            </w:r>
          </w:p>
        </w:tc>
        <w:tc>
          <w:tcPr>
            <w:tcW w:w="944" w:type="pct"/>
            <w:vAlign w:val="center"/>
          </w:tcPr>
          <w:p>
            <w:pPr>
              <w:pStyle w:val="139"/>
              <w:spacing w:line="240" w:lineRule="auto"/>
              <w:rPr>
                <w:rFonts w:cs="Times New Roman"/>
                <w:szCs w:val="18"/>
              </w:rPr>
            </w:pPr>
            <w:r>
              <w:rPr>
                <w:rFonts w:cs="Times New Roman"/>
                <w:szCs w:val="18"/>
              </w:rPr>
              <w:t>32.44</w:t>
            </w:r>
          </w:p>
        </w:tc>
        <w:tc>
          <w:tcPr>
            <w:tcW w:w="815" w:type="pct"/>
            <w:vAlign w:val="center"/>
          </w:tcPr>
          <w:p>
            <w:pPr>
              <w:pStyle w:val="139"/>
              <w:spacing w:line="240" w:lineRule="auto"/>
              <w:rPr>
                <w:rFonts w:cs="Times New Roman"/>
                <w:szCs w:val="18"/>
              </w:rPr>
            </w:pPr>
            <w:r>
              <w:rPr>
                <w:rFonts w:cs="Times New Roman"/>
                <w:szCs w:val="18"/>
              </w:rPr>
              <w:t>48.30</w:t>
            </w:r>
          </w:p>
        </w:tc>
        <w:tc>
          <w:tcPr>
            <w:tcW w:w="944" w:type="pct"/>
            <w:vAlign w:val="center"/>
          </w:tcPr>
          <w:p>
            <w:pPr>
              <w:pStyle w:val="139"/>
              <w:spacing w:line="240" w:lineRule="auto"/>
              <w:rPr>
                <w:rFonts w:cs="Times New Roman"/>
                <w:szCs w:val="18"/>
              </w:rPr>
            </w:pPr>
            <w:r>
              <w:rPr>
                <w:rFonts w:cs="Times New Roman"/>
                <w:szCs w:val="18"/>
              </w:rPr>
              <w:t>674.35</w:t>
            </w:r>
          </w:p>
        </w:tc>
        <w:tc>
          <w:tcPr>
            <w:tcW w:w="1063" w:type="pct"/>
            <w:vAlign w:val="center"/>
          </w:tcPr>
          <w:p>
            <w:pPr>
              <w:pStyle w:val="139"/>
              <w:spacing w:line="240" w:lineRule="auto"/>
              <w:rPr>
                <w:rFonts w:cs="Times New Roman"/>
                <w:szCs w:val="18"/>
              </w:rPr>
            </w:pPr>
            <w:r>
              <w:rPr>
                <w:rFonts w:cs="Times New Roman"/>
                <w:szCs w:val="18"/>
              </w:rPr>
              <w:t>7.16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550" w:type="pct"/>
            <w:vAlign w:val="center"/>
          </w:tcPr>
          <w:p>
            <w:pPr>
              <w:pStyle w:val="139"/>
              <w:spacing w:line="240" w:lineRule="auto"/>
              <w:rPr>
                <w:rFonts w:cs="Times New Roman"/>
                <w:szCs w:val="18"/>
              </w:rPr>
            </w:pPr>
            <w:r>
              <w:rPr>
                <w:rFonts w:cs="Times New Roman"/>
                <w:szCs w:val="18"/>
              </w:rPr>
              <w:t>30年</w:t>
            </w:r>
          </w:p>
        </w:tc>
        <w:tc>
          <w:tcPr>
            <w:tcW w:w="682" w:type="pct"/>
            <w:vAlign w:val="center"/>
          </w:tcPr>
          <w:p>
            <w:pPr>
              <w:pStyle w:val="139"/>
              <w:spacing w:line="240" w:lineRule="auto"/>
              <w:rPr>
                <w:rFonts w:cs="Times New Roman"/>
                <w:szCs w:val="18"/>
              </w:rPr>
            </w:pPr>
            <w:r>
              <w:rPr>
                <w:rFonts w:cs="Times New Roman"/>
                <w:szCs w:val="18"/>
              </w:rPr>
              <w:t>70.30</w:t>
            </w:r>
          </w:p>
        </w:tc>
        <w:tc>
          <w:tcPr>
            <w:tcW w:w="944" w:type="pct"/>
            <w:vAlign w:val="center"/>
          </w:tcPr>
          <w:p>
            <w:pPr>
              <w:pStyle w:val="139"/>
              <w:spacing w:line="240" w:lineRule="auto"/>
              <w:rPr>
                <w:rFonts w:cs="Times New Roman"/>
                <w:szCs w:val="18"/>
              </w:rPr>
            </w:pPr>
            <w:r>
              <w:rPr>
                <w:rFonts w:cs="Times New Roman"/>
                <w:szCs w:val="18"/>
              </w:rPr>
              <w:t>34.56</w:t>
            </w:r>
          </w:p>
        </w:tc>
        <w:tc>
          <w:tcPr>
            <w:tcW w:w="815" w:type="pct"/>
            <w:vAlign w:val="center"/>
          </w:tcPr>
          <w:p>
            <w:pPr>
              <w:pStyle w:val="139"/>
              <w:spacing w:line="240" w:lineRule="auto"/>
              <w:rPr>
                <w:rFonts w:cs="Times New Roman"/>
                <w:szCs w:val="18"/>
              </w:rPr>
            </w:pPr>
            <w:r>
              <w:rPr>
                <w:rFonts w:cs="Times New Roman"/>
                <w:szCs w:val="18"/>
              </w:rPr>
              <w:t>55.25</w:t>
            </w:r>
          </w:p>
        </w:tc>
        <w:tc>
          <w:tcPr>
            <w:tcW w:w="944" w:type="pct"/>
            <w:vAlign w:val="center"/>
          </w:tcPr>
          <w:p>
            <w:pPr>
              <w:pStyle w:val="139"/>
              <w:spacing w:line="240" w:lineRule="auto"/>
              <w:rPr>
                <w:rFonts w:cs="Times New Roman"/>
                <w:szCs w:val="18"/>
              </w:rPr>
            </w:pPr>
            <w:r>
              <w:rPr>
                <w:rFonts w:cs="Times New Roman"/>
                <w:szCs w:val="18"/>
              </w:rPr>
              <w:t>675.24</w:t>
            </w:r>
          </w:p>
        </w:tc>
        <w:tc>
          <w:tcPr>
            <w:tcW w:w="1063" w:type="pct"/>
            <w:vAlign w:val="center"/>
          </w:tcPr>
          <w:p>
            <w:pPr>
              <w:pStyle w:val="139"/>
              <w:spacing w:line="240" w:lineRule="auto"/>
              <w:rPr>
                <w:rFonts w:cs="Times New Roman"/>
                <w:szCs w:val="18"/>
              </w:rPr>
            </w:pPr>
            <w:r>
              <w:rPr>
                <w:rFonts w:cs="Times New Roman"/>
                <w:szCs w:val="18"/>
              </w:rPr>
              <w:t>7.37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550" w:type="pct"/>
            <w:vAlign w:val="center"/>
          </w:tcPr>
          <w:p>
            <w:pPr>
              <w:pStyle w:val="139"/>
              <w:spacing w:line="240" w:lineRule="auto"/>
              <w:rPr>
                <w:rFonts w:cs="Times New Roman"/>
                <w:szCs w:val="18"/>
              </w:rPr>
            </w:pPr>
            <w:r>
              <w:rPr>
                <w:rFonts w:cs="Times New Roman"/>
                <w:szCs w:val="18"/>
              </w:rPr>
              <w:t>50年</w:t>
            </w:r>
          </w:p>
        </w:tc>
        <w:tc>
          <w:tcPr>
            <w:tcW w:w="682" w:type="pct"/>
            <w:vAlign w:val="center"/>
          </w:tcPr>
          <w:p>
            <w:pPr>
              <w:pStyle w:val="139"/>
              <w:spacing w:line="240" w:lineRule="auto"/>
              <w:rPr>
                <w:rFonts w:cs="Times New Roman"/>
                <w:szCs w:val="18"/>
              </w:rPr>
            </w:pPr>
            <w:r>
              <w:rPr>
                <w:rFonts w:cs="Times New Roman"/>
                <w:szCs w:val="18"/>
              </w:rPr>
              <w:t>79.90</w:t>
            </w:r>
          </w:p>
        </w:tc>
        <w:tc>
          <w:tcPr>
            <w:tcW w:w="944" w:type="pct"/>
            <w:vAlign w:val="center"/>
          </w:tcPr>
          <w:p>
            <w:pPr>
              <w:pStyle w:val="139"/>
              <w:spacing w:line="240" w:lineRule="auto"/>
              <w:rPr>
                <w:rFonts w:cs="Times New Roman"/>
                <w:szCs w:val="18"/>
              </w:rPr>
            </w:pPr>
            <w:r>
              <w:rPr>
                <w:rFonts w:cs="Times New Roman"/>
                <w:szCs w:val="18"/>
              </w:rPr>
              <w:t>35.54</w:t>
            </w:r>
          </w:p>
        </w:tc>
        <w:tc>
          <w:tcPr>
            <w:tcW w:w="815" w:type="pct"/>
            <w:vAlign w:val="center"/>
          </w:tcPr>
          <w:p>
            <w:pPr>
              <w:pStyle w:val="139"/>
              <w:spacing w:line="240" w:lineRule="auto"/>
              <w:rPr>
                <w:rFonts w:cs="Times New Roman"/>
                <w:szCs w:val="18"/>
              </w:rPr>
            </w:pPr>
            <w:r>
              <w:rPr>
                <w:rFonts w:cs="Times New Roman"/>
                <w:szCs w:val="18"/>
              </w:rPr>
              <w:t>59.79</w:t>
            </w:r>
          </w:p>
        </w:tc>
        <w:tc>
          <w:tcPr>
            <w:tcW w:w="944" w:type="pct"/>
            <w:vAlign w:val="center"/>
          </w:tcPr>
          <w:p>
            <w:pPr>
              <w:pStyle w:val="139"/>
              <w:spacing w:line="240" w:lineRule="auto"/>
              <w:rPr>
                <w:rFonts w:cs="Times New Roman"/>
                <w:szCs w:val="18"/>
              </w:rPr>
            </w:pPr>
            <w:r>
              <w:rPr>
                <w:rFonts w:cs="Times New Roman"/>
                <w:szCs w:val="18"/>
              </w:rPr>
              <w:t>675.80</w:t>
            </w:r>
          </w:p>
        </w:tc>
        <w:tc>
          <w:tcPr>
            <w:tcW w:w="1063" w:type="pct"/>
            <w:vAlign w:val="center"/>
          </w:tcPr>
          <w:p>
            <w:pPr>
              <w:pStyle w:val="139"/>
              <w:spacing w:line="240" w:lineRule="auto"/>
              <w:rPr>
                <w:rFonts w:cs="Times New Roman"/>
                <w:szCs w:val="18"/>
              </w:rPr>
            </w:pPr>
            <w:r>
              <w:rPr>
                <w:rFonts w:cs="Times New Roman"/>
                <w:szCs w:val="18"/>
              </w:rPr>
              <w:t>7.52</w:t>
            </w:r>
          </w:p>
        </w:tc>
      </w:tr>
    </w:tbl>
    <w:p>
      <w:pPr>
        <w:ind w:firstLine="480"/>
        <w:contextualSpacing/>
        <w:rPr>
          <w:rFonts w:hAnsi="宋体"/>
        </w:rPr>
      </w:pPr>
      <w:r>
        <w:rPr>
          <w:rFonts w:hAnsi="宋体"/>
        </w:rPr>
        <w:t>根据上表，结合施工进度安排，度汛标准选择50年一遇洪水重现期时的施工强度仅比20年一遇洪水重现期高0.36万m3/月，选择</w:t>
      </w:r>
      <w:r>
        <w:rPr>
          <w:rFonts w:hint="eastAsia" w:hAnsi="宋体"/>
          <w:lang w:eastAsia="zh-CN"/>
        </w:rPr>
        <w:t>度汛</w:t>
      </w:r>
      <w:r>
        <w:rPr>
          <w:rFonts w:hAnsi="宋体"/>
        </w:rPr>
        <w:t>标准为重现期50年的洪水标准，可提高施工期抵御洪水风险的能力，满足规范要求。</w:t>
      </w:r>
    </w:p>
    <w:p>
      <w:pPr>
        <w:ind w:firstLine="480"/>
        <w:contextualSpacing/>
      </w:pPr>
      <w:r>
        <w:rPr>
          <w:rFonts w:hint="eastAsia"/>
        </w:rPr>
        <w:t>（2）补水工程</w:t>
      </w:r>
    </w:p>
    <w:p>
      <w:pPr>
        <w:ind w:firstLine="480"/>
        <w:contextualSpacing/>
      </w:pPr>
      <w:r>
        <w:rPr>
          <w:rFonts w:hint="eastAsia"/>
        </w:rPr>
        <w:t>本补水工程包含了2处补水枢纽（谭家河补水枢纽、刘家河补水枢纽）和对应补水渠道，主要建筑物为4级，次要建筑物为5级，依据（SL303—2017）相应导流标准选择5年一遇洪水重现期（P=20%），满足规范要求。</w:t>
      </w:r>
    </w:p>
    <w:p>
      <w:pPr>
        <w:ind w:firstLine="480"/>
        <w:contextualSpacing/>
      </w:pPr>
      <w:r>
        <w:rPr>
          <w:rFonts w:hAnsi="宋体"/>
        </w:rPr>
        <w:t>（</w:t>
      </w:r>
      <w:r>
        <w:t>3</w:t>
      </w:r>
      <w:r>
        <w:rPr>
          <w:rFonts w:hAnsi="宋体"/>
        </w:rPr>
        <w:t>）灌区工程</w:t>
      </w:r>
    </w:p>
    <w:p>
      <w:pPr>
        <w:ind w:firstLine="480"/>
        <w:contextualSpacing/>
        <w:rPr>
          <w:rFonts w:hint="eastAsia" w:hAnsi="宋体"/>
        </w:rPr>
      </w:pPr>
      <w:r>
        <w:rPr>
          <w:rFonts w:hint="eastAsia" w:hAnsi="宋体"/>
        </w:rPr>
        <w:t>根据《水利水电工程施工组织设计规范》（SL303–2017）的规定，本工程的施工导流建筑物为5级，对土石围堰其设计洪水重现期应为5年～10年，根据本工程特点，选择导流洪水标准重现期为5年，满足规范要求。</w:t>
      </w:r>
    </w:p>
    <w:p>
      <w:pPr>
        <w:ind w:firstLine="480"/>
        <w:contextualSpacing/>
      </w:pPr>
      <w:r>
        <w:rPr>
          <w:rFonts w:hint="eastAsia" w:hAnsi="宋体"/>
        </w:rPr>
        <w:t>工程区内支流支沟洪枯季节明显，渠道建筑物跨沟施工难度都不大，宜安排在枯水期施工，因此，导流时段选择11月～次年3月。</w:t>
      </w:r>
    </w:p>
    <w:p>
      <w:pPr>
        <w:ind w:firstLine="0" w:firstLineChars="0"/>
        <w:contextualSpacing/>
        <w:outlineLvl w:val="3"/>
        <w:rPr>
          <w:b/>
          <w:bCs/>
        </w:rPr>
      </w:pPr>
      <w:r>
        <w:rPr>
          <w:b/>
          <w:bCs/>
        </w:rPr>
        <w:t>2.3.2.2</w:t>
      </w:r>
      <w:r>
        <w:rPr>
          <w:rFonts w:hAnsi="宋体"/>
          <w:b/>
          <w:bCs/>
        </w:rPr>
        <w:t>导流时段及方式</w:t>
      </w:r>
    </w:p>
    <w:p>
      <w:pPr>
        <w:ind w:firstLine="480"/>
        <w:contextualSpacing/>
      </w:pPr>
      <w:r>
        <w:rPr>
          <w:rFonts w:hAnsi="宋体"/>
        </w:rPr>
        <w:t>（</w:t>
      </w:r>
      <w:r>
        <w:t>1</w:t>
      </w:r>
      <w:r>
        <w:rPr>
          <w:rFonts w:hAnsi="宋体"/>
        </w:rPr>
        <w:t>）枢纽工程</w:t>
      </w:r>
    </w:p>
    <w:p>
      <w:pPr>
        <w:ind w:firstLine="480"/>
        <w:contextualSpacing/>
      </w:pPr>
      <w:r>
        <w:rPr>
          <w:rFonts w:hint="eastAsia" w:hAnsi="宋体"/>
        </w:rPr>
        <w:t>根据水文资料，设计流域年内洪水分为四期。即汛前过渡期（5月），主汛期（6～9月），汛后过渡期（10月），枯水期（11月～次年4月）。在五年一遇导流标准的前提下，比较导流时段为全年、枯期（11月至次年4月）枯期（11月至次年3月）枯期和过渡期（10月至次年5月）四个方案，由于流域洪水的特点，洪枯流量倍比大，全年导流较枯期导流临时工程量和临建费用增加很多，因此本工程采用枯期导流方案。</w:t>
      </w:r>
    </w:p>
    <w:p>
      <w:pPr>
        <w:ind w:firstLine="480"/>
        <w:contextualSpacing/>
        <w:rPr>
          <w:rFonts w:hint="eastAsia" w:hAnsi="宋体"/>
        </w:rPr>
      </w:pPr>
      <w:r>
        <w:rPr>
          <w:rFonts w:hint="eastAsia" w:hAnsi="宋体"/>
        </w:rPr>
        <w:t>根据河道水文特性和施工进度安排，拟定导流方案为：</w:t>
      </w:r>
    </w:p>
    <w:p>
      <w:pPr>
        <w:ind w:firstLine="480"/>
        <w:contextualSpacing/>
        <w:rPr>
          <w:rFonts w:hAnsi="宋体"/>
        </w:rPr>
      </w:pPr>
      <w:r>
        <w:rPr>
          <w:rFonts w:hint="eastAsia" w:hAnsi="宋体"/>
        </w:rPr>
        <w:t>第1年3月～第1年10月左岸导流放空隧洞施工期原溢洪道过流。为降低导流隧洞进口水位，对原右岸溢洪道进行开挖，开挖深度2.1m，开挖宽度10.0m，经水力学计算，可将5年一遇汛期库水位（667.60m）降低至666.10m，可保证施工期5年一遇洪水不从原溢洪道外侧边墙溢出流入大坝开挖基坑内（原溢洪道外侧边墙顶高程为658.00m～667.50m）；导流隧洞进口采用编织袋装开挖弃土填筑围堰，迎水面铺设土工膜防渗，对原导流放空隧洞进行坍塌清理和洞身衬砌施工。</w:t>
      </w:r>
    </w:p>
    <w:p>
      <w:pPr>
        <w:ind w:firstLine="480"/>
        <w:contextualSpacing/>
        <w:rPr>
          <w:rFonts w:hint="eastAsia" w:hAnsi="宋体"/>
        </w:rPr>
      </w:pPr>
      <w:r>
        <w:rPr>
          <w:rFonts w:hint="eastAsia" w:hAnsi="宋体"/>
        </w:rPr>
        <w:t>第1年8月～第1年12月进行大坝岸坡开挖及坝基开挖；</w:t>
      </w:r>
    </w:p>
    <w:p>
      <w:pPr>
        <w:ind w:firstLine="480"/>
        <w:contextualSpacing/>
        <w:rPr>
          <w:rFonts w:hint="eastAsia" w:hAnsi="宋体"/>
        </w:rPr>
      </w:pPr>
      <w:r>
        <w:rPr>
          <w:rFonts w:hint="eastAsia" w:hAnsi="宋体"/>
        </w:rPr>
        <w:t>第1年11月～第2年4月原坝体挡水，原溢洪道进行封堵至668.10m高程，已衬砌完成的导流放空隧洞过流，进行大坝填筑区基础处理，同时坝体开始坝体填筑，并于4月底填筑至度汛断面高程677.80m，沥青混凝土心墙浇筑同步上升至度汛断面高程。</w:t>
      </w:r>
    </w:p>
    <w:p>
      <w:pPr>
        <w:ind w:firstLine="480"/>
        <w:contextualSpacing/>
        <w:rPr>
          <w:rFonts w:hint="eastAsia" w:hAnsi="宋体"/>
        </w:rPr>
      </w:pPr>
      <w:r>
        <w:rPr>
          <w:rFonts w:hint="eastAsia" w:hAnsi="宋体"/>
        </w:rPr>
        <w:t>第2年5月～第3年3月导流放空隧洞同时过流，坝体临时度汛断面挡水，继续填筑坝体至坝顶高程（沥青混凝土心墙浇筑同步上升），期间溢洪道混凝土浇筑等其他枢纽建筑物同步完成。</w:t>
      </w:r>
    </w:p>
    <w:p>
      <w:pPr>
        <w:ind w:firstLine="480"/>
        <w:contextualSpacing/>
        <w:rPr>
          <w:rFonts w:hAnsi="宋体"/>
        </w:rPr>
      </w:pPr>
      <w:r>
        <w:rPr>
          <w:rFonts w:hint="eastAsia" w:hAnsi="宋体"/>
        </w:rPr>
        <w:t>第3年4月～第3年8月导流放空隧洞过流，已填筑大坝挡水，其它水工建筑物相应完成。</w:t>
      </w:r>
    </w:p>
    <w:p>
      <w:pPr>
        <w:ind w:firstLine="480"/>
        <w:contextualSpacing/>
      </w:pPr>
      <w:r>
        <w:rPr>
          <w:rFonts w:hAnsi="宋体"/>
        </w:rPr>
        <w:t>（</w:t>
      </w:r>
      <w:r>
        <w:t>2</w:t>
      </w:r>
      <w:r>
        <w:rPr>
          <w:rFonts w:hAnsi="宋体"/>
        </w:rPr>
        <w:t>）</w:t>
      </w:r>
      <w:r>
        <w:rPr>
          <w:rFonts w:hint="eastAsia" w:hAnsi="宋体"/>
        </w:rPr>
        <w:t>补水</w:t>
      </w:r>
      <w:r>
        <w:rPr>
          <w:rFonts w:hAnsi="宋体"/>
        </w:rPr>
        <w:t>工程</w:t>
      </w:r>
    </w:p>
    <w:p>
      <w:pPr>
        <w:ind w:firstLine="480"/>
        <w:contextualSpacing/>
      </w:pPr>
      <w:r>
        <w:rPr>
          <w:rFonts w:hint="eastAsia"/>
        </w:rPr>
        <w:t>本工程补水枢纽工程量较小，施工时段选择枯水期，导流时段选择11月～3月，满足规范要求。谭家河补水枢纽导流流量为1.17m3/s；刘家河补水枢纽导流流量为0.62m3/s。</w:t>
      </w:r>
    </w:p>
    <w:p>
      <w:pPr>
        <w:ind w:firstLine="480"/>
        <w:contextualSpacing/>
        <w:rPr>
          <w:rFonts w:hint="eastAsia"/>
        </w:rPr>
      </w:pPr>
      <w:r>
        <w:rPr>
          <w:rFonts w:hint="eastAsia"/>
        </w:rPr>
        <w:t>谭家河补水枢纽及刘家河补水枢纽均采用底格拦栅坝的低堰取水方案。鉴于导流流量均较小，主要为土石方开挖及混凝土浇筑施工，根据类似工程经验，2处补水枢纽施工导流均采用一枯两段分期导流的施工导流方案。</w:t>
      </w:r>
    </w:p>
    <w:p>
      <w:pPr>
        <w:ind w:firstLine="480"/>
        <w:contextualSpacing/>
      </w:pPr>
      <w:r>
        <w:rPr>
          <w:rFonts w:hAnsi="宋体"/>
        </w:rPr>
        <w:t>（</w:t>
      </w:r>
      <w:r>
        <w:t>3</w:t>
      </w:r>
      <w:r>
        <w:rPr>
          <w:rFonts w:hAnsi="宋体"/>
        </w:rPr>
        <w:t>）灌区工程</w:t>
      </w:r>
    </w:p>
    <w:p>
      <w:pPr>
        <w:ind w:firstLine="480"/>
        <w:contextualSpacing/>
        <w:rPr>
          <w:rFonts w:hAnsi="宋体"/>
        </w:rPr>
      </w:pPr>
      <w:r>
        <w:rPr>
          <w:rFonts w:hAnsi="宋体"/>
        </w:rPr>
        <w:t>工程区内支流支沟洪枯季节明显，渠道建筑物跨沟施工难度都不大，宜安排在枯水期施工，因此，导流时段选择11月～次年3月。</w:t>
      </w:r>
    </w:p>
    <w:p>
      <w:pPr>
        <w:ind w:firstLine="480"/>
        <w:contextualSpacing/>
        <w:rPr>
          <w:rFonts w:hAnsi="宋体"/>
        </w:rPr>
      </w:pPr>
      <w:r>
        <w:rPr>
          <w:rFonts w:hint="eastAsia" w:hAnsi="宋体"/>
        </w:rPr>
        <w:t>采用修筑小基坑围堰导流或开挖小明渠导流方式。通过对一些主要建筑物的导流设计进行分析，由于导流小明渠开挖底宽1.0～2.0m，开挖深度1.0m左右，简单开挖即可导流，围堰填筑高度一般均在1.0～2.0m左右，围堰采用土石围堰，利用工程开挖弃土填筑。初步计算渠道建筑物施工导流工程量为：利用开挖弃土石填筑265m3，编织袋装弃土填筑77m3，围堰拆除221m3，基坑排水25台班。</w:t>
      </w:r>
    </w:p>
    <w:p>
      <w:pPr>
        <w:pStyle w:val="5"/>
        <w:ind w:firstLine="0" w:firstLineChars="0"/>
        <w:contextualSpacing/>
        <w:rPr>
          <w:rFonts w:ascii="Times New Roman" w:hAnsi="Times New Roman"/>
        </w:rPr>
      </w:pPr>
      <w:r>
        <w:rPr>
          <w:rFonts w:ascii="Times New Roman" w:hAnsi="Times New Roman"/>
        </w:rPr>
        <w:t>2.3.3</w:t>
      </w:r>
      <w:r>
        <w:rPr>
          <w:rFonts w:ascii="Times New Roman" w:hAnsi="宋体"/>
        </w:rPr>
        <w:t>施工料场规划</w:t>
      </w:r>
    </w:p>
    <w:p>
      <w:pPr>
        <w:ind w:firstLine="0" w:firstLineChars="0"/>
        <w:contextualSpacing/>
        <w:outlineLvl w:val="3"/>
        <w:rPr>
          <w:b/>
          <w:bCs/>
        </w:rPr>
      </w:pPr>
      <w:r>
        <w:rPr>
          <w:b/>
          <w:bCs/>
        </w:rPr>
        <w:t>2.3.3.1</w:t>
      </w:r>
      <w:r>
        <w:rPr>
          <w:rFonts w:hAnsi="宋体"/>
          <w:b/>
          <w:bCs/>
        </w:rPr>
        <w:t>天然建材需求</w:t>
      </w:r>
    </w:p>
    <w:p>
      <w:pPr>
        <w:ind w:firstLine="480"/>
        <w:contextualSpacing/>
        <w:rPr>
          <w:rFonts w:hAnsi="宋体"/>
        </w:rPr>
      </w:pPr>
      <w:r>
        <w:rPr>
          <w:rFonts w:hint="eastAsia" w:hAnsi="宋体"/>
        </w:rPr>
        <w:t>寒溪寺水库扩建枢纽工程混凝土粗骨料3.04万m3，混凝土细骨料1.23万m3，石渣料50.39万m3，堆石料2.95万m3，反滤过渡料4.64万m3。</w:t>
      </w:r>
    </w:p>
    <w:p>
      <w:pPr>
        <w:ind w:firstLine="480"/>
        <w:contextualSpacing/>
        <w:rPr>
          <w:rFonts w:hAnsi="宋体"/>
        </w:rPr>
      </w:pPr>
      <w:r>
        <w:rPr>
          <w:rFonts w:hAnsi="宋体"/>
        </w:rPr>
        <w:t>寒溪寺水库渠道工程需混凝土粗骨料0.88万m3，混凝土细骨料0.36万m3，土石回填料5.87万m3。</w:t>
      </w:r>
    </w:p>
    <w:p>
      <w:pPr>
        <w:ind w:firstLine="0" w:firstLineChars="0"/>
        <w:contextualSpacing/>
        <w:outlineLvl w:val="3"/>
        <w:rPr>
          <w:b/>
          <w:bCs/>
        </w:rPr>
      </w:pPr>
      <w:r>
        <w:rPr>
          <w:b/>
          <w:bCs/>
        </w:rPr>
        <w:t>2.3.3.2</w:t>
      </w:r>
      <w:r>
        <w:rPr>
          <w:rFonts w:hAnsi="宋体"/>
          <w:b/>
          <w:bCs/>
        </w:rPr>
        <w:t>料场规划</w:t>
      </w:r>
    </w:p>
    <w:p>
      <w:pPr>
        <w:ind w:firstLine="480"/>
        <w:contextualSpacing/>
        <w:rPr>
          <w:rFonts w:hAnsi="宋体"/>
          <w:szCs w:val="22"/>
        </w:rPr>
      </w:pPr>
      <w:r>
        <w:rPr>
          <w:rFonts w:hint="eastAsia" w:hAnsi="宋体"/>
          <w:szCs w:val="22"/>
        </w:rPr>
        <w:t>工程区附近天然砂砾石料贫乏，没有可供开采的天然砂砾石料场，可研阶段建议在曾口镇砂砾石料场外购，经复核该料场位于河道禁采区范围内，目前受环境保护等原因的影响未进行开采；初设阶段经复核后调查了南江县桥亭乡圣宝石料场正在对外出售的人工混凝土骨料（本项目采用购买商品混凝成品，不需要另外开采或购买混凝土粗、细骨料）；石渣料可研阶段推荐李家梁石渣料场，初设阶段复核后将石渣料场调整为蒋家河石料场，砌石料（堆石料）在南江县桥亭乡圣宝石料场进行外购。</w:t>
      </w:r>
    </w:p>
    <w:p>
      <w:pPr>
        <w:pStyle w:val="5"/>
        <w:ind w:firstLine="0" w:firstLineChars="0"/>
        <w:contextualSpacing/>
        <w:rPr>
          <w:rFonts w:ascii="Times New Roman" w:hAnsi="Times New Roman"/>
        </w:rPr>
      </w:pPr>
      <w:r>
        <w:rPr>
          <w:rFonts w:ascii="Times New Roman" w:hAnsi="Times New Roman"/>
        </w:rPr>
        <w:t>2.3.4</w:t>
      </w:r>
      <w:r>
        <w:rPr>
          <w:rFonts w:ascii="Times New Roman" w:hAnsi="宋体"/>
        </w:rPr>
        <w:t>施工总布置</w:t>
      </w:r>
    </w:p>
    <w:p>
      <w:pPr>
        <w:ind w:firstLine="0" w:firstLineChars="0"/>
        <w:contextualSpacing/>
        <w:outlineLvl w:val="3"/>
        <w:rPr>
          <w:b/>
          <w:bCs/>
        </w:rPr>
      </w:pPr>
      <w:r>
        <w:rPr>
          <w:b/>
          <w:bCs/>
        </w:rPr>
        <w:t>2.3.4.1</w:t>
      </w:r>
      <w:r>
        <w:rPr>
          <w:rFonts w:hAnsi="宋体"/>
          <w:b/>
          <w:bCs/>
        </w:rPr>
        <w:t>施工布置规划</w:t>
      </w:r>
    </w:p>
    <w:p>
      <w:pPr>
        <w:ind w:firstLine="480"/>
        <w:contextualSpacing/>
      </w:pPr>
      <w:r>
        <w:rPr>
          <w:rFonts w:hAnsi="宋体"/>
        </w:rPr>
        <w:t>（</w:t>
      </w:r>
      <w:r>
        <w:t>1</w:t>
      </w:r>
      <w:r>
        <w:rPr>
          <w:rFonts w:hAnsi="宋体"/>
        </w:rPr>
        <w:t>）枢纽工程</w:t>
      </w:r>
    </w:p>
    <w:p>
      <w:pPr>
        <w:ind w:firstLine="480"/>
        <w:contextualSpacing/>
        <w:rPr>
          <w:rFonts w:hint="eastAsia" w:hAnsi="宋体"/>
        </w:rPr>
      </w:pPr>
      <w:r>
        <w:rPr>
          <w:rFonts w:hint="eastAsia" w:hAnsi="宋体"/>
        </w:rPr>
        <w:t>本工程施工总布置按水工建筑物布置、生产、生活设施集中程度，主要分为3个工区，即枢纽大坝工区、石料场工区及补水工程工区。</w:t>
      </w:r>
    </w:p>
    <w:p>
      <w:pPr>
        <w:ind w:firstLine="480"/>
        <w:contextualSpacing/>
        <w:rPr>
          <w:rFonts w:hint="eastAsia" w:hAnsi="宋体"/>
        </w:rPr>
      </w:pPr>
      <w:r>
        <w:rPr>
          <w:rFonts w:hint="eastAsia" w:hAnsi="宋体"/>
        </w:rPr>
        <w:t>枢纽大坝工区，主要满足拦河大坝、取水隧洞及溢洪道施工，该区主要布置钢筋加工厂、木材加工厂、金属结构拼装场、修钎站、修配站、保养站、设备停放场及值班室等。施工临时设施主要布置于大坝下游左岸和右岸台地。</w:t>
      </w:r>
    </w:p>
    <w:p>
      <w:pPr>
        <w:ind w:firstLine="480"/>
        <w:contextualSpacing/>
        <w:rPr>
          <w:rFonts w:hint="eastAsia" w:hAnsi="宋体"/>
        </w:rPr>
      </w:pPr>
      <w:r>
        <w:rPr>
          <w:rFonts w:hint="eastAsia" w:hAnsi="宋体"/>
        </w:rPr>
        <w:t>石料场工区，主要满足库内石料场的开采施工，该区主要布置修钎站、值班室等其他石料场开采施工设施。施工临时设施布置于石料场附近。</w:t>
      </w:r>
    </w:p>
    <w:p>
      <w:pPr>
        <w:ind w:firstLine="480"/>
        <w:contextualSpacing/>
        <w:rPr>
          <w:rFonts w:hint="eastAsia" w:hAnsi="宋体"/>
        </w:rPr>
      </w:pPr>
      <w:r>
        <w:rPr>
          <w:rFonts w:hint="eastAsia" w:hAnsi="宋体"/>
        </w:rPr>
        <w:t>补水工程工区，主要满足补水枢纽及补水隧洞工程施工，该区主要布置钢木加工厂、修钎站及值班室等。施工临时设施布置于补水隧洞进、出口附近。</w:t>
      </w:r>
    </w:p>
    <w:p>
      <w:pPr>
        <w:ind w:firstLine="480"/>
        <w:contextualSpacing/>
        <w:rPr>
          <w:rFonts w:hint="eastAsia" w:hAnsi="宋体"/>
        </w:rPr>
      </w:pPr>
      <w:r>
        <w:rPr>
          <w:rFonts w:hint="eastAsia" w:hAnsi="宋体"/>
        </w:rPr>
        <w:t>生活区邻近生产区布置，生活区以大坝下游右岸为主营地，主营地内将陆续布置办公用房、职工宿舍、食堂、浴室、卫生室等施工管理、生活福利设施。</w:t>
      </w:r>
    </w:p>
    <w:p>
      <w:pPr>
        <w:ind w:firstLine="480"/>
        <w:contextualSpacing/>
        <w:rPr>
          <w:rFonts w:hAnsi="宋体"/>
        </w:rPr>
      </w:pPr>
      <w:r>
        <w:rPr>
          <w:rFonts w:hint="eastAsia" w:hAnsi="宋体"/>
        </w:rPr>
        <w:t>业主施工期间管理营地布置于大坝下游左岸施工生产、生活区附近。</w:t>
      </w:r>
    </w:p>
    <w:p>
      <w:pPr>
        <w:ind w:firstLine="480"/>
        <w:contextualSpacing/>
        <w:rPr>
          <w:rFonts w:hAnsi="宋体"/>
          <w:szCs w:val="22"/>
        </w:rPr>
      </w:pPr>
      <w:r>
        <w:rPr>
          <w:rFonts w:hAnsi="宋体"/>
          <w:szCs w:val="22"/>
        </w:rPr>
        <w:t>生产</w:t>
      </w:r>
      <w:r>
        <w:rPr>
          <w:rFonts w:hint="eastAsia" w:hAnsi="宋体"/>
          <w:szCs w:val="22"/>
        </w:rPr>
        <w:t>、仓库、生活及管理用</w:t>
      </w:r>
      <w:r>
        <w:rPr>
          <w:rFonts w:hAnsi="宋体"/>
          <w:szCs w:val="22"/>
        </w:rPr>
        <w:t>房屋建筑及占地面积见</w:t>
      </w:r>
      <w:r>
        <w:rPr>
          <w:rFonts w:hint="eastAsia" w:hAnsi="宋体"/>
          <w:szCs w:val="22"/>
        </w:rPr>
        <w:t>下表</w:t>
      </w:r>
      <w:r>
        <w:rPr>
          <w:rFonts w:hAnsi="宋体"/>
          <w:szCs w:val="22"/>
        </w:rPr>
        <w:t>。</w:t>
      </w:r>
    </w:p>
    <w:p>
      <w:pPr>
        <w:ind w:firstLine="0" w:firstLineChars="0"/>
        <w:contextualSpacing/>
        <w:jc w:val="center"/>
        <w:rPr>
          <w:rFonts w:hAnsi="宋体"/>
          <w:b/>
          <w:bCs/>
          <w:sz w:val="21"/>
          <w:szCs w:val="21"/>
        </w:rPr>
      </w:pPr>
      <w:r>
        <w:rPr>
          <w:rFonts w:hAnsi="宋体"/>
          <w:b/>
          <w:bCs/>
          <w:sz w:val="21"/>
          <w:szCs w:val="21"/>
        </w:rPr>
        <w:t>表2.3.4-1  生产房屋建筑及占地面积汇总表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196"/>
        <w:gridCol w:w="1260"/>
        <w:gridCol w:w="1260"/>
        <w:gridCol w:w="126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序号</w:t>
            </w:r>
          </w:p>
        </w:tc>
        <w:tc>
          <w:tcPr>
            <w:tcW w:w="1170" w:type="pct"/>
            <w:noWrap/>
            <w:vAlign w:val="center"/>
          </w:tcPr>
          <w:p>
            <w:pPr>
              <w:pStyle w:val="139"/>
              <w:spacing w:line="240" w:lineRule="auto"/>
              <w:rPr>
                <w:rFonts w:cs="Times New Roman"/>
                <w:szCs w:val="18"/>
              </w:rPr>
            </w:pPr>
            <w:r>
              <w:rPr>
                <w:rFonts w:cs="Times New Roman"/>
                <w:szCs w:val="18"/>
              </w:rPr>
              <w:t>项目</w:t>
            </w:r>
          </w:p>
        </w:tc>
        <w:tc>
          <w:tcPr>
            <w:tcW w:w="763" w:type="pct"/>
            <w:noWrap/>
            <w:vAlign w:val="center"/>
          </w:tcPr>
          <w:p>
            <w:pPr>
              <w:pStyle w:val="139"/>
              <w:spacing w:line="240" w:lineRule="auto"/>
              <w:rPr>
                <w:rFonts w:cs="Times New Roman"/>
                <w:szCs w:val="18"/>
              </w:rPr>
            </w:pPr>
            <w:r>
              <w:rPr>
                <w:rFonts w:cs="Times New Roman"/>
                <w:szCs w:val="18"/>
              </w:rPr>
              <w:t>单位</w:t>
            </w:r>
          </w:p>
        </w:tc>
        <w:tc>
          <w:tcPr>
            <w:tcW w:w="763" w:type="pct"/>
            <w:noWrap/>
            <w:vAlign w:val="center"/>
          </w:tcPr>
          <w:p>
            <w:pPr>
              <w:pStyle w:val="139"/>
              <w:spacing w:line="240" w:lineRule="auto"/>
              <w:rPr>
                <w:rFonts w:cs="Times New Roman"/>
                <w:szCs w:val="18"/>
              </w:rPr>
            </w:pPr>
            <w:r>
              <w:rPr>
                <w:rFonts w:cs="Times New Roman"/>
                <w:szCs w:val="18"/>
              </w:rPr>
              <w:t>建筑面积</w:t>
            </w:r>
          </w:p>
        </w:tc>
        <w:tc>
          <w:tcPr>
            <w:tcW w:w="763" w:type="pct"/>
            <w:noWrap/>
            <w:vAlign w:val="center"/>
          </w:tcPr>
          <w:p>
            <w:pPr>
              <w:pStyle w:val="139"/>
              <w:spacing w:line="240" w:lineRule="auto"/>
              <w:rPr>
                <w:rFonts w:cs="Times New Roman"/>
                <w:szCs w:val="18"/>
              </w:rPr>
            </w:pPr>
            <w:r>
              <w:rPr>
                <w:rFonts w:cs="Times New Roman"/>
                <w:szCs w:val="18"/>
              </w:rPr>
              <w:t>占地面积</w:t>
            </w:r>
          </w:p>
        </w:tc>
        <w:tc>
          <w:tcPr>
            <w:tcW w:w="777" w:type="pct"/>
            <w:noWrap/>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1</w:t>
            </w:r>
          </w:p>
        </w:tc>
        <w:tc>
          <w:tcPr>
            <w:tcW w:w="1170" w:type="pct"/>
            <w:noWrap/>
            <w:vAlign w:val="center"/>
          </w:tcPr>
          <w:p>
            <w:pPr>
              <w:pStyle w:val="139"/>
              <w:spacing w:line="240" w:lineRule="auto"/>
              <w:rPr>
                <w:rFonts w:cs="Times New Roman"/>
                <w:szCs w:val="18"/>
              </w:rPr>
            </w:pPr>
            <w:r>
              <w:rPr>
                <w:rFonts w:cs="Times New Roman"/>
                <w:szCs w:val="18"/>
              </w:rPr>
              <w:t>拌和站</w:t>
            </w:r>
            <w:r>
              <w:rPr>
                <w:rFonts w:hint="eastAsia" w:cs="Times New Roman"/>
                <w:szCs w:val="18"/>
              </w:rPr>
              <w:t>（含沥青混凝土）</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450</w:t>
            </w:r>
          </w:p>
        </w:tc>
        <w:tc>
          <w:tcPr>
            <w:tcW w:w="763" w:type="pct"/>
            <w:noWrap/>
            <w:vAlign w:val="center"/>
          </w:tcPr>
          <w:p>
            <w:pPr>
              <w:pStyle w:val="139"/>
              <w:spacing w:line="240" w:lineRule="auto"/>
              <w:rPr>
                <w:rFonts w:cs="Times New Roman"/>
                <w:szCs w:val="18"/>
              </w:rPr>
            </w:pPr>
            <w:r>
              <w:rPr>
                <w:rFonts w:cs="Times New Roman"/>
                <w:szCs w:val="18"/>
              </w:rPr>
              <w:t>1750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2</w:t>
            </w:r>
          </w:p>
        </w:tc>
        <w:tc>
          <w:tcPr>
            <w:tcW w:w="1170" w:type="pct"/>
            <w:noWrap/>
            <w:vAlign w:val="center"/>
          </w:tcPr>
          <w:p>
            <w:pPr>
              <w:pStyle w:val="139"/>
              <w:spacing w:line="240" w:lineRule="auto"/>
              <w:rPr>
                <w:rFonts w:cs="Times New Roman"/>
                <w:szCs w:val="18"/>
              </w:rPr>
            </w:pPr>
            <w:r>
              <w:rPr>
                <w:rFonts w:cs="Times New Roman"/>
                <w:szCs w:val="18"/>
              </w:rPr>
              <w:t>压气站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120</w:t>
            </w:r>
          </w:p>
        </w:tc>
        <w:tc>
          <w:tcPr>
            <w:tcW w:w="763" w:type="pct"/>
            <w:noWrap/>
            <w:vAlign w:val="center"/>
          </w:tcPr>
          <w:p>
            <w:pPr>
              <w:pStyle w:val="139"/>
              <w:spacing w:line="240" w:lineRule="auto"/>
              <w:rPr>
                <w:rFonts w:cs="Times New Roman"/>
                <w:szCs w:val="18"/>
              </w:rPr>
            </w:pPr>
            <w:r>
              <w:rPr>
                <w:rFonts w:cs="Times New Roman"/>
                <w:szCs w:val="18"/>
              </w:rPr>
              <w:t>360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3</w:t>
            </w:r>
          </w:p>
        </w:tc>
        <w:tc>
          <w:tcPr>
            <w:tcW w:w="1170" w:type="pct"/>
            <w:noWrap/>
            <w:vAlign w:val="center"/>
          </w:tcPr>
          <w:p>
            <w:pPr>
              <w:pStyle w:val="139"/>
              <w:spacing w:line="240" w:lineRule="auto"/>
              <w:rPr>
                <w:rFonts w:cs="Times New Roman"/>
                <w:szCs w:val="18"/>
              </w:rPr>
            </w:pPr>
            <w:r>
              <w:rPr>
                <w:rFonts w:cs="Times New Roman"/>
                <w:szCs w:val="18"/>
              </w:rPr>
              <w:t>抽水站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80</w:t>
            </w:r>
          </w:p>
        </w:tc>
        <w:tc>
          <w:tcPr>
            <w:tcW w:w="763" w:type="pct"/>
            <w:noWrap/>
            <w:vAlign w:val="center"/>
          </w:tcPr>
          <w:p>
            <w:pPr>
              <w:pStyle w:val="139"/>
              <w:spacing w:line="240" w:lineRule="auto"/>
              <w:rPr>
                <w:rFonts w:cs="Times New Roman"/>
                <w:szCs w:val="18"/>
              </w:rPr>
            </w:pPr>
            <w:r>
              <w:rPr>
                <w:rFonts w:cs="Times New Roman"/>
                <w:szCs w:val="18"/>
              </w:rPr>
              <w:t>240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4</w:t>
            </w:r>
          </w:p>
        </w:tc>
        <w:tc>
          <w:tcPr>
            <w:tcW w:w="1170" w:type="pct"/>
            <w:noWrap/>
            <w:vAlign w:val="center"/>
          </w:tcPr>
          <w:p>
            <w:pPr>
              <w:pStyle w:val="139"/>
              <w:spacing w:line="240" w:lineRule="auto"/>
              <w:rPr>
                <w:rFonts w:cs="Times New Roman"/>
                <w:szCs w:val="18"/>
              </w:rPr>
            </w:pPr>
            <w:r>
              <w:rPr>
                <w:rFonts w:cs="Times New Roman"/>
                <w:szCs w:val="18"/>
              </w:rPr>
              <w:t>变压站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80</w:t>
            </w:r>
          </w:p>
        </w:tc>
        <w:tc>
          <w:tcPr>
            <w:tcW w:w="763" w:type="pct"/>
            <w:noWrap/>
            <w:vAlign w:val="center"/>
          </w:tcPr>
          <w:p>
            <w:pPr>
              <w:pStyle w:val="139"/>
              <w:spacing w:line="240" w:lineRule="auto"/>
              <w:rPr>
                <w:rFonts w:cs="Times New Roman"/>
                <w:szCs w:val="18"/>
              </w:rPr>
            </w:pPr>
            <w:r>
              <w:rPr>
                <w:rFonts w:cs="Times New Roman"/>
                <w:szCs w:val="18"/>
              </w:rPr>
              <w:t>240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5</w:t>
            </w:r>
          </w:p>
        </w:tc>
        <w:tc>
          <w:tcPr>
            <w:tcW w:w="1170" w:type="pct"/>
            <w:noWrap/>
            <w:vAlign w:val="center"/>
          </w:tcPr>
          <w:p>
            <w:pPr>
              <w:pStyle w:val="139"/>
              <w:spacing w:line="240" w:lineRule="auto"/>
              <w:rPr>
                <w:rFonts w:cs="Times New Roman"/>
                <w:szCs w:val="18"/>
              </w:rPr>
            </w:pPr>
            <w:r>
              <w:rPr>
                <w:rFonts w:cs="Times New Roman"/>
                <w:szCs w:val="18"/>
              </w:rPr>
              <w:t>修钎站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60</w:t>
            </w:r>
          </w:p>
        </w:tc>
        <w:tc>
          <w:tcPr>
            <w:tcW w:w="763" w:type="pct"/>
            <w:noWrap/>
            <w:vAlign w:val="center"/>
          </w:tcPr>
          <w:p>
            <w:pPr>
              <w:pStyle w:val="139"/>
              <w:spacing w:line="240" w:lineRule="auto"/>
              <w:rPr>
                <w:rFonts w:cs="Times New Roman"/>
                <w:szCs w:val="18"/>
              </w:rPr>
            </w:pPr>
            <w:r>
              <w:rPr>
                <w:rFonts w:cs="Times New Roman"/>
                <w:szCs w:val="18"/>
              </w:rPr>
              <w:t>180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6</w:t>
            </w:r>
          </w:p>
        </w:tc>
        <w:tc>
          <w:tcPr>
            <w:tcW w:w="1170" w:type="pct"/>
            <w:noWrap/>
            <w:vAlign w:val="center"/>
          </w:tcPr>
          <w:p>
            <w:pPr>
              <w:pStyle w:val="139"/>
              <w:spacing w:line="240" w:lineRule="auto"/>
              <w:rPr>
                <w:rFonts w:cs="Times New Roman"/>
                <w:szCs w:val="18"/>
              </w:rPr>
            </w:pPr>
            <w:r>
              <w:rPr>
                <w:rFonts w:cs="Times New Roman"/>
                <w:szCs w:val="18"/>
              </w:rPr>
              <w:t>机修站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180</w:t>
            </w:r>
          </w:p>
        </w:tc>
        <w:tc>
          <w:tcPr>
            <w:tcW w:w="763" w:type="pct"/>
            <w:noWrap/>
            <w:vAlign w:val="center"/>
          </w:tcPr>
          <w:p>
            <w:pPr>
              <w:pStyle w:val="139"/>
              <w:spacing w:line="240" w:lineRule="auto"/>
              <w:rPr>
                <w:rFonts w:cs="Times New Roman"/>
                <w:szCs w:val="18"/>
              </w:rPr>
            </w:pPr>
            <w:r>
              <w:rPr>
                <w:rFonts w:cs="Times New Roman"/>
                <w:szCs w:val="18"/>
              </w:rPr>
              <w:t>500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7</w:t>
            </w:r>
          </w:p>
        </w:tc>
        <w:tc>
          <w:tcPr>
            <w:tcW w:w="1170" w:type="pct"/>
            <w:noWrap/>
            <w:vAlign w:val="center"/>
          </w:tcPr>
          <w:p>
            <w:pPr>
              <w:pStyle w:val="139"/>
              <w:spacing w:line="240" w:lineRule="auto"/>
              <w:rPr>
                <w:rFonts w:cs="Times New Roman"/>
                <w:szCs w:val="18"/>
              </w:rPr>
            </w:pPr>
            <w:r>
              <w:rPr>
                <w:rFonts w:cs="Times New Roman"/>
                <w:szCs w:val="18"/>
              </w:rPr>
              <w:t>汽车保养站</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200</w:t>
            </w:r>
          </w:p>
        </w:tc>
        <w:tc>
          <w:tcPr>
            <w:tcW w:w="763" w:type="pct"/>
            <w:noWrap/>
            <w:vAlign w:val="center"/>
          </w:tcPr>
          <w:p>
            <w:pPr>
              <w:pStyle w:val="139"/>
              <w:spacing w:line="240" w:lineRule="auto"/>
              <w:rPr>
                <w:rFonts w:cs="Times New Roman"/>
                <w:szCs w:val="18"/>
              </w:rPr>
            </w:pPr>
            <w:r>
              <w:rPr>
                <w:rFonts w:cs="Times New Roman"/>
                <w:szCs w:val="18"/>
              </w:rPr>
              <w:t>500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8</w:t>
            </w:r>
          </w:p>
        </w:tc>
        <w:tc>
          <w:tcPr>
            <w:tcW w:w="1170" w:type="pct"/>
            <w:noWrap/>
            <w:vAlign w:val="center"/>
          </w:tcPr>
          <w:p>
            <w:pPr>
              <w:pStyle w:val="139"/>
              <w:spacing w:line="240" w:lineRule="auto"/>
              <w:rPr>
                <w:rFonts w:cs="Times New Roman"/>
                <w:szCs w:val="18"/>
              </w:rPr>
            </w:pPr>
            <w:r>
              <w:rPr>
                <w:rFonts w:cs="Times New Roman"/>
                <w:szCs w:val="18"/>
              </w:rPr>
              <w:t>钢筋、木材加工厂</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100</w:t>
            </w:r>
          </w:p>
        </w:tc>
        <w:tc>
          <w:tcPr>
            <w:tcW w:w="763" w:type="pct"/>
            <w:noWrap/>
            <w:vAlign w:val="center"/>
          </w:tcPr>
          <w:p>
            <w:pPr>
              <w:pStyle w:val="139"/>
              <w:spacing w:line="240" w:lineRule="auto"/>
              <w:rPr>
                <w:rFonts w:cs="Times New Roman"/>
                <w:szCs w:val="18"/>
              </w:rPr>
            </w:pPr>
            <w:r>
              <w:rPr>
                <w:rFonts w:cs="Times New Roman"/>
                <w:szCs w:val="18"/>
              </w:rPr>
              <w:t>300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9</w:t>
            </w:r>
          </w:p>
        </w:tc>
        <w:tc>
          <w:tcPr>
            <w:tcW w:w="1170" w:type="pct"/>
            <w:noWrap/>
            <w:vAlign w:val="center"/>
          </w:tcPr>
          <w:p>
            <w:pPr>
              <w:pStyle w:val="139"/>
              <w:spacing w:line="240" w:lineRule="auto"/>
              <w:rPr>
                <w:rFonts w:cs="Times New Roman"/>
                <w:szCs w:val="18"/>
              </w:rPr>
            </w:pPr>
            <w:r>
              <w:rPr>
                <w:rFonts w:cs="Times New Roman"/>
                <w:szCs w:val="18"/>
              </w:rPr>
              <w:t>其它</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100</w:t>
            </w:r>
          </w:p>
        </w:tc>
        <w:tc>
          <w:tcPr>
            <w:tcW w:w="763" w:type="pct"/>
            <w:noWrap/>
            <w:vAlign w:val="center"/>
          </w:tcPr>
          <w:p>
            <w:pPr>
              <w:pStyle w:val="139"/>
              <w:spacing w:line="240" w:lineRule="auto"/>
              <w:rPr>
                <w:rFonts w:cs="Times New Roman"/>
                <w:szCs w:val="18"/>
              </w:rPr>
            </w:pPr>
            <w:r>
              <w:rPr>
                <w:rFonts w:cs="Times New Roman"/>
                <w:szCs w:val="18"/>
              </w:rPr>
              <w:t>200</w:t>
            </w:r>
          </w:p>
        </w:tc>
        <w:tc>
          <w:tcPr>
            <w:tcW w:w="777"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noWrap/>
            <w:vAlign w:val="center"/>
          </w:tcPr>
          <w:p>
            <w:pPr>
              <w:pStyle w:val="139"/>
              <w:spacing w:line="240" w:lineRule="auto"/>
              <w:rPr>
                <w:rFonts w:cs="Times New Roman"/>
                <w:szCs w:val="18"/>
              </w:rPr>
            </w:pPr>
            <w:r>
              <w:rPr>
                <w:rFonts w:cs="Times New Roman"/>
                <w:szCs w:val="18"/>
              </w:rPr>
              <w:t>10</w:t>
            </w:r>
          </w:p>
        </w:tc>
        <w:tc>
          <w:tcPr>
            <w:tcW w:w="1170" w:type="pct"/>
            <w:noWrap/>
            <w:vAlign w:val="center"/>
          </w:tcPr>
          <w:p>
            <w:pPr>
              <w:pStyle w:val="139"/>
              <w:spacing w:line="240" w:lineRule="auto"/>
              <w:rPr>
                <w:rFonts w:cs="Times New Roman"/>
                <w:szCs w:val="18"/>
              </w:rPr>
            </w:pPr>
            <w:r>
              <w:rPr>
                <w:rFonts w:cs="Times New Roman"/>
                <w:szCs w:val="18"/>
              </w:rPr>
              <w:t>合计</w:t>
            </w:r>
          </w:p>
        </w:tc>
        <w:tc>
          <w:tcPr>
            <w:tcW w:w="763"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noWrap/>
            <w:vAlign w:val="center"/>
          </w:tcPr>
          <w:p>
            <w:pPr>
              <w:pStyle w:val="139"/>
              <w:spacing w:line="240" w:lineRule="auto"/>
              <w:rPr>
                <w:rFonts w:cs="Times New Roman"/>
                <w:szCs w:val="18"/>
              </w:rPr>
            </w:pPr>
            <w:r>
              <w:rPr>
                <w:rFonts w:cs="Times New Roman"/>
                <w:szCs w:val="18"/>
              </w:rPr>
              <w:t>1370</w:t>
            </w:r>
          </w:p>
        </w:tc>
        <w:tc>
          <w:tcPr>
            <w:tcW w:w="763" w:type="pct"/>
            <w:noWrap/>
            <w:vAlign w:val="center"/>
          </w:tcPr>
          <w:p>
            <w:pPr>
              <w:pStyle w:val="139"/>
              <w:spacing w:line="240" w:lineRule="auto"/>
              <w:rPr>
                <w:rFonts w:cs="Times New Roman"/>
                <w:szCs w:val="18"/>
              </w:rPr>
            </w:pPr>
            <w:r>
              <w:rPr>
                <w:rFonts w:cs="Times New Roman"/>
                <w:szCs w:val="18"/>
              </w:rPr>
              <w:t>4270</w:t>
            </w:r>
          </w:p>
        </w:tc>
        <w:tc>
          <w:tcPr>
            <w:tcW w:w="777" w:type="pct"/>
            <w:noWrap/>
            <w:vAlign w:val="center"/>
          </w:tcPr>
          <w:p>
            <w:pPr>
              <w:pStyle w:val="139"/>
              <w:spacing w:line="240" w:lineRule="auto"/>
              <w:rPr>
                <w:rFonts w:cs="Times New Roman"/>
                <w:szCs w:val="18"/>
              </w:rPr>
            </w:pPr>
          </w:p>
        </w:tc>
      </w:tr>
    </w:tbl>
    <w:p>
      <w:pPr>
        <w:ind w:firstLine="0" w:firstLineChars="0"/>
        <w:contextualSpacing/>
        <w:jc w:val="center"/>
        <w:rPr>
          <w:rFonts w:hAnsi="宋体"/>
          <w:b/>
          <w:bCs/>
          <w:sz w:val="21"/>
          <w:szCs w:val="21"/>
        </w:rPr>
      </w:pPr>
      <w:r>
        <w:rPr>
          <w:rFonts w:hAnsi="宋体"/>
          <w:b/>
          <w:bCs/>
          <w:sz w:val="21"/>
          <w:szCs w:val="21"/>
        </w:rPr>
        <w:t>表2.3.4-2  仓库房屋建筑及占地面积汇总表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998"/>
        <w:gridCol w:w="1300"/>
        <w:gridCol w:w="1300"/>
        <w:gridCol w:w="1300"/>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序号</w:t>
            </w:r>
          </w:p>
        </w:tc>
        <w:tc>
          <w:tcPr>
            <w:tcW w:w="1172" w:type="pct"/>
            <w:vAlign w:val="center"/>
          </w:tcPr>
          <w:p>
            <w:pPr>
              <w:pStyle w:val="139"/>
              <w:spacing w:line="240" w:lineRule="auto"/>
              <w:rPr>
                <w:rFonts w:cs="Times New Roman"/>
                <w:szCs w:val="18"/>
              </w:rPr>
            </w:pPr>
            <w:r>
              <w:rPr>
                <w:rFonts w:cs="Times New Roman"/>
                <w:szCs w:val="18"/>
              </w:rPr>
              <w:t>项目</w:t>
            </w:r>
          </w:p>
        </w:tc>
        <w:tc>
          <w:tcPr>
            <w:tcW w:w="763" w:type="pct"/>
            <w:vAlign w:val="center"/>
          </w:tcPr>
          <w:p>
            <w:pPr>
              <w:pStyle w:val="139"/>
              <w:spacing w:line="240" w:lineRule="auto"/>
              <w:rPr>
                <w:rFonts w:cs="Times New Roman"/>
                <w:szCs w:val="18"/>
              </w:rPr>
            </w:pPr>
            <w:r>
              <w:rPr>
                <w:rFonts w:cs="Times New Roman"/>
                <w:szCs w:val="18"/>
              </w:rPr>
              <w:t>单位</w:t>
            </w:r>
          </w:p>
        </w:tc>
        <w:tc>
          <w:tcPr>
            <w:tcW w:w="763" w:type="pct"/>
            <w:vAlign w:val="center"/>
          </w:tcPr>
          <w:p>
            <w:pPr>
              <w:pStyle w:val="139"/>
              <w:spacing w:line="240" w:lineRule="auto"/>
              <w:rPr>
                <w:rFonts w:cs="Times New Roman"/>
                <w:szCs w:val="18"/>
              </w:rPr>
            </w:pPr>
            <w:r>
              <w:rPr>
                <w:rFonts w:cs="Times New Roman"/>
                <w:szCs w:val="18"/>
              </w:rPr>
              <w:t>建筑面积</w:t>
            </w:r>
          </w:p>
        </w:tc>
        <w:tc>
          <w:tcPr>
            <w:tcW w:w="763" w:type="pct"/>
            <w:vAlign w:val="center"/>
          </w:tcPr>
          <w:p>
            <w:pPr>
              <w:pStyle w:val="139"/>
              <w:spacing w:line="240" w:lineRule="auto"/>
              <w:rPr>
                <w:rFonts w:cs="Times New Roman"/>
                <w:szCs w:val="18"/>
              </w:rPr>
            </w:pPr>
            <w:r>
              <w:rPr>
                <w:rFonts w:cs="Times New Roman"/>
                <w:szCs w:val="18"/>
              </w:rPr>
              <w:t>占地面积</w:t>
            </w:r>
          </w:p>
        </w:tc>
        <w:tc>
          <w:tcPr>
            <w:tcW w:w="777"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1</w:t>
            </w:r>
          </w:p>
        </w:tc>
        <w:tc>
          <w:tcPr>
            <w:tcW w:w="1172" w:type="pct"/>
            <w:vAlign w:val="center"/>
          </w:tcPr>
          <w:p>
            <w:pPr>
              <w:pStyle w:val="139"/>
              <w:spacing w:line="240" w:lineRule="auto"/>
              <w:rPr>
                <w:rFonts w:cs="Times New Roman"/>
                <w:szCs w:val="18"/>
              </w:rPr>
            </w:pPr>
            <w:r>
              <w:rPr>
                <w:rFonts w:cs="Times New Roman"/>
                <w:szCs w:val="18"/>
              </w:rPr>
              <w:t>材料库</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150</w:t>
            </w:r>
          </w:p>
        </w:tc>
        <w:tc>
          <w:tcPr>
            <w:tcW w:w="763" w:type="pct"/>
            <w:vAlign w:val="center"/>
          </w:tcPr>
          <w:p>
            <w:pPr>
              <w:pStyle w:val="139"/>
              <w:spacing w:line="240" w:lineRule="auto"/>
              <w:rPr>
                <w:rFonts w:cs="Times New Roman"/>
                <w:szCs w:val="18"/>
              </w:rPr>
            </w:pPr>
            <w:r>
              <w:rPr>
                <w:rFonts w:cs="Times New Roman"/>
                <w:szCs w:val="18"/>
              </w:rPr>
              <w:t>450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2</w:t>
            </w:r>
          </w:p>
        </w:tc>
        <w:tc>
          <w:tcPr>
            <w:tcW w:w="1172" w:type="pct"/>
            <w:vAlign w:val="center"/>
          </w:tcPr>
          <w:p>
            <w:pPr>
              <w:pStyle w:val="139"/>
              <w:spacing w:line="240" w:lineRule="auto"/>
              <w:rPr>
                <w:rFonts w:cs="Times New Roman"/>
                <w:szCs w:val="18"/>
              </w:rPr>
            </w:pPr>
            <w:r>
              <w:rPr>
                <w:rFonts w:cs="Times New Roman"/>
                <w:szCs w:val="18"/>
              </w:rPr>
              <w:t>水泥库</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150</w:t>
            </w:r>
          </w:p>
        </w:tc>
        <w:tc>
          <w:tcPr>
            <w:tcW w:w="763" w:type="pct"/>
            <w:vAlign w:val="center"/>
          </w:tcPr>
          <w:p>
            <w:pPr>
              <w:pStyle w:val="139"/>
              <w:spacing w:line="240" w:lineRule="auto"/>
              <w:rPr>
                <w:rFonts w:cs="Times New Roman"/>
                <w:szCs w:val="18"/>
              </w:rPr>
            </w:pPr>
            <w:r>
              <w:rPr>
                <w:rFonts w:cs="Times New Roman"/>
                <w:szCs w:val="18"/>
              </w:rPr>
              <w:t>450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3</w:t>
            </w:r>
          </w:p>
        </w:tc>
        <w:tc>
          <w:tcPr>
            <w:tcW w:w="1172" w:type="pct"/>
            <w:vAlign w:val="center"/>
          </w:tcPr>
          <w:p>
            <w:pPr>
              <w:pStyle w:val="139"/>
              <w:spacing w:line="240" w:lineRule="auto"/>
              <w:rPr>
                <w:rFonts w:cs="Times New Roman"/>
                <w:szCs w:val="18"/>
              </w:rPr>
            </w:pPr>
            <w:r>
              <w:rPr>
                <w:rFonts w:cs="Times New Roman"/>
                <w:szCs w:val="18"/>
              </w:rPr>
              <w:t>设备库</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100</w:t>
            </w:r>
          </w:p>
        </w:tc>
        <w:tc>
          <w:tcPr>
            <w:tcW w:w="763" w:type="pct"/>
            <w:vAlign w:val="center"/>
          </w:tcPr>
          <w:p>
            <w:pPr>
              <w:pStyle w:val="139"/>
              <w:spacing w:line="240" w:lineRule="auto"/>
              <w:rPr>
                <w:rFonts w:cs="Times New Roman"/>
                <w:szCs w:val="18"/>
              </w:rPr>
            </w:pPr>
            <w:r>
              <w:rPr>
                <w:rFonts w:cs="Times New Roman"/>
                <w:szCs w:val="18"/>
              </w:rPr>
              <w:t>300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4</w:t>
            </w:r>
          </w:p>
        </w:tc>
        <w:tc>
          <w:tcPr>
            <w:tcW w:w="1172" w:type="pct"/>
            <w:vAlign w:val="center"/>
          </w:tcPr>
          <w:p>
            <w:pPr>
              <w:pStyle w:val="139"/>
              <w:spacing w:line="240" w:lineRule="auto"/>
              <w:rPr>
                <w:rFonts w:cs="Times New Roman"/>
                <w:szCs w:val="18"/>
              </w:rPr>
            </w:pPr>
            <w:r>
              <w:rPr>
                <w:rFonts w:cs="Times New Roman"/>
                <w:szCs w:val="18"/>
              </w:rPr>
              <w:t>油料库</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60</w:t>
            </w:r>
          </w:p>
        </w:tc>
        <w:tc>
          <w:tcPr>
            <w:tcW w:w="763" w:type="pct"/>
            <w:vAlign w:val="center"/>
          </w:tcPr>
          <w:p>
            <w:pPr>
              <w:pStyle w:val="139"/>
              <w:spacing w:line="240" w:lineRule="auto"/>
              <w:rPr>
                <w:rFonts w:cs="Times New Roman"/>
                <w:szCs w:val="18"/>
              </w:rPr>
            </w:pPr>
            <w:r>
              <w:rPr>
                <w:rFonts w:cs="Times New Roman"/>
                <w:szCs w:val="18"/>
              </w:rPr>
              <w:t>200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5</w:t>
            </w:r>
          </w:p>
        </w:tc>
        <w:tc>
          <w:tcPr>
            <w:tcW w:w="1172" w:type="pct"/>
            <w:vAlign w:val="center"/>
          </w:tcPr>
          <w:p>
            <w:pPr>
              <w:pStyle w:val="139"/>
              <w:spacing w:line="240" w:lineRule="auto"/>
              <w:rPr>
                <w:rFonts w:cs="Times New Roman"/>
                <w:szCs w:val="18"/>
              </w:rPr>
            </w:pPr>
            <w:r>
              <w:rPr>
                <w:rFonts w:cs="Times New Roman"/>
                <w:szCs w:val="18"/>
              </w:rPr>
              <w:t>爆破材料库</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40</w:t>
            </w:r>
          </w:p>
        </w:tc>
        <w:tc>
          <w:tcPr>
            <w:tcW w:w="763" w:type="pct"/>
            <w:vAlign w:val="center"/>
          </w:tcPr>
          <w:p>
            <w:pPr>
              <w:pStyle w:val="139"/>
              <w:spacing w:line="240" w:lineRule="auto"/>
              <w:rPr>
                <w:rFonts w:cs="Times New Roman"/>
                <w:szCs w:val="18"/>
              </w:rPr>
            </w:pPr>
            <w:r>
              <w:rPr>
                <w:rFonts w:cs="Times New Roman"/>
                <w:szCs w:val="18"/>
              </w:rPr>
              <w:t>320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6</w:t>
            </w:r>
          </w:p>
        </w:tc>
        <w:tc>
          <w:tcPr>
            <w:tcW w:w="1172" w:type="pct"/>
            <w:vAlign w:val="center"/>
          </w:tcPr>
          <w:p>
            <w:pPr>
              <w:pStyle w:val="139"/>
              <w:spacing w:line="240" w:lineRule="auto"/>
              <w:rPr>
                <w:rFonts w:cs="Times New Roman"/>
                <w:szCs w:val="18"/>
              </w:rPr>
            </w:pPr>
            <w:r>
              <w:rPr>
                <w:rFonts w:cs="Times New Roman"/>
                <w:szCs w:val="18"/>
              </w:rPr>
              <w:t>其它</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80</w:t>
            </w:r>
          </w:p>
        </w:tc>
        <w:tc>
          <w:tcPr>
            <w:tcW w:w="763" w:type="pct"/>
            <w:vAlign w:val="center"/>
          </w:tcPr>
          <w:p>
            <w:pPr>
              <w:pStyle w:val="139"/>
              <w:spacing w:line="240" w:lineRule="auto"/>
              <w:rPr>
                <w:rFonts w:cs="Times New Roman"/>
                <w:szCs w:val="18"/>
              </w:rPr>
            </w:pPr>
            <w:r>
              <w:rPr>
                <w:rFonts w:cs="Times New Roman"/>
                <w:szCs w:val="18"/>
              </w:rPr>
              <w:t>350</w:t>
            </w:r>
          </w:p>
        </w:tc>
        <w:tc>
          <w:tcPr>
            <w:tcW w:w="777"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pct"/>
            <w:vAlign w:val="center"/>
          </w:tcPr>
          <w:p>
            <w:pPr>
              <w:pStyle w:val="139"/>
              <w:spacing w:line="240" w:lineRule="auto"/>
              <w:rPr>
                <w:rFonts w:cs="Times New Roman"/>
                <w:szCs w:val="18"/>
              </w:rPr>
            </w:pPr>
            <w:r>
              <w:rPr>
                <w:rFonts w:cs="Times New Roman"/>
                <w:szCs w:val="18"/>
              </w:rPr>
              <w:t>7</w:t>
            </w:r>
          </w:p>
        </w:tc>
        <w:tc>
          <w:tcPr>
            <w:tcW w:w="1172" w:type="pct"/>
            <w:vAlign w:val="center"/>
          </w:tcPr>
          <w:p>
            <w:pPr>
              <w:pStyle w:val="139"/>
              <w:spacing w:line="240" w:lineRule="auto"/>
              <w:rPr>
                <w:rFonts w:cs="Times New Roman"/>
                <w:szCs w:val="18"/>
              </w:rPr>
            </w:pPr>
            <w:r>
              <w:rPr>
                <w:rFonts w:cs="Times New Roman"/>
                <w:szCs w:val="18"/>
              </w:rPr>
              <w:t>小计</w:t>
            </w:r>
          </w:p>
        </w:tc>
        <w:tc>
          <w:tcPr>
            <w:tcW w:w="763"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63" w:type="pct"/>
            <w:vAlign w:val="center"/>
          </w:tcPr>
          <w:p>
            <w:pPr>
              <w:pStyle w:val="139"/>
              <w:spacing w:line="240" w:lineRule="auto"/>
              <w:rPr>
                <w:rFonts w:cs="Times New Roman"/>
                <w:szCs w:val="18"/>
              </w:rPr>
            </w:pPr>
            <w:r>
              <w:rPr>
                <w:rFonts w:cs="Times New Roman"/>
                <w:szCs w:val="18"/>
              </w:rPr>
              <w:t>580</w:t>
            </w:r>
          </w:p>
        </w:tc>
        <w:tc>
          <w:tcPr>
            <w:tcW w:w="763" w:type="pct"/>
            <w:vAlign w:val="center"/>
          </w:tcPr>
          <w:p>
            <w:pPr>
              <w:pStyle w:val="139"/>
              <w:spacing w:line="240" w:lineRule="auto"/>
              <w:rPr>
                <w:rFonts w:cs="Times New Roman"/>
                <w:szCs w:val="18"/>
              </w:rPr>
            </w:pPr>
            <w:r>
              <w:rPr>
                <w:rFonts w:cs="Times New Roman"/>
                <w:szCs w:val="18"/>
              </w:rPr>
              <w:t>2070</w:t>
            </w:r>
          </w:p>
        </w:tc>
        <w:tc>
          <w:tcPr>
            <w:tcW w:w="777" w:type="pct"/>
            <w:vAlign w:val="center"/>
          </w:tcPr>
          <w:p>
            <w:pPr>
              <w:pStyle w:val="139"/>
              <w:spacing w:line="240" w:lineRule="auto"/>
              <w:rPr>
                <w:rFonts w:cs="Times New Roman"/>
                <w:szCs w:val="18"/>
              </w:rPr>
            </w:pPr>
          </w:p>
        </w:tc>
      </w:tr>
    </w:tbl>
    <w:p>
      <w:pPr>
        <w:ind w:firstLine="0" w:firstLineChars="0"/>
        <w:contextualSpacing/>
        <w:jc w:val="center"/>
        <w:rPr>
          <w:rFonts w:hAnsi="宋体"/>
          <w:b/>
          <w:bCs/>
          <w:sz w:val="21"/>
          <w:szCs w:val="21"/>
        </w:rPr>
      </w:pPr>
      <w:r>
        <w:rPr>
          <w:rFonts w:hAnsi="宋体"/>
          <w:b/>
          <w:bCs/>
          <w:sz w:val="21"/>
          <w:szCs w:val="21"/>
        </w:rPr>
        <w:t>表2.3.4-3  生活福利和管理用房建筑及占地面积汇总表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672"/>
        <w:gridCol w:w="1093"/>
        <w:gridCol w:w="1207"/>
        <w:gridCol w:w="1207"/>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Align w:val="center"/>
          </w:tcPr>
          <w:p>
            <w:pPr>
              <w:pStyle w:val="139"/>
              <w:spacing w:line="240" w:lineRule="auto"/>
              <w:rPr>
                <w:rFonts w:cs="Times New Roman"/>
                <w:szCs w:val="18"/>
              </w:rPr>
            </w:pPr>
            <w:r>
              <w:rPr>
                <w:rFonts w:cs="Times New Roman"/>
                <w:szCs w:val="18"/>
              </w:rPr>
              <w:t>序号</w:t>
            </w:r>
          </w:p>
        </w:tc>
        <w:tc>
          <w:tcPr>
            <w:tcW w:w="981" w:type="pct"/>
            <w:vAlign w:val="center"/>
          </w:tcPr>
          <w:p>
            <w:pPr>
              <w:pStyle w:val="139"/>
              <w:spacing w:line="240" w:lineRule="auto"/>
              <w:rPr>
                <w:rFonts w:cs="Times New Roman"/>
                <w:szCs w:val="18"/>
              </w:rPr>
            </w:pPr>
            <w:r>
              <w:rPr>
                <w:rFonts w:cs="Times New Roman"/>
                <w:szCs w:val="18"/>
              </w:rPr>
              <w:t>项目</w:t>
            </w:r>
          </w:p>
        </w:tc>
        <w:tc>
          <w:tcPr>
            <w:tcW w:w="641" w:type="pct"/>
            <w:vAlign w:val="center"/>
          </w:tcPr>
          <w:p>
            <w:pPr>
              <w:pStyle w:val="139"/>
              <w:spacing w:line="240" w:lineRule="auto"/>
              <w:rPr>
                <w:rFonts w:cs="Times New Roman"/>
                <w:szCs w:val="18"/>
              </w:rPr>
            </w:pPr>
            <w:r>
              <w:rPr>
                <w:rFonts w:cs="Times New Roman"/>
                <w:szCs w:val="18"/>
              </w:rPr>
              <w:t>单位</w:t>
            </w:r>
          </w:p>
        </w:tc>
        <w:tc>
          <w:tcPr>
            <w:tcW w:w="708" w:type="pct"/>
            <w:vAlign w:val="center"/>
          </w:tcPr>
          <w:p>
            <w:pPr>
              <w:pStyle w:val="139"/>
              <w:spacing w:line="240" w:lineRule="auto"/>
              <w:rPr>
                <w:rFonts w:cs="Times New Roman"/>
                <w:szCs w:val="18"/>
              </w:rPr>
            </w:pPr>
            <w:r>
              <w:rPr>
                <w:rFonts w:cs="Times New Roman"/>
                <w:szCs w:val="18"/>
              </w:rPr>
              <w:t>建筑面积</w:t>
            </w:r>
          </w:p>
        </w:tc>
        <w:tc>
          <w:tcPr>
            <w:tcW w:w="708" w:type="pct"/>
            <w:vAlign w:val="center"/>
          </w:tcPr>
          <w:p>
            <w:pPr>
              <w:pStyle w:val="139"/>
              <w:spacing w:line="240" w:lineRule="auto"/>
              <w:rPr>
                <w:rFonts w:cs="Times New Roman"/>
                <w:szCs w:val="18"/>
              </w:rPr>
            </w:pPr>
            <w:r>
              <w:rPr>
                <w:rFonts w:cs="Times New Roman"/>
                <w:szCs w:val="18"/>
              </w:rPr>
              <w:t>占地面积</w:t>
            </w:r>
          </w:p>
        </w:tc>
        <w:tc>
          <w:tcPr>
            <w:tcW w:w="1526"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Align w:val="center"/>
          </w:tcPr>
          <w:p>
            <w:pPr>
              <w:pStyle w:val="139"/>
              <w:spacing w:line="240" w:lineRule="auto"/>
              <w:rPr>
                <w:rFonts w:cs="Times New Roman"/>
                <w:szCs w:val="18"/>
              </w:rPr>
            </w:pPr>
            <w:r>
              <w:rPr>
                <w:rFonts w:cs="Times New Roman"/>
                <w:szCs w:val="18"/>
              </w:rPr>
              <w:t>1</w:t>
            </w:r>
          </w:p>
        </w:tc>
        <w:tc>
          <w:tcPr>
            <w:tcW w:w="981" w:type="pct"/>
            <w:vAlign w:val="center"/>
          </w:tcPr>
          <w:p>
            <w:pPr>
              <w:pStyle w:val="139"/>
              <w:spacing w:line="240" w:lineRule="auto"/>
              <w:rPr>
                <w:rFonts w:cs="Times New Roman"/>
                <w:szCs w:val="18"/>
              </w:rPr>
            </w:pPr>
            <w:r>
              <w:rPr>
                <w:rFonts w:cs="Times New Roman"/>
                <w:szCs w:val="18"/>
              </w:rPr>
              <w:t>职工宿舍</w:t>
            </w:r>
          </w:p>
        </w:tc>
        <w:tc>
          <w:tcPr>
            <w:tcW w:w="641"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08" w:type="pct"/>
            <w:vAlign w:val="center"/>
          </w:tcPr>
          <w:p>
            <w:pPr>
              <w:pStyle w:val="139"/>
              <w:spacing w:line="240" w:lineRule="auto"/>
              <w:rPr>
                <w:rFonts w:cs="Times New Roman"/>
                <w:szCs w:val="18"/>
              </w:rPr>
            </w:pPr>
            <w:r>
              <w:rPr>
                <w:rFonts w:cs="Times New Roman"/>
                <w:szCs w:val="18"/>
              </w:rPr>
              <w:t>1200</w:t>
            </w:r>
          </w:p>
        </w:tc>
        <w:tc>
          <w:tcPr>
            <w:tcW w:w="708" w:type="pct"/>
            <w:vAlign w:val="center"/>
          </w:tcPr>
          <w:p>
            <w:pPr>
              <w:pStyle w:val="139"/>
              <w:spacing w:line="240" w:lineRule="auto"/>
              <w:rPr>
                <w:rFonts w:cs="Times New Roman"/>
                <w:szCs w:val="18"/>
              </w:rPr>
            </w:pPr>
            <w:r>
              <w:rPr>
                <w:rFonts w:cs="Times New Roman"/>
                <w:szCs w:val="18"/>
              </w:rPr>
              <w:t>4800</w:t>
            </w:r>
          </w:p>
        </w:tc>
        <w:tc>
          <w:tcPr>
            <w:tcW w:w="1526"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Align w:val="center"/>
          </w:tcPr>
          <w:p>
            <w:pPr>
              <w:pStyle w:val="139"/>
              <w:spacing w:line="240" w:lineRule="auto"/>
              <w:rPr>
                <w:rFonts w:cs="Times New Roman"/>
                <w:szCs w:val="18"/>
              </w:rPr>
            </w:pPr>
            <w:r>
              <w:rPr>
                <w:rFonts w:cs="Times New Roman"/>
                <w:szCs w:val="18"/>
              </w:rPr>
              <w:t>2</w:t>
            </w:r>
          </w:p>
        </w:tc>
        <w:tc>
          <w:tcPr>
            <w:tcW w:w="981" w:type="pct"/>
            <w:vAlign w:val="center"/>
          </w:tcPr>
          <w:p>
            <w:pPr>
              <w:pStyle w:val="139"/>
              <w:spacing w:line="240" w:lineRule="auto"/>
              <w:rPr>
                <w:rFonts w:cs="Times New Roman"/>
                <w:szCs w:val="18"/>
              </w:rPr>
            </w:pPr>
            <w:r>
              <w:rPr>
                <w:rFonts w:cs="Times New Roman"/>
                <w:szCs w:val="18"/>
              </w:rPr>
              <w:t>办公用房</w:t>
            </w:r>
          </w:p>
        </w:tc>
        <w:tc>
          <w:tcPr>
            <w:tcW w:w="641"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08" w:type="pct"/>
            <w:vAlign w:val="center"/>
          </w:tcPr>
          <w:p>
            <w:pPr>
              <w:pStyle w:val="139"/>
              <w:spacing w:line="240" w:lineRule="auto"/>
              <w:rPr>
                <w:rFonts w:cs="Times New Roman"/>
                <w:szCs w:val="18"/>
              </w:rPr>
            </w:pPr>
            <w:r>
              <w:rPr>
                <w:rFonts w:cs="Times New Roman"/>
                <w:szCs w:val="18"/>
              </w:rPr>
              <w:t>400</w:t>
            </w:r>
          </w:p>
        </w:tc>
        <w:tc>
          <w:tcPr>
            <w:tcW w:w="708" w:type="pct"/>
            <w:vAlign w:val="center"/>
          </w:tcPr>
          <w:p>
            <w:pPr>
              <w:pStyle w:val="139"/>
              <w:spacing w:line="240" w:lineRule="auto"/>
              <w:rPr>
                <w:rFonts w:cs="Times New Roman"/>
                <w:szCs w:val="18"/>
              </w:rPr>
            </w:pPr>
            <w:r>
              <w:rPr>
                <w:rFonts w:cs="Times New Roman"/>
                <w:szCs w:val="18"/>
              </w:rPr>
              <w:t>1200</w:t>
            </w:r>
          </w:p>
        </w:tc>
        <w:tc>
          <w:tcPr>
            <w:tcW w:w="1526"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Align w:val="center"/>
          </w:tcPr>
          <w:p>
            <w:pPr>
              <w:pStyle w:val="139"/>
              <w:spacing w:line="240" w:lineRule="auto"/>
              <w:rPr>
                <w:rFonts w:cs="Times New Roman"/>
                <w:szCs w:val="18"/>
              </w:rPr>
            </w:pPr>
            <w:r>
              <w:rPr>
                <w:rFonts w:cs="Times New Roman"/>
                <w:szCs w:val="18"/>
              </w:rPr>
              <w:t>3</w:t>
            </w:r>
          </w:p>
        </w:tc>
        <w:tc>
          <w:tcPr>
            <w:tcW w:w="981" w:type="pct"/>
            <w:vAlign w:val="center"/>
          </w:tcPr>
          <w:p>
            <w:pPr>
              <w:pStyle w:val="139"/>
              <w:spacing w:line="240" w:lineRule="auto"/>
              <w:rPr>
                <w:rFonts w:cs="Times New Roman"/>
                <w:szCs w:val="18"/>
              </w:rPr>
            </w:pPr>
            <w:r>
              <w:rPr>
                <w:rFonts w:cs="Times New Roman"/>
                <w:szCs w:val="18"/>
              </w:rPr>
              <w:t>生活福利用房</w:t>
            </w:r>
          </w:p>
        </w:tc>
        <w:tc>
          <w:tcPr>
            <w:tcW w:w="641"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08" w:type="pct"/>
            <w:vAlign w:val="center"/>
          </w:tcPr>
          <w:p>
            <w:pPr>
              <w:pStyle w:val="139"/>
              <w:spacing w:line="240" w:lineRule="auto"/>
              <w:rPr>
                <w:rFonts w:cs="Times New Roman"/>
                <w:szCs w:val="18"/>
              </w:rPr>
            </w:pPr>
            <w:r>
              <w:rPr>
                <w:rFonts w:cs="Times New Roman"/>
                <w:szCs w:val="18"/>
              </w:rPr>
              <w:t>200</w:t>
            </w:r>
          </w:p>
        </w:tc>
        <w:tc>
          <w:tcPr>
            <w:tcW w:w="708" w:type="pct"/>
            <w:vAlign w:val="center"/>
          </w:tcPr>
          <w:p>
            <w:pPr>
              <w:pStyle w:val="139"/>
              <w:spacing w:line="240" w:lineRule="auto"/>
              <w:rPr>
                <w:rFonts w:cs="Times New Roman"/>
                <w:szCs w:val="18"/>
              </w:rPr>
            </w:pPr>
            <w:r>
              <w:rPr>
                <w:rFonts w:cs="Times New Roman"/>
                <w:szCs w:val="18"/>
              </w:rPr>
              <w:t>600</w:t>
            </w:r>
          </w:p>
        </w:tc>
        <w:tc>
          <w:tcPr>
            <w:tcW w:w="1526"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vAlign w:val="center"/>
          </w:tcPr>
          <w:p>
            <w:pPr>
              <w:pStyle w:val="139"/>
              <w:spacing w:line="240" w:lineRule="auto"/>
              <w:rPr>
                <w:rFonts w:cs="Times New Roman"/>
                <w:szCs w:val="18"/>
              </w:rPr>
            </w:pPr>
            <w:r>
              <w:rPr>
                <w:rFonts w:cs="Times New Roman"/>
                <w:szCs w:val="18"/>
              </w:rPr>
              <w:t>5</w:t>
            </w:r>
          </w:p>
        </w:tc>
        <w:tc>
          <w:tcPr>
            <w:tcW w:w="981" w:type="pct"/>
            <w:vAlign w:val="center"/>
          </w:tcPr>
          <w:p>
            <w:pPr>
              <w:pStyle w:val="139"/>
              <w:spacing w:line="240" w:lineRule="auto"/>
              <w:rPr>
                <w:rFonts w:cs="Times New Roman"/>
                <w:szCs w:val="18"/>
              </w:rPr>
            </w:pPr>
            <w:r>
              <w:rPr>
                <w:rFonts w:cs="Times New Roman"/>
                <w:szCs w:val="18"/>
              </w:rPr>
              <w:t>小计</w:t>
            </w:r>
          </w:p>
        </w:tc>
        <w:tc>
          <w:tcPr>
            <w:tcW w:w="641"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708" w:type="pct"/>
            <w:vAlign w:val="center"/>
          </w:tcPr>
          <w:p>
            <w:pPr>
              <w:pStyle w:val="139"/>
              <w:spacing w:line="240" w:lineRule="auto"/>
              <w:rPr>
                <w:rFonts w:cs="Times New Roman"/>
                <w:szCs w:val="18"/>
              </w:rPr>
            </w:pPr>
            <w:r>
              <w:rPr>
                <w:rFonts w:cs="Times New Roman"/>
                <w:szCs w:val="18"/>
              </w:rPr>
              <w:t>1800</w:t>
            </w:r>
          </w:p>
        </w:tc>
        <w:tc>
          <w:tcPr>
            <w:tcW w:w="708" w:type="pct"/>
            <w:vAlign w:val="center"/>
          </w:tcPr>
          <w:p>
            <w:pPr>
              <w:pStyle w:val="139"/>
              <w:spacing w:line="240" w:lineRule="auto"/>
              <w:rPr>
                <w:rFonts w:cs="Times New Roman"/>
                <w:szCs w:val="18"/>
              </w:rPr>
            </w:pPr>
            <w:r>
              <w:rPr>
                <w:rFonts w:cs="Times New Roman"/>
                <w:szCs w:val="18"/>
              </w:rPr>
              <w:t>6600</w:t>
            </w:r>
          </w:p>
        </w:tc>
        <w:tc>
          <w:tcPr>
            <w:tcW w:w="1526" w:type="pct"/>
            <w:vAlign w:val="center"/>
          </w:tcPr>
          <w:p>
            <w:pPr>
              <w:pStyle w:val="139"/>
              <w:spacing w:line="240" w:lineRule="auto"/>
              <w:rPr>
                <w:rFonts w:cs="Times New Roman"/>
                <w:szCs w:val="18"/>
              </w:rPr>
            </w:pPr>
          </w:p>
        </w:tc>
      </w:tr>
    </w:tbl>
    <w:p>
      <w:pPr>
        <w:ind w:firstLine="480"/>
        <w:contextualSpacing/>
        <w:rPr>
          <w:rFonts w:hAnsi="宋体"/>
        </w:rPr>
      </w:pPr>
      <w:r>
        <w:rPr>
          <w:rFonts w:hint="eastAsia" w:hAnsi="宋体"/>
        </w:rPr>
        <w:t>（2）渠道工程</w:t>
      </w:r>
    </w:p>
    <w:p>
      <w:pPr>
        <w:ind w:firstLine="480"/>
        <w:contextualSpacing/>
        <w:rPr>
          <w:rFonts w:hAnsi="宋体"/>
        </w:rPr>
      </w:pPr>
      <w:r>
        <w:rPr>
          <w:rFonts w:hAnsi="宋体"/>
        </w:rPr>
        <w:t>根据渠道及供水建筑物布置特点，初步规划为1个工区，即干渠工区。整个工区包括有管线工程、渡槽、隧洞等建筑物以及各工区为施工服务布置的交通道路，风、水、电系统、生产及生活服务设施，工区内布置若干个施工点。</w:t>
      </w:r>
    </w:p>
    <w:p>
      <w:pPr>
        <w:ind w:firstLine="480"/>
        <w:contextualSpacing/>
        <w:rPr>
          <w:rFonts w:hAnsi="宋体"/>
        </w:rPr>
      </w:pPr>
      <w:r>
        <w:rPr>
          <w:rFonts w:hAnsi="宋体"/>
        </w:rPr>
        <w:t>渠道工程工区划分见表2.3.4-4。</w:t>
      </w:r>
    </w:p>
    <w:p>
      <w:pPr>
        <w:ind w:firstLine="480"/>
        <w:contextualSpacing/>
        <w:rPr>
          <w:rFonts w:hAnsi="宋体"/>
        </w:rPr>
      </w:pPr>
      <w:r>
        <w:rPr>
          <w:rFonts w:hAnsi="宋体"/>
        </w:rPr>
        <w:t>渠道工程生产房屋建筑及占地面积见表2.3.4-5。</w:t>
      </w:r>
    </w:p>
    <w:p>
      <w:pPr>
        <w:ind w:firstLine="480"/>
        <w:contextualSpacing/>
        <w:rPr>
          <w:rFonts w:hAnsi="宋体"/>
        </w:rPr>
      </w:pPr>
      <w:r>
        <w:rPr>
          <w:rFonts w:hAnsi="宋体"/>
        </w:rPr>
        <w:t>渠道工程仓库房屋建筑及占地面积见表2.3.4-6。</w:t>
      </w:r>
    </w:p>
    <w:p>
      <w:pPr>
        <w:ind w:firstLine="480"/>
        <w:contextualSpacing/>
        <w:rPr>
          <w:rFonts w:hAnsi="宋体"/>
        </w:rPr>
      </w:pPr>
      <w:r>
        <w:rPr>
          <w:rFonts w:hAnsi="宋体"/>
        </w:rPr>
        <w:t>渠道工程生活福利用房建筑及占地面积见表2.3.4-7。</w:t>
      </w:r>
    </w:p>
    <w:p>
      <w:pPr>
        <w:ind w:firstLine="0" w:firstLineChars="0"/>
        <w:contextualSpacing/>
        <w:jc w:val="center"/>
        <w:rPr>
          <w:rFonts w:hAnsi="宋体"/>
          <w:b/>
          <w:bCs/>
          <w:sz w:val="21"/>
          <w:szCs w:val="21"/>
        </w:rPr>
      </w:pPr>
      <w:r>
        <w:rPr>
          <w:rFonts w:hAnsi="宋体"/>
          <w:b/>
          <w:bCs/>
          <w:sz w:val="21"/>
          <w:szCs w:val="21"/>
        </w:rPr>
        <w:t>表2.3.4-4  渠道工程施工分区规划表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
        <w:gridCol w:w="672"/>
        <w:gridCol w:w="7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 w:type="pct"/>
            <w:vAlign w:val="center"/>
          </w:tcPr>
          <w:p>
            <w:pPr>
              <w:pStyle w:val="139"/>
              <w:spacing w:line="240" w:lineRule="auto"/>
              <w:rPr>
                <w:rFonts w:cs="Times New Roman"/>
              </w:rPr>
            </w:pPr>
            <w:r>
              <w:rPr>
                <w:rFonts w:cs="Times New Roman"/>
              </w:rPr>
              <w:t>序号</w:t>
            </w:r>
          </w:p>
        </w:tc>
        <w:tc>
          <w:tcPr>
            <w:tcW w:w="702" w:type="pct"/>
            <w:vAlign w:val="center"/>
          </w:tcPr>
          <w:p>
            <w:pPr>
              <w:pStyle w:val="139"/>
              <w:spacing w:line="240" w:lineRule="auto"/>
              <w:rPr>
                <w:rFonts w:cs="Times New Roman"/>
              </w:rPr>
            </w:pPr>
            <w:r>
              <w:rPr>
                <w:rFonts w:cs="Times New Roman"/>
              </w:rPr>
              <w:t>工区名称</w:t>
            </w:r>
          </w:p>
        </w:tc>
        <w:tc>
          <w:tcPr>
            <w:tcW w:w="4105" w:type="pct"/>
            <w:noWrap/>
            <w:vAlign w:val="center"/>
          </w:tcPr>
          <w:p>
            <w:pPr>
              <w:pStyle w:val="139"/>
              <w:spacing w:line="240" w:lineRule="auto"/>
              <w:rPr>
                <w:rFonts w:cs="Times New Roman"/>
              </w:rPr>
            </w:pPr>
            <w:r>
              <w:rPr>
                <w:rFonts w:cs="Times New Roman"/>
              </w:rPr>
              <w:t>控制范围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 w:type="pct"/>
            <w:noWrap/>
            <w:vAlign w:val="center"/>
          </w:tcPr>
          <w:p>
            <w:pPr>
              <w:pStyle w:val="139"/>
              <w:spacing w:line="240" w:lineRule="auto"/>
              <w:rPr>
                <w:rFonts w:cs="Times New Roman"/>
              </w:rPr>
            </w:pPr>
            <w:r>
              <w:rPr>
                <w:rFonts w:cs="Times New Roman"/>
              </w:rPr>
              <w:t>1</w:t>
            </w:r>
          </w:p>
        </w:tc>
        <w:tc>
          <w:tcPr>
            <w:tcW w:w="702" w:type="pct"/>
            <w:noWrap/>
            <w:vAlign w:val="center"/>
          </w:tcPr>
          <w:p>
            <w:pPr>
              <w:pStyle w:val="139"/>
              <w:spacing w:line="240" w:lineRule="auto"/>
              <w:rPr>
                <w:rFonts w:cs="Times New Roman"/>
              </w:rPr>
            </w:pPr>
            <w:r>
              <w:rPr>
                <w:rFonts w:cs="Times New Roman"/>
              </w:rPr>
              <w:t>干渠工区</w:t>
            </w:r>
          </w:p>
        </w:tc>
        <w:tc>
          <w:tcPr>
            <w:tcW w:w="4105" w:type="pct"/>
            <w:noWrap/>
            <w:vAlign w:val="center"/>
          </w:tcPr>
          <w:p>
            <w:pPr>
              <w:pStyle w:val="139"/>
              <w:spacing w:line="240" w:lineRule="auto"/>
              <w:jc w:val="both"/>
              <w:rPr>
                <w:rFonts w:cs="Times New Roman"/>
              </w:rPr>
            </w:pPr>
            <w:r>
              <w:rPr>
                <w:rFonts w:cs="Times New Roman"/>
              </w:rPr>
              <w:t>管线工程桩号0+000</w:t>
            </w:r>
            <w:r>
              <w:rPr>
                <w:rFonts w:hint="eastAsia" w:cs="Times New Roman"/>
              </w:rPr>
              <w:t>～</w:t>
            </w:r>
            <w:r>
              <w:rPr>
                <w:rFonts w:cs="Times New Roman"/>
              </w:rPr>
              <w:t>0+201、0+319</w:t>
            </w:r>
            <w:r>
              <w:rPr>
                <w:rFonts w:hint="eastAsia" w:cs="Times New Roman"/>
              </w:rPr>
              <w:t>～</w:t>
            </w:r>
            <w:r>
              <w:rPr>
                <w:rFonts w:cs="Times New Roman"/>
              </w:rPr>
              <w:t>0+822、2+146</w:t>
            </w:r>
            <w:r>
              <w:rPr>
                <w:rFonts w:hint="eastAsia" w:cs="Times New Roman"/>
              </w:rPr>
              <w:t>～</w:t>
            </w:r>
            <w:r>
              <w:rPr>
                <w:rFonts w:cs="Times New Roman"/>
              </w:rPr>
              <w:t>5+271、6+223</w:t>
            </w:r>
            <w:r>
              <w:rPr>
                <w:rFonts w:hint="eastAsia" w:cs="Times New Roman"/>
              </w:rPr>
              <w:t>～</w:t>
            </w:r>
            <w:r>
              <w:rPr>
                <w:rFonts w:cs="Times New Roman"/>
              </w:rPr>
              <w:t>7+887段渠道施工；隧洞2座，长1.32km和0.95km；渡槽1座，长117m。</w:t>
            </w:r>
          </w:p>
        </w:tc>
      </w:tr>
    </w:tbl>
    <w:p>
      <w:pPr>
        <w:ind w:firstLine="0" w:firstLineChars="0"/>
        <w:contextualSpacing/>
        <w:jc w:val="center"/>
        <w:rPr>
          <w:rFonts w:hAnsi="宋体"/>
          <w:b/>
          <w:bCs/>
          <w:sz w:val="21"/>
          <w:szCs w:val="21"/>
        </w:rPr>
      </w:pPr>
      <w:r>
        <w:rPr>
          <w:rFonts w:hAnsi="宋体"/>
          <w:b/>
          <w:bCs/>
          <w:sz w:val="21"/>
          <w:szCs w:val="21"/>
        </w:rPr>
        <w:t>表2.3.4-5  渠道工程生产房屋建筑及占地面积表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785"/>
        <w:gridCol w:w="1314"/>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序号</w:t>
            </w:r>
          </w:p>
        </w:tc>
        <w:tc>
          <w:tcPr>
            <w:tcW w:w="1047" w:type="pct"/>
            <w:noWrap/>
            <w:vAlign w:val="center"/>
          </w:tcPr>
          <w:p>
            <w:pPr>
              <w:pStyle w:val="139"/>
              <w:spacing w:line="240" w:lineRule="auto"/>
              <w:rPr>
                <w:rFonts w:cs="Times New Roman"/>
                <w:szCs w:val="18"/>
              </w:rPr>
            </w:pPr>
            <w:r>
              <w:rPr>
                <w:rFonts w:cs="Times New Roman"/>
                <w:szCs w:val="18"/>
              </w:rPr>
              <w:t>项目</w:t>
            </w:r>
          </w:p>
        </w:tc>
        <w:tc>
          <w:tcPr>
            <w:tcW w:w="771" w:type="pct"/>
            <w:noWrap/>
            <w:vAlign w:val="center"/>
          </w:tcPr>
          <w:p>
            <w:pPr>
              <w:pStyle w:val="139"/>
              <w:spacing w:line="240" w:lineRule="auto"/>
              <w:rPr>
                <w:rFonts w:cs="Times New Roman"/>
                <w:szCs w:val="18"/>
              </w:rPr>
            </w:pPr>
            <w:r>
              <w:rPr>
                <w:rFonts w:cs="Times New Roman"/>
                <w:szCs w:val="18"/>
              </w:rPr>
              <w:t>单位</w:t>
            </w:r>
          </w:p>
        </w:tc>
        <w:tc>
          <w:tcPr>
            <w:tcW w:w="833" w:type="pct"/>
            <w:noWrap/>
            <w:vAlign w:val="center"/>
          </w:tcPr>
          <w:p>
            <w:pPr>
              <w:pStyle w:val="139"/>
              <w:spacing w:line="240" w:lineRule="auto"/>
              <w:rPr>
                <w:rFonts w:cs="Times New Roman"/>
                <w:szCs w:val="18"/>
              </w:rPr>
            </w:pPr>
            <w:r>
              <w:rPr>
                <w:rFonts w:cs="Times New Roman"/>
                <w:szCs w:val="18"/>
              </w:rPr>
              <w:t>建筑面积</w:t>
            </w:r>
          </w:p>
        </w:tc>
        <w:tc>
          <w:tcPr>
            <w:tcW w:w="833" w:type="pct"/>
            <w:noWrap/>
            <w:vAlign w:val="center"/>
          </w:tcPr>
          <w:p>
            <w:pPr>
              <w:pStyle w:val="139"/>
              <w:spacing w:line="240" w:lineRule="auto"/>
              <w:rPr>
                <w:rFonts w:cs="Times New Roman"/>
                <w:szCs w:val="18"/>
              </w:rPr>
            </w:pPr>
            <w:r>
              <w:rPr>
                <w:rFonts w:cs="Times New Roman"/>
                <w:szCs w:val="18"/>
              </w:rPr>
              <w:t>占地面积</w:t>
            </w:r>
          </w:p>
        </w:tc>
        <w:tc>
          <w:tcPr>
            <w:tcW w:w="833" w:type="pct"/>
            <w:noWrap/>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1</w:t>
            </w:r>
          </w:p>
        </w:tc>
        <w:tc>
          <w:tcPr>
            <w:tcW w:w="1047" w:type="pct"/>
            <w:noWrap/>
            <w:vAlign w:val="center"/>
          </w:tcPr>
          <w:p>
            <w:pPr>
              <w:pStyle w:val="139"/>
              <w:spacing w:line="240" w:lineRule="auto"/>
              <w:rPr>
                <w:rFonts w:cs="Times New Roman"/>
                <w:szCs w:val="18"/>
              </w:rPr>
            </w:pPr>
            <w:r>
              <w:rPr>
                <w:rFonts w:cs="Times New Roman"/>
                <w:szCs w:val="18"/>
              </w:rPr>
              <w:t>拌和站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300</w:t>
            </w:r>
          </w:p>
        </w:tc>
        <w:tc>
          <w:tcPr>
            <w:tcW w:w="833" w:type="pct"/>
            <w:noWrap/>
            <w:vAlign w:val="center"/>
          </w:tcPr>
          <w:p>
            <w:pPr>
              <w:pStyle w:val="139"/>
              <w:spacing w:line="240" w:lineRule="auto"/>
              <w:rPr>
                <w:rFonts w:cs="Times New Roman"/>
                <w:szCs w:val="18"/>
              </w:rPr>
            </w:pPr>
            <w:r>
              <w:rPr>
                <w:rFonts w:cs="Times New Roman"/>
                <w:szCs w:val="18"/>
              </w:rPr>
              <w:t>1500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2</w:t>
            </w:r>
          </w:p>
        </w:tc>
        <w:tc>
          <w:tcPr>
            <w:tcW w:w="1047" w:type="pct"/>
            <w:noWrap/>
            <w:vAlign w:val="center"/>
          </w:tcPr>
          <w:p>
            <w:pPr>
              <w:pStyle w:val="139"/>
              <w:spacing w:line="240" w:lineRule="auto"/>
              <w:rPr>
                <w:rFonts w:cs="Times New Roman"/>
                <w:szCs w:val="18"/>
              </w:rPr>
            </w:pPr>
            <w:r>
              <w:rPr>
                <w:rFonts w:cs="Times New Roman"/>
                <w:szCs w:val="18"/>
              </w:rPr>
              <w:t>压气站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100</w:t>
            </w:r>
          </w:p>
        </w:tc>
        <w:tc>
          <w:tcPr>
            <w:tcW w:w="833" w:type="pct"/>
            <w:noWrap/>
            <w:vAlign w:val="center"/>
          </w:tcPr>
          <w:p>
            <w:pPr>
              <w:pStyle w:val="139"/>
              <w:spacing w:line="240" w:lineRule="auto"/>
              <w:rPr>
                <w:rFonts w:cs="Times New Roman"/>
                <w:szCs w:val="18"/>
              </w:rPr>
            </w:pPr>
            <w:r>
              <w:rPr>
                <w:rFonts w:cs="Times New Roman"/>
                <w:szCs w:val="18"/>
              </w:rPr>
              <w:t>300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3</w:t>
            </w:r>
          </w:p>
        </w:tc>
        <w:tc>
          <w:tcPr>
            <w:tcW w:w="1047" w:type="pct"/>
            <w:noWrap/>
            <w:vAlign w:val="center"/>
          </w:tcPr>
          <w:p>
            <w:pPr>
              <w:pStyle w:val="139"/>
              <w:spacing w:line="240" w:lineRule="auto"/>
              <w:rPr>
                <w:rFonts w:cs="Times New Roman"/>
                <w:szCs w:val="18"/>
              </w:rPr>
            </w:pPr>
            <w:r>
              <w:rPr>
                <w:rFonts w:cs="Times New Roman"/>
                <w:szCs w:val="18"/>
              </w:rPr>
              <w:t>抽水站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60</w:t>
            </w:r>
          </w:p>
        </w:tc>
        <w:tc>
          <w:tcPr>
            <w:tcW w:w="833" w:type="pct"/>
            <w:noWrap/>
            <w:vAlign w:val="center"/>
          </w:tcPr>
          <w:p>
            <w:pPr>
              <w:pStyle w:val="139"/>
              <w:spacing w:line="240" w:lineRule="auto"/>
              <w:rPr>
                <w:rFonts w:cs="Times New Roman"/>
                <w:szCs w:val="18"/>
              </w:rPr>
            </w:pPr>
            <w:r>
              <w:rPr>
                <w:rFonts w:cs="Times New Roman"/>
                <w:szCs w:val="18"/>
              </w:rPr>
              <w:t>240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4</w:t>
            </w:r>
          </w:p>
        </w:tc>
        <w:tc>
          <w:tcPr>
            <w:tcW w:w="1047" w:type="pct"/>
            <w:noWrap/>
            <w:vAlign w:val="center"/>
          </w:tcPr>
          <w:p>
            <w:pPr>
              <w:pStyle w:val="139"/>
              <w:spacing w:line="240" w:lineRule="auto"/>
              <w:rPr>
                <w:rFonts w:cs="Times New Roman"/>
                <w:szCs w:val="18"/>
              </w:rPr>
            </w:pPr>
            <w:r>
              <w:rPr>
                <w:rFonts w:cs="Times New Roman"/>
                <w:szCs w:val="18"/>
              </w:rPr>
              <w:t>变压站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60</w:t>
            </w:r>
          </w:p>
        </w:tc>
        <w:tc>
          <w:tcPr>
            <w:tcW w:w="833" w:type="pct"/>
            <w:noWrap/>
            <w:vAlign w:val="center"/>
          </w:tcPr>
          <w:p>
            <w:pPr>
              <w:pStyle w:val="139"/>
              <w:spacing w:line="240" w:lineRule="auto"/>
              <w:rPr>
                <w:rFonts w:cs="Times New Roman"/>
                <w:szCs w:val="18"/>
              </w:rPr>
            </w:pPr>
            <w:r>
              <w:rPr>
                <w:rFonts w:cs="Times New Roman"/>
                <w:szCs w:val="18"/>
              </w:rPr>
              <w:t>240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5</w:t>
            </w:r>
          </w:p>
        </w:tc>
        <w:tc>
          <w:tcPr>
            <w:tcW w:w="1047" w:type="pct"/>
            <w:noWrap/>
            <w:vAlign w:val="center"/>
          </w:tcPr>
          <w:p>
            <w:pPr>
              <w:pStyle w:val="139"/>
              <w:spacing w:line="240" w:lineRule="auto"/>
              <w:rPr>
                <w:rFonts w:cs="Times New Roman"/>
                <w:szCs w:val="18"/>
              </w:rPr>
            </w:pPr>
            <w:r>
              <w:rPr>
                <w:rFonts w:cs="Times New Roman"/>
                <w:szCs w:val="18"/>
              </w:rPr>
              <w:t>修钎站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60</w:t>
            </w:r>
          </w:p>
        </w:tc>
        <w:tc>
          <w:tcPr>
            <w:tcW w:w="833" w:type="pct"/>
            <w:noWrap/>
            <w:vAlign w:val="center"/>
          </w:tcPr>
          <w:p>
            <w:pPr>
              <w:pStyle w:val="139"/>
              <w:spacing w:line="240" w:lineRule="auto"/>
              <w:rPr>
                <w:rFonts w:cs="Times New Roman"/>
                <w:szCs w:val="18"/>
              </w:rPr>
            </w:pPr>
            <w:r>
              <w:rPr>
                <w:rFonts w:cs="Times New Roman"/>
                <w:szCs w:val="18"/>
              </w:rPr>
              <w:t>180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6</w:t>
            </w:r>
          </w:p>
        </w:tc>
        <w:tc>
          <w:tcPr>
            <w:tcW w:w="1047" w:type="pct"/>
            <w:noWrap/>
            <w:vAlign w:val="center"/>
          </w:tcPr>
          <w:p>
            <w:pPr>
              <w:pStyle w:val="139"/>
              <w:spacing w:line="240" w:lineRule="auto"/>
              <w:rPr>
                <w:rFonts w:cs="Times New Roman"/>
                <w:szCs w:val="18"/>
              </w:rPr>
            </w:pPr>
            <w:r>
              <w:rPr>
                <w:rFonts w:cs="Times New Roman"/>
                <w:szCs w:val="18"/>
              </w:rPr>
              <w:t>机修站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150</w:t>
            </w:r>
          </w:p>
        </w:tc>
        <w:tc>
          <w:tcPr>
            <w:tcW w:w="833" w:type="pct"/>
            <w:noWrap/>
            <w:vAlign w:val="center"/>
          </w:tcPr>
          <w:p>
            <w:pPr>
              <w:pStyle w:val="139"/>
              <w:spacing w:line="240" w:lineRule="auto"/>
              <w:rPr>
                <w:rFonts w:cs="Times New Roman"/>
                <w:szCs w:val="18"/>
              </w:rPr>
            </w:pPr>
            <w:r>
              <w:rPr>
                <w:rFonts w:cs="Times New Roman"/>
                <w:szCs w:val="18"/>
              </w:rPr>
              <w:t>450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7</w:t>
            </w:r>
          </w:p>
        </w:tc>
        <w:tc>
          <w:tcPr>
            <w:tcW w:w="1047" w:type="pct"/>
            <w:noWrap/>
            <w:vAlign w:val="center"/>
          </w:tcPr>
          <w:p>
            <w:pPr>
              <w:pStyle w:val="139"/>
              <w:spacing w:line="240" w:lineRule="auto"/>
              <w:rPr>
                <w:rFonts w:cs="Times New Roman"/>
                <w:szCs w:val="18"/>
              </w:rPr>
            </w:pPr>
            <w:r>
              <w:rPr>
                <w:rFonts w:cs="Times New Roman"/>
                <w:szCs w:val="18"/>
              </w:rPr>
              <w:t>汽车保养站</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150</w:t>
            </w:r>
          </w:p>
        </w:tc>
        <w:tc>
          <w:tcPr>
            <w:tcW w:w="833" w:type="pct"/>
            <w:noWrap/>
            <w:vAlign w:val="center"/>
          </w:tcPr>
          <w:p>
            <w:pPr>
              <w:pStyle w:val="139"/>
              <w:spacing w:line="240" w:lineRule="auto"/>
              <w:rPr>
                <w:rFonts w:cs="Times New Roman"/>
                <w:szCs w:val="18"/>
              </w:rPr>
            </w:pPr>
            <w:r>
              <w:rPr>
                <w:rFonts w:cs="Times New Roman"/>
                <w:szCs w:val="18"/>
              </w:rPr>
              <w:t>450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8</w:t>
            </w:r>
          </w:p>
        </w:tc>
        <w:tc>
          <w:tcPr>
            <w:tcW w:w="1047" w:type="pct"/>
            <w:noWrap/>
            <w:vAlign w:val="center"/>
          </w:tcPr>
          <w:p>
            <w:pPr>
              <w:pStyle w:val="139"/>
              <w:spacing w:line="240" w:lineRule="auto"/>
              <w:rPr>
                <w:rFonts w:cs="Times New Roman"/>
                <w:szCs w:val="18"/>
              </w:rPr>
            </w:pPr>
            <w:r>
              <w:rPr>
                <w:rFonts w:cs="Times New Roman"/>
                <w:szCs w:val="18"/>
              </w:rPr>
              <w:t>钢筋、木材加工厂</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100</w:t>
            </w:r>
          </w:p>
        </w:tc>
        <w:tc>
          <w:tcPr>
            <w:tcW w:w="833" w:type="pct"/>
            <w:noWrap/>
            <w:vAlign w:val="center"/>
          </w:tcPr>
          <w:p>
            <w:pPr>
              <w:pStyle w:val="139"/>
              <w:spacing w:line="240" w:lineRule="auto"/>
              <w:rPr>
                <w:rFonts w:cs="Times New Roman"/>
                <w:szCs w:val="18"/>
              </w:rPr>
            </w:pPr>
            <w:r>
              <w:rPr>
                <w:rFonts w:cs="Times New Roman"/>
                <w:szCs w:val="18"/>
              </w:rPr>
              <w:t>400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9</w:t>
            </w:r>
          </w:p>
        </w:tc>
        <w:tc>
          <w:tcPr>
            <w:tcW w:w="1047" w:type="pct"/>
            <w:noWrap/>
            <w:vAlign w:val="center"/>
          </w:tcPr>
          <w:p>
            <w:pPr>
              <w:pStyle w:val="139"/>
              <w:spacing w:line="240" w:lineRule="auto"/>
              <w:rPr>
                <w:rFonts w:cs="Times New Roman"/>
                <w:szCs w:val="18"/>
              </w:rPr>
            </w:pPr>
            <w:r>
              <w:rPr>
                <w:rFonts w:cs="Times New Roman"/>
                <w:szCs w:val="18"/>
              </w:rPr>
              <w:t>其它</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100</w:t>
            </w:r>
          </w:p>
        </w:tc>
        <w:tc>
          <w:tcPr>
            <w:tcW w:w="833" w:type="pct"/>
            <w:noWrap/>
            <w:vAlign w:val="center"/>
          </w:tcPr>
          <w:p>
            <w:pPr>
              <w:pStyle w:val="139"/>
              <w:spacing w:line="240" w:lineRule="auto"/>
              <w:rPr>
                <w:rFonts w:cs="Times New Roman"/>
                <w:szCs w:val="18"/>
              </w:rPr>
            </w:pPr>
            <w:r>
              <w:rPr>
                <w:rFonts w:cs="Times New Roman"/>
                <w:szCs w:val="18"/>
              </w:rPr>
              <w:t>200</w:t>
            </w:r>
          </w:p>
        </w:tc>
        <w:tc>
          <w:tcPr>
            <w:tcW w:w="833"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noWrap/>
            <w:vAlign w:val="center"/>
          </w:tcPr>
          <w:p>
            <w:pPr>
              <w:pStyle w:val="139"/>
              <w:spacing w:line="240" w:lineRule="auto"/>
              <w:rPr>
                <w:rFonts w:cs="Times New Roman"/>
                <w:szCs w:val="18"/>
              </w:rPr>
            </w:pPr>
            <w:r>
              <w:rPr>
                <w:rFonts w:cs="Times New Roman"/>
                <w:szCs w:val="18"/>
              </w:rPr>
              <w:t>10</w:t>
            </w:r>
          </w:p>
        </w:tc>
        <w:tc>
          <w:tcPr>
            <w:tcW w:w="1047" w:type="pct"/>
            <w:noWrap/>
            <w:vAlign w:val="center"/>
          </w:tcPr>
          <w:p>
            <w:pPr>
              <w:pStyle w:val="139"/>
              <w:spacing w:line="240" w:lineRule="auto"/>
              <w:rPr>
                <w:rFonts w:cs="Times New Roman"/>
                <w:szCs w:val="18"/>
              </w:rPr>
            </w:pPr>
            <w:r>
              <w:rPr>
                <w:rFonts w:cs="Times New Roman"/>
                <w:szCs w:val="18"/>
              </w:rPr>
              <w:t>合计</w:t>
            </w:r>
          </w:p>
        </w:tc>
        <w:tc>
          <w:tcPr>
            <w:tcW w:w="771"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noWrap/>
            <w:vAlign w:val="center"/>
          </w:tcPr>
          <w:p>
            <w:pPr>
              <w:pStyle w:val="139"/>
              <w:spacing w:line="240" w:lineRule="auto"/>
              <w:rPr>
                <w:rFonts w:cs="Times New Roman"/>
                <w:szCs w:val="18"/>
              </w:rPr>
            </w:pPr>
            <w:r>
              <w:rPr>
                <w:rFonts w:cs="Times New Roman"/>
                <w:szCs w:val="18"/>
              </w:rPr>
              <w:t>1080</w:t>
            </w:r>
          </w:p>
        </w:tc>
        <w:tc>
          <w:tcPr>
            <w:tcW w:w="833" w:type="pct"/>
            <w:noWrap/>
            <w:vAlign w:val="center"/>
          </w:tcPr>
          <w:p>
            <w:pPr>
              <w:pStyle w:val="139"/>
              <w:spacing w:line="240" w:lineRule="auto"/>
              <w:rPr>
                <w:rFonts w:cs="Times New Roman"/>
                <w:szCs w:val="18"/>
              </w:rPr>
            </w:pPr>
            <w:r>
              <w:rPr>
                <w:rFonts w:cs="Times New Roman"/>
                <w:szCs w:val="18"/>
              </w:rPr>
              <w:t>3960</w:t>
            </w:r>
          </w:p>
        </w:tc>
        <w:tc>
          <w:tcPr>
            <w:tcW w:w="833" w:type="pct"/>
            <w:noWrap/>
            <w:vAlign w:val="center"/>
          </w:tcPr>
          <w:p>
            <w:pPr>
              <w:pStyle w:val="139"/>
              <w:spacing w:line="240" w:lineRule="auto"/>
              <w:rPr>
                <w:rFonts w:cs="Times New Roman"/>
                <w:szCs w:val="18"/>
              </w:rPr>
            </w:pPr>
          </w:p>
        </w:tc>
      </w:tr>
    </w:tbl>
    <w:p>
      <w:pPr>
        <w:ind w:firstLine="0" w:firstLineChars="0"/>
        <w:contextualSpacing/>
        <w:jc w:val="center"/>
        <w:rPr>
          <w:rFonts w:hAnsi="宋体"/>
          <w:b/>
          <w:bCs/>
          <w:sz w:val="21"/>
          <w:szCs w:val="21"/>
        </w:rPr>
      </w:pPr>
      <w:r>
        <w:rPr>
          <w:rFonts w:hAnsi="宋体"/>
          <w:b/>
          <w:bCs/>
          <w:sz w:val="21"/>
          <w:szCs w:val="21"/>
        </w:rPr>
        <w:t>表2.3.4-6  渠道工程仓库房屋建筑及占地面积表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87"/>
        <w:gridCol w:w="1313"/>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序号</w:t>
            </w:r>
          </w:p>
        </w:tc>
        <w:tc>
          <w:tcPr>
            <w:tcW w:w="1048" w:type="pct"/>
            <w:vAlign w:val="center"/>
          </w:tcPr>
          <w:p>
            <w:pPr>
              <w:pStyle w:val="139"/>
              <w:spacing w:line="240" w:lineRule="auto"/>
              <w:rPr>
                <w:rFonts w:cs="Times New Roman"/>
                <w:szCs w:val="18"/>
              </w:rPr>
            </w:pPr>
            <w:r>
              <w:rPr>
                <w:rFonts w:cs="Times New Roman"/>
                <w:szCs w:val="18"/>
              </w:rPr>
              <w:t>项目</w:t>
            </w:r>
          </w:p>
        </w:tc>
        <w:tc>
          <w:tcPr>
            <w:tcW w:w="770" w:type="pct"/>
            <w:vAlign w:val="center"/>
          </w:tcPr>
          <w:p>
            <w:pPr>
              <w:pStyle w:val="139"/>
              <w:spacing w:line="240" w:lineRule="auto"/>
              <w:rPr>
                <w:rFonts w:cs="Times New Roman"/>
                <w:szCs w:val="18"/>
              </w:rPr>
            </w:pPr>
            <w:r>
              <w:rPr>
                <w:rFonts w:cs="Times New Roman"/>
                <w:szCs w:val="18"/>
              </w:rPr>
              <w:t>单位</w:t>
            </w:r>
          </w:p>
        </w:tc>
        <w:tc>
          <w:tcPr>
            <w:tcW w:w="833" w:type="pct"/>
            <w:vAlign w:val="center"/>
          </w:tcPr>
          <w:p>
            <w:pPr>
              <w:pStyle w:val="139"/>
              <w:spacing w:line="240" w:lineRule="auto"/>
              <w:rPr>
                <w:rFonts w:cs="Times New Roman"/>
                <w:szCs w:val="18"/>
              </w:rPr>
            </w:pPr>
            <w:r>
              <w:rPr>
                <w:rFonts w:cs="Times New Roman"/>
                <w:szCs w:val="18"/>
              </w:rPr>
              <w:t>建筑面积</w:t>
            </w:r>
          </w:p>
        </w:tc>
        <w:tc>
          <w:tcPr>
            <w:tcW w:w="833" w:type="pct"/>
            <w:vAlign w:val="center"/>
          </w:tcPr>
          <w:p>
            <w:pPr>
              <w:pStyle w:val="139"/>
              <w:spacing w:line="240" w:lineRule="auto"/>
              <w:rPr>
                <w:rFonts w:cs="Times New Roman"/>
                <w:szCs w:val="18"/>
              </w:rPr>
            </w:pPr>
            <w:r>
              <w:rPr>
                <w:rFonts w:cs="Times New Roman"/>
                <w:szCs w:val="18"/>
              </w:rPr>
              <w:t>占地面积</w:t>
            </w:r>
          </w:p>
        </w:tc>
        <w:tc>
          <w:tcPr>
            <w:tcW w:w="833"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1</w:t>
            </w:r>
          </w:p>
        </w:tc>
        <w:tc>
          <w:tcPr>
            <w:tcW w:w="1048" w:type="pct"/>
            <w:vAlign w:val="center"/>
          </w:tcPr>
          <w:p>
            <w:pPr>
              <w:pStyle w:val="139"/>
              <w:spacing w:line="240" w:lineRule="auto"/>
              <w:rPr>
                <w:rFonts w:cs="Times New Roman"/>
                <w:szCs w:val="18"/>
              </w:rPr>
            </w:pPr>
            <w:r>
              <w:rPr>
                <w:rFonts w:cs="Times New Roman"/>
                <w:szCs w:val="18"/>
              </w:rPr>
              <w:t>材料库</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150</w:t>
            </w:r>
          </w:p>
        </w:tc>
        <w:tc>
          <w:tcPr>
            <w:tcW w:w="833" w:type="pct"/>
            <w:vAlign w:val="center"/>
          </w:tcPr>
          <w:p>
            <w:pPr>
              <w:pStyle w:val="139"/>
              <w:spacing w:line="240" w:lineRule="auto"/>
              <w:rPr>
                <w:rFonts w:cs="Times New Roman"/>
                <w:szCs w:val="18"/>
              </w:rPr>
            </w:pPr>
            <w:r>
              <w:rPr>
                <w:rFonts w:cs="Times New Roman"/>
                <w:szCs w:val="18"/>
              </w:rPr>
              <w:t>450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2</w:t>
            </w:r>
          </w:p>
        </w:tc>
        <w:tc>
          <w:tcPr>
            <w:tcW w:w="1048" w:type="pct"/>
            <w:vAlign w:val="center"/>
          </w:tcPr>
          <w:p>
            <w:pPr>
              <w:pStyle w:val="139"/>
              <w:spacing w:line="240" w:lineRule="auto"/>
              <w:rPr>
                <w:rFonts w:cs="Times New Roman"/>
                <w:szCs w:val="18"/>
              </w:rPr>
            </w:pPr>
            <w:r>
              <w:rPr>
                <w:rFonts w:cs="Times New Roman"/>
                <w:szCs w:val="18"/>
              </w:rPr>
              <w:t>水泥库</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50</w:t>
            </w:r>
          </w:p>
        </w:tc>
        <w:tc>
          <w:tcPr>
            <w:tcW w:w="833" w:type="pct"/>
            <w:vAlign w:val="center"/>
          </w:tcPr>
          <w:p>
            <w:pPr>
              <w:pStyle w:val="139"/>
              <w:spacing w:line="240" w:lineRule="auto"/>
              <w:rPr>
                <w:rFonts w:cs="Times New Roman"/>
                <w:szCs w:val="18"/>
              </w:rPr>
            </w:pPr>
            <w:r>
              <w:rPr>
                <w:rFonts w:cs="Times New Roman"/>
                <w:szCs w:val="18"/>
              </w:rPr>
              <w:t>150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3</w:t>
            </w:r>
          </w:p>
        </w:tc>
        <w:tc>
          <w:tcPr>
            <w:tcW w:w="1048" w:type="pct"/>
            <w:vAlign w:val="center"/>
          </w:tcPr>
          <w:p>
            <w:pPr>
              <w:pStyle w:val="139"/>
              <w:spacing w:line="240" w:lineRule="auto"/>
              <w:rPr>
                <w:rFonts w:cs="Times New Roman"/>
                <w:szCs w:val="18"/>
              </w:rPr>
            </w:pPr>
            <w:r>
              <w:rPr>
                <w:rFonts w:cs="Times New Roman"/>
                <w:szCs w:val="18"/>
              </w:rPr>
              <w:t>设备库</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100</w:t>
            </w:r>
          </w:p>
        </w:tc>
        <w:tc>
          <w:tcPr>
            <w:tcW w:w="833" w:type="pct"/>
            <w:vAlign w:val="center"/>
          </w:tcPr>
          <w:p>
            <w:pPr>
              <w:pStyle w:val="139"/>
              <w:spacing w:line="240" w:lineRule="auto"/>
              <w:rPr>
                <w:rFonts w:cs="Times New Roman"/>
                <w:szCs w:val="18"/>
              </w:rPr>
            </w:pPr>
            <w:r>
              <w:rPr>
                <w:rFonts w:cs="Times New Roman"/>
                <w:szCs w:val="18"/>
              </w:rPr>
              <w:t>300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4</w:t>
            </w:r>
          </w:p>
        </w:tc>
        <w:tc>
          <w:tcPr>
            <w:tcW w:w="1048" w:type="pct"/>
            <w:vAlign w:val="center"/>
          </w:tcPr>
          <w:p>
            <w:pPr>
              <w:pStyle w:val="139"/>
              <w:spacing w:line="240" w:lineRule="auto"/>
              <w:rPr>
                <w:rFonts w:cs="Times New Roman"/>
                <w:szCs w:val="18"/>
              </w:rPr>
            </w:pPr>
            <w:r>
              <w:rPr>
                <w:rFonts w:cs="Times New Roman"/>
                <w:szCs w:val="18"/>
              </w:rPr>
              <w:t>油料库</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60</w:t>
            </w:r>
          </w:p>
        </w:tc>
        <w:tc>
          <w:tcPr>
            <w:tcW w:w="833" w:type="pct"/>
            <w:vAlign w:val="center"/>
          </w:tcPr>
          <w:p>
            <w:pPr>
              <w:pStyle w:val="139"/>
              <w:spacing w:line="240" w:lineRule="auto"/>
              <w:rPr>
                <w:rFonts w:cs="Times New Roman"/>
                <w:szCs w:val="18"/>
              </w:rPr>
            </w:pPr>
            <w:r>
              <w:rPr>
                <w:rFonts w:cs="Times New Roman"/>
                <w:szCs w:val="18"/>
              </w:rPr>
              <w:t>180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5</w:t>
            </w:r>
          </w:p>
        </w:tc>
        <w:tc>
          <w:tcPr>
            <w:tcW w:w="1048" w:type="pct"/>
            <w:vAlign w:val="center"/>
          </w:tcPr>
          <w:p>
            <w:pPr>
              <w:pStyle w:val="139"/>
              <w:spacing w:line="240" w:lineRule="auto"/>
              <w:rPr>
                <w:rFonts w:cs="Times New Roman"/>
                <w:szCs w:val="18"/>
              </w:rPr>
            </w:pPr>
            <w:r>
              <w:rPr>
                <w:rFonts w:cs="Times New Roman"/>
                <w:szCs w:val="18"/>
              </w:rPr>
              <w:t>爆破材料库</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40</w:t>
            </w:r>
          </w:p>
        </w:tc>
        <w:tc>
          <w:tcPr>
            <w:tcW w:w="833" w:type="pct"/>
            <w:vAlign w:val="center"/>
          </w:tcPr>
          <w:p>
            <w:pPr>
              <w:pStyle w:val="139"/>
              <w:spacing w:line="240" w:lineRule="auto"/>
              <w:rPr>
                <w:rFonts w:cs="Times New Roman"/>
                <w:szCs w:val="18"/>
              </w:rPr>
            </w:pPr>
            <w:r>
              <w:rPr>
                <w:rFonts w:cs="Times New Roman"/>
                <w:szCs w:val="18"/>
              </w:rPr>
              <w:t>320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6</w:t>
            </w:r>
          </w:p>
        </w:tc>
        <w:tc>
          <w:tcPr>
            <w:tcW w:w="1048" w:type="pct"/>
            <w:vAlign w:val="center"/>
          </w:tcPr>
          <w:p>
            <w:pPr>
              <w:pStyle w:val="139"/>
              <w:spacing w:line="240" w:lineRule="auto"/>
              <w:rPr>
                <w:rFonts w:cs="Times New Roman"/>
                <w:szCs w:val="18"/>
              </w:rPr>
            </w:pPr>
            <w:r>
              <w:rPr>
                <w:rFonts w:cs="Times New Roman"/>
                <w:szCs w:val="18"/>
              </w:rPr>
              <w:t>其它</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50</w:t>
            </w:r>
          </w:p>
        </w:tc>
        <w:tc>
          <w:tcPr>
            <w:tcW w:w="833" w:type="pct"/>
            <w:vAlign w:val="center"/>
          </w:tcPr>
          <w:p>
            <w:pPr>
              <w:pStyle w:val="139"/>
              <w:spacing w:line="240" w:lineRule="auto"/>
              <w:rPr>
                <w:rFonts w:cs="Times New Roman"/>
                <w:szCs w:val="18"/>
              </w:rPr>
            </w:pPr>
            <w:r>
              <w:rPr>
                <w:rFonts w:cs="Times New Roman"/>
                <w:szCs w:val="18"/>
              </w:rPr>
              <w:t>200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7</w:t>
            </w:r>
          </w:p>
        </w:tc>
        <w:tc>
          <w:tcPr>
            <w:tcW w:w="1048" w:type="pct"/>
            <w:vAlign w:val="center"/>
          </w:tcPr>
          <w:p>
            <w:pPr>
              <w:pStyle w:val="139"/>
              <w:spacing w:line="240" w:lineRule="auto"/>
              <w:rPr>
                <w:rFonts w:cs="Times New Roman"/>
                <w:szCs w:val="18"/>
              </w:rPr>
            </w:pPr>
            <w:r>
              <w:rPr>
                <w:rFonts w:cs="Times New Roman"/>
                <w:szCs w:val="18"/>
              </w:rPr>
              <w:t>小计</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450</w:t>
            </w:r>
          </w:p>
        </w:tc>
        <w:tc>
          <w:tcPr>
            <w:tcW w:w="833" w:type="pct"/>
            <w:vAlign w:val="center"/>
          </w:tcPr>
          <w:p>
            <w:pPr>
              <w:pStyle w:val="139"/>
              <w:spacing w:line="240" w:lineRule="auto"/>
              <w:rPr>
                <w:rFonts w:cs="Times New Roman"/>
                <w:szCs w:val="18"/>
              </w:rPr>
            </w:pPr>
            <w:r>
              <w:rPr>
                <w:rFonts w:cs="Times New Roman"/>
                <w:szCs w:val="18"/>
              </w:rPr>
              <w:t>1600</w:t>
            </w:r>
          </w:p>
        </w:tc>
        <w:tc>
          <w:tcPr>
            <w:tcW w:w="833" w:type="pct"/>
            <w:vAlign w:val="center"/>
          </w:tcPr>
          <w:p>
            <w:pPr>
              <w:pStyle w:val="139"/>
              <w:spacing w:line="240" w:lineRule="auto"/>
              <w:rPr>
                <w:rFonts w:cs="Times New Roman"/>
                <w:szCs w:val="18"/>
              </w:rPr>
            </w:pPr>
          </w:p>
        </w:tc>
      </w:tr>
    </w:tbl>
    <w:p>
      <w:pPr>
        <w:ind w:firstLine="0" w:firstLineChars="0"/>
        <w:contextualSpacing/>
        <w:jc w:val="center"/>
        <w:rPr>
          <w:rFonts w:hAnsi="宋体"/>
          <w:b/>
          <w:bCs/>
          <w:sz w:val="21"/>
          <w:szCs w:val="21"/>
        </w:rPr>
      </w:pPr>
      <w:r>
        <w:rPr>
          <w:rFonts w:hAnsi="宋体"/>
          <w:b/>
          <w:bCs/>
          <w:sz w:val="21"/>
          <w:szCs w:val="21"/>
        </w:rPr>
        <w:t>表2.3.4-7  渠道工程生活福利和管理用房建筑及占地面积表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87"/>
        <w:gridCol w:w="1313"/>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序号</w:t>
            </w:r>
          </w:p>
        </w:tc>
        <w:tc>
          <w:tcPr>
            <w:tcW w:w="1048" w:type="pct"/>
            <w:vAlign w:val="center"/>
          </w:tcPr>
          <w:p>
            <w:pPr>
              <w:pStyle w:val="139"/>
              <w:spacing w:line="240" w:lineRule="auto"/>
              <w:rPr>
                <w:rFonts w:cs="Times New Roman"/>
                <w:szCs w:val="18"/>
              </w:rPr>
            </w:pPr>
            <w:r>
              <w:rPr>
                <w:rFonts w:cs="Times New Roman"/>
                <w:szCs w:val="18"/>
              </w:rPr>
              <w:t>项目</w:t>
            </w:r>
          </w:p>
        </w:tc>
        <w:tc>
          <w:tcPr>
            <w:tcW w:w="770" w:type="pct"/>
            <w:vAlign w:val="center"/>
          </w:tcPr>
          <w:p>
            <w:pPr>
              <w:pStyle w:val="139"/>
              <w:spacing w:line="240" w:lineRule="auto"/>
              <w:rPr>
                <w:rFonts w:cs="Times New Roman"/>
                <w:szCs w:val="18"/>
              </w:rPr>
            </w:pPr>
            <w:r>
              <w:rPr>
                <w:rFonts w:cs="Times New Roman"/>
                <w:szCs w:val="18"/>
              </w:rPr>
              <w:t>单位</w:t>
            </w:r>
          </w:p>
        </w:tc>
        <w:tc>
          <w:tcPr>
            <w:tcW w:w="833" w:type="pct"/>
            <w:vAlign w:val="center"/>
          </w:tcPr>
          <w:p>
            <w:pPr>
              <w:pStyle w:val="139"/>
              <w:spacing w:line="240" w:lineRule="auto"/>
              <w:rPr>
                <w:rFonts w:cs="Times New Roman"/>
                <w:szCs w:val="18"/>
              </w:rPr>
            </w:pPr>
            <w:r>
              <w:rPr>
                <w:rFonts w:cs="Times New Roman"/>
                <w:szCs w:val="18"/>
              </w:rPr>
              <w:t>建筑面积</w:t>
            </w:r>
          </w:p>
        </w:tc>
        <w:tc>
          <w:tcPr>
            <w:tcW w:w="833" w:type="pct"/>
            <w:vAlign w:val="center"/>
          </w:tcPr>
          <w:p>
            <w:pPr>
              <w:pStyle w:val="139"/>
              <w:spacing w:line="240" w:lineRule="auto"/>
              <w:rPr>
                <w:rFonts w:cs="Times New Roman"/>
                <w:szCs w:val="18"/>
              </w:rPr>
            </w:pPr>
            <w:r>
              <w:rPr>
                <w:rFonts w:cs="Times New Roman"/>
                <w:szCs w:val="18"/>
              </w:rPr>
              <w:t>占地面积</w:t>
            </w:r>
          </w:p>
        </w:tc>
        <w:tc>
          <w:tcPr>
            <w:tcW w:w="833"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1</w:t>
            </w:r>
          </w:p>
        </w:tc>
        <w:tc>
          <w:tcPr>
            <w:tcW w:w="1048" w:type="pct"/>
            <w:vAlign w:val="center"/>
          </w:tcPr>
          <w:p>
            <w:pPr>
              <w:pStyle w:val="139"/>
              <w:spacing w:line="240" w:lineRule="auto"/>
              <w:rPr>
                <w:rFonts w:cs="Times New Roman"/>
                <w:szCs w:val="18"/>
              </w:rPr>
            </w:pPr>
            <w:r>
              <w:rPr>
                <w:rFonts w:cs="Times New Roman"/>
                <w:szCs w:val="18"/>
              </w:rPr>
              <w:t>职工宿舍</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1200</w:t>
            </w:r>
          </w:p>
        </w:tc>
        <w:tc>
          <w:tcPr>
            <w:tcW w:w="833" w:type="pct"/>
            <w:vAlign w:val="center"/>
          </w:tcPr>
          <w:p>
            <w:pPr>
              <w:pStyle w:val="139"/>
              <w:spacing w:line="240" w:lineRule="auto"/>
              <w:rPr>
                <w:rFonts w:cs="Times New Roman"/>
                <w:szCs w:val="18"/>
              </w:rPr>
            </w:pPr>
            <w:r>
              <w:rPr>
                <w:rFonts w:cs="Times New Roman"/>
                <w:szCs w:val="18"/>
              </w:rPr>
              <w:t>4800</w:t>
            </w:r>
          </w:p>
        </w:tc>
        <w:tc>
          <w:tcPr>
            <w:tcW w:w="833" w:type="pct"/>
            <w:vAlign w:val="center"/>
          </w:tcPr>
          <w:p>
            <w:pPr>
              <w:pStyle w:val="139"/>
              <w:spacing w:line="240" w:lineRule="auto"/>
              <w:rPr>
                <w:rFonts w:cs="Times New Roman"/>
                <w:szCs w:val="18"/>
              </w:rPr>
            </w:pPr>
            <w:r>
              <w:rPr>
                <w:rFonts w:cs="Times New Roman"/>
                <w:szCs w:val="18"/>
              </w:rPr>
              <w:t>可租赁民房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2</w:t>
            </w:r>
          </w:p>
        </w:tc>
        <w:tc>
          <w:tcPr>
            <w:tcW w:w="1048" w:type="pct"/>
            <w:vAlign w:val="center"/>
          </w:tcPr>
          <w:p>
            <w:pPr>
              <w:pStyle w:val="139"/>
              <w:spacing w:line="240" w:lineRule="auto"/>
              <w:rPr>
                <w:rFonts w:cs="Times New Roman"/>
                <w:szCs w:val="18"/>
              </w:rPr>
            </w:pPr>
            <w:r>
              <w:rPr>
                <w:rFonts w:cs="Times New Roman"/>
                <w:szCs w:val="18"/>
              </w:rPr>
              <w:t>办公用房</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300</w:t>
            </w:r>
          </w:p>
        </w:tc>
        <w:tc>
          <w:tcPr>
            <w:tcW w:w="833" w:type="pct"/>
            <w:vAlign w:val="center"/>
          </w:tcPr>
          <w:p>
            <w:pPr>
              <w:pStyle w:val="139"/>
              <w:spacing w:line="240" w:lineRule="auto"/>
              <w:rPr>
                <w:rFonts w:cs="Times New Roman"/>
                <w:szCs w:val="18"/>
              </w:rPr>
            </w:pPr>
            <w:r>
              <w:rPr>
                <w:rFonts w:cs="Times New Roman"/>
                <w:szCs w:val="18"/>
              </w:rPr>
              <w:t>1200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3</w:t>
            </w:r>
          </w:p>
        </w:tc>
        <w:tc>
          <w:tcPr>
            <w:tcW w:w="1048" w:type="pct"/>
            <w:vAlign w:val="center"/>
          </w:tcPr>
          <w:p>
            <w:pPr>
              <w:pStyle w:val="139"/>
              <w:spacing w:line="240" w:lineRule="auto"/>
              <w:rPr>
                <w:rFonts w:cs="Times New Roman"/>
                <w:szCs w:val="18"/>
              </w:rPr>
            </w:pPr>
            <w:r>
              <w:rPr>
                <w:rFonts w:cs="Times New Roman"/>
                <w:szCs w:val="18"/>
              </w:rPr>
              <w:t>生活福利用房</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200</w:t>
            </w:r>
          </w:p>
        </w:tc>
        <w:tc>
          <w:tcPr>
            <w:tcW w:w="833" w:type="pct"/>
            <w:vAlign w:val="center"/>
          </w:tcPr>
          <w:p>
            <w:pPr>
              <w:pStyle w:val="139"/>
              <w:spacing w:line="240" w:lineRule="auto"/>
              <w:rPr>
                <w:rFonts w:cs="Times New Roman"/>
                <w:szCs w:val="18"/>
              </w:rPr>
            </w:pPr>
            <w:r>
              <w:rPr>
                <w:rFonts w:cs="Times New Roman"/>
                <w:szCs w:val="18"/>
              </w:rPr>
              <w:t>600</w:t>
            </w:r>
          </w:p>
        </w:tc>
        <w:tc>
          <w:tcPr>
            <w:tcW w:w="833" w:type="pct"/>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2" w:type="pct"/>
            <w:vAlign w:val="center"/>
          </w:tcPr>
          <w:p>
            <w:pPr>
              <w:pStyle w:val="139"/>
              <w:spacing w:line="240" w:lineRule="auto"/>
              <w:rPr>
                <w:rFonts w:cs="Times New Roman"/>
                <w:szCs w:val="18"/>
              </w:rPr>
            </w:pPr>
            <w:r>
              <w:rPr>
                <w:rFonts w:cs="Times New Roman"/>
                <w:szCs w:val="18"/>
              </w:rPr>
              <w:t>4</w:t>
            </w:r>
          </w:p>
        </w:tc>
        <w:tc>
          <w:tcPr>
            <w:tcW w:w="1048" w:type="pct"/>
            <w:vAlign w:val="center"/>
          </w:tcPr>
          <w:p>
            <w:pPr>
              <w:pStyle w:val="139"/>
              <w:spacing w:line="240" w:lineRule="auto"/>
              <w:rPr>
                <w:rFonts w:cs="Times New Roman"/>
                <w:szCs w:val="18"/>
              </w:rPr>
            </w:pPr>
            <w:r>
              <w:rPr>
                <w:rFonts w:cs="Times New Roman"/>
                <w:szCs w:val="18"/>
              </w:rPr>
              <w:t>小计</w:t>
            </w:r>
          </w:p>
        </w:tc>
        <w:tc>
          <w:tcPr>
            <w:tcW w:w="77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833" w:type="pct"/>
            <w:vAlign w:val="center"/>
          </w:tcPr>
          <w:p>
            <w:pPr>
              <w:pStyle w:val="139"/>
              <w:spacing w:line="240" w:lineRule="auto"/>
              <w:rPr>
                <w:rFonts w:cs="Times New Roman"/>
                <w:szCs w:val="18"/>
              </w:rPr>
            </w:pPr>
            <w:r>
              <w:rPr>
                <w:rFonts w:cs="Times New Roman"/>
                <w:szCs w:val="18"/>
              </w:rPr>
              <w:t>1700</w:t>
            </w:r>
          </w:p>
        </w:tc>
        <w:tc>
          <w:tcPr>
            <w:tcW w:w="833" w:type="pct"/>
            <w:vAlign w:val="center"/>
          </w:tcPr>
          <w:p>
            <w:pPr>
              <w:pStyle w:val="139"/>
              <w:spacing w:line="240" w:lineRule="auto"/>
              <w:rPr>
                <w:rFonts w:cs="Times New Roman"/>
                <w:szCs w:val="18"/>
              </w:rPr>
            </w:pPr>
            <w:r>
              <w:rPr>
                <w:rFonts w:cs="Times New Roman"/>
                <w:szCs w:val="18"/>
              </w:rPr>
              <w:t>6600</w:t>
            </w:r>
          </w:p>
        </w:tc>
        <w:tc>
          <w:tcPr>
            <w:tcW w:w="833" w:type="pct"/>
            <w:vAlign w:val="center"/>
          </w:tcPr>
          <w:p>
            <w:pPr>
              <w:pStyle w:val="139"/>
              <w:spacing w:line="240" w:lineRule="auto"/>
              <w:rPr>
                <w:rFonts w:cs="Times New Roman"/>
                <w:szCs w:val="18"/>
              </w:rPr>
            </w:pPr>
          </w:p>
        </w:tc>
      </w:tr>
    </w:tbl>
    <w:p>
      <w:pPr>
        <w:spacing w:line="160" w:lineRule="exact"/>
        <w:ind w:firstLine="422"/>
        <w:contextualSpacing/>
        <w:jc w:val="center"/>
        <w:rPr>
          <w:b/>
          <w:bCs/>
          <w:sz w:val="21"/>
          <w:szCs w:val="21"/>
        </w:rPr>
      </w:pPr>
    </w:p>
    <w:p>
      <w:pPr>
        <w:ind w:firstLine="0" w:firstLineChars="0"/>
        <w:contextualSpacing/>
        <w:outlineLvl w:val="3"/>
        <w:rPr>
          <w:b/>
          <w:bCs/>
        </w:rPr>
      </w:pPr>
      <w:r>
        <w:rPr>
          <w:b/>
          <w:bCs/>
        </w:rPr>
        <w:t>2.3.4.2</w:t>
      </w:r>
      <w:r>
        <w:rPr>
          <w:rFonts w:hAnsi="宋体"/>
          <w:b/>
          <w:bCs/>
        </w:rPr>
        <w:t>施工工厂设施</w:t>
      </w:r>
    </w:p>
    <w:p>
      <w:pPr>
        <w:ind w:firstLine="420" w:firstLineChars="0"/>
        <w:contextualSpacing/>
      </w:pPr>
      <w:r>
        <w:t>（1</w:t>
      </w:r>
      <w:r>
        <w:rPr>
          <w:rFonts w:hAnsi="宋体"/>
        </w:rPr>
        <w:t>）枢纽工程区</w:t>
      </w:r>
    </w:p>
    <w:p>
      <w:pPr>
        <w:ind w:firstLine="480"/>
        <w:contextualSpacing/>
        <w:rPr>
          <w:rFonts w:hAnsi="宋体"/>
        </w:rPr>
      </w:pPr>
      <w:bookmarkStart w:id="314" w:name="_Toc179795822"/>
      <w:bookmarkStart w:id="315" w:name="_Toc321408252"/>
      <w:bookmarkStart w:id="316" w:name="_Toc179793242"/>
      <w:r>
        <w:rPr>
          <w:rFonts w:hint="eastAsia" w:hAnsi="宋体"/>
        </w:rPr>
        <w:t>a）</w:t>
      </w:r>
      <w:r>
        <w:rPr>
          <w:rFonts w:hAnsi="宋体"/>
        </w:rPr>
        <w:t>砂石加工系统</w:t>
      </w:r>
      <w:bookmarkEnd w:id="314"/>
      <w:bookmarkEnd w:id="315"/>
      <w:bookmarkEnd w:id="316"/>
    </w:p>
    <w:p>
      <w:pPr>
        <w:ind w:firstLine="480"/>
        <w:contextualSpacing/>
        <w:rPr>
          <w:rFonts w:hAnsi="宋体"/>
        </w:rPr>
      </w:pPr>
      <w:r>
        <w:rPr>
          <w:rFonts w:hAnsi="宋体"/>
        </w:rPr>
        <w:t>本工程需混凝土粗、细骨料</w:t>
      </w:r>
      <w:r>
        <w:rPr>
          <w:rFonts w:hint="eastAsia" w:hAnsi="宋体"/>
        </w:rPr>
        <w:t>4.28</w:t>
      </w:r>
      <w:r>
        <w:rPr>
          <w:rFonts w:hAnsi="宋体"/>
        </w:rPr>
        <w:t>万m3，采用工区附近商混站购买商品混凝土获得，不再另外开采加工或购买混凝土粗、细骨料。</w:t>
      </w:r>
    </w:p>
    <w:p>
      <w:pPr>
        <w:ind w:firstLine="480"/>
        <w:contextualSpacing/>
        <w:rPr>
          <w:rFonts w:hAnsi="宋体"/>
        </w:rPr>
      </w:pPr>
      <w:r>
        <w:rPr>
          <w:rFonts w:hAnsi="宋体"/>
        </w:rPr>
        <w:t>垫层及过渡料</w:t>
      </w:r>
      <w:r>
        <w:rPr>
          <w:rFonts w:hint="eastAsia" w:hAnsi="宋体"/>
        </w:rPr>
        <w:t>4.29</w:t>
      </w:r>
      <w:r>
        <w:rPr>
          <w:rFonts w:hAnsi="宋体"/>
        </w:rPr>
        <w:t>万m3，块石料</w:t>
      </w:r>
      <w:r>
        <w:rPr>
          <w:rFonts w:hint="eastAsia" w:hAnsi="宋体"/>
        </w:rPr>
        <w:t>3.15</w:t>
      </w:r>
      <w:r>
        <w:rPr>
          <w:rFonts w:hAnsi="宋体"/>
        </w:rPr>
        <w:t>万m3，考虑全部从南江县红鱼洞水库附近人工骨料场购买成品获得，综合运距约115km。本工程不再设置砂石骨料加工系统。</w:t>
      </w:r>
    </w:p>
    <w:p>
      <w:pPr>
        <w:ind w:firstLine="480"/>
        <w:contextualSpacing/>
        <w:rPr>
          <w:rFonts w:hAnsi="宋体"/>
        </w:rPr>
      </w:pPr>
      <w:r>
        <w:rPr>
          <w:rFonts w:hint="eastAsia" w:hAnsi="宋体"/>
        </w:rPr>
        <w:t>b）</w:t>
      </w:r>
      <w:r>
        <w:rPr>
          <w:rFonts w:hAnsi="宋体"/>
        </w:rPr>
        <w:t>混凝土拌和系统</w:t>
      </w:r>
    </w:p>
    <w:p>
      <w:pPr>
        <w:ind w:firstLine="480"/>
        <w:contextualSpacing/>
        <w:rPr>
          <w:rFonts w:hAnsi="宋体"/>
        </w:rPr>
      </w:pPr>
      <w:r>
        <w:rPr>
          <w:rFonts w:hAnsi="宋体"/>
        </w:rPr>
        <w:t>根据建筑物分布，结合巴州区环保要求、地形条件和施工总进度安排，</w:t>
      </w:r>
      <w:bookmarkStart w:id="317" w:name="_Toc321408254"/>
      <w:r>
        <w:rPr>
          <w:rFonts w:hAnsi="宋体"/>
        </w:rPr>
        <w:t>本工程混凝土采用购买商品混凝土成品获得，工区内不再设置混凝土拌合系统。</w:t>
      </w:r>
    </w:p>
    <w:p>
      <w:pPr>
        <w:ind w:firstLine="480"/>
        <w:contextualSpacing/>
        <w:rPr>
          <w:rFonts w:hAnsi="宋体"/>
        </w:rPr>
      </w:pPr>
      <w:r>
        <w:rPr>
          <w:rFonts w:hint="eastAsia" w:hAnsi="宋体"/>
        </w:rPr>
        <w:t>沥青混凝土需要现场加热拌制，现场及时摊铺施工，故工区内右岸下游布置1座沥青混凝土拌和站。</w:t>
      </w:r>
    </w:p>
    <w:p>
      <w:pPr>
        <w:ind w:firstLine="480"/>
        <w:contextualSpacing/>
        <w:rPr>
          <w:rFonts w:hAnsi="宋体"/>
        </w:rPr>
      </w:pPr>
      <w:r>
        <w:rPr>
          <w:rFonts w:hint="eastAsia" w:hAnsi="宋体"/>
        </w:rPr>
        <w:t>c）</w:t>
      </w:r>
      <w:r>
        <w:rPr>
          <w:rFonts w:hAnsi="宋体"/>
        </w:rPr>
        <w:t>施工供风、供水、供电系统及通讯</w:t>
      </w:r>
      <w:bookmarkEnd w:id="317"/>
    </w:p>
    <w:p>
      <w:pPr>
        <w:ind w:firstLine="480"/>
        <w:contextualSpacing/>
        <w:rPr>
          <w:rFonts w:hAnsi="宋体"/>
        </w:rPr>
      </w:pPr>
      <w:r>
        <w:rPr>
          <w:rFonts w:hAnsi="宋体"/>
        </w:rPr>
        <w:t>1）施工供风</w:t>
      </w:r>
    </w:p>
    <w:p>
      <w:pPr>
        <w:ind w:firstLine="480"/>
        <w:contextualSpacing/>
        <w:rPr>
          <w:rFonts w:hAnsi="宋体"/>
        </w:rPr>
      </w:pPr>
      <w:r>
        <w:rPr>
          <w:rFonts w:hAnsi="宋体"/>
        </w:rPr>
        <w:t>枢纽左岸布置有放空导流隧洞、溢洪道等；库尾则是石渣料场及补水隧洞出口。由此枢纽工程分别在左岸、右岸和石渣料场设置集中供风站，站内配备1台5L—40/8型空压机及1台4L—20/8型空压机；根据工程布置、施工进度计划安排，补水工程及其他建筑物施工供风采用分散设置移动供风站，根据施工布置枢纽工程共设8座供风站，枢纽工程压气站规划见表。</w:t>
      </w:r>
    </w:p>
    <w:p>
      <w:pPr>
        <w:ind w:firstLine="0" w:firstLineChars="0"/>
        <w:contextualSpacing/>
        <w:jc w:val="center"/>
        <w:rPr>
          <w:rFonts w:hAnsi="宋体"/>
          <w:b/>
          <w:bCs/>
          <w:sz w:val="21"/>
          <w:szCs w:val="21"/>
        </w:rPr>
      </w:pPr>
      <w:r>
        <w:rPr>
          <w:rFonts w:hAnsi="宋体"/>
          <w:b/>
          <w:bCs/>
          <w:sz w:val="21"/>
          <w:szCs w:val="21"/>
        </w:rPr>
        <w:t>表2.3.4-8  枢纽工程压气站规划表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2136"/>
        <w:gridCol w:w="1277"/>
        <w:gridCol w:w="879"/>
        <w:gridCol w:w="1289"/>
        <w:gridCol w:w="973"/>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序号</w:t>
            </w:r>
          </w:p>
        </w:tc>
        <w:tc>
          <w:tcPr>
            <w:tcW w:w="1253" w:type="pct"/>
            <w:vAlign w:val="center"/>
          </w:tcPr>
          <w:p>
            <w:pPr>
              <w:pStyle w:val="139"/>
              <w:spacing w:line="240" w:lineRule="auto"/>
              <w:rPr>
                <w:rFonts w:cs="Times New Roman"/>
                <w:szCs w:val="18"/>
              </w:rPr>
            </w:pPr>
            <w:r>
              <w:rPr>
                <w:rFonts w:cs="Times New Roman"/>
                <w:szCs w:val="18"/>
              </w:rPr>
              <w:t>位置</w:t>
            </w:r>
          </w:p>
        </w:tc>
        <w:tc>
          <w:tcPr>
            <w:tcW w:w="749" w:type="pct"/>
            <w:vAlign w:val="center"/>
          </w:tcPr>
          <w:p>
            <w:pPr>
              <w:pStyle w:val="139"/>
              <w:spacing w:line="240" w:lineRule="auto"/>
              <w:rPr>
                <w:rFonts w:cs="Times New Roman"/>
                <w:szCs w:val="18"/>
              </w:rPr>
            </w:pPr>
            <w:r>
              <w:rPr>
                <w:rFonts w:cs="Times New Roman"/>
                <w:szCs w:val="18"/>
              </w:rPr>
              <w:t>型号</w:t>
            </w:r>
          </w:p>
        </w:tc>
        <w:tc>
          <w:tcPr>
            <w:tcW w:w="516"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756" w:type="pct"/>
            <w:vAlign w:val="center"/>
          </w:tcPr>
          <w:p>
            <w:pPr>
              <w:pStyle w:val="139"/>
              <w:spacing w:line="240" w:lineRule="auto"/>
              <w:rPr>
                <w:rFonts w:cs="Times New Roman"/>
                <w:szCs w:val="18"/>
              </w:rPr>
            </w:pPr>
            <w:r>
              <w:rPr>
                <w:rFonts w:cs="Times New Roman"/>
                <w:szCs w:val="18"/>
              </w:rPr>
              <w:t>供风量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/min</w:t>
            </w:r>
          </w:p>
        </w:tc>
        <w:tc>
          <w:tcPr>
            <w:tcW w:w="571"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762"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1</w:t>
            </w:r>
          </w:p>
        </w:tc>
        <w:tc>
          <w:tcPr>
            <w:tcW w:w="1253" w:type="pct"/>
            <w:vAlign w:val="center"/>
          </w:tcPr>
          <w:p>
            <w:pPr>
              <w:pStyle w:val="139"/>
              <w:spacing w:line="240" w:lineRule="auto"/>
              <w:rPr>
                <w:rFonts w:cs="Times New Roman"/>
                <w:szCs w:val="18"/>
              </w:rPr>
            </w:pPr>
            <w:r>
              <w:rPr>
                <w:rFonts w:cs="Times New Roman"/>
                <w:szCs w:val="18"/>
              </w:rPr>
              <w:t>石料场</w:t>
            </w:r>
          </w:p>
        </w:tc>
        <w:tc>
          <w:tcPr>
            <w:tcW w:w="749" w:type="pct"/>
            <w:vAlign w:val="center"/>
          </w:tcPr>
          <w:p>
            <w:pPr>
              <w:pStyle w:val="139"/>
              <w:spacing w:line="240" w:lineRule="auto"/>
              <w:rPr>
                <w:rFonts w:cs="Times New Roman"/>
                <w:szCs w:val="18"/>
              </w:rPr>
            </w:pPr>
            <w:r>
              <w:rPr>
                <w:rFonts w:cs="Times New Roman"/>
                <w:szCs w:val="18"/>
              </w:rPr>
              <w:t>5L—40/8</w:t>
            </w:r>
          </w:p>
        </w:tc>
        <w:tc>
          <w:tcPr>
            <w:tcW w:w="516" w:type="pct"/>
            <w:vAlign w:val="center"/>
          </w:tcPr>
          <w:p>
            <w:pPr>
              <w:pStyle w:val="139"/>
              <w:spacing w:line="240" w:lineRule="auto"/>
              <w:rPr>
                <w:rFonts w:cs="Times New Roman"/>
                <w:szCs w:val="18"/>
              </w:rPr>
            </w:pPr>
            <w:r>
              <w:rPr>
                <w:rFonts w:cs="Times New Roman"/>
                <w:szCs w:val="18"/>
              </w:rPr>
              <w:t>2</w:t>
            </w:r>
          </w:p>
        </w:tc>
        <w:tc>
          <w:tcPr>
            <w:tcW w:w="756" w:type="pct"/>
            <w:vAlign w:val="center"/>
          </w:tcPr>
          <w:p>
            <w:pPr>
              <w:pStyle w:val="139"/>
              <w:spacing w:line="240" w:lineRule="auto"/>
              <w:rPr>
                <w:rFonts w:cs="Times New Roman"/>
                <w:szCs w:val="18"/>
              </w:rPr>
            </w:pPr>
            <w:r>
              <w:rPr>
                <w:rFonts w:cs="Times New Roman"/>
                <w:szCs w:val="18"/>
              </w:rPr>
              <w:t>2×40</w:t>
            </w:r>
          </w:p>
        </w:tc>
        <w:tc>
          <w:tcPr>
            <w:tcW w:w="571" w:type="pct"/>
            <w:vAlign w:val="center"/>
          </w:tcPr>
          <w:p>
            <w:pPr>
              <w:pStyle w:val="139"/>
              <w:spacing w:line="240" w:lineRule="auto"/>
              <w:rPr>
                <w:rFonts w:cs="Times New Roman"/>
                <w:szCs w:val="18"/>
              </w:rPr>
            </w:pPr>
            <w:r>
              <w:rPr>
                <w:rFonts w:cs="Times New Roman"/>
                <w:szCs w:val="18"/>
              </w:rPr>
              <w:t>2×250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2</w:t>
            </w:r>
          </w:p>
        </w:tc>
        <w:tc>
          <w:tcPr>
            <w:tcW w:w="1253" w:type="pct"/>
            <w:vAlign w:val="center"/>
          </w:tcPr>
          <w:p>
            <w:pPr>
              <w:pStyle w:val="139"/>
              <w:spacing w:line="240" w:lineRule="auto"/>
              <w:rPr>
                <w:rFonts w:cs="Times New Roman"/>
                <w:szCs w:val="18"/>
              </w:rPr>
            </w:pPr>
            <w:r>
              <w:rPr>
                <w:rFonts w:cs="Times New Roman"/>
                <w:szCs w:val="18"/>
              </w:rPr>
              <w:t>拦河坝右岸</w:t>
            </w:r>
          </w:p>
        </w:tc>
        <w:tc>
          <w:tcPr>
            <w:tcW w:w="749" w:type="pct"/>
            <w:vAlign w:val="center"/>
          </w:tcPr>
          <w:p>
            <w:pPr>
              <w:pStyle w:val="139"/>
              <w:spacing w:line="240" w:lineRule="auto"/>
              <w:rPr>
                <w:rFonts w:cs="Times New Roman"/>
                <w:szCs w:val="18"/>
              </w:rPr>
            </w:pPr>
            <w:r>
              <w:rPr>
                <w:rFonts w:cs="Times New Roman"/>
                <w:szCs w:val="18"/>
              </w:rPr>
              <w:t>4L—20/8</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20</w:t>
            </w:r>
          </w:p>
        </w:tc>
        <w:tc>
          <w:tcPr>
            <w:tcW w:w="571" w:type="pct"/>
            <w:vAlign w:val="center"/>
          </w:tcPr>
          <w:p>
            <w:pPr>
              <w:pStyle w:val="139"/>
              <w:spacing w:line="240" w:lineRule="auto"/>
              <w:rPr>
                <w:rFonts w:cs="Times New Roman"/>
                <w:szCs w:val="18"/>
              </w:rPr>
            </w:pPr>
            <w:r>
              <w:rPr>
                <w:rFonts w:cs="Times New Roman"/>
                <w:szCs w:val="18"/>
              </w:rPr>
              <w:t>130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3</w:t>
            </w:r>
          </w:p>
        </w:tc>
        <w:tc>
          <w:tcPr>
            <w:tcW w:w="1253" w:type="pct"/>
            <w:vAlign w:val="center"/>
          </w:tcPr>
          <w:p>
            <w:pPr>
              <w:pStyle w:val="139"/>
              <w:spacing w:line="240" w:lineRule="auto"/>
              <w:rPr>
                <w:rFonts w:cs="Times New Roman"/>
                <w:szCs w:val="18"/>
              </w:rPr>
            </w:pPr>
            <w:r>
              <w:rPr>
                <w:rFonts w:cs="Times New Roman"/>
                <w:szCs w:val="18"/>
              </w:rPr>
              <w:t>拦河坝左岸</w:t>
            </w:r>
          </w:p>
        </w:tc>
        <w:tc>
          <w:tcPr>
            <w:tcW w:w="749" w:type="pct"/>
            <w:vAlign w:val="center"/>
          </w:tcPr>
          <w:p>
            <w:pPr>
              <w:pStyle w:val="139"/>
              <w:spacing w:line="240" w:lineRule="auto"/>
              <w:rPr>
                <w:rFonts w:cs="Times New Roman"/>
                <w:szCs w:val="18"/>
              </w:rPr>
            </w:pPr>
            <w:r>
              <w:rPr>
                <w:rFonts w:cs="Times New Roman"/>
                <w:szCs w:val="18"/>
              </w:rPr>
              <w:t>4L—20/8</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20</w:t>
            </w:r>
          </w:p>
        </w:tc>
        <w:tc>
          <w:tcPr>
            <w:tcW w:w="571" w:type="pct"/>
            <w:vAlign w:val="center"/>
          </w:tcPr>
          <w:p>
            <w:pPr>
              <w:pStyle w:val="139"/>
              <w:spacing w:line="240" w:lineRule="auto"/>
              <w:rPr>
                <w:rFonts w:cs="Times New Roman"/>
                <w:szCs w:val="18"/>
              </w:rPr>
            </w:pPr>
            <w:r>
              <w:rPr>
                <w:rFonts w:cs="Times New Roman"/>
                <w:szCs w:val="18"/>
              </w:rPr>
              <w:t>130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4</w:t>
            </w:r>
          </w:p>
        </w:tc>
        <w:tc>
          <w:tcPr>
            <w:tcW w:w="1253" w:type="pct"/>
            <w:vAlign w:val="center"/>
          </w:tcPr>
          <w:p>
            <w:pPr>
              <w:pStyle w:val="139"/>
              <w:spacing w:line="240" w:lineRule="auto"/>
              <w:rPr>
                <w:rFonts w:cs="Times New Roman"/>
                <w:szCs w:val="18"/>
              </w:rPr>
            </w:pPr>
            <w:r>
              <w:rPr>
                <w:rFonts w:cs="Times New Roman"/>
                <w:szCs w:val="18"/>
              </w:rPr>
              <w:t>放空隧洞进口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5</w:t>
            </w:r>
          </w:p>
        </w:tc>
        <w:tc>
          <w:tcPr>
            <w:tcW w:w="1253" w:type="pct"/>
            <w:vAlign w:val="center"/>
          </w:tcPr>
          <w:p>
            <w:pPr>
              <w:pStyle w:val="139"/>
              <w:spacing w:line="240" w:lineRule="auto"/>
              <w:rPr>
                <w:rFonts w:cs="Times New Roman"/>
                <w:szCs w:val="18"/>
              </w:rPr>
            </w:pPr>
            <w:r>
              <w:rPr>
                <w:rFonts w:cs="Times New Roman"/>
                <w:szCs w:val="18"/>
              </w:rPr>
              <w:t>放空隧洞出口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6</w:t>
            </w:r>
          </w:p>
        </w:tc>
        <w:tc>
          <w:tcPr>
            <w:tcW w:w="1253" w:type="pct"/>
            <w:vAlign w:val="center"/>
          </w:tcPr>
          <w:p>
            <w:pPr>
              <w:pStyle w:val="139"/>
              <w:spacing w:line="240" w:lineRule="auto"/>
              <w:rPr>
                <w:rFonts w:cs="Times New Roman"/>
                <w:szCs w:val="18"/>
              </w:rPr>
            </w:pPr>
            <w:r>
              <w:rPr>
                <w:rFonts w:cs="Times New Roman"/>
                <w:szCs w:val="18"/>
              </w:rPr>
              <w:t>1#补水枢纽</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7</w:t>
            </w:r>
          </w:p>
        </w:tc>
        <w:tc>
          <w:tcPr>
            <w:tcW w:w="1253" w:type="pct"/>
            <w:vAlign w:val="center"/>
          </w:tcPr>
          <w:p>
            <w:pPr>
              <w:pStyle w:val="139"/>
              <w:spacing w:line="240" w:lineRule="auto"/>
              <w:rPr>
                <w:rFonts w:cs="Times New Roman"/>
                <w:szCs w:val="18"/>
              </w:rPr>
            </w:pPr>
            <w:r>
              <w:rPr>
                <w:rFonts w:cs="Times New Roman"/>
                <w:szCs w:val="18"/>
              </w:rPr>
              <w:t>2#补水枢纽</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8</w:t>
            </w:r>
          </w:p>
        </w:tc>
        <w:tc>
          <w:tcPr>
            <w:tcW w:w="1253" w:type="pct"/>
            <w:vAlign w:val="center"/>
          </w:tcPr>
          <w:p>
            <w:pPr>
              <w:pStyle w:val="139"/>
              <w:spacing w:line="240" w:lineRule="auto"/>
              <w:rPr>
                <w:rFonts w:cs="Times New Roman"/>
                <w:szCs w:val="18"/>
              </w:rPr>
            </w:pPr>
            <w:r>
              <w:rPr>
                <w:rFonts w:cs="Times New Roman"/>
                <w:szCs w:val="18"/>
              </w:rPr>
              <w:t>2#补水隧洞出口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bl>
    <w:p>
      <w:pPr>
        <w:ind w:firstLine="420" w:firstLineChars="0"/>
        <w:contextualSpacing/>
      </w:pPr>
      <w:r>
        <w:t>2）施工供水</w:t>
      </w:r>
    </w:p>
    <w:p>
      <w:pPr>
        <w:ind w:firstLine="420" w:firstLineChars="0"/>
        <w:contextualSpacing/>
      </w:pPr>
      <w:r>
        <w:t>根据枢纽工程各施工点水源条件，就近分散进行施工供水规划。即采用建抽水站和溪沟水解决生产用水，拦河大坝左右岸施工分别各建1座抽水站集中供水，其它用水选择小型潜水泵抽取。施工供水规划见</w:t>
      </w:r>
      <w:r>
        <w:rPr>
          <w:rFonts w:hint="eastAsia"/>
        </w:rPr>
        <w:t>下表</w:t>
      </w:r>
      <w:r>
        <w:t>。</w:t>
      </w:r>
    </w:p>
    <w:p>
      <w:pPr>
        <w:ind w:firstLine="0" w:firstLineChars="0"/>
        <w:contextualSpacing/>
        <w:jc w:val="center"/>
        <w:rPr>
          <w:rFonts w:hAnsi="宋体"/>
          <w:b/>
          <w:bCs/>
          <w:sz w:val="21"/>
          <w:szCs w:val="21"/>
        </w:rPr>
      </w:pPr>
      <w:r>
        <w:rPr>
          <w:rFonts w:hAnsi="宋体"/>
          <w:b/>
          <w:bCs/>
          <w:sz w:val="21"/>
          <w:szCs w:val="21"/>
        </w:rPr>
        <w:t>表2.3.4-9  施工供水规划表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258"/>
        <w:gridCol w:w="1433"/>
        <w:gridCol w:w="1210"/>
        <w:gridCol w:w="735"/>
        <w:gridCol w:w="850"/>
        <w:gridCol w:w="871"/>
        <w:gridCol w:w="697"/>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序号</w:t>
            </w:r>
          </w:p>
        </w:tc>
        <w:tc>
          <w:tcPr>
            <w:tcW w:w="738" w:type="pct"/>
            <w:vAlign w:val="center"/>
          </w:tcPr>
          <w:p>
            <w:pPr>
              <w:pStyle w:val="139"/>
              <w:spacing w:line="240" w:lineRule="auto"/>
              <w:rPr>
                <w:rFonts w:cs="Times New Roman"/>
                <w:szCs w:val="18"/>
              </w:rPr>
            </w:pPr>
            <w:r>
              <w:rPr>
                <w:rFonts w:cs="Times New Roman"/>
                <w:szCs w:val="18"/>
              </w:rPr>
              <w:t>位置</w:t>
            </w:r>
          </w:p>
        </w:tc>
        <w:tc>
          <w:tcPr>
            <w:tcW w:w="841" w:type="pct"/>
            <w:vAlign w:val="center"/>
          </w:tcPr>
          <w:p>
            <w:pPr>
              <w:pStyle w:val="139"/>
              <w:spacing w:line="240" w:lineRule="auto"/>
              <w:rPr>
                <w:rFonts w:cs="Times New Roman"/>
                <w:szCs w:val="18"/>
              </w:rPr>
            </w:pPr>
            <w:r>
              <w:rPr>
                <w:rFonts w:cs="Times New Roman"/>
                <w:szCs w:val="18"/>
              </w:rPr>
              <w:t>水源</w:t>
            </w:r>
          </w:p>
        </w:tc>
        <w:tc>
          <w:tcPr>
            <w:tcW w:w="710" w:type="pct"/>
            <w:vAlign w:val="center"/>
          </w:tcPr>
          <w:p>
            <w:pPr>
              <w:pStyle w:val="139"/>
              <w:spacing w:line="240" w:lineRule="auto"/>
              <w:rPr>
                <w:rFonts w:cs="Times New Roman"/>
                <w:szCs w:val="18"/>
              </w:rPr>
            </w:pPr>
            <w:r>
              <w:rPr>
                <w:rFonts w:cs="Times New Roman"/>
                <w:szCs w:val="18"/>
              </w:rPr>
              <w:t>型号</w:t>
            </w:r>
          </w:p>
        </w:tc>
        <w:tc>
          <w:tcPr>
            <w:tcW w:w="431"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499"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511" w:type="pct"/>
            <w:vAlign w:val="center"/>
          </w:tcPr>
          <w:p>
            <w:pPr>
              <w:pStyle w:val="139"/>
              <w:spacing w:line="240" w:lineRule="auto"/>
              <w:rPr>
                <w:rFonts w:cs="Times New Roman"/>
                <w:szCs w:val="18"/>
              </w:rPr>
            </w:pPr>
            <w:r>
              <w:rPr>
                <w:rFonts w:cs="Times New Roman"/>
                <w:szCs w:val="18"/>
              </w:rPr>
              <w:t>供水量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409" w:type="pct"/>
            <w:vAlign w:val="center"/>
          </w:tcPr>
          <w:p>
            <w:pPr>
              <w:pStyle w:val="139"/>
              <w:spacing w:line="240" w:lineRule="auto"/>
              <w:rPr>
                <w:rFonts w:cs="Times New Roman"/>
                <w:szCs w:val="18"/>
              </w:rPr>
            </w:pPr>
            <w:r>
              <w:rPr>
                <w:rFonts w:cs="Times New Roman"/>
                <w:szCs w:val="18"/>
              </w:rPr>
              <w:t>扬程</w:t>
            </w:r>
          </w:p>
          <w:p>
            <w:pPr>
              <w:pStyle w:val="139"/>
              <w:spacing w:line="240" w:lineRule="auto"/>
              <w:rPr>
                <w:rFonts w:cs="Times New Roman"/>
                <w:szCs w:val="18"/>
              </w:rPr>
            </w:pPr>
            <w:r>
              <w:rPr>
                <w:rFonts w:cs="Times New Roman"/>
                <w:szCs w:val="18"/>
              </w:rPr>
              <w:t>m</w:t>
            </w:r>
          </w:p>
        </w:tc>
        <w:tc>
          <w:tcPr>
            <w:tcW w:w="533" w:type="pct"/>
            <w:vAlign w:val="center"/>
          </w:tcPr>
          <w:p>
            <w:pPr>
              <w:pStyle w:val="139"/>
              <w:spacing w:line="240" w:lineRule="auto"/>
              <w:rPr>
                <w:rFonts w:cs="Times New Roman"/>
                <w:szCs w:val="18"/>
              </w:rPr>
            </w:pPr>
            <w:r>
              <w:rPr>
                <w:rFonts w:cs="Times New Roman"/>
                <w:szCs w:val="18"/>
              </w:rPr>
              <w:t>水池容积m</w:t>
            </w:r>
            <w:r>
              <w:rPr>
                <w:rFonts w:cs="Times New Roman"/>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1</w:t>
            </w:r>
          </w:p>
        </w:tc>
        <w:tc>
          <w:tcPr>
            <w:tcW w:w="738" w:type="pct"/>
            <w:vAlign w:val="center"/>
          </w:tcPr>
          <w:p>
            <w:pPr>
              <w:pStyle w:val="139"/>
              <w:spacing w:line="240" w:lineRule="auto"/>
              <w:rPr>
                <w:rFonts w:cs="Times New Roman"/>
                <w:szCs w:val="18"/>
              </w:rPr>
            </w:pPr>
            <w:r>
              <w:rPr>
                <w:rFonts w:cs="Times New Roman"/>
                <w:szCs w:val="18"/>
              </w:rPr>
              <w:t>大坝下游左岸</w:t>
            </w:r>
          </w:p>
        </w:tc>
        <w:tc>
          <w:tcPr>
            <w:tcW w:w="841" w:type="pct"/>
            <w:vAlign w:val="center"/>
          </w:tcPr>
          <w:p>
            <w:pPr>
              <w:pStyle w:val="139"/>
              <w:spacing w:line="240" w:lineRule="auto"/>
              <w:rPr>
                <w:rFonts w:cs="Times New Roman"/>
                <w:szCs w:val="18"/>
              </w:rPr>
            </w:pPr>
            <w:r>
              <w:rPr>
                <w:rFonts w:cs="Times New Roman"/>
                <w:szCs w:val="18"/>
              </w:rPr>
              <w:t>寒溪寺库内取水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2</w:t>
            </w:r>
          </w:p>
        </w:tc>
        <w:tc>
          <w:tcPr>
            <w:tcW w:w="738" w:type="pct"/>
            <w:vAlign w:val="center"/>
          </w:tcPr>
          <w:p>
            <w:pPr>
              <w:pStyle w:val="139"/>
              <w:spacing w:line="240" w:lineRule="auto"/>
              <w:rPr>
                <w:rFonts w:cs="Times New Roman"/>
                <w:szCs w:val="18"/>
              </w:rPr>
            </w:pPr>
            <w:r>
              <w:rPr>
                <w:rFonts w:cs="Times New Roman"/>
                <w:szCs w:val="18"/>
              </w:rPr>
              <w:t>大坝下游右岸</w:t>
            </w:r>
          </w:p>
        </w:tc>
        <w:tc>
          <w:tcPr>
            <w:tcW w:w="841" w:type="pct"/>
            <w:vAlign w:val="center"/>
          </w:tcPr>
          <w:p>
            <w:pPr>
              <w:pStyle w:val="139"/>
              <w:spacing w:line="240" w:lineRule="auto"/>
              <w:rPr>
                <w:rFonts w:cs="Times New Roman"/>
                <w:szCs w:val="18"/>
              </w:rPr>
            </w:pPr>
            <w:r>
              <w:rPr>
                <w:rFonts w:cs="Times New Roman"/>
                <w:szCs w:val="18"/>
              </w:rPr>
              <w:t>寒溪寺库内取水</w:t>
            </w:r>
          </w:p>
        </w:tc>
        <w:tc>
          <w:tcPr>
            <w:tcW w:w="710" w:type="pct"/>
            <w:vAlign w:val="center"/>
          </w:tcPr>
          <w:p>
            <w:pPr>
              <w:pStyle w:val="139"/>
              <w:spacing w:line="240" w:lineRule="auto"/>
              <w:rPr>
                <w:rFonts w:cs="Times New Roman"/>
                <w:szCs w:val="18"/>
              </w:rPr>
            </w:pPr>
            <w:r>
              <w:rPr>
                <w:rFonts w:cs="Times New Roman"/>
                <w:szCs w:val="18"/>
              </w:rPr>
              <w:t>IS80-50-250B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37</w:t>
            </w:r>
          </w:p>
        </w:tc>
        <w:tc>
          <w:tcPr>
            <w:tcW w:w="511" w:type="pct"/>
            <w:vAlign w:val="center"/>
          </w:tcPr>
          <w:p>
            <w:pPr>
              <w:pStyle w:val="139"/>
              <w:spacing w:line="240" w:lineRule="auto"/>
              <w:rPr>
                <w:rFonts w:cs="Times New Roman"/>
                <w:szCs w:val="18"/>
              </w:rPr>
            </w:pPr>
            <w:r>
              <w:rPr>
                <w:rFonts w:cs="Times New Roman"/>
                <w:szCs w:val="18"/>
              </w:rPr>
              <w:t>50</w:t>
            </w:r>
          </w:p>
        </w:tc>
        <w:tc>
          <w:tcPr>
            <w:tcW w:w="409" w:type="pct"/>
            <w:vAlign w:val="center"/>
          </w:tcPr>
          <w:p>
            <w:pPr>
              <w:pStyle w:val="139"/>
              <w:spacing w:line="240" w:lineRule="auto"/>
              <w:rPr>
                <w:rFonts w:cs="Times New Roman"/>
                <w:szCs w:val="18"/>
              </w:rPr>
            </w:pPr>
            <w:r>
              <w:rPr>
                <w:rFonts w:cs="Times New Roman"/>
                <w:szCs w:val="18"/>
              </w:rPr>
              <w:t>125</w:t>
            </w:r>
          </w:p>
        </w:tc>
        <w:tc>
          <w:tcPr>
            <w:tcW w:w="533"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3</w:t>
            </w:r>
          </w:p>
        </w:tc>
        <w:tc>
          <w:tcPr>
            <w:tcW w:w="738" w:type="pct"/>
            <w:vAlign w:val="center"/>
          </w:tcPr>
          <w:p>
            <w:pPr>
              <w:pStyle w:val="139"/>
              <w:spacing w:line="240" w:lineRule="auto"/>
              <w:rPr>
                <w:rFonts w:cs="Times New Roman"/>
                <w:szCs w:val="18"/>
              </w:rPr>
            </w:pPr>
            <w:r>
              <w:rPr>
                <w:rFonts w:cs="Times New Roman"/>
                <w:szCs w:val="18"/>
              </w:rPr>
              <w:t>1#补水枢纽</w:t>
            </w:r>
          </w:p>
        </w:tc>
        <w:tc>
          <w:tcPr>
            <w:tcW w:w="841" w:type="pct"/>
            <w:vAlign w:val="center"/>
          </w:tcPr>
          <w:p>
            <w:pPr>
              <w:pStyle w:val="139"/>
              <w:spacing w:line="240" w:lineRule="auto"/>
              <w:rPr>
                <w:rFonts w:cs="Times New Roman"/>
                <w:szCs w:val="18"/>
              </w:rPr>
            </w:pPr>
            <w:r>
              <w:rPr>
                <w:rFonts w:cs="Times New Roman"/>
                <w:szCs w:val="18"/>
              </w:rPr>
              <w:t>溪沟水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4</w:t>
            </w:r>
          </w:p>
        </w:tc>
        <w:tc>
          <w:tcPr>
            <w:tcW w:w="738" w:type="pct"/>
            <w:vAlign w:val="center"/>
          </w:tcPr>
          <w:p>
            <w:pPr>
              <w:pStyle w:val="139"/>
              <w:spacing w:line="240" w:lineRule="auto"/>
              <w:rPr>
                <w:rFonts w:cs="Times New Roman"/>
                <w:szCs w:val="18"/>
              </w:rPr>
            </w:pPr>
            <w:r>
              <w:rPr>
                <w:rFonts w:cs="Times New Roman"/>
                <w:szCs w:val="18"/>
              </w:rPr>
              <w:t>2#补水枢纽</w:t>
            </w:r>
          </w:p>
        </w:tc>
        <w:tc>
          <w:tcPr>
            <w:tcW w:w="841" w:type="pct"/>
            <w:vAlign w:val="center"/>
          </w:tcPr>
          <w:p>
            <w:pPr>
              <w:pStyle w:val="139"/>
              <w:spacing w:line="240" w:lineRule="auto"/>
              <w:rPr>
                <w:rFonts w:cs="Times New Roman"/>
                <w:szCs w:val="18"/>
              </w:rPr>
            </w:pPr>
            <w:r>
              <w:rPr>
                <w:rFonts w:cs="Times New Roman"/>
                <w:szCs w:val="18"/>
              </w:rPr>
              <w:t>溪沟水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10</w:t>
            </w:r>
          </w:p>
        </w:tc>
      </w:tr>
    </w:tbl>
    <w:p>
      <w:pPr>
        <w:ind w:firstLine="420" w:firstLineChars="0"/>
        <w:contextualSpacing/>
      </w:pPr>
      <w:r>
        <w:t>3）施工供电</w:t>
      </w:r>
    </w:p>
    <w:p>
      <w:pPr>
        <w:ind w:firstLine="420" w:firstLineChars="0"/>
        <w:contextualSpacing/>
      </w:pPr>
      <w:r>
        <w:t>枢纽工程常规供电</w:t>
      </w:r>
    </w:p>
    <w:p>
      <w:pPr>
        <w:ind w:firstLine="420" w:firstLineChars="0"/>
        <w:contextualSpacing/>
      </w:pPr>
      <w:r>
        <w:t>本工程施工由国家电网供电，枢纽拟从附近架设10</w:t>
      </w:r>
      <w:r>
        <w:rPr>
          <w:bCs/>
        </w:rPr>
        <w:t>KV</w:t>
      </w:r>
      <w:r>
        <w:t>输电线至工区，根据建筑物布置和施工安排设置降压站，再由降压站架设380V动力线和220V照明电线至各施工点和生活区，满足用电要求。枢纽及补水工程区共设置3座降压站（220</w:t>
      </w:r>
      <w:r>
        <w:rPr>
          <w:bCs/>
        </w:rPr>
        <w:t>KV</w:t>
      </w:r>
      <w:r>
        <w:t>A一座、400</w:t>
      </w:r>
      <w:r>
        <w:rPr>
          <w:bCs/>
        </w:rPr>
        <w:t>KV</w:t>
      </w:r>
      <w:r>
        <w:t>A两座），总容量1020</w:t>
      </w:r>
      <w:r>
        <w:rPr>
          <w:bCs/>
        </w:rPr>
        <w:t>KV</w:t>
      </w:r>
      <w:r>
        <w:t>A。新建10</w:t>
      </w:r>
      <w:r>
        <w:rPr>
          <w:bCs/>
        </w:rPr>
        <w:t>KV</w:t>
      </w:r>
      <w:r>
        <w:t>输电线3.0km，高峰用电负荷810</w:t>
      </w:r>
      <w:r>
        <w:rPr>
          <w:bCs/>
        </w:rPr>
        <w:t>KW</w:t>
      </w:r>
      <w:r>
        <w:t>。</w:t>
      </w:r>
    </w:p>
    <w:p>
      <w:pPr>
        <w:ind w:firstLine="420" w:firstLineChars="0"/>
        <w:contextualSpacing/>
      </w:pPr>
      <w:r>
        <w:t>施工供电规划见</w:t>
      </w:r>
      <w:r>
        <w:rPr>
          <w:rFonts w:hint="eastAsia"/>
        </w:rPr>
        <w:t>下</w:t>
      </w:r>
      <w:r>
        <w:t>表。</w:t>
      </w:r>
    </w:p>
    <w:p>
      <w:pPr>
        <w:ind w:firstLine="0" w:firstLineChars="0"/>
        <w:contextualSpacing/>
        <w:jc w:val="center"/>
        <w:rPr>
          <w:rFonts w:hAnsi="宋体"/>
          <w:b/>
          <w:bCs/>
          <w:sz w:val="21"/>
          <w:szCs w:val="21"/>
        </w:rPr>
      </w:pPr>
      <w:r>
        <w:rPr>
          <w:rFonts w:hAnsi="宋体"/>
          <w:b/>
          <w:bCs/>
          <w:sz w:val="21"/>
          <w:szCs w:val="21"/>
        </w:rPr>
        <w:t>表2.3.4-10  施工供电规划表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17"/>
        <w:gridCol w:w="1392"/>
        <w:gridCol w:w="2175"/>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序号</w:t>
            </w:r>
          </w:p>
        </w:tc>
        <w:tc>
          <w:tcPr>
            <w:tcW w:w="949" w:type="pct"/>
            <w:vAlign w:val="center"/>
          </w:tcPr>
          <w:p>
            <w:pPr>
              <w:pStyle w:val="139"/>
              <w:spacing w:line="240" w:lineRule="auto"/>
              <w:rPr>
                <w:rFonts w:cs="Times New Roman"/>
              </w:rPr>
            </w:pPr>
            <w:r>
              <w:rPr>
                <w:rFonts w:cs="Times New Roman"/>
              </w:rPr>
              <w:t>位置</w:t>
            </w:r>
          </w:p>
        </w:tc>
        <w:tc>
          <w:tcPr>
            <w:tcW w:w="817" w:type="pct"/>
            <w:vAlign w:val="center"/>
          </w:tcPr>
          <w:p>
            <w:pPr>
              <w:pStyle w:val="139"/>
              <w:spacing w:line="240" w:lineRule="auto"/>
              <w:rPr>
                <w:rFonts w:cs="Times New Roman"/>
              </w:rPr>
            </w:pPr>
            <w:r>
              <w:rPr>
                <w:rFonts w:cs="Times New Roman"/>
              </w:rPr>
              <w:t>降压站容量</w:t>
            </w:r>
          </w:p>
        </w:tc>
        <w:tc>
          <w:tcPr>
            <w:tcW w:w="1276" w:type="pct"/>
            <w:vAlign w:val="center"/>
          </w:tcPr>
          <w:p>
            <w:pPr>
              <w:pStyle w:val="139"/>
              <w:spacing w:line="240" w:lineRule="auto"/>
              <w:rPr>
                <w:rFonts w:cs="Times New Roman"/>
              </w:rPr>
            </w:pPr>
            <w:r>
              <w:rPr>
                <w:rFonts w:cs="Times New Roman"/>
              </w:rPr>
              <w:t>10KV输电线路架设</w:t>
            </w:r>
          </w:p>
        </w:tc>
        <w:tc>
          <w:tcPr>
            <w:tcW w:w="1537"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1</w:t>
            </w:r>
          </w:p>
        </w:tc>
        <w:tc>
          <w:tcPr>
            <w:tcW w:w="949" w:type="pct"/>
            <w:vAlign w:val="center"/>
          </w:tcPr>
          <w:p>
            <w:pPr>
              <w:pStyle w:val="139"/>
              <w:spacing w:line="240" w:lineRule="auto"/>
              <w:rPr>
                <w:rFonts w:cs="Times New Roman"/>
              </w:rPr>
            </w:pPr>
            <w:r>
              <w:rPr>
                <w:rFonts w:cs="Times New Roman"/>
              </w:rPr>
              <w:t>大坝下游右岸</w:t>
            </w:r>
          </w:p>
        </w:tc>
        <w:tc>
          <w:tcPr>
            <w:tcW w:w="817" w:type="pct"/>
            <w:vAlign w:val="center"/>
          </w:tcPr>
          <w:p>
            <w:pPr>
              <w:pStyle w:val="139"/>
              <w:spacing w:line="240" w:lineRule="auto"/>
              <w:rPr>
                <w:rFonts w:cs="Times New Roman"/>
              </w:rPr>
            </w:pPr>
            <w:r>
              <w:rPr>
                <w:rFonts w:cs="Times New Roman"/>
              </w:rPr>
              <w:t>400KVA</w:t>
            </w:r>
          </w:p>
        </w:tc>
        <w:tc>
          <w:tcPr>
            <w:tcW w:w="1276" w:type="pct"/>
            <w:vAlign w:val="center"/>
          </w:tcPr>
          <w:p>
            <w:pPr>
              <w:pStyle w:val="139"/>
              <w:spacing w:line="240" w:lineRule="auto"/>
              <w:rPr>
                <w:rFonts w:cs="Times New Roman"/>
              </w:rPr>
            </w:pPr>
            <w:r>
              <w:rPr>
                <w:rFonts w:cs="Times New Roman"/>
              </w:rPr>
              <w:t>0.5km</w:t>
            </w:r>
          </w:p>
        </w:tc>
        <w:tc>
          <w:tcPr>
            <w:tcW w:w="1537" w:type="pct"/>
            <w:vAlign w:val="center"/>
          </w:tcPr>
          <w:p>
            <w:pPr>
              <w:pStyle w:val="139"/>
              <w:spacing w:line="240" w:lineRule="auto"/>
              <w:rPr>
                <w:rFonts w:cs="Times New Roman"/>
              </w:rPr>
            </w:pPr>
            <w:r>
              <w:rPr>
                <w:rFonts w:cs="Times New Roman"/>
              </w:rPr>
              <w:t>备用1台75KW柴油发电机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2</w:t>
            </w:r>
          </w:p>
        </w:tc>
        <w:tc>
          <w:tcPr>
            <w:tcW w:w="949" w:type="pct"/>
            <w:vAlign w:val="center"/>
          </w:tcPr>
          <w:p>
            <w:pPr>
              <w:pStyle w:val="139"/>
              <w:spacing w:line="240" w:lineRule="auto"/>
              <w:rPr>
                <w:rFonts w:cs="Times New Roman"/>
              </w:rPr>
            </w:pPr>
            <w:r>
              <w:rPr>
                <w:rFonts w:cs="Times New Roman"/>
              </w:rPr>
              <w:t>2#补水枢纽</w:t>
            </w:r>
          </w:p>
        </w:tc>
        <w:tc>
          <w:tcPr>
            <w:tcW w:w="817" w:type="pct"/>
            <w:vAlign w:val="center"/>
          </w:tcPr>
          <w:p>
            <w:pPr>
              <w:pStyle w:val="139"/>
              <w:spacing w:line="240" w:lineRule="auto"/>
              <w:rPr>
                <w:rFonts w:cs="Times New Roman"/>
              </w:rPr>
            </w:pPr>
            <w:r>
              <w:rPr>
                <w:rFonts w:cs="Times New Roman"/>
              </w:rPr>
              <w:t>400KVA</w:t>
            </w:r>
          </w:p>
        </w:tc>
        <w:tc>
          <w:tcPr>
            <w:tcW w:w="1276" w:type="pct"/>
            <w:vAlign w:val="center"/>
          </w:tcPr>
          <w:p>
            <w:pPr>
              <w:pStyle w:val="139"/>
              <w:spacing w:line="240" w:lineRule="auto"/>
              <w:rPr>
                <w:rFonts w:cs="Times New Roman"/>
              </w:rPr>
            </w:pPr>
            <w:r>
              <w:rPr>
                <w:rFonts w:cs="Times New Roman"/>
              </w:rPr>
              <w:t>1.0km</w:t>
            </w:r>
          </w:p>
        </w:tc>
        <w:tc>
          <w:tcPr>
            <w:tcW w:w="1537" w:type="pct"/>
            <w:vAlign w:val="center"/>
          </w:tcPr>
          <w:p>
            <w:pPr>
              <w:pStyle w:val="139"/>
              <w:spacing w:line="240" w:lineRule="auto"/>
              <w:rPr>
                <w:rFonts w:cs="Times New Roman"/>
              </w:rPr>
            </w:pPr>
            <w:r>
              <w:rPr>
                <w:rFonts w:cs="Times New Roman"/>
              </w:rPr>
              <w:t>备用1台75KW柴油发电机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3</w:t>
            </w:r>
          </w:p>
        </w:tc>
        <w:tc>
          <w:tcPr>
            <w:tcW w:w="949" w:type="pct"/>
            <w:vAlign w:val="center"/>
          </w:tcPr>
          <w:p>
            <w:pPr>
              <w:pStyle w:val="139"/>
              <w:spacing w:line="240" w:lineRule="auto"/>
              <w:rPr>
                <w:rFonts w:cs="Times New Roman"/>
              </w:rPr>
            </w:pPr>
            <w:r>
              <w:rPr>
                <w:rFonts w:cs="Times New Roman"/>
              </w:rPr>
              <w:t>石料场</w:t>
            </w:r>
          </w:p>
        </w:tc>
        <w:tc>
          <w:tcPr>
            <w:tcW w:w="817" w:type="pct"/>
            <w:vAlign w:val="center"/>
          </w:tcPr>
          <w:p>
            <w:pPr>
              <w:pStyle w:val="139"/>
              <w:spacing w:line="240" w:lineRule="auto"/>
              <w:rPr>
                <w:rFonts w:cs="Times New Roman"/>
              </w:rPr>
            </w:pPr>
            <w:r>
              <w:rPr>
                <w:rFonts w:cs="Times New Roman"/>
              </w:rPr>
              <w:t>220KVA</w:t>
            </w:r>
          </w:p>
        </w:tc>
        <w:tc>
          <w:tcPr>
            <w:tcW w:w="1276" w:type="pct"/>
            <w:vAlign w:val="center"/>
          </w:tcPr>
          <w:p>
            <w:pPr>
              <w:pStyle w:val="139"/>
              <w:spacing w:line="240" w:lineRule="auto"/>
              <w:rPr>
                <w:rFonts w:cs="Times New Roman"/>
              </w:rPr>
            </w:pPr>
            <w:r>
              <w:rPr>
                <w:rFonts w:cs="Times New Roman"/>
              </w:rPr>
              <w:t>1.5km</w:t>
            </w:r>
          </w:p>
        </w:tc>
        <w:tc>
          <w:tcPr>
            <w:tcW w:w="1537" w:type="pct"/>
            <w:vAlign w:val="center"/>
          </w:tcPr>
          <w:p>
            <w:pPr>
              <w:pStyle w:val="139"/>
              <w:spacing w:line="240" w:lineRule="auto"/>
              <w:rPr>
                <w:rFonts w:cs="Times New Roman"/>
              </w:rPr>
            </w:pPr>
            <w:r>
              <w:rPr>
                <w:rFonts w:cs="Times New Roman"/>
              </w:rPr>
              <w:t>备用1台75KW柴油发电机</w:t>
            </w:r>
          </w:p>
        </w:tc>
      </w:tr>
    </w:tbl>
    <w:p>
      <w:pPr>
        <w:ind w:firstLine="420" w:firstLineChars="0"/>
        <w:contextualSpacing/>
      </w:pPr>
      <w:bookmarkStart w:id="318" w:name="_Toc179793245"/>
      <w:bookmarkStart w:id="319" w:name="_Toc179795825"/>
      <w:r>
        <w:t>4）施工通讯</w:t>
      </w:r>
    </w:p>
    <w:p>
      <w:pPr>
        <w:ind w:firstLine="420" w:firstLineChars="0"/>
        <w:contextualSpacing/>
      </w:pPr>
      <w:r>
        <w:t>枢纽工区附近已有通信光缆，可从坝址下游右岸0.5km处的居民社区接线到枢纽施工区，在生活与办公区，安装直拨电话及宽带网络解决对外通讯联系，施工现场采用手机和对讲机进行信息联系，需架设通讯线电杆1.0对km。</w:t>
      </w:r>
    </w:p>
    <w:bookmarkEnd w:id="318"/>
    <w:bookmarkEnd w:id="319"/>
    <w:p>
      <w:pPr>
        <w:ind w:firstLine="420" w:firstLineChars="0"/>
        <w:contextualSpacing/>
      </w:pPr>
      <w:bookmarkStart w:id="320" w:name="_Toc321408255"/>
      <w:r>
        <w:t>5）综合加工及机械修配厂</w:t>
      </w:r>
      <w:bookmarkEnd w:id="320"/>
    </w:p>
    <w:p>
      <w:pPr>
        <w:ind w:firstLine="420" w:firstLineChars="0"/>
        <w:contextualSpacing/>
      </w:pPr>
      <w:r>
        <w:t>综合加工系统</w:t>
      </w:r>
    </w:p>
    <w:p>
      <w:pPr>
        <w:ind w:firstLine="420" w:firstLineChars="0"/>
        <w:contextualSpacing/>
      </w:pPr>
      <w:r>
        <w:t>在坝下游右岸集中设置钢筋、木模加工厂，加工能力各为5t/班和2m3/班。</w:t>
      </w:r>
    </w:p>
    <w:p>
      <w:pPr>
        <w:ind w:firstLine="420" w:firstLineChars="0"/>
        <w:contextualSpacing/>
      </w:pPr>
      <w:r>
        <w:t>修钎站</w:t>
      </w:r>
    </w:p>
    <w:p>
      <w:pPr>
        <w:ind w:firstLine="420" w:firstLineChars="0"/>
        <w:contextualSpacing/>
      </w:pPr>
      <w:r>
        <w:t>根据本工程的布置分别在大坝下游右岸和石料场施工点设置修钎站。</w:t>
      </w:r>
    </w:p>
    <w:p>
      <w:pPr>
        <w:ind w:firstLine="420" w:firstLineChars="0"/>
        <w:contextualSpacing/>
      </w:pPr>
      <w:r>
        <w:t>辅助企业生产技术特性见</w:t>
      </w:r>
      <w:r>
        <w:rPr>
          <w:rFonts w:hint="eastAsia"/>
        </w:rPr>
        <w:t>下</w:t>
      </w:r>
      <w:r>
        <w:t>表。</w:t>
      </w:r>
    </w:p>
    <w:p>
      <w:pPr>
        <w:ind w:firstLine="0" w:firstLineChars="0"/>
        <w:contextualSpacing/>
        <w:jc w:val="center"/>
        <w:rPr>
          <w:rFonts w:hAnsi="宋体"/>
          <w:b/>
          <w:bCs/>
          <w:sz w:val="21"/>
          <w:szCs w:val="21"/>
        </w:rPr>
      </w:pPr>
      <w:r>
        <w:rPr>
          <w:rFonts w:hAnsi="宋体"/>
          <w:b/>
          <w:bCs/>
          <w:sz w:val="21"/>
          <w:szCs w:val="21"/>
        </w:rPr>
        <w:t>表2.3.4-11  辅助企业生产技术特性见表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502"/>
        <w:gridCol w:w="1502"/>
        <w:gridCol w:w="458"/>
        <w:gridCol w:w="1144"/>
        <w:gridCol w:w="1084"/>
        <w:gridCol w:w="1084"/>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序号</w:t>
            </w:r>
          </w:p>
        </w:tc>
        <w:tc>
          <w:tcPr>
            <w:tcW w:w="881" w:type="pct"/>
            <w:vAlign w:val="center"/>
          </w:tcPr>
          <w:p>
            <w:pPr>
              <w:pStyle w:val="139"/>
              <w:spacing w:line="240" w:lineRule="auto"/>
              <w:rPr>
                <w:rFonts w:cs="Times New Roman"/>
                <w:szCs w:val="18"/>
              </w:rPr>
            </w:pPr>
            <w:r>
              <w:rPr>
                <w:rFonts w:cs="Times New Roman"/>
                <w:szCs w:val="18"/>
              </w:rPr>
              <w:t>项目</w:t>
            </w:r>
          </w:p>
        </w:tc>
        <w:tc>
          <w:tcPr>
            <w:tcW w:w="881" w:type="pct"/>
            <w:vAlign w:val="center"/>
          </w:tcPr>
          <w:p>
            <w:pPr>
              <w:pStyle w:val="139"/>
              <w:spacing w:line="240" w:lineRule="auto"/>
              <w:rPr>
                <w:rFonts w:cs="Times New Roman"/>
                <w:szCs w:val="18"/>
              </w:rPr>
            </w:pPr>
            <w:r>
              <w:rPr>
                <w:rFonts w:cs="Times New Roman"/>
                <w:szCs w:val="18"/>
              </w:rPr>
              <w:t>位置</w:t>
            </w:r>
          </w:p>
        </w:tc>
        <w:tc>
          <w:tcPr>
            <w:tcW w:w="269" w:type="pct"/>
            <w:vAlign w:val="center"/>
          </w:tcPr>
          <w:p>
            <w:pPr>
              <w:pStyle w:val="139"/>
              <w:spacing w:line="240" w:lineRule="auto"/>
              <w:rPr>
                <w:rFonts w:cs="Times New Roman"/>
                <w:szCs w:val="18"/>
              </w:rPr>
            </w:pPr>
            <w:r>
              <w:rPr>
                <w:rFonts w:cs="Times New Roman"/>
                <w:szCs w:val="18"/>
              </w:rPr>
              <w:t>座</w:t>
            </w:r>
          </w:p>
        </w:tc>
        <w:tc>
          <w:tcPr>
            <w:tcW w:w="671" w:type="pct"/>
            <w:vAlign w:val="center"/>
          </w:tcPr>
          <w:p>
            <w:pPr>
              <w:pStyle w:val="139"/>
              <w:spacing w:line="240" w:lineRule="auto"/>
              <w:rPr>
                <w:rFonts w:cs="Times New Roman"/>
                <w:szCs w:val="18"/>
              </w:rPr>
            </w:pPr>
            <w:r>
              <w:rPr>
                <w:rFonts w:cs="Times New Roman"/>
                <w:szCs w:val="18"/>
              </w:rPr>
              <w:t>生产班制</w:t>
            </w:r>
          </w:p>
          <w:p>
            <w:pPr>
              <w:pStyle w:val="139"/>
              <w:spacing w:line="240" w:lineRule="auto"/>
              <w:rPr>
                <w:rFonts w:cs="Times New Roman"/>
                <w:szCs w:val="18"/>
              </w:rPr>
            </w:pPr>
            <w:r>
              <w:rPr>
                <w:rFonts w:cs="Times New Roman"/>
                <w:szCs w:val="18"/>
              </w:rPr>
              <w:t>班/天</w:t>
            </w:r>
          </w:p>
        </w:tc>
        <w:tc>
          <w:tcPr>
            <w:tcW w:w="636" w:type="pct"/>
            <w:vAlign w:val="center"/>
          </w:tcPr>
          <w:p>
            <w:pPr>
              <w:pStyle w:val="139"/>
              <w:spacing w:line="240" w:lineRule="auto"/>
              <w:rPr>
                <w:rFonts w:cs="Times New Roman"/>
                <w:szCs w:val="18"/>
              </w:rPr>
            </w:pPr>
            <w:r>
              <w:rPr>
                <w:rFonts w:cs="Times New Roman"/>
                <w:szCs w:val="18"/>
              </w:rPr>
              <w:t>生产人数</w:t>
            </w:r>
          </w:p>
          <w:p>
            <w:pPr>
              <w:pStyle w:val="139"/>
              <w:spacing w:line="240" w:lineRule="auto"/>
              <w:rPr>
                <w:rFonts w:cs="Times New Roman"/>
                <w:szCs w:val="18"/>
              </w:rPr>
            </w:pPr>
            <w:r>
              <w:rPr>
                <w:rFonts w:cs="Times New Roman"/>
                <w:szCs w:val="18"/>
              </w:rPr>
              <w:t>人</w:t>
            </w:r>
          </w:p>
        </w:tc>
        <w:tc>
          <w:tcPr>
            <w:tcW w:w="636" w:type="pct"/>
            <w:vAlign w:val="center"/>
          </w:tcPr>
          <w:p>
            <w:pPr>
              <w:pStyle w:val="139"/>
              <w:spacing w:line="240" w:lineRule="auto"/>
              <w:rPr>
                <w:rFonts w:cs="Times New Roman"/>
                <w:szCs w:val="18"/>
              </w:rPr>
            </w:pPr>
            <w:r>
              <w:rPr>
                <w:rFonts w:cs="Times New Roman"/>
                <w:szCs w:val="18"/>
              </w:rPr>
              <w:t>建筑面积</w:t>
            </w:r>
          </w:p>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635" w:type="pct"/>
            <w:vAlign w:val="center"/>
          </w:tcPr>
          <w:p>
            <w:pPr>
              <w:pStyle w:val="139"/>
              <w:spacing w:line="240" w:lineRule="auto"/>
              <w:rPr>
                <w:rFonts w:cs="Times New Roman"/>
                <w:szCs w:val="18"/>
              </w:rPr>
            </w:pPr>
            <w:r>
              <w:rPr>
                <w:rFonts w:cs="Times New Roman"/>
                <w:szCs w:val="18"/>
              </w:rPr>
              <w:t>占地面积</w:t>
            </w:r>
          </w:p>
          <w:p>
            <w:pPr>
              <w:pStyle w:val="139"/>
              <w:spacing w:line="240" w:lineRule="auto"/>
              <w:rPr>
                <w:rFonts w:cs="Times New Roman"/>
                <w:szCs w:val="18"/>
              </w:rPr>
            </w:pPr>
            <w:r>
              <w:rPr>
                <w:rFonts w:cs="Times New Roman"/>
                <w:szCs w:val="18"/>
              </w:rPr>
              <w:t>m</w:t>
            </w:r>
            <w:r>
              <w:rPr>
                <w:rFonts w:cs="Times New Roman"/>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1</w:t>
            </w:r>
          </w:p>
        </w:tc>
        <w:tc>
          <w:tcPr>
            <w:tcW w:w="881" w:type="pct"/>
            <w:vAlign w:val="center"/>
          </w:tcPr>
          <w:p>
            <w:pPr>
              <w:pStyle w:val="139"/>
              <w:spacing w:line="240" w:lineRule="auto"/>
              <w:rPr>
                <w:rFonts w:cs="Times New Roman"/>
                <w:szCs w:val="18"/>
              </w:rPr>
            </w:pPr>
            <w:r>
              <w:rPr>
                <w:rFonts w:cs="Times New Roman"/>
                <w:szCs w:val="18"/>
              </w:rPr>
              <w:t>机械修配系统</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8</w:t>
            </w:r>
          </w:p>
        </w:tc>
        <w:tc>
          <w:tcPr>
            <w:tcW w:w="636" w:type="pct"/>
            <w:vAlign w:val="center"/>
          </w:tcPr>
          <w:p>
            <w:pPr>
              <w:pStyle w:val="139"/>
              <w:spacing w:line="240" w:lineRule="auto"/>
              <w:rPr>
                <w:rFonts w:cs="Times New Roman"/>
                <w:szCs w:val="18"/>
              </w:rPr>
            </w:pPr>
            <w:r>
              <w:rPr>
                <w:rFonts w:cs="Times New Roman"/>
                <w:szCs w:val="18"/>
              </w:rPr>
              <w:t>180</w:t>
            </w:r>
          </w:p>
        </w:tc>
        <w:tc>
          <w:tcPr>
            <w:tcW w:w="635" w:type="pct"/>
            <w:vAlign w:val="center"/>
          </w:tcPr>
          <w:p>
            <w:pPr>
              <w:pStyle w:val="139"/>
              <w:spacing w:line="240" w:lineRule="auto"/>
              <w:rPr>
                <w:rFonts w:cs="Times New Roman"/>
                <w:szCs w:val="18"/>
              </w:rPr>
            </w:pPr>
            <w:r>
              <w:rPr>
                <w:rFonts w:cs="Times New Roman"/>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2</w:t>
            </w:r>
          </w:p>
        </w:tc>
        <w:tc>
          <w:tcPr>
            <w:tcW w:w="881" w:type="pct"/>
            <w:vAlign w:val="center"/>
          </w:tcPr>
          <w:p>
            <w:pPr>
              <w:pStyle w:val="139"/>
              <w:spacing w:line="240" w:lineRule="auto"/>
              <w:rPr>
                <w:rFonts w:cs="Times New Roman"/>
                <w:szCs w:val="18"/>
              </w:rPr>
            </w:pPr>
            <w:r>
              <w:rPr>
                <w:rFonts w:cs="Times New Roman"/>
                <w:szCs w:val="18"/>
              </w:rPr>
              <w:t>汽车保养站</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5</w:t>
            </w:r>
          </w:p>
        </w:tc>
        <w:tc>
          <w:tcPr>
            <w:tcW w:w="636" w:type="pct"/>
            <w:vAlign w:val="center"/>
          </w:tcPr>
          <w:p>
            <w:pPr>
              <w:pStyle w:val="139"/>
              <w:spacing w:line="240" w:lineRule="auto"/>
              <w:rPr>
                <w:rFonts w:cs="Times New Roman"/>
                <w:szCs w:val="18"/>
              </w:rPr>
            </w:pPr>
            <w:r>
              <w:rPr>
                <w:rFonts w:cs="Times New Roman"/>
                <w:szCs w:val="18"/>
              </w:rPr>
              <w:t>200</w:t>
            </w:r>
          </w:p>
        </w:tc>
        <w:tc>
          <w:tcPr>
            <w:tcW w:w="635" w:type="pct"/>
            <w:vAlign w:val="center"/>
          </w:tcPr>
          <w:p>
            <w:pPr>
              <w:pStyle w:val="139"/>
              <w:spacing w:line="240" w:lineRule="auto"/>
              <w:rPr>
                <w:rFonts w:cs="Times New Roman"/>
                <w:szCs w:val="18"/>
              </w:rPr>
            </w:pPr>
            <w:r>
              <w:rPr>
                <w:rFonts w:cs="Times New Roman"/>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3</w:t>
            </w:r>
          </w:p>
        </w:tc>
        <w:tc>
          <w:tcPr>
            <w:tcW w:w="881" w:type="pct"/>
            <w:vAlign w:val="center"/>
          </w:tcPr>
          <w:p>
            <w:pPr>
              <w:pStyle w:val="139"/>
              <w:spacing w:line="240" w:lineRule="auto"/>
              <w:rPr>
                <w:rFonts w:cs="Times New Roman"/>
                <w:szCs w:val="18"/>
              </w:rPr>
            </w:pPr>
            <w:r>
              <w:rPr>
                <w:rFonts w:cs="Times New Roman"/>
                <w:szCs w:val="18"/>
              </w:rPr>
              <w:t>钢筋加工厂</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4</w:t>
            </w:r>
          </w:p>
        </w:tc>
        <w:tc>
          <w:tcPr>
            <w:tcW w:w="636" w:type="pct"/>
            <w:vAlign w:val="center"/>
          </w:tcPr>
          <w:p>
            <w:pPr>
              <w:pStyle w:val="139"/>
              <w:spacing w:line="240" w:lineRule="auto"/>
              <w:rPr>
                <w:rFonts w:cs="Times New Roman"/>
                <w:szCs w:val="18"/>
              </w:rPr>
            </w:pPr>
            <w:r>
              <w:rPr>
                <w:rFonts w:cs="Times New Roman"/>
                <w:szCs w:val="18"/>
              </w:rPr>
              <w:t>50</w:t>
            </w:r>
          </w:p>
        </w:tc>
        <w:tc>
          <w:tcPr>
            <w:tcW w:w="635" w:type="pct"/>
            <w:vAlign w:val="center"/>
          </w:tcPr>
          <w:p>
            <w:pPr>
              <w:pStyle w:val="139"/>
              <w:spacing w:line="240" w:lineRule="auto"/>
              <w:rPr>
                <w:rFonts w:cs="Times New Roman"/>
                <w:szCs w:val="18"/>
              </w:rPr>
            </w:pPr>
            <w:r>
              <w:rPr>
                <w:rFonts w:cs="Times New Roman"/>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4</w:t>
            </w:r>
          </w:p>
        </w:tc>
        <w:tc>
          <w:tcPr>
            <w:tcW w:w="881" w:type="pct"/>
            <w:vAlign w:val="center"/>
          </w:tcPr>
          <w:p>
            <w:pPr>
              <w:pStyle w:val="139"/>
              <w:spacing w:line="240" w:lineRule="auto"/>
              <w:rPr>
                <w:rFonts w:cs="Times New Roman"/>
                <w:szCs w:val="18"/>
              </w:rPr>
            </w:pPr>
            <w:r>
              <w:rPr>
                <w:rFonts w:cs="Times New Roman"/>
                <w:szCs w:val="18"/>
              </w:rPr>
              <w:t>木材加工厂</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6</w:t>
            </w:r>
          </w:p>
        </w:tc>
        <w:tc>
          <w:tcPr>
            <w:tcW w:w="636" w:type="pct"/>
            <w:vAlign w:val="center"/>
          </w:tcPr>
          <w:p>
            <w:pPr>
              <w:pStyle w:val="139"/>
              <w:spacing w:line="240" w:lineRule="auto"/>
              <w:rPr>
                <w:rFonts w:cs="Times New Roman"/>
                <w:szCs w:val="18"/>
              </w:rPr>
            </w:pPr>
            <w:r>
              <w:rPr>
                <w:rFonts w:cs="Times New Roman"/>
                <w:szCs w:val="18"/>
              </w:rPr>
              <w:t>50</w:t>
            </w:r>
          </w:p>
        </w:tc>
        <w:tc>
          <w:tcPr>
            <w:tcW w:w="635" w:type="pct"/>
            <w:vAlign w:val="center"/>
          </w:tcPr>
          <w:p>
            <w:pPr>
              <w:pStyle w:val="139"/>
              <w:spacing w:line="240" w:lineRule="auto"/>
              <w:rPr>
                <w:rFonts w:cs="Times New Roman"/>
                <w:szCs w:val="18"/>
              </w:rPr>
            </w:pPr>
            <w:r>
              <w:rPr>
                <w:rFonts w:cs="Times New Roman"/>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5</w:t>
            </w:r>
          </w:p>
        </w:tc>
        <w:tc>
          <w:tcPr>
            <w:tcW w:w="881" w:type="pct"/>
            <w:vAlign w:val="center"/>
          </w:tcPr>
          <w:p>
            <w:pPr>
              <w:pStyle w:val="139"/>
              <w:spacing w:line="240" w:lineRule="auto"/>
              <w:rPr>
                <w:rFonts w:cs="Times New Roman"/>
                <w:szCs w:val="18"/>
              </w:rPr>
            </w:pPr>
            <w:r>
              <w:rPr>
                <w:rFonts w:cs="Times New Roman"/>
                <w:szCs w:val="18"/>
              </w:rPr>
              <w:t>修钎站</w:t>
            </w:r>
          </w:p>
        </w:tc>
        <w:tc>
          <w:tcPr>
            <w:tcW w:w="881" w:type="pct"/>
            <w:vAlign w:val="center"/>
          </w:tcPr>
          <w:p>
            <w:pPr>
              <w:pStyle w:val="139"/>
              <w:spacing w:line="240" w:lineRule="auto"/>
              <w:rPr>
                <w:rFonts w:cs="Times New Roman"/>
                <w:szCs w:val="18"/>
              </w:rPr>
            </w:pPr>
            <w:r>
              <w:rPr>
                <w:rFonts w:cs="Times New Roman"/>
                <w:szCs w:val="18"/>
              </w:rPr>
              <w:t>库内石料场</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4</w:t>
            </w:r>
          </w:p>
        </w:tc>
        <w:tc>
          <w:tcPr>
            <w:tcW w:w="636" w:type="pct"/>
            <w:vAlign w:val="center"/>
          </w:tcPr>
          <w:p>
            <w:pPr>
              <w:pStyle w:val="139"/>
              <w:spacing w:line="240" w:lineRule="auto"/>
              <w:rPr>
                <w:rFonts w:cs="Times New Roman"/>
                <w:szCs w:val="18"/>
              </w:rPr>
            </w:pPr>
            <w:r>
              <w:rPr>
                <w:rFonts w:cs="Times New Roman"/>
                <w:szCs w:val="18"/>
              </w:rPr>
              <w:t>30</w:t>
            </w:r>
          </w:p>
        </w:tc>
        <w:tc>
          <w:tcPr>
            <w:tcW w:w="635" w:type="pct"/>
            <w:vAlign w:val="center"/>
          </w:tcPr>
          <w:p>
            <w:pPr>
              <w:pStyle w:val="139"/>
              <w:spacing w:line="240" w:lineRule="auto"/>
              <w:rPr>
                <w:rFonts w:cs="Times New Roman"/>
                <w:szCs w:val="18"/>
              </w:rPr>
            </w:pPr>
            <w:r>
              <w:rPr>
                <w:rFonts w:cs="Times New Roman"/>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6</w:t>
            </w:r>
          </w:p>
        </w:tc>
        <w:tc>
          <w:tcPr>
            <w:tcW w:w="881" w:type="pct"/>
            <w:vAlign w:val="center"/>
          </w:tcPr>
          <w:p>
            <w:pPr>
              <w:pStyle w:val="139"/>
              <w:spacing w:line="240" w:lineRule="auto"/>
              <w:rPr>
                <w:rFonts w:cs="Times New Roman"/>
                <w:szCs w:val="18"/>
              </w:rPr>
            </w:pPr>
            <w:r>
              <w:rPr>
                <w:rFonts w:cs="Times New Roman"/>
                <w:szCs w:val="18"/>
              </w:rPr>
              <w:t>修钎站</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30</w:t>
            </w:r>
          </w:p>
        </w:tc>
        <w:tc>
          <w:tcPr>
            <w:tcW w:w="635" w:type="pct"/>
            <w:vAlign w:val="center"/>
          </w:tcPr>
          <w:p>
            <w:pPr>
              <w:pStyle w:val="139"/>
              <w:spacing w:line="240" w:lineRule="auto"/>
              <w:rPr>
                <w:rFonts w:cs="Times New Roman"/>
                <w:szCs w:val="18"/>
              </w:rPr>
            </w:pPr>
            <w:r>
              <w:rPr>
                <w:rFonts w:cs="Times New Roman"/>
                <w:szCs w:val="18"/>
              </w:rPr>
              <w:t>90</w:t>
            </w:r>
          </w:p>
        </w:tc>
      </w:tr>
    </w:tbl>
    <w:p>
      <w:pPr>
        <w:ind w:firstLine="420" w:firstLineChars="0"/>
        <w:contextualSpacing/>
      </w:pPr>
      <w:r>
        <w:t>机械修配、汽车保养站</w:t>
      </w:r>
    </w:p>
    <w:p>
      <w:pPr>
        <w:ind w:firstLine="420" w:firstLineChars="0"/>
        <w:contextualSpacing/>
      </w:pPr>
      <w:r>
        <w:t>本工程施工机械化程度较高，选用的大中型机械较多，施工队伍的施工机械及汽车进场前应完成大修。为保证施工机械设备的正常运行和提高效率，需设置相应规模的维修保养厂，但是由于本工程距巴中市城区不远，当地修配企业可做为本工程施工机械的维修、保养、零配件供应的主要依托，为减少工程现场修配系统的规模，在工地只设置较小规模的汽车保养站和机修站，满足施工机械设备的小修和保养，机械设备的大修等委托巴中市区有关修理厂进行。</w:t>
      </w:r>
    </w:p>
    <w:p>
      <w:pPr>
        <w:ind w:firstLine="420" w:firstLineChars="0"/>
        <w:contextualSpacing/>
      </w:pPr>
      <w:r>
        <w:t>金属结构及机电设备拼装场</w:t>
      </w:r>
    </w:p>
    <w:p>
      <w:pPr>
        <w:ind w:firstLine="420" w:firstLineChars="0"/>
        <w:contextualSpacing/>
      </w:pPr>
      <w:r>
        <w:t>金属结构及机电设备拼装场集中布置于大坝下游左岸，建筑面积100m2，占地面积200m2。</w:t>
      </w:r>
    </w:p>
    <w:p>
      <w:pPr>
        <w:ind w:firstLine="420" w:firstLineChars="0"/>
        <w:contextualSpacing/>
      </w:pPr>
      <w:r>
        <w:rPr>
          <w:rFonts w:hint="eastAsia"/>
        </w:rPr>
        <w:t>（</w:t>
      </w:r>
      <w:r>
        <w:t>2</w:t>
      </w:r>
      <w:r>
        <w:rPr>
          <w:rFonts w:hAnsi="宋体"/>
        </w:rPr>
        <w:t>）灌区工程</w:t>
      </w:r>
    </w:p>
    <w:p>
      <w:pPr>
        <w:pStyle w:val="72"/>
        <w:ind w:firstLine="480"/>
        <w:rPr>
          <w:rFonts w:eastAsia="宋体"/>
          <w:bCs w:val="0"/>
          <w:sz w:val="24"/>
          <w:szCs w:val="24"/>
        </w:rPr>
      </w:pPr>
      <w:bookmarkStart w:id="321" w:name="_Toc142384803"/>
      <w:bookmarkStart w:id="322" w:name="_Toc142322714"/>
      <w:r>
        <w:rPr>
          <w:rFonts w:hint="eastAsia" w:eastAsia="宋体"/>
          <w:bCs w:val="0"/>
          <w:sz w:val="24"/>
          <w:szCs w:val="24"/>
        </w:rPr>
        <w:t>a）</w:t>
      </w:r>
      <w:r>
        <w:rPr>
          <w:rFonts w:eastAsia="宋体"/>
          <w:bCs w:val="0"/>
          <w:sz w:val="24"/>
          <w:szCs w:val="24"/>
        </w:rPr>
        <w:t>混凝土拌和站</w:t>
      </w:r>
      <w:bookmarkEnd w:id="321"/>
      <w:bookmarkEnd w:id="322"/>
    </w:p>
    <w:p>
      <w:pPr>
        <w:pStyle w:val="72"/>
        <w:ind w:firstLine="480"/>
        <w:rPr>
          <w:rFonts w:eastAsia="宋体"/>
          <w:bCs w:val="0"/>
          <w:sz w:val="24"/>
          <w:szCs w:val="24"/>
        </w:rPr>
      </w:pPr>
      <w:r>
        <w:rPr>
          <w:rFonts w:eastAsia="宋体"/>
          <w:bCs w:val="0"/>
          <w:sz w:val="24"/>
          <w:szCs w:val="24"/>
        </w:rPr>
        <w:t>寒溪寺水库渠道工程混凝土浇筑总量为0.83万m3。根据渠道工程混凝土浇筑沿线分布，管线、渡槽、隧洞及小型建筑物等建筑物混凝土浇筑点多等特点，拟在建筑物点设移动拌和站，站内设设置0.4m3混凝土拌和机，混凝土拌和站规划见</w:t>
      </w:r>
      <w:r>
        <w:rPr>
          <w:rFonts w:hint="eastAsia" w:eastAsia="宋体"/>
          <w:bCs w:val="0"/>
          <w:sz w:val="24"/>
          <w:szCs w:val="24"/>
        </w:rPr>
        <w:t>下表</w:t>
      </w:r>
      <w:r>
        <w:rPr>
          <w:rFonts w:eastAsia="宋体"/>
          <w:bCs w:val="0"/>
          <w:sz w:val="24"/>
          <w:szCs w:val="24"/>
        </w:rPr>
        <w:t>。</w:t>
      </w:r>
    </w:p>
    <w:p>
      <w:pPr>
        <w:ind w:firstLine="0" w:firstLineChars="0"/>
        <w:contextualSpacing/>
        <w:jc w:val="center"/>
        <w:rPr>
          <w:rFonts w:hAnsi="宋体"/>
          <w:b/>
          <w:bCs/>
          <w:sz w:val="21"/>
          <w:szCs w:val="21"/>
        </w:rPr>
      </w:pPr>
      <w:r>
        <w:rPr>
          <w:rFonts w:hAnsi="宋体"/>
          <w:b/>
          <w:bCs/>
          <w:sz w:val="21"/>
          <w:szCs w:val="21"/>
        </w:rPr>
        <w:t>表2.3.4-12  渠道工程混凝土拌和站规划表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728"/>
        <w:gridCol w:w="1254"/>
        <w:gridCol w:w="753"/>
        <w:gridCol w:w="753"/>
        <w:gridCol w:w="206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bookmarkStart w:id="323" w:name="_Toc142322715"/>
            <w:bookmarkStart w:id="324" w:name="_Toc142384804"/>
            <w:r>
              <w:rPr>
                <w:rFonts w:cs="Times New Roman"/>
                <w:szCs w:val="18"/>
              </w:rPr>
              <w:t>序号</w:t>
            </w:r>
          </w:p>
        </w:tc>
        <w:tc>
          <w:tcPr>
            <w:tcW w:w="1014" w:type="pct"/>
            <w:vAlign w:val="center"/>
          </w:tcPr>
          <w:p>
            <w:pPr>
              <w:pStyle w:val="139"/>
              <w:spacing w:line="240" w:lineRule="auto"/>
              <w:rPr>
                <w:rFonts w:cs="Times New Roman"/>
                <w:szCs w:val="18"/>
              </w:rPr>
            </w:pPr>
            <w:r>
              <w:rPr>
                <w:rFonts w:cs="Times New Roman"/>
                <w:szCs w:val="18"/>
              </w:rPr>
              <w:t>位置</w:t>
            </w:r>
          </w:p>
        </w:tc>
        <w:tc>
          <w:tcPr>
            <w:tcW w:w="736" w:type="pct"/>
            <w:vAlign w:val="center"/>
          </w:tcPr>
          <w:p>
            <w:pPr>
              <w:pStyle w:val="139"/>
              <w:spacing w:line="240" w:lineRule="auto"/>
              <w:rPr>
                <w:rFonts w:cs="Times New Roman"/>
                <w:szCs w:val="18"/>
              </w:rPr>
            </w:pPr>
            <w:r>
              <w:rPr>
                <w:rFonts w:cs="Times New Roman"/>
                <w:szCs w:val="18"/>
              </w:rPr>
              <w:t>设备型号</w:t>
            </w:r>
          </w:p>
        </w:tc>
        <w:tc>
          <w:tcPr>
            <w:tcW w:w="442" w:type="pct"/>
            <w:vAlign w:val="center"/>
          </w:tcPr>
          <w:p>
            <w:pPr>
              <w:pStyle w:val="139"/>
              <w:spacing w:line="240" w:lineRule="auto"/>
              <w:rPr>
                <w:rFonts w:cs="Times New Roman"/>
                <w:szCs w:val="18"/>
              </w:rPr>
            </w:pPr>
            <w:r>
              <w:rPr>
                <w:rFonts w:cs="Times New Roman"/>
                <w:szCs w:val="18"/>
              </w:rPr>
              <w:t>单位</w:t>
            </w:r>
          </w:p>
        </w:tc>
        <w:tc>
          <w:tcPr>
            <w:tcW w:w="442" w:type="pct"/>
            <w:vAlign w:val="center"/>
          </w:tcPr>
          <w:p>
            <w:pPr>
              <w:pStyle w:val="139"/>
              <w:spacing w:line="240" w:lineRule="auto"/>
              <w:rPr>
                <w:rFonts w:cs="Times New Roman"/>
                <w:szCs w:val="18"/>
              </w:rPr>
            </w:pPr>
            <w:r>
              <w:rPr>
                <w:rFonts w:cs="Times New Roman"/>
                <w:szCs w:val="18"/>
              </w:rPr>
              <w:t>数量</w:t>
            </w:r>
          </w:p>
        </w:tc>
        <w:tc>
          <w:tcPr>
            <w:tcW w:w="1209" w:type="pct"/>
            <w:vAlign w:val="center"/>
          </w:tcPr>
          <w:p>
            <w:pPr>
              <w:pStyle w:val="139"/>
              <w:spacing w:line="240" w:lineRule="auto"/>
              <w:rPr>
                <w:rFonts w:cs="Times New Roman"/>
                <w:szCs w:val="18"/>
              </w:rPr>
            </w:pPr>
            <w:r>
              <w:rPr>
                <w:rFonts w:cs="Times New Roman"/>
                <w:szCs w:val="18"/>
              </w:rPr>
              <w:t>单台生产率</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/h</w:t>
            </w:r>
          </w:p>
        </w:tc>
        <w:tc>
          <w:tcPr>
            <w:tcW w:w="716"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1</w:t>
            </w:r>
          </w:p>
        </w:tc>
        <w:tc>
          <w:tcPr>
            <w:tcW w:w="1014" w:type="pct"/>
            <w:vAlign w:val="center"/>
          </w:tcPr>
          <w:p>
            <w:pPr>
              <w:pStyle w:val="139"/>
              <w:spacing w:line="240" w:lineRule="auto"/>
              <w:rPr>
                <w:rFonts w:cs="Times New Roman"/>
                <w:szCs w:val="18"/>
              </w:rPr>
            </w:pPr>
            <w:r>
              <w:rPr>
                <w:rFonts w:cs="Times New Roman"/>
                <w:szCs w:val="18"/>
              </w:rPr>
              <w:t>陈家山渡槽工程</w:t>
            </w:r>
          </w:p>
        </w:tc>
        <w:tc>
          <w:tcPr>
            <w:tcW w:w="736" w:type="pct"/>
            <w:vAlign w:val="center"/>
          </w:tcPr>
          <w:p>
            <w:pPr>
              <w:pStyle w:val="139"/>
              <w:spacing w:line="240" w:lineRule="auto"/>
              <w:rPr>
                <w:rFonts w:cs="Times New Roman"/>
                <w:szCs w:val="18"/>
              </w:rPr>
            </w:pPr>
          </w:p>
        </w:tc>
        <w:tc>
          <w:tcPr>
            <w:tcW w:w="442" w:type="pct"/>
            <w:vAlign w:val="center"/>
          </w:tcPr>
          <w:p>
            <w:pPr>
              <w:pStyle w:val="139"/>
              <w:spacing w:line="240" w:lineRule="auto"/>
              <w:rPr>
                <w:rFonts w:cs="Times New Roman"/>
                <w:szCs w:val="18"/>
              </w:rPr>
            </w:pPr>
          </w:p>
        </w:tc>
        <w:tc>
          <w:tcPr>
            <w:tcW w:w="442" w:type="pct"/>
            <w:vAlign w:val="center"/>
          </w:tcPr>
          <w:p>
            <w:pPr>
              <w:pStyle w:val="139"/>
              <w:spacing w:line="240" w:lineRule="auto"/>
              <w:rPr>
                <w:rFonts w:cs="Times New Roman"/>
                <w:szCs w:val="18"/>
              </w:rPr>
            </w:pPr>
          </w:p>
        </w:tc>
        <w:tc>
          <w:tcPr>
            <w:tcW w:w="1209" w:type="pct"/>
            <w:vAlign w:val="center"/>
          </w:tcPr>
          <w:p>
            <w:pPr>
              <w:pStyle w:val="139"/>
              <w:spacing w:line="240" w:lineRule="auto"/>
              <w:rPr>
                <w:rFonts w:cs="Times New Roman"/>
                <w:szCs w:val="18"/>
              </w:rPr>
            </w:pPr>
          </w:p>
        </w:tc>
        <w:tc>
          <w:tcPr>
            <w:tcW w:w="716" w:type="pct"/>
            <w:vAlign w:val="center"/>
          </w:tcPr>
          <w:p>
            <w:pPr>
              <w:pStyle w:val="139"/>
              <w:spacing w:line="240" w:lineRule="auto"/>
              <w:rPr>
                <w:rFonts w:cs="Times New Roman"/>
                <w:szCs w:val="18"/>
              </w:rPr>
            </w:pPr>
            <w:r>
              <w:rPr>
                <w:rFonts w:cs="Times New Roman"/>
                <w:szCs w:val="18"/>
              </w:rPr>
              <w:t>利用商混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2</w:t>
            </w:r>
          </w:p>
        </w:tc>
        <w:tc>
          <w:tcPr>
            <w:tcW w:w="1014" w:type="pct"/>
            <w:vAlign w:val="center"/>
          </w:tcPr>
          <w:p>
            <w:pPr>
              <w:pStyle w:val="139"/>
              <w:spacing w:line="240" w:lineRule="auto"/>
              <w:rPr>
                <w:rFonts w:cs="Times New Roman"/>
                <w:szCs w:val="18"/>
              </w:rPr>
            </w:pPr>
            <w:r>
              <w:rPr>
                <w:rFonts w:cs="Times New Roman"/>
                <w:szCs w:val="18"/>
              </w:rPr>
              <w:t>管线工程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3</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3</w:t>
            </w:r>
          </w:p>
        </w:tc>
        <w:tc>
          <w:tcPr>
            <w:tcW w:w="1014" w:type="pct"/>
            <w:vAlign w:val="center"/>
          </w:tcPr>
          <w:p>
            <w:pPr>
              <w:pStyle w:val="139"/>
              <w:spacing w:line="240" w:lineRule="auto"/>
              <w:rPr>
                <w:rFonts w:cs="Times New Roman"/>
                <w:szCs w:val="18"/>
              </w:rPr>
            </w:pPr>
            <w:r>
              <w:rPr>
                <w:rFonts w:cs="Times New Roman"/>
                <w:szCs w:val="18"/>
              </w:rPr>
              <w:t>尖佛山隧洞工程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2</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4</w:t>
            </w:r>
          </w:p>
        </w:tc>
        <w:tc>
          <w:tcPr>
            <w:tcW w:w="1014" w:type="pct"/>
            <w:vAlign w:val="center"/>
          </w:tcPr>
          <w:p>
            <w:pPr>
              <w:pStyle w:val="139"/>
              <w:spacing w:line="240" w:lineRule="auto"/>
              <w:rPr>
                <w:rFonts w:cs="Times New Roman"/>
                <w:szCs w:val="18"/>
              </w:rPr>
            </w:pPr>
            <w:r>
              <w:rPr>
                <w:rFonts w:cs="Times New Roman"/>
                <w:szCs w:val="18"/>
              </w:rPr>
              <w:t>代洛山隧洞工程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2</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bl>
    <w:p>
      <w:pPr>
        <w:ind w:firstLine="420" w:firstLineChars="0"/>
        <w:contextualSpacing/>
      </w:pPr>
      <w:r>
        <w:rPr>
          <w:rFonts w:hint="eastAsia"/>
        </w:rPr>
        <w:t>b）</w:t>
      </w:r>
      <w:r>
        <w:t>机械修配、汽修、保养及综合加工系统</w:t>
      </w:r>
      <w:bookmarkEnd w:id="323"/>
      <w:bookmarkEnd w:id="324"/>
    </w:p>
    <w:p>
      <w:pPr>
        <w:ind w:firstLine="420" w:firstLineChars="0"/>
        <w:contextualSpacing/>
      </w:pPr>
      <w:r>
        <w:t>机械修配系统及汽车保养场：巴中市及渠道附近场镇（凌云、玉堂街道）具有一定的机械修配和汽车修理能力，能为工程汽修、机械修理提供服务，可以作为修配加工的依托，工地只需设置较小规模的修配加工企业，承担工程施工机械设备的小修任务。</w:t>
      </w:r>
    </w:p>
    <w:p>
      <w:pPr>
        <w:ind w:firstLine="420" w:firstLineChars="0"/>
        <w:contextualSpacing/>
      </w:pPr>
      <w:r>
        <w:t>综合加工工厂包括钢筋加工厂、木才加工厂等，根据建筑物布置特点，采用集中设置加工厂，分散分段供应成品方案。综合加工工厂特性见</w:t>
      </w:r>
      <w:r>
        <w:rPr>
          <w:rFonts w:hint="eastAsia"/>
        </w:rPr>
        <w:t>下表</w:t>
      </w:r>
      <w:r>
        <w:t>。</w:t>
      </w:r>
    </w:p>
    <w:p>
      <w:pPr>
        <w:ind w:firstLine="0" w:firstLineChars="0"/>
        <w:contextualSpacing/>
        <w:jc w:val="center"/>
        <w:rPr>
          <w:rFonts w:hAnsi="宋体"/>
          <w:b/>
          <w:bCs/>
          <w:sz w:val="21"/>
          <w:szCs w:val="21"/>
        </w:rPr>
      </w:pPr>
      <w:r>
        <w:rPr>
          <w:rFonts w:hAnsi="宋体"/>
          <w:b/>
          <w:bCs/>
          <w:sz w:val="21"/>
          <w:szCs w:val="21"/>
        </w:rPr>
        <w:t>表2.3.4-13  渠道工程综合加工工厂特性表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2229"/>
        <w:gridCol w:w="1906"/>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616" w:type="pct"/>
            <w:gridSpan w:val="2"/>
            <w:vAlign w:val="center"/>
          </w:tcPr>
          <w:p>
            <w:pPr>
              <w:pStyle w:val="139"/>
              <w:spacing w:line="240" w:lineRule="auto"/>
              <w:rPr>
                <w:rFonts w:cs="Times New Roman"/>
                <w:szCs w:val="18"/>
              </w:rPr>
            </w:pPr>
            <w:r>
              <w:rPr>
                <w:rFonts w:cs="Times New Roman"/>
                <w:szCs w:val="18"/>
              </w:rPr>
              <w:t>项目</w:t>
            </w:r>
          </w:p>
        </w:tc>
        <w:tc>
          <w:tcPr>
            <w:tcW w:w="1118" w:type="pct"/>
            <w:vAlign w:val="center"/>
          </w:tcPr>
          <w:p>
            <w:pPr>
              <w:pStyle w:val="139"/>
              <w:spacing w:line="240" w:lineRule="auto"/>
              <w:rPr>
                <w:rFonts w:cs="Times New Roman"/>
                <w:szCs w:val="18"/>
              </w:rPr>
            </w:pPr>
            <w:r>
              <w:rPr>
                <w:rFonts w:cs="Times New Roman"/>
                <w:szCs w:val="18"/>
              </w:rPr>
              <w:t>单位</w:t>
            </w:r>
          </w:p>
        </w:tc>
        <w:tc>
          <w:tcPr>
            <w:tcW w:w="1266" w:type="pct"/>
            <w:vAlign w:val="center"/>
          </w:tcPr>
          <w:p>
            <w:pPr>
              <w:pStyle w:val="139"/>
              <w:spacing w:line="240" w:lineRule="auto"/>
              <w:rPr>
                <w:rFonts w:cs="Times New Roman"/>
                <w:szCs w:val="18"/>
              </w:rPr>
            </w:pPr>
            <w:r>
              <w:rPr>
                <w:rFonts w:cs="Times New Roman"/>
                <w:szCs w:val="18"/>
              </w:rPr>
              <w:t>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8" w:type="pct"/>
            <w:vAlign w:val="center"/>
          </w:tcPr>
          <w:p>
            <w:pPr>
              <w:pStyle w:val="139"/>
              <w:spacing w:line="240" w:lineRule="auto"/>
              <w:rPr>
                <w:rFonts w:cs="Times New Roman"/>
                <w:szCs w:val="18"/>
              </w:rPr>
            </w:pPr>
            <w:r>
              <w:rPr>
                <w:rFonts w:cs="Times New Roman"/>
                <w:szCs w:val="18"/>
              </w:rPr>
              <w:t>钢筋加工厂</w:t>
            </w:r>
          </w:p>
        </w:tc>
        <w:tc>
          <w:tcPr>
            <w:tcW w:w="1308" w:type="pct"/>
            <w:vAlign w:val="center"/>
          </w:tcPr>
          <w:p>
            <w:pPr>
              <w:pStyle w:val="139"/>
              <w:spacing w:line="240" w:lineRule="auto"/>
              <w:rPr>
                <w:rFonts w:cs="Times New Roman"/>
                <w:szCs w:val="18"/>
              </w:rPr>
            </w:pPr>
            <w:r>
              <w:rPr>
                <w:rFonts w:cs="Times New Roman"/>
                <w:szCs w:val="18"/>
              </w:rPr>
              <w:t>干渠工程工区</w:t>
            </w:r>
          </w:p>
        </w:tc>
        <w:tc>
          <w:tcPr>
            <w:tcW w:w="1118" w:type="pct"/>
            <w:vAlign w:val="center"/>
          </w:tcPr>
          <w:p>
            <w:pPr>
              <w:pStyle w:val="139"/>
              <w:spacing w:line="240" w:lineRule="auto"/>
              <w:rPr>
                <w:rFonts w:cs="Times New Roman"/>
                <w:szCs w:val="18"/>
              </w:rPr>
            </w:pPr>
            <w:r>
              <w:rPr>
                <w:rFonts w:cs="Times New Roman"/>
                <w:szCs w:val="18"/>
              </w:rPr>
              <w:t>t/台班</w:t>
            </w:r>
          </w:p>
        </w:tc>
        <w:tc>
          <w:tcPr>
            <w:tcW w:w="1266"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8" w:type="pct"/>
            <w:vAlign w:val="center"/>
          </w:tcPr>
          <w:p>
            <w:pPr>
              <w:pStyle w:val="139"/>
              <w:spacing w:line="240" w:lineRule="auto"/>
              <w:rPr>
                <w:rFonts w:cs="Times New Roman"/>
                <w:szCs w:val="18"/>
              </w:rPr>
            </w:pPr>
            <w:r>
              <w:rPr>
                <w:rFonts w:cs="Times New Roman"/>
                <w:szCs w:val="18"/>
              </w:rPr>
              <w:t>木材加工厂</w:t>
            </w:r>
          </w:p>
        </w:tc>
        <w:tc>
          <w:tcPr>
            <w:tcW w:w="1308" w:type="pct"/>
            <w:vAlign w:val="center"/>
          </w:tcPr>
          <w:p>
            <w:pPr>
              <w:pStyle w:val="139"/>
              <w:spacing w:line="240" w:lineRule="auto"/>
              <w:rPr>
                <w:rFonts w:cs="Times New Roman"/>
                <w:szCs w:val="18"/>
              </w:rPr>
            </w:pPr>
            <w:r>
              <w:rPr>
                <w:rFonts w:cs="Times New Roman"/>
                <w:szCs w:val="18"/>
              </w:rPr>
              <w:t>干渠工程工区</w:t>
            </w:r>
          </w:p>
        </w:tc>
        <w:tc>
          <w:tcPr>
            <w:tcW w:w="1118"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/台班</w:t>
            </w:r>
          </w:p>
        </w:tc>
        <w:tc>
          <w:tcPr>
            <w:tcW w:w="1266" w:type="pct"/>
            <w:vAlign w:val="center"/>
          </w:tcPr>
          <w:p>
            <w:pPr>
              <w:pStyle w:val="139"/>
              <w:spacing w:line="240" w:lineRule="auto"/>
              <w:rPr>
                <w:rFonts w:cs="Times New Roman"/>
                <w:szCs w:val="18"/>
              </w:rPr>
            </w:pPr>
            <w:r>
              <w:rPr>
                <w:rFonts w:cs="Times New Roman"/>
                <w:szCs w:val="18"/>
              </w:rPr>
              <w:t>1.0</w:t>
            </w:r>
          </w:p>
        </w:tc>
      </w:tr>
    </w:tbl>
    <w:p>
      <w:pPr>
        <w:ind w:firstLine="420" w:firstLineChars="0"/>
        <w:contextualSpacing/>
      </w:pPr>
      <w:bookmarkStart w:id="325" w:name="_Toc142384805"/>
      <w:bookmarkStart w:id="326" w:name="_Toc142322716"/>
      <w:r>
        <w:rPr>
          <w:rFonts w:hint="eastAsia"/>
        </w:rPr>
        <w:t>c）</w:t>
      </w:r>
      <w:r>
        <w:t>施工供风、供水、供电及通</w:t>
      </w:r>
      <w:bookmarkEnd w:id="325"/>
      <w:bookmarkEnd w:id="326"/>
      <w:r>
        <w:t>讯</w:t>
      </w:r>
    </w:p>
    <w:p>
      <w:pPr>
        <w:ind w:firstLine="420" w:firstLineChars="0"/>
        <w:contextualSpacing/>
      </w:pPr>
      <w:r>
        <w:t>1）施工供风</w:t>
      </w:r>
    </w:p>
    <w:p>
      <w:pPr>
        <w:ind w:firstLine="420" w:firstLineChars="0"/>
        <w:contextualSpacing/>
      </w:pPr>
      <w:r>
        <w:t>根据渠道工程施工方法，本工程施工供风系统分工区分施工点布置，管线工程开挖采用YV-6/7型移动式空压机移动使用；渡槽、隧洞、小建等建筑物施工供风根据需要在建筑物处设YV-6/7型移动式空压机，初步规划设置5座供风站。</w:t>
      </w:r>
    </w:p>
    <w:p>
      <w:pPr>
        <w:ind w:firstLine="0" w:firstLineChars="0"/>
        <w:contextualSpacing/>
        <w:jc w:val="center"/>
        <w:rPr>
          <w:rFonts w:hAnsi="宋体"/>
          <w:b/>
          <w:bCs/>
          <w:sz w:val="21"/>
          <w:szCs w:val="21"/>
        </w:rPr>
      </w:pPr>
      <w:r>
        <w:rPr>
          <w:rFonts w:hAnsi="宋体"/>
          <w:b/>
          <w:bCs/>
          <w:sz w:val="21"/>
          <w:szCs w:val="21"/>
        </w:rPr>
        <w:t>表2.3.4-14  渠道工程供风站规划表</w:t>
      </w:r>
    </w:p>
    <w:tbl>
      <w:tblPr>
        <w:tblStyle w:val="3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826"/>
        <w:gridCol w:w="2098"/>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83" w:type="pct"/>
            <w:vAlign w:val="center"/>
          </w:tcPr>
          <w:p>
            <w:pPr>
              <w:pStyle w:val="139"/>
              <w:spacing w:line="240" w:lineRule="auto"/>
              <w:rPr>
                <w:rFonts w:cs="Times New Roman"/>
              </w:rPr>
            </w:pPr>
            <w:r>
              <w:rPr>
                <w:rFonts w:cs="Times New Roman"/>
              </w:rPr>
              <w:t>序号</w:t>
            </w:r>
          </w:p>
        </w:tc>
        <w:tc>
          <w:tcPr>
            <w:tcW w:w="1658" w:type="pct"/>
            <w:vAlign w:val="center"/>
          </w:tcPr>
          <w:p>
            <w:pPr>
              <w:pStyle w:val="139"/>
              <w:spacing w:line="240" w:lineRule="auto"/>
              <w:rPr>
                <w:rFonts w:cs="Times New Roman"/>
              </w:rPr>
            </w:pPr>
            <w:r>
              <w:rPr>
                <w:rFonts w:cs="Times New Roman"/>
              </w:rPr>
              <w:t>渠道名称</w:t>
            </w:r>
          </w:p>
        </w:tc>
        <w:tc>
          <w:tcPr>
            <w:tcW w:w="1231" w:type="pct"/>
            <w:vAlign w:val="center"/>
          </w:tcPr>
          <w:p>
            <w:pPr>
              <w:pStyle w:val="139"/>
              <w:spacing w:line="240" w:lineRule="auto"/>
              <w:rPr>
                <w:rFonts w:cs="Times New Roman"/>
              </w:rPr>
            </w:pPr>
            <w:r>
              <w:rPr>
                <w:rFonts w:cs="Times New Roman"/>
              </w:rPr>
              <w:t>设备型号</w:t>
            </w:r>
          </w:p>
        </w:tc>
        <w:tc>
          <w:tcPr>
            <w:tcW w:w="664" w:type="pct"/>
            <w:vAlign w:val="center"/>
          </w:tcPr>
          <w:p>
            <w:pPr>
              <w:pStyle w:val="139"/>
              <w:spacing w:line="240" w:lineRule="auto"/>
              <w:rPr>
                <w:rFonts w:cs="Times New Roman"/>
              </w:rPr>
            </w:pPr>
            <w:r>
              <w:rPr>
                <w:rFonts w:cs="Times New Roman"/>
              </w:rPr>
              <w:t>台数</w:t>
            </w:r>
          </w:p>
        </w:tc>
        <w:tc>
          <w:tcPr>
            <w:tcW w:w="664"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1</w:t>
            </w:r>
          </w:p>
        </w:tc>
        <w:tc>
          <w:tcPr>
            <w:tcW w:w="1658" w:type="pct"/>
            <w:vAlign w:val="center"/>
          </w:tcPr>
          <w:p>
            <w:pPr>
              <w:pStyle w:val="139"/>
              <w:spacing w:line="240" w:lineRule="auto"/>
              <w:rPr>
                <w:rFonts w:cs="Times New Roman"/>
              </w:rPr>
            </w:pPr>
            <w:r>
              <w:rPr>
                <w:rFonts w:cs="Times New Roman"/>
              </w:rPr>
              <w:t>干渠管线工程</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4</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2</w:t>
            </w:r>
          </w:p>
        </w:tc>
        <w:tc>
          <w:tcPr>
            <w:tcW w:w="1658" w:type="pct"/>
            <w:vAlign w:val="center"/>
          </w:tcPr>
          <w:p>
            <w:pPr>
              <w:pStyle w:val="139"/>
              <w:spacing w:line="240" w:lineRule="auto"/>
              <w:rPr>
                <w:rFonts w:cs="Times New Roman"/>
              </w:rPr>
            </w:pPr>
            <w:r>
              <w:rPr>
                <w:rFonts w:cs="Times New Roman"/>
              </w:rPr>
              <w:t>尖佛山隧洞进口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3</w:t>
            </w:r>
          </w:p>
        </w:tc>
        <w:tc>
          <w:tcPr>
            <w:tcW w:w="1658" w:type="pct"/>
            <w:vAlign w:val="center"/>
          </w:tcPr>
          <w:p>
            <w:pPr>
              <w:pStyle w:val="139"/>
              <w:spacing w:line="240" w:lineRule="auto"/>
              <w:rPr>
                <w:rFonts w:cs="Times New Roman"/>
              </w:rPr>
            </w:pPr>
            <w:r>
              <w:rPr>
                <w:rFonts w:cs="Times New Roman"/>
              </w:rPr>
              <w:t>尖佛山隧洞出口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4</w:t>
            </w:r>
          </w:p>
        </w:tc>
        <w:tc>
          <w:tcPr>
            <w:tcW w:w="1658" w:type="pct"/>
            <w:vAlign w:val="center"/>
          </w:tcPr>
          <w:p>
            <w:pPr>
              <w:pStyle w:val="139"/>
              <w:spacing w:line="240" w:lineRule="auto"/>
              <w:rPr>
                <w:rFonts w:cs="Times New Roman"/>
              </w:rPr>
            </w:pPr>
            <w:r>
              <w:rPr>
                <w:rFonts w:cs="Times New Roman"/>
              </w:rPr>
              <w:t>代洛山隧洞进口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5</w:t>
            </w:r>
          </w:p>
        </w:tc>
        <w:tc>
          <w:tcPr>
            <w:tcW w:w="1658" w:type="pct"/>
            <w:vAlign w:val="center"/>
          </w:tcPr>
          <w:p>
            <w:pPr>
              <w:pStyle w:val="139"/>
              <w:spacing w:line="240" w:lineRule="auto"/>
              <w:rPr>
                <w:rFonts w:cs="Times New Roman"/>
              </w:rPr>
            </w:pPr>
            <w:r>
              <w:rPr>
                <w:rFonts w:cs="Times New Roman"/>
              </w:rPr>
              <w:t>代洛山隧洞出口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6</w:t>
            </w:r>
          </w:p>
        </w:tc>
        <w:tc>
          <w:tcPr>
            <w:tcW w:w="1658" w:type="pct"/>
            <w:vAlign w:val="center"/>
          </w:tcPr>
          <w:p>
            <w:pPr>
              <w:pStyle w:val="139"/>
              <w:spacing w:line="240" w:lineRule="auto"/>
              <w:rPr>
                <w:rFonts w:cs="Times New Roman"/>
              </w:rPr>
            </w:pPr>
            <w:r>
              <w:rPr>
                <w:rFonts w:cs="Times New Roman"/>
              </w:rPr>
              <w:t>陈家山渡槽</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bl>
    <w:p>
      <w:pPr>
        <w:ind w:firstLine="420" w:firstLineChars="0"/>
        <w:contextualSpacing/>
      </w:pPr>
      <w:r>
        <w:t>2）施工供水</w:t>
      </w:r>
    </w:p>
    <w:p>
      <w:pPr>
        <w:ind w:firstLine="420" w:firstLineChars="0"/>
        <w:contextualSpacing/>
      </w:pPr>
      <w:r>
        <w:t>根据各工程点水源条件，依就近分散原则进行供水规划。分别采用建抽水站，挖蓄水池等工程措施解决渠道工程生产生活用水。经规划该工程需建抽水站7处，10m3水池7座。</w:t>
      </w:r>
    </w:p>
    <w:p>
      <w:pPr>
        <w:ind w:firstLine="0" w:firstLineChars="0"/>
        <w:contextualSpacing/>
        <w:jc w:val="center"/>
      </w:pPr>
      <w:r>
        <w:rPr>
          <w:rFonts w:hAnsi="宋体"/>
          <w:b/>
          <w:bCs/>
          <w:sz w:val="21"/>
          <w:szCs w:val="21"/>
        </w:rPr>
        <w:t>表2.3.4-15  渠道工程抽水站规划表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487"/>
        <w:gridCol w:w="1158"/>
        <w:gridCol w:w="1018"/>
        <w:gridCol w:w="1025"/>
        <w:gridCol w:w="880"/>
        <w:gridCol w:w="81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序号</w:t>
            </w:r>
          </w:p>
        </w:tc>
        <w:tc>
          <w:tcPr>
            <w:tcW w:w="872" w:type="pct"/>
            <w:vAlign w:val="center"/>
          </w:tcPr>
          <w:p>
            <w:pPr>
              <w:pStyle w:val="139"/>
              <w:spacing w:line="240" w:lineRule="auto"/>
              <w:rPr>
                <w:rFonts w:cs="Times New Roman"/>
                <w:szCs w:val="18"/>
              </w:rPr>
            </w:pPr>
            <w:r>
              <w:rPr>
                <w:rFonts w:cs="Times New Roman"/>
                <w:szCs w:val="18"/>
              </w:rPr>
              <w:t>渠道名称</w:t>
            </w:r>
          </w:p>
        </w:tc>
        <w:tc>
          <w:tcPr>
            <w:tcW w:w="679" w:type="pct"/>
            <w:vAlign w:val="center"/>
          </w:tcPr>
          <w:p>
            <w:pPr>
              <w:pStyle w:val="139"/>
              <w:spacing w:line="240" w:lineRule="auto"/>
              <w:rPr>
                <w:rFonts w:cs="Times New Roman"/>
                <w:szCs w:val="18"/>
              </w:rPr>
            </w:pPr>
            <w:r>
              <w:rPr>
                <w:rFonts w:cs="Times New Roman"/>
                <w:szCs w:val="18"/>
              </w:rPr>
              <w:t>型号</w:t>
            </w:r>
          </w:p>
        </w:tc>
        <w:tc>
          <w:tcPr>
            <w:tcW w:w="597"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601" w:type="pct"/>
            <w:vAlign w:val="center"/>
          </w:tcPr>
          <w:p>
            <w:pPr>
              <w:pStyle w:val="139"/>
              <w:spacing w:line="240" w:lineRule="auto"/>
              <w:rPr>
                <w:rFonts w:cs="Times New Roman"/>
                <w:szCs w:val="18"/>
              </w:rPr>
            </w:pPr>
            <w:r>
              <w:rPr>
                <w:rFonts w:cs="Times New Roman"/>
                <w:szCs w:val="18"/>
              </w:rPr>
              <w:t>供水量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/h</w:t>
            </w:r>
          </w:p>
        </w:tc>
        <w:tc>
          <w:tcPr>
            <w:tcW w:w="516" w:type="pct"/>
            <w:vAlign w:val="center"/>
          </w:tcPr>
          <w:p>
            <w:pPr>
              <w:pStyle w:val="139"/>
              <w:spacing w:line="240" w:lineRule="auto"/>
              <w:rPr>
                <w:rFonts w:cs="Times New Roman"/>
                <w:szCs w:val="18"/>
              </w:rPr>
            </w:pPr>
            <w:r>
              <w:rPr>
                <w:rFonts w:cs="Times New Roman"/>
                <w:szCs w:val="18"/>
              </w:rPr>
              <w:t>扬程</w:t>
            </w:r>
          </w:p>
          <w:p>
            <w:pPr>
              <w:pStyle w:val="139"/>
              <w:spacing w:line="240" w:lineRule="auto"/>
              <w:rPr>
                <w:rFonts w:cs="Times New Roman"/>
                <w:szCs w:val="18"/>
              </w:rPr>
            </w:pPr>
            <w:r>
              <w:rPr>
                <w:rFonts w:cs="Times New Roman"/>
                <w:szCs w:val="18"/>
              </w:rPr>
              <w:t>m</w:t>
            </w:r>
          </w:p>
        </w:tc>
        <w:tc>
          <w:tcPr>
            <w:tcW w:w="475"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874"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1</w:t>
            </w:r>
          </w:p>
        </w:tc>
        <w:tc>
          <w:tcPr>
            <w:tcW w:w="872" w:type="pct"/>
            <w:vAlign w:val="center"/>
          </w:tcPr>
          <w:p>
            <w:pPr>
              <w:pStyle w:val="139"/>
              <w:spacing w:line="240" w:lineRule="auto"/>
              <w:rPr>
                <w:rFonts w:cs="Times New Roman"/>
                <w:szCs w:val="18"/>
              </w:rPr>
            </w:pPr>
            <w:r>
              <w:rPr>
                <w:rFonts w:cs="Times New Roman"/>
                <w:szCs w:val="18"/>
              </w:rPr>
              <w:t>管线工程</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3</w:t>
            </w:r>
          </w:p>
        </w:tc>
        <w:tc>
          <w:tcPr>
            <w:tcW w:w="601" w:type="pct"/>
            <w:vAlign w:val="center"/>
          </w:tcPr>
          <w:p>
            <w:pPr>
              <w:pStyle w:val="139"/>
              <w:spacing w:line="240" w:lineRule="auto"/>
              <w:rPr>
                <w:rFonts w:cs="Times New Roman"/>
                <w:szCs w:val="18"/>
              </w:rPr>
            </w:pPr>
            <w:r>
              <w:rPr>
                <w:rFonts w:cs="Times New Roman"/>
                <w:szCs w:val="18"/>
              </w:rPr>
              <w:t>3×25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3×15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2</w:t>
            </w:r>
          </w:p>
        </w:tc>
        <w:tc>
          <w:tcPr>
            <w:tcW w:w="872" w:type="pct"/>
            <w:vAlign w:val="center"/>
          </w:tcPr>
          <w:p>
            <w:pPr>
              <w:pStyle w:val="139"/>
              <w:spacing w:line="240" w:lineRule="auto"/>
              <w:rPr>
                <w:rFonts w:cs="Times New Roman"/>
                <w:szCs w:val="18"/>
              </w:rPr>
            </w:pPr>
            <w:r>
              <w:rPr>
                <w:rFonts w:cs="Times New Roman"/>
                <w:szCs w:val="18"/>
              </w:rPr>
              <w:t>尖佛山隧洞进口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3</w:t>
            </w:r>
          </w:p>
        </w:tc>
        <w:tc>
          <w:tcPr>
            <w:tcW w:w="872" w:type="pct"/>
            <w:vAlign w:val="center"/>
          </w:tcPr>
          <w:p>
            <w:pPr>
              <w:pStyle w:val="139"/>
              <w:spacing w:line="240" w:lineRule="auto"/>
              <w:rPr>
                <w:rFonts w:cs="Times New Roman"/>
                <w:szCs w:val="18"/>
              </w:rPr>
            </w:pPr>
            <w:r>
              <w:rPr>
                <w:rFonts w:cs="Times New Roman"/>
                <w:szCs w:val="18"/>
              </w:rPr>
              <w:t>尖佛山隧洞出口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4</w:t>
            </w:r>
          </w:p>
        </w:tc>
        <w:tc>
          <w:tcPr>
            <w:tcW w:w="872" w:type="pct"/>
            <w:vAlign w:val="center"/>
          </w:tcPr>
          <w:p>
            <w:pPr>
              <w:pStyle w:val="139"/>
              <w:spacing w:line="240" w:lineRule="auto"/>
              <w:rPr>
                <w:rFonts w:cs="Times New Roman"/>
                <w:szCs w:val="18"/>
              </w:rPr>
            </w:pPr>
            <w:r>
              <w:rPr>
                <w:rFonts w:cs="Times New Roman"/>
                <w:szCs w:val="18"/>
              </w:rPr>
              <w:t>代洛山隧洞进口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5</w:t>
            </w:r>
          </w:p>
        </w:tc>
        <w:tc>
          <w:tcPr>
            <w:tcW w:w="872" w:type="pct"/>
            <w:vAlign w:val="center"/>
          </w:tcPr>
          <w:p>
            <w:pPr>
              <w:pStyle w:val="139"/>
              <w:spacing w:line="240" w:lineRule="auto"/>
              <w:rPr>
                <w:rFonts w:cs="Times New Roman"/>
                <w:szCs w:val="18"/>
              </w:rPr>
            </w:pPr>
            <w:r>
              <w:rPr>
                <w:rFonts w:cs="Times New Roman"/>
                <w:szCs w:val="18"/>
              </w:rPr>
              <w:t>代洛山隧洞出口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bl>
    <w:p>
      <w:pPr>
        <w:ind w:firstLine="420" w:firstLineChars="0"/>
        <w:contextualSpacing/>
      </w:pPr>
      <w:r>
        <w:t>3）施工供电</w:t>
      </w:r>
    </w:p>
    <w:p>
      <w:pPr>
        <w:ind w:firstLine="420" w:firstLineChars="0"/>
        <w:contextualSpacing/>
      </w:pPr>
      <w:r>
        <w:t>本工程施工用电就近从国家电网架设10</w:t>
      </w:r>
      <w:r>
        <w:rPr>
          <w:bCs/>
        </w:rPr>
        <w:t>KV</w:t>
      </w:r>
      <w:r>
        <w:t>输电线路至各施工点，设置降压站，各工区形成相对独立完整的施工供电系统，对部分远离现有电源的渠段，施工时可采用自备柴油发电机供电或采用油动机具施工。本渠道工程共需设置降压站2座，总计共需架设10</w:t>
      </w:r>
      <w:r>
        <w:rPr>
          <w:bCs/>
        </w:rPr>
        <w:t>KV</w:t>
      </w:r>
      <w:r>
        <w:t>输电线路2.0km。为确保重要建筑物施工不受停电影响，考虑自备电源应急，需备用30</w:t>
      </w:r>
      <w:r>
        <w:rPr>
          <w:bCs/>
        </w:rPr>
        <w:t>KW</w:t>
      </w:r>
      <w:r>
        <w:t>发电机2台。</w:t>
      </w:r>
    </w:p>
    <w:p>
      <w:pPr>
        <w:ind w:firstLine="420" w:firstLineChars="0"/>
        <w:contextualSpacing/>
      </w:pPr>
      <w:r>
        <w:t>4）施工通讯</w:t>
      </w:r>
    </w:p>
    <w:p>
      <w:pPr>
        <w:ind w:firstLine="420" w:firstLineChars="0"/>
        <w:contextualSpacing/>
      </w:pPr>
      <w:r>
        <w:t>工程施工期的通讯，可通过附近乡镇机关、移动网络运营商等通信设备联系，并配置一定数量的无线电手机及对讲机进行场内外通信联系。</w:t>
      </w:r>
    </w:p>
    <w:p>
      <w:pPr>
        <w:pStyle w:val="5"/>
        <w:ind w:firstLine="0" w:firstLineChars="0"/>
        <w:contextualSpacing/>
        <w:rPr>
          <w:rFonts w:ascii="Times New Roman" w:hAnsi="Times New Roman"/>
        </w:rPr>
      </w:pPr>
      <w:r>
        <w:rPr>
          <w:rFonts w:ascii="Times New Roman" w:hAnsi="Times New Roman"/>
        </w:rPr>
        <w:t>2.3.5</w:t>
      </w:r>
      <w:r>
        <w:rPr>
          <w:rFonts w:ascii="Times New Roman" w:hAnsi="宋体"/>
        </w:rPr>
        <w:t>土石方平衡及渣场规划</w:t>
      </w:r>
    </w:p>
    <w:p>
      <w:pPr>
        <w:ind w:firstLine="0" w:firstLineChars="0"/>
        <w:contextualSpacing/>
        <w:outlineLvl w:val="3"/>
        <w:rPr>
          <w:sz w:val="21"/>
          <w:szCs w:val="21"/>
        </w:rPr>
      </w:pPr>
      <w:r>
        <w:rPr>
          <w:b/>
          <w:bCs/>
          <w:sz w:val="21"/>
          <w:szCs w:val="21"/>
        </w:rPr>
        <w:t>2.3.5.1</w:t>
      </w:r>
      <w:r>
        <w:rPr>
          <w:rFonts w:hint="eastAsia" w:hAnsi="宋体"/>
          <w:b/>
          <w:bCs/>
          <w:sz w:val="21"/>
          <w:szCs w:val="21"/>
        </w:rPr>
        <w:t>枢纽工程</w:t>
      </w:r>
    </w:p>
    <w:p>
      <w:pPr>
        <w:ind w:firstLine="420" w:firstLineChars="0"/>
        <w:contextualSpacing/>
      </w:pPr>
      <w:r>
        <w:t>本工程土石方开挖</w:t>
      </w:r>
      <w:r>
        <w:rPr>
          <w:rFonts w:hint="eastAsia"/>
        </w:rPr>
        <w:t>81.53</w:t>
      </w:r>
      <w:r>
        <w:t>万m3（自然方，其中主体工程开挖</w:t>
      </w:r>
      <w:r>
        <w:rPr>
          <w:rFonts w:hint="eastAsia"/>
        </w:rPr>
        <w:t>36.59</w:t>
      </w:r>
      <w:r>
        <w:t>万m3，料场开挖</w:t>
      </w:r>
      <w:r>
        <w:rPr>
          <w:rFonts w:hint="eastAsia"/>
        </w:rPr>
        <w:t>44.94</w:t>
      </w:r>
      <w:r>
        <w:t>万m3），其中土方开挖</w:t>
      </w:r>
      <w:r>
        <w:rPr>
          <w:rFonts w:hint="eastAsia"/>
        </w:rPr>
        <w:t>25.49</w:t>
      </w:r>
      <w:r>
        <w:t>万m3，石方开挖</w:t>
      </w:r>
      <w:r>
        <w:rPr>
          <w:rFonts w:hint="eastAsia"/>
        </w:rPr>
        <w:t>54.11</w:t>
      </w:r>
      <w:r>
        <w:t>万m3，石方洞挖1.93万m3，土石填筑利用</w:t>
      </w:r>
      <w:r>
        <w:rPr>
          <w:rFonts w:hint="eastAsia"/>
        </w:rPr>
        <w:t>62.49</w:t>
      </w:r>
      <w:r>
        <w:t>万m3（已换算成自然方）。经土石方平衡后，剩余弃渣量</w:t>
      </w:r>
      <w:r>
        <w:rPr>
          <w:rFonts w:hint="eastAsia"/>
        </w:rPr>
        <w:t>28.59</w:t>
      </w:r>
      <w:r>
        <w:t>万m3（已换算成自然方）。</w:t>
      </w:r>
    </w:p>
    <w:p>
      <w:pPr>
        <w:ind w:firstLine="0" w:firstLineChars="0"/>
        <w:contextualSpacing/>
        <w:jc w:val="center"/>
        <w:rPr>
          <w:rFonts w:hAnsi="宋体"/>
          <w:b/>
          <w:bCs/>
          <w:sz w:val="21"/>
          <w:szCs w:val="21"/>
        </w:rPr>
      </w:pPr>
      <w:r>
        <w:rPr>
          <w:rFonts w:hAnsi="宋体"/>
          <w:b/>
          <w:bCs/>
          <w:sz w:val="21"/>
          <w:szCs w:val="21"/>
        </w:rPr>
        <w:t>表2.3.5-1  枢纽工程土石方平衡计算表</w:t>
      </w:r>
    </w:p>
    <w:tbl>
      <w:tblPr>
        <w:tblStyle w:val="38"/>
        <w:tblW w:w="50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75"/>
        <w:gridCol w:w="726"/>
        <w:gridCol w:w="764"/>
        <w:gridCol w:w="645"/>
        <w:gridCol w:w="794"/>
        <w:gridCol w:w="940"/>
        <w:gridCol w:w="940"/>
        <w:gridCol w:w="646"/>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序号</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项目</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单位</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大坝</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溢洪道</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放空隧洞</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谭家河补水</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刘家河补水</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补水渠</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一</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土石方开挖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709823</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49299</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15624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4418</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4657</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31502</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815323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（一）</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工程开挖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260409</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49299</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15624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4418</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4657</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31502</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365910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1</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土方开挖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189367</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27079</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5958</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3156</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3327</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1731</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230617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2</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石方开挖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24893</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22220</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5300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1262</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1331</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15583</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70589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3</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石方洞挖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720</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0</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4366</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0</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14188</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19275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4</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干砌石拆除</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45428</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0</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0</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0</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45428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（二）</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石料场开挖</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449413</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449413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1</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料场覆盖层</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24316</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24316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2</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石渣料</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425098</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425098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二</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土石方填筑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571825</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22407</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11214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1575</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1422</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16446</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624890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（一）</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利用料填筑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77059</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22251</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11214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1523</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1361</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16428</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129837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1</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石渣料填筑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73447</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19998</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8700</w:t>
            </w: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r>
              <w:rPr>
                <w:kern w:val="0"/>
                <w:sz w:val="18"/>
                <w:szCs w:val="18"/>
              </w:rPr>
              <w:t>14885</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117031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2</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土石方回填</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p>
        </w:tc>
        <w:tc>
          <w:tcPr>
            <w:tcW w:w="371" w:type="pct"/>
            <w:noWrap/>
            <w:vAlign w:val="center"/>
          </w:tcPr>
          <w:p>
            <w:pPr>
              <w:widowControl/>
              <w:spacing w:line="240" w:lineRule="auto"/>
              <w:ind w:firstLine="0" w:firstLineChars="0"/>
              <w:jc w:val="center"/>
              <w:rPr>
                <w:kern w:val="0"/>
                <w:sz w:val="18"/>
                <w:szCs w:val="18"/>
              </w:rPr>
            </w:pPr>
            <w:r>
              <w:rPr>
                <w:kern w:val="0"/>
                <w:sz w:val="18"/>
                <w:szCs w:val="18"/>
              </w:rPr>
              <w:t>2252</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2515</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913</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921</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1543</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8145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3</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围堰填筑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3612</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r>
              <w:rPr>
                <w:kern w:val="0"/>
                <w:sz w:val="18"/>
                <w:szCs w:val="18"/>
              </w:rPr>
              <w:t>610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440</w:t>
            </w: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4662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（二）</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石料场开采料填筑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425098</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425098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（三）</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购买堆石料填筑</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27755</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27755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（四）</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购买垫层、反滤、过渡料填筑</w:t>
            </w:r>
          </w:p>
        </w:tc>
        <w:tc>
          <w:tcPr>
            <w:tcW w:w="417" w:type="pct"/>
            <w:noWrap/>
            <w:vAlign w:val="center"/>
          </w:tcPr>
          <w:p>
            <w:pPr>
              <w:widowControl/>
              <w:spacing w:line="240" w:lineRule="auto"/>
              <w:ind w:firstLine="0" w:firstLineChars="0"/>
              <w:jc w:val="center"/>
              <w:rPr>
                <w:kern w:val="0"/>
                <w:sz w:val="18"/>
                <w:szCs w:val="18"/>
              </w:rPr>
            </w:pPr>
          </w:p>
        </w:tc>
        <w:tc>
          <w:tcPr>
            <w:tcW w:w="439" w:type="pct"/>
            <w:noWrap/>
            <w:vAlign w:val="center"/>
          </w:tcPr>
          <w:p>
            <w:pPr>
              <w:widowControl/>
              <w:spacing w:line="240" w:lineRule="auto"/>
              <w:ind w:firstLine="0" w:firstLineChars="0"/>
              <w:jc w:val="center"/>
              <w:rPr>
                <w:kern w:val="0"/>
                <w:sz w:val="18"/>
                <w:szCs w:val="18"/>
              </w:rPr>
            </w:pPr>
            <w:r>
              <w:rPr>
                <w:kern w:val="0"/>
                <w:sz w:val="18"/>
                <w:szCs w:val="18"/>
              </w:rPr>
              <w:t>41914</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156</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52</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61</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18</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42200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三</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弃渣量</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232152</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27048</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4410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3504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3736</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15074</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285925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1</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工程弃渣</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207666</w:t>
            </w:r>
          </w:p>
        </w:tc>
        <w:tc>
          <w:tcPr>
            <w:tcW w:w="371" w:type="pct"/>
            <w:noWrap/>
            <w:vAlign w:val="center"/>
          </w:tcPr>
          <w:p>
            <w:pPr>
              <w:widowControl/>
              <w:spacing w:line="240" w:lineRule="auto"/>
              <w:ind w:firstLine="0" w:firstLineChars="0"/>
              <w:jc w:val="center"/>
              <w:rPr>
                <w:kern w:val="0"/>
                <w:sz w:val="18"/>
                <w:szCs w:val="18"/>
              </w:rPr>
            </w:pPr>
            <w:r>
              <w:rPr>
                <w:kern w:val="0"/>
                <w:sz w:val="18"/>
                <w:szCs w:val="18"/>
              </w:rPr>
              <w:t>27048</w:t>
            </w:r>
          </w:p>
        </w:tc>
        <w:tc>
          <w:tcPr>
            <w:tcW w:w="456" w:type="pct"/>
            <w:noWrap/>
            <w:vAlign w:val="center"/>
          </w:tcPr>
          <w:p>
            <w:pPr>
              <w:widowControl/>
              <w:spacing w:line="240" w:lineRule="auto"/>
              <w:ind w:firstLine="0" w:firstLineChars="0"/>
              <w:jc w:val="center"/>
              <w:rPr>
                <w:kern w:val="0"/>
                <w:sz w:val="18"/>
                <w:szCs w:val="18"/>
              </w:rPr>
            </w:pPr>
            <w:r>
              <w:rPr>
                <w:kern w:val="0"/>
                <w:sz w:val="18"/>
                <w:szCs w:val="18"/>
              </w:rPr>
              <w:t>4410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2894</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3296</w:t>
            </w:r>
          </w:p>
        </w:tc>
        <w:tc>
          <w:tcPr>
            <w:tcW w:w="372" w:type="pct"/>
            <w:noWrap/>
            <w:vAlign w:val="center"/>
          </w:tcPr>
          <w:p>
            <w:pPr>
              <w:widowControl/>
              <w:spacing w:line="240" w:lineRule="auto"/>
              <w:ind w:firstLine="0" w:firstLineChars="0"/>
              <w:jc w:val="center"/>
              <w:rPr>
                <w:kern w:val="0"/>
                <w:sz w:val="18"/>
                <w:szCs w:val="18"/>
              </w:rPr>
            </w:pPr>
            <w:r>
              <w:rPr>
                <w:kern w:val="0"/>
                <w:sz w:val="18"/>
                <w:szCs w:val="18"/>
              </w:rPr>
              <w:t>15074</w:t>
            </w:r>
          </w:p>
        </w:tc>
        <w:tc>
          <w:tcPr>
            <w:tcW w:w="467" w:type="pct"/>
            <w:noWrap/>
            <w:vAlign w:val="center"/>
          </w:tcPr>
          <w:p>
            <w:pPr>
              <w:widowControl/>
              <w:spacing w:line="240" w:lineRule="auto"/>
              <w:ind w:firstLine="0" w:firstLineChars="0"/>
              <w:jc w:val="center"/>
              <w:rPr>
                <w:kern w:val="0"/>
                <w:sz w:val="18"/>
                <w:szCs w:val="18"/>
              </w:rPr>
            </w:pPr>
            <w:r>
              <w:rPr>
                <w:kern w:val="0"/>
                <w:sz w:val="18"/>
                <w:szCs w:val="18"/>
              </w:rPr>
              <w:t>260388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2</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料场弃渣</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24316</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24316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noWrap/>
            <w:vAlign w:val="center"/>
          </w:tcPr>
          <w:p>
            <w:pPr>
              <w:widowControl/>
              <w:spacing w:line="240" w:lineRule="auto"/>
              <w:ind w:firstLine="0" w:firstLineChars="0"/>
              <w:jc w:val="center"/>
              <w:rPr>
                <w:kern w:val="0"/>
                <w:sz w:val="18"/>
                <w:szCs w:val="18"/>
              </w:rPr>
            </w:pPr>
            <w:r>
              <w:rPr>
                <w:kern w:val="0"/>
                <w:sz w:val="18"/>
                <w:szCs w:val="18"/>
              </w:rPr>
              <w:t>3</w:t>
            </w:r>
          </w:p>
        </w:tc>
        <w:tc>
          <w:tcPr>
            <w:tcW w:w="1021" w:type="pct"/>
            <w:noWrap/>
            <w:vAlign w:val="center"/>
          </w:tcPr>
          <w:p>
            <w:pPr>
              <w:widowControl/>
              <w:spacing w:line="240" w:lineRule="auto"/>
              <w:ind w:firstLine="0" w:firstLineChars="0"/>
              <w:jc w:val="center"/>
              <w:rPr>
                <w:kern w:val="0"/>
                <w:sz w:val="18"/>
                <w:szCs w:val="18"/>
              </w:rPr>
            </w:pPr>
            <w:r>
              <w:rPr>
                <w:kern w:val="0"/>
                <w:sz w:val="18"/>
                <w:szCs w:val="18"/>
              </w:rPr>
              <w:t>围堰拆除</w:t>
            </w:r>
          </w:p>
        </w:tc>
        <w:tc>
          <w:tcPr>
            <w:tcW w:w="417" w:type="pct"/>
            <w:noWrap/>
            <w:vAlign w:val="center"/>
          </w:tcPr>
          <w:p>
            <w:pPr>
              <w:widowControl/>
              <w:spacing w:line="240" w:lineRule="auto"/>
              <w:ind w:firstLine="0" w:firstLineChars="0"/>
              <w:jc w:val="center"/>
              <w:rPr>
                <w:kern w:val="0"/>
                <w:sz w:val="18"/>
                <w:szCs w:val="18"/>
              </w:rPr>
            </w:pPr>
            <w:r>
              <w:rPr>
                <w:kern w:val="0"/>
                <w:sz w:val="18"/>
                <w:szCs w:val="18"/>
              </w:rPr>
              <w:t>m³</w:t>
            </w:r>
          </w:p>
        </w:tc>
        <w:tc>
          <w:tcPr>
            <w:tcW w:w="439" w:type="pct"/>
            <w:noWrap/>
            <w:vAlign w:val="center"/>
          </w:tcPr>
          <w:p>
            <w:pPr>
              <w:widowControl/>
              <w:spacing w:line="240" w:lineRule="auto"/>
              <w:ind w:firstLine="0" w:firstLineChars="0"/>
              <w:jc w:val="center"/>
              <w:rPr>
                <w:kern w:val="0"/>
                <w:sz w:val="18"/>
                <w:szCs w:val="18"/>
              </w:rPr>
            </w:pPr>
            <w:r>
              <w:rPr>
                <w:kern w:val="0"/>
                <w:sz w:val="18"/>
                <w:szCs w:val="18"/>
              </w:rPr>
              <w:t>171</w:t>
            </w:r>
          </w:p>
        </w:tc>
        <w:tc>
          <w:tcPr>
            <w:tcW w:w="371" w:type="pct"/>
            <w:noWrap/>
            <w:vAlign w:val="center"/>
          </w:tcPr>
          <w:p>
            <w:pPr>
              <w:widowControl/>
              <w:spacing w:line="240" w:lineRule="auto"/>
              <w:ind w:firstLine="0" w:firstLineChars="0"/>
              <w:jc w:val="center"/>
              <w:rPr>
                <w:kern w:val="0"/>
                <w:sz w:val="18"/>
                <w:szCs w:val="18"/>
              </w:rPr>
            </w:pPr>
          </w:p>
        </w:tc>
        <w:tc>
          <w:tcPr>
            <w:tcW w:w="456" w:type="pct"/>
            <w:noWrap/>
            <w:vAlign w:val="center"/>
          </w:tcPr>
          <w:p>
            <w:pPr>
              <w:widowControl/>
              <w:spacing w:line="240" w:lineRule="auto"/>
              <w:ind w:firstLine="0" w:firstLineChars="0"/>
              <w:jc w:val="center"/>
              <w:rPr>
                <w:kern w:val="0"/>
                <w:sz w:val="18"/>
                <w:szCs w:val="18"/>
              </w:rPr>
            </w:pPr>
          </w:p>
        </w:tc>
        <w:tc>
          <w:tcPr>
            <w:tcW w:w="540" w:type="pct"/>
            <w:noWrap/>
            <w:vAlign w:val="center"/>
          </w:tcPr>
          <w:p>
            <w:pPr>
              <w:widowControl/>
              <w:spacing w:line="240" w:lineRule="auto"/>
              <w:ind w:firstLine="0" w:firstLineChars="0"/>
              <w:jc w:val="center"/>
              <w:rPr>
                <w:kern w:val="0"/>
                <w:sz w:val="18"/>
                <w:szCs w:val="18"/>
              </w:rPr>
            </w:pPr>
            <w:r>
              <w:rPr>
                <w:kern w:val="0"/>
                <w:sz w:val="18"/>
                <w:szCs w:val="18"/>
              </w:rPr>
              <w:t>610</w:t>
            </w:r>
          </w:p>
        </w:tc>
        <w:tc>
          <w:tcPr>
            <w:tcW w:w="540" w:type="pct"/>
            <w:noWrap/>
            <w:vAlign w:val="center"/>
          </w:tcPr>
          <w:p>
            <w:pPr>
              <w:widowControl/>
              <w:spacing w:line="240" w:lineRule="auto"/>
              <w:ind w:firstLine="0" w:firstLineChars="0"/>
              <w:jc w:val="center"/>
              <w:rPr>
                <w:kern w:val="0"/>
                <w:sz w:val="18"/>
                <w:szCs w:val="18"/>
              </w:rPr>
            </w:pPr>
            <w:r>
              <w:rPr>
                <w:kern w:val="0"/>
                <w:sz w:val="18"/>
                <w:szCs w:val="18"/>
              </w:rPr>
              <w:t>440</w:t>
            </w:r>
          </w:p>
        </w:tc>
        <w:tc>
          <w:tcPr>
            <w:tcW w:w="372" w:type="pct"/>
            <w:noWrap/>
            <w:vAlign w:val="center"/>
          </w:tcPr>
          <w:p>
            <w:pPr>
              <w:widowControl/>
              <w:spacing w:line="240" w:lineRule="auto"/>
              <w:ind w:firstLine="0" w:firstLineChars="0"/>
              <w:jc w:val="center"/>
              <w:rPr>
                <w:kern w:val="0"/>
                <w:sz w:val="18"/>
                <w:szCs w:val="18"/>
              </w:rPr>
            </w:pPr>
          </w:p>
        </w:tc>
        <w:tc>
          <w:tcPr>
            <w:tcW w:w="467" w:type="pct"/>
            <w:noWrap/>
            <w:vAlign w:val="center"/>
          </w:tcPr>
          <w:p>
            <w:pPr>
              <w:widowControl/>
              <w:spacing w:line="240" w:lineRule="auto"/>
              <w:ind w:firstLine="0" w:firstLineChars="0"/>
              <w:jc w:val="center"/>
              <w:rPr>
                <w:kern w:val="0"/>
                <w:sz w:val="18"/>
                <w:szCs w:val="18"/>
              </w:rPr>
            </w:pPr>
            <w:r>
              <w:rPr>
                <w:kern w:val="0"/>
                <w:sz w:val="18"/>
                <w:szCs w:val="18"/>
              </w:rPr>
              <w:t>1221</w:t>
            </w:r>
          </w:p>
        </w:tc>
      </w:tr>
    </w:tbl>
    <w:p>
      <w:pPr>
        <w:pStyle w:val="72"/>
        <w:ind w:firstLine="420"/>
        <w:rPr>
          <w:sz w:val="21"/>
          <w:szCs w:val="21"/>
        </w:rPr>
      </w:pPr>
      <w:r>
        <w:rPr>
          <w:sz w:val="21"/>
          <w:szCs w:val="21"/>
        </w:rPr>
        <w:t>注：①表中所有挖填方均已换算成自然方。</w:t>
      </w:r>
    </w:p>
    <w:p>
      <w:pPr>
        <w:ind w:firstLine="420" w:firstLineChars="0"/>
        <w:contextualSpacing/>
      </w:pPr>
      <w:r>
        <w:rPr>
          <w:rFonts w:hint="eastAsia"/>
        </w:rPr>
        <w:t>d）</w:t>
      </w:r>
      <w:r>
        <w:t>渣场规划</w:t>
      </w:r>
    </w:p>
    <w:p>
      <w:pPr>
        <w:ind w:firstLine="420" w:firstLineChars="0"/>
        <w:contextualSpacing/>
      </w:pPr>
      <w:r>
        <w:t>枢纽工程弃渣</w:t>
      </w:r>
      <w:r>
        <w:rPr>
          <w:rFonts w:hint="eastAsia"/>
        </w:rPr>
        <w:t>28.59</w:t>
      </w:r>
      <w:r>
        <w:t>万m3，弃渣应合理规划，避免随意堆存，防止造成水土流失和导致次生地质灾害，保护生态环境。本工程弃渣场规划原则如下：</w:t>
      </w:r>
    </w:p>
    <w:p>
      <w:pPr>
        <w:ind w:firstLine="420" w:firstLineChars="0"/>
        <w:contextualSpacing/>
      </w:pPr>
      <w:r>
        <w:t>1）渣场布置不影响河道行洪，并按环境、水土保持要求布置，工程完工后造地复耕。</w:t>
      </w:r>
    </w:p>
    <w:p>
      <w:pPr>
        <w:ind w:firstLine="420" w:firstLineChars="0"/>
        <w:contextualSpacing/>
      </w:pPr>
      <w:r>
        <w:t>2）水库枢纽工程开挖弃渣本着少占耕地，保护环境的原则布置弃渣场。</w:t>
      </w:r>
    </w:p>
    <w:p>
      <w:pPr>
        <w:ind w:firstLine="420" w:firstLineChars="0"/>
        <w:contextualSpacing/>
      </w:pPr>
      <w:r>
        <w:t>3）弃渣尽量堆放于荒坡或荒沟内，尽量少占或不占耕地，不占用基本农田，避开泥石流沟、滑坡体、崩塌等不良地质地段。</w:t>
      </w:r>
    </w:p>
    <w:p>
      <w:pPr>
        <w:ind w:firstLine="420" w:firstLineChars="0"/>
        <w:contextualSpacing/>
      </w:pPr>
      <w:r>
        <w:t>根据以上渣场规划原则、工程建筑物的分布及地形地质条件，本工程共设置4个弃渣场，1#弃渣场集中设置于大坝下游左岸，弃渣量4.25万m3，平均堆高3.5m，弃渣占地面积18.19亩；2#弃渣场设置于库尾蒋家河石料场附近，弃渣量</w:t>
      </w:r>
      <w:r>
        <w:rPr>
          <w:rFonts w:hint="eastAsia"/>
        </w:rPr>
        <w:t>23.22</w:t>
      </w:r>
      <w:r>
        <w:t>万m3，平均堆高15m，弃渣占地面积</w:t>
      </w:r>
      <w:r>
        <w:rPr>
          <w:rFonts w:hint="eastAsia"/>
        </w:rPr>
        <w:t>27.84</w:t>
      </w:r>
      <w:r>
        <w:t>亩；3#弃渣场设置于谭家河补水工程附近，弃渣量0.39万m3，平均堆高1.5m，弃渣占地面积3.87亩；4#弃渣场位于刘家河补水附近，弃渣量0.74万m3，平均堆高2.0m，弃渣占地面积5.43亩。渣场布置不影响河道行洪，并按环境、水土保持要求布置，工程完工后造地复耕（库内石料场弃渣场可不复耕）。</w:t>
      </w:r>
    </w:p>
    <w:p>
      <w:pPr>
        <w:ind w:firstLine="0" w:firstLineChars="0"/>
        <w:contextualSpacing/>
        <w:jc w:val="center"/>
        <w:rPr>
          <w:rFonts w:hAnsi="宋体"/>
          <w:b/>
          <w:bCs/>
          <w:sz w:val="21"/>
          <w:szCs w:val="21"/>
        </w:rPr>
      </w:pPr>
      <w:r>
        <w:rPr>
          <w:rFonts w:hAnsi="宋体"/>
          <w:b/>
          <w:bCs/>
          <w:sz w:val="21"/>
          <w:szCs w:val="21"/>
        </w:rPr>
        <w:t>表2.3.5-2  枢纽工程渣场规划特性表</w:t>
      </w:r>
    </w:p>
    <w:tbl>
      <w:tblPr>
        <w:tblStyle w:val="38"/>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304"/>
        <w:gridCol w:w="2746"/>
        <w:gridCol w:w="818"/>
        <w:gridCol w:w="1276"/>
        <w:gridCol w:w="973"/>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渣场编号</w:t>
            </w:r>
          </w:p>
        </w:tc>
        <w:tc>
          <w:tcPr>
            <w:tcW w:w="729" w:type="pct"/>
            <w:vAlign w:val="center"/>
          </w:tcPr>
          <w:p>
            <w:pPr>
              <w:pStyle w:val="139"/>
              <w:spacing w:line="240" w:lineRule="auto"/>
              <w:rPr>
                <w:rFonts w:cs="Times New Roman"/>
              </w:rPr>
            </w:pPr>
            <w:r>
              <w:rPr>
                <w:rFonts w:cs="Times New Roman"/>
              </w:rPr>
              <w:t>渣场位置</w:t>
            </w:r>
          </w:p>
        </w:tc>
        <w:tc>
          <w:tcPr>
            <w:tcW w:w="1535" w:type="pct"/>
            <w:vAlign w:val="center"/>
          </w:tcPr>
          <w:p>
            <w:pPr>
              <w:pStyle w:val="139"/>
              <w:spacing w:line="240" w:lineRule="auto"/>
              <w:rPr>
                <w:rFonts w:cs="Times New Roman"/>
              </w:rPr>
            </w:pPr>
            <w:r>
              <w:rPr>
                <w:rFonts w:cs="Times New Roman"/>
              </w:rPr>
              <w:t>弃渣来源</w:t>
            </w:r>
          </w:p>
        </w:tc>
        <w:tc>
          <w:tcPr>
            <w:tcW w:w="457" w:type="pct"/>
            <w:vAlign w:val="center"/>
          </w:tcPr>
          <w:p>
            <w:pPr>
              <w:pStyle w:val="139"/>
              <w:spacing w:line="240" w:lineRule="auto"/>
              <w:rPr>
                <w:rFonts w:cs="Times New Roman"/>
              </w:rPr>
            </w:pPr>
            <w:r>
              <w:rPr>
                <w:rFonts w:cs="Times New Roman"/>
              </w:rPr>
              <w:t>堆渣量</w:t>
            </w:r>
          </w:p>
          <w:p>
            <w:pPr>
              <w:pStyle w:val="139"/>
              <w:spacing w:line="240" w:lineRule="auto"/>
              <w:rPr>
                <w:rFonts w:cs="Times New Roman"/>
              </w:rPr>
            </w:pPr>
            <w:r>
              <w:rPr>
                <w:rFonts w:cs="Times New Roman"/>
              </w:rPr>
              <w:t>万m</w:t>
            </w:r>
            <w:r>
              <w:rPr>
                <w:rFonts w:cs="Times New Roman"/>
                <w:vertAlign w:val="superscript"/>
              </w:rPr>
              <w:t>3</w:t>
            </w:r>
          </w:p>
        </w:tc>
        <w:tc>
          <w:tcPr>
            <w:tcW w:w="713" w:type="pct"/>
            <w:vAlign w:val="center"/>
          </w:tcPr>
          <w:p>
            <w:pPr>
              <w:pStyle w:val="139"/>
              <w:spacing w:line="240" w:lineRule="auto"/>
              <w:rPr>
                <w:rFonts w:cs="Times New Roman"/>
              </w:rPr>
            </w:pPr>
            <w:r>
              <w:rPr>
                <w:rFonts w:cs="Times New Roman"/>
              </w:rPr>
              <w:t>占地面积</w:t>
            </w:r>
          </w:p>
          <w:p>
            <w:pPr>
              <w:pStyle w:val="139"/>
              <w:spacing w:line="240" w:lineRule="auto"/>
              <w:rPr>
                <w:rFonts w:cs="Times New Roman"/>
              </w:rPr>
            </w:pPr>
            <w:r>
              <w:rPr>
                <w:rFonts w:cs="Times New Roman"/>
              </w:rPr>
              <w:t>亩</w:t>
            </w:r>
          </w:p>
        </w:tc>
        <w:tc>
          <w:tcPr>
            <w:tcW w:w="544" w:type="pct"/>
            <w:vAlign w:val="center"/>
          </w:tcPr>
          <w:p>
            <w:pPr>
              <w:pStyle w:val="139"/>
              <w:spacing w:line="240" w:lineRule="auto"/>
              <w:rPr>
                <w:rFonts w:cs="Times New Roman"/>
              </w:rPr>
            </w:pPr>
            <w:r>
              <w:rPr>
                <w:rFonts w:cs="Times New Roman"/>
              </w:rPr>
              <w:t>平均堆渣</w:t>
            </w:r>
          </w:p>
          <w:p>
            <w:pPr>
              <w:pStyle w:val="139"/>
              <w:spacing w:line="240" w:lineRule="auto"/>
              <w:rPr>
                <w:rFonts w:cs="Times New Roman"/>
              </w:rPr>
            </w:pPr>
            <w:r>
              <w:rPr>
                <w:rFonts w:cs="Times New Roman"/>
              </w:rPr>
              <w:t>高度</w:t>
            </w:r>
          </w:p>
          <w:p>
            <w:pPr>
              <w:pStyle w:val="139"/>
              <w:spacing w:line="240" w:lineRule="auto"/>
              <w:rPr>
                <w:rFonts w:cs="Times New Roman"/>
              </w:rPr>
            </w:pPr>
            <w:r>
              <w:rPr>
                <w:rFonts w:cs="Times New Roman"/>
              </w:rPr>
              <w:t>m</w:t>
            </w:r>
          </w:p>
        </w:tc>
        <w:tc>
          <w:tcPr>
            <w:tcW w:w="481"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1#</w:t>
            </w:r>
          </w:p>
        </w:tc>
        <w:tc>
          <w:tcPr>
            <w:tcW w:w="729" w:type="pct"/>
            <w:vAlign w:val="center"/>
          </w:tcPr>
          <w:p>
            <w:pPr>
              <w:pStyle w:val="139"/>
              <w:spacing w:line="240" w:lineRule="auto"/>
              <w:rPr>
                <w:rFonts w:cs="Times New Roman"/>
              </w:rPr>
            </w:pPr>
            <w:r>
              <w:rPr>
                <w:rFonts w:cs="Times New Roman"/>
              </w:rPr>
              <w:t>大坝下游左岸</w:t>
            </w:r>
          </w:p>
        </w:tc>
        <w:tc>
          <w:tcPr>
            <w:tcW w:w="1535" w:type="pct"/>
            <w:vAlign w:val="center"/>
          </w:tcPr>
          <w:p>
            <w:pPr>
              <w:pStyle w:val="139"/>
              <w:spacing w:line="240" w:lineRule="auto"/>
              <w:rPr>
                <w:rFonts w:cs="Times New Roman"/>
              </w:rPr>
            </w:pPr>
            <w:r>
              <w:rPr>
                <w:rFonts w:cs="Times New Roman"/>
              </w:rPr>
              <w:t>大坝、溢洪道、隧洞开挖弃渣</w:t>
            </w:r>
          </w:p>
        </w:tc>
        <w:tc>
          <w:tcPr>
            <w:tcW w:w="457" w:type="pct"/>
            <w:vAlign w:val="center"/>
          </w:tcPr>
          <w:p>
            <w:pPr>
              <w:spacing w:line="240" w:lineRule="auto"/>
              <w:ind w:firstLine="0" w:firstLineChars="0"/>
              <w:jc w:val="center"/>
              <w:rPr>
                <w:sz w:val="18"/>
                <w:szCs w:val="18"/>
              </w:rPr>
            </w:pPr>
            <w:r>
              <w:rPr>
                <w:sz w:val="18"/>
                <w:szCs w:val="18"/>
              </w:rPr>
              <w:t>4.25</w:t>
            </w:r>
          </w:p>
        </w:tc>
        <w:tc>
          <w:tcPr>
            <w:tcW w:w="713" w:type="pct"/>
            <w:vAlign w:val="center"/>
          </w:tcPr>
          <w:p>
            <w:pPr>
              <w:spacing w:line="240" w:lineRule="auto"/>
              <w:ind w:firstLine="0" w:firstLineChars="0"/>
              <w:jc w:val="center"/>
              <w:rPr>
                <w:sz w:val="18"/>
                <w:szCs w:val="18"/>
              </w:rPr>
            </w:pPr>
            <w:r>
              <w:rPr>
                <w:sz w:val="18"/>
                <w:szCs w:val="18"/>
              </w:rPr>
              <w:t>18.19</w:t>
            </w:r>
          </w:p>
        </w:tc>
        <w:tc>
          <w:tcPr>
            <w:tcW w:w="544" w:type="pct"/>
            <w:vAlign w:val="center"/>
          </w:tcPr>
          <w:p>
            <w:pPr>
              <w:spacing w:line="240" w:lineRule="auto"/>
              <w:ind w:firstLine="0" w:firstLineChars="0"/>
              <w:jc w:val="center"/>
              <w:rPr>
                <w:sz w:val="18"/>
                <w:szCs w:val="18"/>
              </w:rPr>
            </w:pPr>
            <w:r>
              <w:rPr>
                <w:sz w:val="18"/>
                <w:szCs w:val="18"/>
              </w:rPr>
              <w:t>3.5</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2#</w:t>
            </w:r>
          </w:p>
        </w:tc>
        <w:tc>
          <w:tcPr>
            <w:tcW w:w="729" w:type="pct"/>
            <w:vAlign w:val="center"/>
          </w:tcPr>
          <w:p>
            <w:pPr>
              <w:pStyle w:val="139"/>
              <w:spacing w:line="240" w:lineRule="auto"/>
              <w:rPr>
                <w:rFonts w:cs="Times New Roman"/>
              </w:rPr>
            </w:pPr>
            <w:r>
              <w:rPr>
                <w:rFonts w:cs="Times New Roman"/>
              </w:rPr>
              <w:t>石料场</w:t>
            </w:r>
          </w:p>
        </w:tc>
        <w:tc>
          <w:tcPr>
            <w:tcW w:w="1535" w:type="pct"/>
            <w:vAlign w:val="center"/>
          </w:tcPr>
          <w:p>
            <w:pPr>
              <w:pStyle w:val="139"/>
              <w:spacing w:line="240" w:lineRule="auto"/>
              <w:rPr>
                <w:rFonts w:cs="Times New Roman"/>
              </w:rPr>
            </w:pPr>
            <w:r>
              <w:rPr>
                <w:rFonts w:cs="Times New Roman"/>
              </w:rPr>
              <w:t>大坝、石料场弃渣、补水隧洞弃渣</w:t>
            </w:r>
          </w:p>
        </w:tc>
        <w:tc>
          <w:tcPr>
            <w:tcW w:w="457" w:type="pct"/>
            <w:vAlign w:val="center"/>
          </w:tcPr>
          <w:p>
            <w:pPr>
              <w:spacing w:line="240" w:lineRule="auto"/>
              <w:ind w:firstLine="0" w:firstLineChars="0"/>
              <w:jc w:val="center"/>
              <w:rPr>
                <w:sz w:val="18"/>
                <w:szCs w:val="18"/>
              </w:rPr>
            </w:pPr>
            <w:r>
              <w:rPr>
                <w:sz w:val="18"/>
                <w:szCs w:val="18"/>
              </w:rPr>
              <w:t>23.22</w:t>
            </w:r>
          </w:p>
        </w:tc>
        <w:tc>
          <w:tcPr>
            <w:tcW w:w="713" w:type="pct"/>
            <w:vAlign w:val="center"/>
          </w:tcPr>
          <w:p>
            <w:pPr>
              <w:spacing w:line="240" w:lineRule="auto"/>
              <w:ind w:firstLine="0" w:firstLineChars="0"/>
              <w:jc w:val="center"/>
              <w:rPr>
                <w:sz w:val="18"/>
                <w:szCs w:val="18"/>
              </w:rPr>
            </w:pPr>
            <w:r>
              <w:rPr>
                <w:sz w:val="18"/>
                <w:szCs w:val="18"/>
              </w:rPr>
              <w:t>25.60</w:t>
            </w:r>
          </w:p>
        </w:tc>
        <w:tc>
          <w:tcPr>
            <w:tcW w:w="544" w:type="pct"/>
            <w:vAlign w:val="center"/>
          </w:tcPr>
          <w:p>
            <w:pPr>
              <w:spacing w:line="240" w:lineRule="auto"/>
              <w:ind w:firstLine="0" w:firstLineChars="0"/>
              <w:jc w:val="center"/>
              <w:rPr>
                <w:sz w:val="18"/>
                <w:szCs w:val="18"/>
              </w:rPr>
            </w:pPr>
            <w:r>
              <w:rPr>
                <w:sz w:val="18"/>
                <w:szCs w:val="18"/>
              </w:rPr>
              <w:t>16</w:t>
            </w:r>
          </w:p>
        </w:tc>
        <w:tc>
          <w:tcPr>
            <w:tcW w:w="481" w:type="pct"/>
            <w:vAlign w:val="center"/>
          </w:tcPr>
          <w:p>
            <w:pPr>
              <w:pStyle w:val="139"/>
              <w:spacing w:line="240" w:lineRule="auto"/>
              <w:rPr>
                <w:rFonts w:cs="Times New Roman"/>
              </w:rPr>
            </w:pPr>
            <w:r>
              <w:rPr>
                <w:rFonts w:cs="Times New Roman"/>
              </w:rPr>
              <w:t>不复耕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3#</w:t>
            </w:r>
          </w:p>
        </w:tc>
        <w:tc>
          <w:tcPr>
            <w:tcW w:w="729" w:type="pct"/>
            <w:vAlign w:val="center"/>
          </w:tcPr>
          <w:p>
            <w:pPr>
              <w:pStyle w:val="139"/>
              <w:spacing w:line="240" w:lineRule="auto"/>
              <w:rPr>
                <w:rFonts w:cs="Times New Roman"/>
              </w:rPr>
            </w:pPr>
            <w:r>
              <w:rPr>
                <w:rFonts w:cs="Times New Roman"/>
              </w:rPr>
              <w:t>谭家河补水</w:t>
            </w:r>
          </w:p>
        </w:tc>
        <w:tc>
          <w:tcPr>
            <w:tcW w:w="1535" w:type="pct"/>
            <w:vAlign w:val="center"/>
          </w:tcPr>
          <w:p>
            <w:pPr>
              <w:pStyle w:val="139"/>
              <w:spacing w:line="240" w:lineRule="auto"/>
              <w:rPr>
                <w:rFonts w:cs="Times New Roman"/>
              </w:rPr>
            </w:pPr>
            <w:r>
              <w:rPr>
                <w:rFonts w:cs="Times New Roman"/>
              </w:rPr>
              <w:t>补水工程开挖弃渣</w:t>
            </w:r>
          </w:p>
        </w:tc>
        <w:tc>
          <w:tcPr>
            <w:tcW w:w="457" w:type="pct"/>
            <w:vAlign w:val="center"/>
          </w:tcPr>
          <w:p>
            <w:pPr>
              <w:spacing w:line="240" w:lineRule="auto"/>
              <w:ind w:firstLine="0" w:firstLineChars="0"/>
              <w:jc w:val="center"/>
              <w:rPr>
                <w:sz w:val="18"/>
                <w:szCs w:val="18"/>
              </w:rPr>
            </w:pPr>
            <w:r>
              <w:rPr>
                <w:sz w:val="18"/>
                <w:szCs w:val="18"/>
              </w:rPr>
              <w:t>0.39</w:t>
            </w:r>
          </w:p>
        </w:tc>
        <w:tc>
          <w:tcPr>
            <w:tcW w:w="713" w:type="pct"/>
            <w:vAlign w:val="center"/>
          </w:tcPr>
          <w:p>
            <w:pPr>
              <w:spacing w:line="240" w:lineRule="auto"/>
              <w:ind w:firstLine="0" w:firstLineChars="0"/>
              <w:jc w:val="center"/>
              <w:rPr>
                <w:sz w:val="18"/>
                <w:szCs w:val="18"/>
              </w:rPr>
            </w:pPr>
            <w:r>
              <w:rPr>
                <w:sz w:val="18"/>
                <w:szCs w:val="18"/>
              </w:rPr>
              <w:t>3.87</w:t>
            </w:r>
          </w:p>
        </w:tc>
        <w:tc>
          <w:tcPr>
            <w:tcW w:w="544" w:type="pct"/>
            <w:vAlign w:val="center"/>
          </w:tcPr>
          <w:p>
            <w:pPr>
              <w:spacing w:line="240" w:lineRule="auto"/>
              <w:ind w:firstLine="0" w:firstLineChars="0"/>
              <w:jc w:val="center"/>
              <w:rPr>
                <w:sz w:val="18"/>
                <w:szCs w:val="18"/>
              </w:rPr>
            </w:pPr>
            <w:r>
              <w:rPr>
                <w:sz w:val="18"/>
                <w:szCs w:val="18"/>
              </w:rPr>
              <w:t>1.5</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4#</w:t>
            </w:r>
          </w:p>
        </w:tc>
        <w:tc>
          <w:tcPr>
            <w:tcW w:w="729" w:type="pct"/>
            <w:vAlign w:val="center"/>
          </w:tcPr>
          <w:p>
            <w:pPr>
              <w:pStyle w:val="139"/>
              <w:spacing w:line="240" w:lineRule="auto"/>
              <w:rPr>
                <w:rFonts w:cs="Times New Roman"/>
              </w:rPr>
            </w:pPr>
            <w:r>
              <w:rPr>
                <w:rFonts w:cs="Times New Roman"/>
              </w:rPr>
              <w:t>刘家河补水</w:t>
            </w:r>
          </w:p>
        </w:tc>
        <w:tc>
          <w:tcPr>
            <w:tcW w:w="1535" w:type="pct"/>
            <w:vAlign w:val="center"/>
          </w:tcPr>
          <w:p>
            <w:pPr>
              <w:pStyle w:val="139"/>
              <w:spacing w:line="240" w:lineRule="auto"/>
              <w:rPr>
                <w:rFonts w:cs="Times New Roman"/>
              </w:rPr>
            </w:pPr>
            <w:r>
              <w:rPr>
                <w:rFonts w:cs="Times New Roman"/>
              </w:rPr>
              <w:t>补水工程开挖弃渣</w:t>
            </w:r>
          </w:p>
        </w:tc>
        <w:tc>
          <w:tcPr>
            <w:tcW w:w="457" w:type="pct"/>
            <w:vAlign w:val="center"/>
          </w:tcPr>
          <w:p>
            <w:pPr>
              <w:spacing w:line="240" w:lineRule="auto"/>
              <w:ind w:firstLine="0" w:firstLineChars="0"/>
              <w:jc w:val="center"/>
              <w:rPr>
                <w:sz w:val="18"/>
                <w:szCs w:val="18"/>
              </w:rPr>
            </w:pPr>
            <w:r>
              <w:rPr>
                <w:sz w:val="18"/>
                <w:szCs w:val="18"/>
              </w:rPr>
              <w:t>0.74</w:t>
            </w:r>
          </w:p>
        </w:tc>
        <w:tc>
          <w:tcPr>
            <w:tcW w:w="713" w:type="pct"/>
            <w:vAlign w:val="center"/>
          </w:tcPr>
          <w:p>
            <w:pPr>
              <w:spacing w:line="240" w:lineRule="auto"/>
              <w:ind w:firstLine="0" w:firstLineChars="0"/>
              <w:jc w:val="center"/>
              <w:rPr>
                <w:sz w:val="18"/>
                <w:szCs w:val="18"/>
              </w:rPr>
            </w:pPr>
            <w:r>
              <w:rPr>
                <w:sz w:val="18"/>
                <w:szCs w:val="18"/>
              </w:rPr>
              <w:t>5.43</w:t>
            </w:r>
          </w:p>
        </w:tc>
        <w:tc>
          <w:tcPr>
            <w:tcW w:w="544" w:type="pct"/>
            <w:vAlign w:val="center"/>
          </w:tcPr>
          <w:p>
            <w:pPr>
              <w:spacing w:line="240" w:lineRule="auto"/>
              <w:ind w:firstLine="0" w:firstLineChars="0"/>
              <w:jc w:val="center"/>
              <w:rPr>
                <w:sz w:val="18"/>
                <w:szCs w:val="18"/>
              </w:rPr>
            </w:pPr>
            <w:r>
              <w:rPr>
                <w:sz w:val="18"/>
                <w:szCs w:val="18"/>
              </w:rPr>
              <w:t>2</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合计</w:t>
            </w:r>
          </w:p>
        </w:tc>
        <w:tc>
          <w:tcPr>
            <w:tcW w:w="729" w:type="pct"/>
            <w:vAlign w:val="center"/>
          </w:tcPr>
          <w:p>
            <w:pPr>
              <w:pStyle w:val="139"/>
              <w:spacing w:line="240" w:lineRule="auto"/>
              <w:rPr>
                <w:rFonts w:cs="Times New Roman"/>
              </w:rPr>
            </w:pPr>
          </w:p>
        </w:tc>
        <w:tc>
          <w:tcPr>
            <w:tcW w:w="1535" w:type="pct"/>
            <w:vAlign w:val="center"/>
          </w:tcPr>
          <w:p>
            <w:pPr>
              <w:pStyle w:val="139"/>
              <w:spacing w:line="240" w:lineRule="auto"/>
              <w:rPr>
                <w:rFonts w:cs="Times New Roman"/>
              </w:rPr>
            </w:pPr>
          </w:p>
        </w:tc>
        <w:tc>
          <w:tcPr>
            <w:tcW w:w="457" w:type="pct"/>
            <w:vAlign w:val="center"/>
          </w:tcPr>
          <w:p>
            <w:pPr>
              <w:spacing w:line="240" w:lineRule="auto"/>
              <w:ind w:firstLine="0" w:firstLineChars="0"/>
              <w:jc w:val="center"/>
              <w:rPr>
                <w:sz w:val="18"/>
                <w:szCs w:val="18"/>
              </w:rPr>
            </w:pPr>
            <w:r>
              <w:rPr>
                <w:sz w:val="18"/>
                <w:szCs w:val="18"/>
              </w:rPr>
              <w:t>28.59</w:t>
            </w:r>
          </w:p>
        </w:tc>
        <w:tc>
          <w:tcPr>
            <w:tcW w:w="713" w:type="pct"/>
            <w:vAlign w:val="center"/>
          </w:tcPr>
          <w:p>
            <w:pPr>
              <w:spacing w:line="240" w:lineRule="auto"/>
              <w:ind w:firstLine="0" w:firstLineChars="0"/>
              <w:jc w:val="center"/>
              <w:rPr>
                <w:sz w:val="18"/>
                <w:szCs w:val="18"/>
              </w:rPr>
            </w:pPr>
            <w:r>
              <w:rPr>
                <w:sz w:val="18"/>
                <w:szCs w:val="18"/>
              </w:rPr>
              <w:t>53.10</w:t>
            </w:r>
          </w:p>
        </w:tc>
        <w:tc>
          <w:tcPr>
            <w:tcW w:w="544" w:type="pct"/>
            <w:vAlign w:val="center"/>
          </w:tcPr>
          <w:p>
            <w:pPr>
              <w:spacing w:line="240" w:lineRule="auto"/>
              <w:ind w:firstLine="0" w:firstLineChars="0"/>
              <w:jc w:val="center"/>
              <w:rPr>
                <w:sz w:val="18"/>
                <w:szCs w:val="18"/>
              </w:rPr>
            </w:pPr>
          </w:p>
        </w:tc>
        <w:tc>
          <w:tcPr>
            <w:tcW w:w="481" w:type="pct"/>
            <w:vAlign w:val="center"/>
          </w:tcPr>
          <w:p>
            <w:pPr>
              <w:pStyle w:val="139"/>
              <w:spacing w:line="240" w:lineRule="auto"/>
              <w:rPr>
                <w:rFonts w:cs="Times New Roman"/>
              </w:rPr>
            </w:pPr>
          </w:p>
        </w:tc>
      </w:tr>
    </w:tbl>
    <w:p>
      <w:pPr>
        <w:ind w:firstLine="0" w:firstLineChars="0"/>
        <w:contextualSpacing/>
        <w:outlineLvl w:val="3"/>
        <w:rPr>
          <w:b/>
          <w:bCs/>
        </w:rPr>
      </w:pPr>
      <w:r>
        <w:rPr>
          <w:b/>
          <w:bCs/>
        </w:rPr>
        <w:t>2.3.5.2</w:t>
      </w:r>
      <w:r>
        <w:rPr>
          <w:rFonts w:hint="eastAsia" w:hAnsi="宋体"/>
          <w:b/>
          <w:bCs/>
        </w:rPr>
        <w:t>渠道工程</w:t>
      </w:r>
    </w:p>
    <w:p>
      <w:pPr>
        <w:ind w:firstLine="420" w:firstLineChars="0"/>
        <w:contextualSpacing/>
      </w:pPr>
      <w:r>
        <w:t>渠道工程总计开挖土石方8.27万m3，土石回填及导流围堰利用开挖料5.20万m3，弃渣量3.75万m3。</w:t>
      </w:r>
    </w:p>
    <w:p>
      <w:pPr>
        <w:ind w:firstLine="0" w:firstLineChars="0"/>
        <w:contextualSpacing/>
        <w:jc w:val="center"/>
        <w:rPr>
          <w:rFonts w:hAnsi="宋体"/>
          <w:b/>
          <w:bCs/>
          <w:sz w:val="21"/>
          <w:szCs w:val="21"/>
        </w:rPr>
      </w:pPr>
      <w:r>
        <w:rPr>
          <w:rFonts w:hAnsi="宋体"/>
          <w:b/>
          <w:bCs/>
          <w:sz w:val="21"/>
          <w:szCs w:val="21"/>
        </w:rPr>
        <w:t>表2.3.5-3  渠道工程土石方平衡计算表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322"/>
        <w:gridCol w:w="1068"/>
        <w:gridCol w:w="1041"/>
        <w:gridCol w:w="1003"/>
        <w:gridCol w:w="1041"/>
        <w:gridCol w:w="104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序号</w:t>
            </w:r>
          </w:p>
        </w:tc>
        <w:tc>
          <w:tcPr>
            <w:tcW w:w="780" w:type="pct"/>
            <w:noWrap/>
            <w:vAlign w:val="center"/>
          </w:tcPr>
          <w:p>
            <w:pPr>
              <w:pStyle w:val="139"/>
              <w:spacing w:line="240" w:lineRule="auto"/>
            </w:pPr>
            <w:r>
              <w:t>项目</w:t>
            </w:r>
          </w:p>
        </w:tc>
        <w:tc>
          <w:tcPr>
            <w:tcW w:w="593" w:type="pct"/>
            <w:noWrap/>
            <w:vAlign w:val="center"/>
          </w:tcPr>
          <w:p>
            <w:pPr>
              <w:pStyle w:val="139"/>
              <w:spacing w:line="240" w:lineRule="auto"/>
            </w:pPr>
            <w:r>
              <w:t>单位</w:t>
            </w:r>
          </w:p>
        </w:tc>
        <w:tc>
          <w:tcPr>
            <w:tcW w:w="615" w:type="pct"/>
            <w:noWrap/>
            <w:vAlign w:val="center"/>
          </w:tcPr>
          <w:p>
            <w:pPr>
              <w:pStyle w:val="139"/>
              <w:spacing w:line="240" w:lineRule="auto"/>
            </w:pPr>
            <w:r>
              <w:t>管线工程</w:t>
            </w:r>
          </w:p>
        </w:tc>
        <w:tc>
          <w:tcPr>
            <w:tcW w:w="593" w:type="pct"/>
            <w:noWrap/>
            <w:vAlign w:val="center"/>
          </w:tcPr>
          <w:p>
            <w:pPr>
              <w:pStyle w:val="139"/>
              <w:spacing w:line="240" w:lineRule="auto"/>
            </w:pPr>
            <w:r>
              <w:t>隧洞工程</w:t>
            </w:r>
          </w:p>
        </w:tc>
        <w:tc>
          <w:tcPr>
            <w:tcW w:w="615" w:type="pct"/>
            <w:noWrap/>
            <w:vAlign w:val="center"/>
          </w:tcPr>
          <w:p>
            <w:pPr>
              <w:pStyle w:val="139"/>
              <w:spacing w:line="240" w:lineRule="auto"/>
            </w:pPr>
            <w:r>
              <w:t>渡槽工程</w:t>
            </w:r>
          </w:p>
        </w:tc>
        <w:tc>
          <w:tcPr>
            <w:tcW w:w="615" w:type="pct"/>
            <w:noWrap/>
            <w:vAlign w:val="center"/>
          </w:tcPr>
          <w:p>
            <w:pPr>
              <w:pStyle w:val="139"/>
              <w:spacing w:line="240" w:lineRule="auto"/>
            </w:pPr>
            <w:r>
              <w:t>合计</w:t>
            </w:r>
          </w:p>
        </w:tc>
        <w:tc>
          <w:tcPr>
            <w:tcW w:w="593" w:type="pct"/>
            <w:noWrap/>
            <w:vAlign w:val="center"/>
          </w:tcPr>
          <w:p>
            <w:pPr>
              <w:pStyle w:val="139"/>
              <w:spacing w:line="240" w:lineRule="auto"/>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一</w:t>
            </w:r>
          </w:p>
        </w:tc>
        <w:tc>
          <w:tcPr>
            <w:tcW w:w="780" w:type="pct"/>
            <w:noWrap/>
            <w:vAlign w:val="center"/>
          </w:tcPr>
          <w:p>
            <w:pPr>
              <w:pStyle w:val="139"/>
              <w:spacing w:line="240" w:lineRule="auto"/>
            </w:pPr>
            <w:r>
              <w:t>土石方开挖</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71354</w:t>
            </w:r>
          </w:p>
        </w:tc>
        <w:tc>
          <w:tcPr>
            <w:tcW w:w="593" w:type="pct"/>
            <w:noWrap/>
            <w:vAlign w:val="center"/>
          </w:tcPr>
          <w:p>
            <w:pPr>
              <w:pStyle w:val="139"/>
              <w:spacing w:line="240" w:lineRule="auto"/>
            </w:pPr>
            <w:r>
              <w:t>10914</w:t>
            </w:r>
          </w:p>
        </w:tc>
        <w:tc>
          <w:tcPr>
            <w:tcW w:w="615" w:type="pct"/>
            <w:noWrap/>
            <w:vAlign w:val="center"/>
          </w:tcPr>
          <w:p>
            <w:pPr>
              <w:pStyle w:val="139"/>
              <w:spacing w:line="240" w:lineRule="auto"/>
            </w:pPr>
            <w:r>
              <w:t>453</w:t>
            </w:r>
          </w:p>
        </w:tc>
        <w:tc>
          <w:tcPr>
            <w:tcW w:w="615" w:type="pct"/>
            <w:noWrap/>
            <w:vAlign w:val="center"/>
          </w:tcPr>
          <w:p>
            <w:pPr>
              <w:pStyle w:val="139"/>
              <w:spacing w:line="240" w:lineRule="auto"/>
            </w:pPr>
            <w:r>
              <w:t>82720</w:t>
            </w:r>
          </w:p>
        </w:tc>
        <w:tc>
          <w:tcPr>
            <w:tcW w:w="593" w:type="pct"/>
            <w:vMerge w:val="restart"/>
            <w:noWrap/>
            <w:vAlign w:val="center"/>
          </w:tcPr>
          <w:p>
            <w:pPr>
              <w:pStyle w:val="139"/>
              <w:spacing w:line="240" w:lineRule="auto"/>
            </w:pPr>
            <w:r>
              <w:t>自然方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1</w:t>
            </w:r>
          </w:p>
        </w:tc>
        <w:tc>
          <w:tcPr>
            <w:tcW w:w="780" w:type="pct"/>
            <w:noWrap/>
            <w:vAlign w:val="center"/>
          </w:tcPr>
          <w:p>
            <w:pPr>
              <w:pStyle w:val="139"/>
              <w:spacing w:line="240" w:lineRule="auto"/>
            </w:pPr>
            <w:r>
              <w:t>土方开挖</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16973</w:t>
            </w:r>
          </w:p>
        </w:tc>
        <w:tc>
          <w:tcPr>
            <w:tcW w:w="593" w:type="pct"/>
            <w:noWrap/>
            <w:vAlign w:val="center"/>
          </w:tcPr>
          <w:p>
            <w:pPr>
              <w:pStyle w:val="139"/>
              <w:spacing w:line="240" w:lineRule="auto"/>
            </w:pPr>
            <w:r>
              <w:t>273</w:t>
            </w:r>
          </w:p>
        </w:tc>
        <w:tc>
          <w:tcPr>
            <w:tcW w:w="615" w:type="pct"/>
            <w:noWrap/>
            <w:vAlign w:val="center"/>
          </w:tcPr>
          <w:p>
            <w:pPr>
              <w:pStyle w:val="139"/>
              <w:spacing w:line="240" w:lineRule="auto"/>
            </w:pPr>
            <w:r>
              <w:t>353</w:t>
            </w:r>
          </w:p>
        </w:tc>
        <w:tc>
          <w:tcPr>
            <w:tcW w:w="615" w:type="pct"/>
            <w:noWrap/>
            <w:vAlign w:val="center"/>
          </w:tcPr>
          <w:p>
            <w:pPr>
              <w:pStyle w:val="139"/>
              <w:spacing w:line="240" w:lineRule="auto"/>
            </w:pPr>
            <w:r>
              <w:t>17599</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2</w:t>
            </w:r>
          </w:p>
        </w:tc>
        <w:tc>
          <w:tcPr>
            <w:tcW w:w="780" w:type="pct"/>
            <w:noWrap/>
            <w:vAlign w:val="center"/>
          </w:tcPr>
          <w:p>
            <w:pPr>
              <w:pStyle w:val="139"/>
              <w:spacing w:line="240" w:lineRule="auto"/>
            </w:pPr>
            <w:r>
              <w:t>石方明挖</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54333</w:t>
            </w:r>
          </w:p>
        </w:tc>
        <w:tc>
          <w:tcPr>
            <w:tcW w:w="593" w:type="pct"/>
            <w:noWrap/>
            <w:vAlign w:val="center"/>
          </w:tcPr>
          <w:p>
            <w:pPr>
              <w:pStyle w:val="139"/>
              <w:spacing w:line="240" w:lineRule="auto"/>
            </w:pPr>
            <w:r>
              <w:t>546</w:t>
            </w:r>
          </w:p>
        </w:tc>
        <w:tc>
          <w:tcPr>
            <w:tcW w:w="615" w:type="pct"/>
            <w:noWrap/>
            <w:vAlign w:val="center"/>
          </w:tcPr>
          <w:p>
            <w:pPr>
              <w:pStyle w:val="139"/>
              <w:spacing w:line="240" w:lineRule="auto"/>
            </w:pPr>
            <w:r>
              <w:t>88</w:t>
            </w:r>
          </w:p>
        </w:tc>
        <w:tc>
          <w:tcPr>
            <w:tcW w:w="615" w:type="pct"/>
            <w:noWrap/>
            <w:vAlign w:val="center"/>
          </w:tcPr>
          <w:p>
            <w:pPr>
              <w:pStyle w:val="139"/>
              <w:spacing w:line="240" w:lineRule="auto"/>
            </w:pPr>
            <w:r>
              <w:t>54967</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3</w:t>
            </w:r>
          </w:p>
        </w:tc>
        <w:tc>
          <w:tcPr>
            <w:tcW w:w="780" w:type="pct"/>
            <w:noWrap/>
            <w:vAlign w:val="center"/>
          </w:tcPr>
          <w:p>
            <w:pPr>
              <w:pStyle w:val="139"/>
              <w:spacing w:line="240" w:lineRule="auto"/>
            </w:pPr>
            <w:r>
              <w:t>石方洞挖</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0</w:t>
            </w:r>
          </w:p>
        </w:tc>
        <w:tc>
          <w:tcPr>
            <w:tcW w:w="593" w:type="pct"/>
            <w:noWrap/>
            <w:vAlign w:val="center"/>
          </w:tcPr>
          <w:p>
            <w:pPr>
              <w:pStyle w:val="139"/>
              <w:spacing w:line="240" w:lineRule="auto"/>
            </w:pPr>
            <w:r>
              <w:t>10095</w:t>
            </w:r>
          </w:p>
        </w:tc>
        <w:tc>
          <w:tcPr>
            <w:tcW w:w="615" w:type="pct"/>
            <w:noWrap/>
            <w:vAlign w:val="center"/>
          </w:tcPr>
          <w:p>
            <w:pPr>
              <w:pStyle w:val="139"/>
              <w:spacing w:line="240" w:lineRule="auto"/>
            </w:pPr>
            <w:r>
              <w:t>0</w:t>
            </w:r>
          </w:p>
        </w:tc>
        <w:tc>
          <w:tcPr>
            <w:tcW w:w="615" w:type="pct"/>
            <w:noWrap/>
            <w:vAlign w:val="center"/>
          </w:tcPr>
          <w:p>
            <w:pPr>
              <w:pStyle w:val="139"/>
              <w:spacing w:line="240" w:lineRule="auto"/>
            </w:pPr>
            <w:r>
              <w:t>10095</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4</w:t>
            </w:r>
          </w:p>
        </w:tc>
        <w:tc>
          <w:tcPr>
            <w:tcW w:w="780" w:type="pct"/>
            <w:noWrap/>
            <w:vAlign w:val="center"/>
          </w:tcPr>
          <w:p>
            <w:pPr>
              <w:pStyle w:val="139"/>
              <w:spacing w:line="240" w:lineRule="auto"/>
            </w:pPr>
            <w:r>
              <w:t>挖孔桩开挖</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48</w:t>
            </w:r>
          </w:p>
        </w:tc>
        <w:tc>
          <w:tcPr>
            <w:tcW w:w="593" w:type="pct"/>
            <w:noWrap/>
            <w:vAlign w:val="center"/>
          </w:tcPr>
          <w:p>
            <w:pPr>
              <w:pStyle w:val="139"/>
              <w:spacing w:line="240" w:lineRule="auto"/>
            </w:pPr>
            <w:r>
              <w:t>0</w:t>
            </w:r>
          </w:p>
        </w:tc>
        <w:tc>
          <w:tcPr>
            <w:tcW w:w="615" w:type="pct"/>
            <w:noWrap/>
            <w:vAlign w:val="center"/>
          </w:tcPr>
          <w:p>
            <w:pPr>
              <w:pStyle w:val="139"/>
              <w:spacing w:line="240" w:lineRule="auto"/>
            </w:pPr>
            <w:r>
              <w:t>11</w:t>
            </w:r>
          </w:p>
        </w:tc>
        <w:tc>
          <w:tcPr>
            <w:tcW w:w="615" w:type="pct"/>
            <w:noWrap/>
            <w:vAlign w:val="center"/>
          </w:tcPr>
          <w:p>
            <w:pPr>
              <w:pStyle w:val="139"/>
              <w:spacing w:line="240" w:lineRule="auto"/>
            </w:pPr>
            <w:r>
              <w:t>59</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二</w:t>
            </w:r>
          </w:p>
        </w:tc>
        <w:tc>
          <w:tcPr>
            <w:tcW w:w="780" w:type="pct"/>
            <w:noWrap/>
            <w:vAlign w:val="center"/>
          </w:tcPr>
          <w:p>
            <w:pPr>
              <w:pStyle w:val="139"/>
              <w:spacing w:line="240" w:lineRule="auto"/>
            </w:pPr>
            <w:r>
              <w:t>土石方回填</w:t>
            </w:r>
          </w:p>
        </w:tc>
        <w:tc>
          <w:tcPr>
            <w:tcW w:w="593" w:type="pct"/>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51367</w:t>
            </w:r>
          </w:p>
        </w:tc>
        <w:tc>
          <w:tcPr>
            <w:tcW w:w="593" w:type="pct"/>
            <w:noWrap/>
            <w:vAlign w:val="center"/>
          </w:tcPr>
          <w:p>
            <w:pPr>
              <w:pStyle w:val="139"/>
              <w:spacing w:line="240" w:lineRule="auto"/>
            </w:pPr>
            <w:r>
              <w:t>68</w:t>
            </w:r>
          </w:p>
        </w:tc>
        <w:tc>
          <w:tcPr>
            <w:tcW w:w="615" w:type="pct"/>
            <w:noWrap/>
            <w:vAlign w:val="center"/>
          </w:tcPr>
          <w:p>
            <w:pPr>
              <w:pStyle w:val="139"/>
              <w:spacing w:line="240" w:lineRule="auto"/>
            </w:pPr>
            <w:r>
              <w:t>253</w:t>
            </w:r>
          </w:p>
        </w:tc>
        <w:tc>
          <w:tcPr>
            <w:tcW w:w="615" w:type="pct"/>
            <w:noWrap/>
            <w:vAlign w:val="center"/>
          </w:tcPr>
          <w:p>
            <w:pPr>
              <w:pStyle w:val="139"/>
              <w:spacing w:line="240" w:lineRule="auto"/>
            </w:pPr>
            <w:r>
              <w:t>51688</w:t>
            </w:r>
          </w:p>
        </w:tc>
        <w:tc>
          <w:tcPr>
            <w:tcW w:w="593" w:type="pct"/>
            <w:vMerge w:val="restart"/>
            <w:noWrap/>
            <w:vAlign w:val="center"/>
          </w:tcPr>
          <w:p>
            <w:pPr>
              <w:pStyle w:val="139"/>
              <w:spacing w:line="240" w:lineRule="auto"/>
            </w:pPr>
            <w:r>
              <w:t>压实方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三</w:t>
            </w:r>
          </w:p>
        </w:tc>
        <w:tc>
          <w:tcPr>
            <w:tcW w:w="780" w:type="pct"/>
            <w:noWrap/>
            <w:vAlign w:val="center"/>
          </w:tcPr>
          <w:p>
            <w:pPr>
              <w:pStyle w:val="139"/>
              <w:spacing w:line="240" w:lineRule="auto"/>
            </w:pPr>
            <w:r>
              <w:t>导流围堰填筑</w:t>
            </w:r>
          </w:p>
        </w:tc>
        <w:tc>
          <w:tcPr>
            <w:tcW w:w="1068" w:type="dxa"/>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p>
        </w:tc>
        <w:tc>
          <w:tcPr>
            <w:tcW w:w="593" w:type="pct"/>
            <w:noWrap/>
            <w:vAlign w:val="center"/>
          </w:tcPr>
          <w:p>
            <w:pPr>
              <w:pStyle w:val="139"/>
              <w:spacing w:line="240" w:lineRule="auto"/>
            </w:pPr>
          </w:p>
        </w:tc>
        <w:tc>
          <w:tcPr>
            <w:tcW w:w="615" w:type="pct"/>
            <w:noWrap/>
            <w:vAlign w:val="center"/>
          </w:tcPr>
          <w:p>
            <w:pPr>
              <w:pStyle w:val="139"/>
              <w:spacing w:line="240" w:lineRule="auto"/>
            </w:pPr>
            <w:r>
              <w:t>265</w:t>
            </w:r>
          </w:p>
        </w:tc>
        <w:tc>
          <w:tcPr>
            <w:tcW w:w="615" w:type="pct"/>
            <w:noWrap/>
            <w:vAlign w:val="center"/>
          </w:tcPr>
          <w:p>
            <w:pPr>
              <w:pStyle w:val="139"/>
              <w:spacing w:line="240" w:lineRule="auto"/>
            </w:pPr>
            <w:r>
              <w:t>265</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四</w:t>
            </w:r>
          </w:p>
        </w:tc>
        <w:tc>
          <w:tcPr>
            <w:tcW w:w="780" w:type="pct"/>
            <w:noWrap/>
            <w:vAlign w:val="center"/>
          </w:tcPr>
          <w:p>
            <w:pPr>
              <w:pStyle w:val="139"/>
              <w:spacing w:line="240" w:lineRule="auto"/>
            </w:pPr>
            <w:r>
              <w:t>弃渣量</w:t>
            </w:r>
          </w:p>
        </w:tc>
        <w:tc>
          <w:tcPr>
            <w:tcW w:w="1068" w:type="dxa"/>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26151</w:t>
            </w:r>
          </w:p>
        </w:tc>
        <w:tc>
          <w:tcPr>
            <w:tcW w:w="593" w:type="pct"/>
            <w:noWrap/>
            <w:vAlign w:val="center"/>
          </w:tcPr>
          <w:p>
            <w:pPr>
              <w:pStyle w:val="139"/>
              <w:spacing w:line="240" w:lineRule="auto"/>
            </w:pPr>
            <w:r>
              <w:t>10854</w:t>
            </w:r>
          </w:p>
        </w:tc>
        <w:tc>
          <w:tcPr>
            <w:tcW w:w="615" w:type="pct"/>
            <w:noWrap/>
            <w:vAlign w:val="center"/>
          </w:tcPr>
          <w:p>
            <w:pPr>
              <w:pStyle w:val="139"/>
              <w:spacing w:line="240" w:lineRule="auto"/>
            </w:pPr>
            <w:r>
              <w:t>451</w:t>
            </w:r>
          </w:p>
        </w:tc>
        <w:tc>
          <w:tcPr>
            <w:tcW w:w="615" w:type="pct"/>
            <w:noWrap/>
            <w:vAlign w:val="center"/>
          </w:tcPr>
          <w:p>
            <w:pPr>
              <w:pStyle w:val="139"/>
              <w:spacing w:line="240" w:lineRule="auto"/>
            </w:pPr>
            <w:r>
              <w:t>37455</w:t>
            </w:r>
          </w:p>
        </w:tc>
        <w:tc>
          <w:tcPr>
            <w:tcW w:w="593" w:type="pct"/>
            <w:vMerge w:val="restart"/>
            <w:noWrap/>
            <w:vAlign w:val="center"/>
          </w:tcPr>
          <w:p>
            <w:pPr>
              <w:pStyle w:val="139"/>
              <w:spacing w:line="240" w:lineRule="auto"/>
            </w:pPr>
            <w:r>
              <w:t>自然方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1</w:t>
            </w:r>
          </w:p>
        </w:tc>
        <w:tc>
          <w:tcPr>
            <w:tcW w:w="780" w:type="pct"/>
            <w:noWrap/>
            <w:vAlign w:val="center"/>
          </w:tcPr>
          <w:p>
            <w:pPr>
              <w:pStyle w:val="139"/>
              <w:spacing w:line="240" w:lineRule="auto"/>
            </w:pPr>
            <w:r>
              <w:t>工程弃渣</w:t>
            </w:r>
          </w:p>
        </w:tc>
        <w:tc>
          <w:tcPr>
            <w:tcW w:w="1068" w:type="dxa"/>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r>
              <w:t>26151</w:t>
            </w:r>
          </w:p>
        </w:tc>
        <w:tc>
          <w:tcPr>
            <w:tcW w:w="593" w:type="pct"/>
            <w:noWrap/>
            <w:vAlign w:val="center"/>
          </w:tcPr>
          <w:p>
            <w:pPr>
              <w:pStyle w:val="139"/>
              <w:spacing w:line="240" w:lineRule="auto"/>
            </w:pPr>
            <w:r>
              <w:t>10854</w:t>
            </w:r>
          </w:p>
        </w:tc>
        <w:tc>
          <w:tcPr>
            <w:tcW w:w="615" w:type="pct"/>
            <w:noWrap/>
            <w:vAlign w:val="center"/>
          </w:tcPr>
          <w:p>
            <w:pPr>
              <w:pStyle w:val="139"/>
              <w:spacing w:line="240" w:lineRule="auto"/>
            </w:pPr>
            <w:r>
              <w:t>230</w:t>
            </w:r>
          </w:p>
        </w:tc>
        <w:tc>
          <w:tcPr>
            <w:tcW w:w="615" w:type="pct"/>
            <w:noWrap/>
            <w:vAlign w:val="center"/>
          </w:tcPr>
          <w:p>
            <w:pPr>
              <w:pStyle w:val="139"/>
              <w:spacing w:line="240" w:lineRule="auto"/>
            </w:pPr>
            <w:r>
              <w:t>37234</w:t>
            </w:r>
          </w:p>
        </w:tc>
        <w:tc>
          <w:tcPr>
            <w:tcW w:w="593" w:type="pct"/>
            <w:vMerge w:val="continue"/>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ign w:val="center"/>
          </w:tcPr>
          <w:p>
            <w:pPr>
              <w:pStyle w:val="139"/>
              <w:spacing w:line="240" w:lineRule="auto"/>
            </w:pPr>
            <w:r>
              <w:t>2</w:t>
            </w:r>
          </w:p>
        </w:tc>
        <w:tc>
          <w:tcPr>
            <w:tcW w:w="780" w:type="pct"/>
            <w:noWrap/>
            <w:vAlign w:val="center"/>
          </w:tcPr>
          <w:p>
            <w:pPr>
              <w:pStyle w:val="139"/>
              <w:spacing w:line="240" w:lineRule="auto"/>
            </w:pPr>
            <w:r>
              <w:t>围堰拆除</w:t>
            </w:r>
          </w:p>
        </w:tc>
        <w:tc>
          <w:tcPr>
            <w:tcW w:w="1068" w:type="dxa"/>
            <w:noWrap/>
            <w:vAlign w:val="center"/>
          </w:tcPr>
          <w:p>
            <w:pPr>
              <w:pStyle w:val="139"/>
              <w:spacing w:line="240" w:lineRule="auto"/>
            </w:pPr>
            <w:r>
              <w:t>m</w:t>
            </w:r>
            <w:r>
              <w:rPr>
                <w:rFonts w:hint="eastAsia"/>
                <w:vertAlign w:val="superscript"/>
              </w:rPr>
              <w:t>3</w:t>
            </w:r>
          </w:p>
        </w:tc>
        <w:tc>
          <w:tcPr>
            <w:tcW w:w="615" w:type="pct"/>
            <w:noWrap/>
            <w:vAlign w:val="center"/>
          </w:tcPr>
          <w:p>
            <w:pPr>
              <w:pStyle w:val="139"/>
              <w:spacing w:line="240" w:lineRule="auto"/>
            </w:pPr>
          </w:p>
        </w:tc>
        <w:tc>
          <w:tcPr>
            <w:tcW w:w="593" w:type="pct"/>
            <w:noWrap/>
            <w:vAlign w:val="center"/>
          </w:tcPr>
          <w:p>
            <w:pPr>
              <w:pStyle w:val="139"/>
              <w:spacing w:line="240" w:lineRule="auto"/>
            </w:pPr>
          </w:p>
        </w:tc>
        <w:tc>
          <w:tcPr>
            <w:tcW w:w="615" w:type="pct"/>
            <w:noWrap/>
            <w:vAlign w:val="center"/>
          </w:tcPr>
          <w:p>
            <w:pPr>
              <w:pStyle w:val="139"/>
              <w:spacing w:line="240" w:lineRule="auto"/>
            </w:pPr>
            <w:r>
              <w:t>221</w:t>
            </w:r>
          </w:p>
        </w:tc>
        <w:tc>
          <w:tcPr>
            <w:tcW w:w="615" w:type="pct"/>
            <w:noWrap/>
            <w:vAlign w:val="center"/>
          </w:tcPr>
          <w:p>
            <w:pPr>
              <w:pStyle w:val="139"/>
              <w:spacing w:line="240" w:lineRule="auto"/>
            </w:pPr>
            <w:r>
              <w:t>221</w:t>
            </w:r>
          </w:p>
        </w:tc>
        <w:tc>
          <w:tcPr>
            <w:tcW w:w="593" w:type="pct"/>
            <w:vMerge w:val="continue"/>
            <w:vAlign w:val="center"/>
          </w:tcPr>
          <w:p>
            <w:pPr>
              <w:pStyle w:val="139"/>
              <w:spacing w:line="240" w:lineRule="auto"/>
            </w:pPr>
          </w:p>
        </w:tc>
      </w:tr>
    </w:tbl>
    <w:p>
      <w:pPr>
        <w:ind w:firstLine="420" w:firstLineChars="0"/>
        <w:contextualSpacing/>
      </w:pPr>
      <w:r>
        <w:rPr>
          <w:rFonts w:hint="eastAsia"/>
        </w:rPr>
        <w:t>c）</w:t>
      </w:r>
      <w:r>
        <w:t>渣场规划</w:t>
      </w:r>
    </w:p>
    <w:p>
      <w:pPr>
        <w:ind w:firstLine="420" w:firstLineChars="0"/>
        <w:contextualSpacing/>
      </w:pPr>
      <w:r>
        <w:t>渠道工程占线较长，弃渣应合理规划，避免随意堆存，防止造成水土流失和导致次生地质灾害，保护生态环境。本工程弃渣场规划原则如下：</w:t>
      </w:r>
    </w:p>
    <w:p>
      <w:pPr>
        <w:ind w:firstLine="420" w:firstLineChars="0"/>
        <w:contextualSpacing/>
      </w:pPr>
      <w:r>
        <w:t>1）渠系工程战线长，工程点多且分散，采用分散布置渣场。</w:t>
      </w:r>
    </w:p>
    <w:p>
      <w:pPr>
        <w:ind w:firstLine="420" w:firstLineChars="0"/>
        <w:contextualSpacing/>
      </w:pPr>
      <w:r>
        <w:t>2）在倒虹管、明渠渠道外侧附近布置渣场。</w:t>
      </w:r>
    </w:p>
    <w:p>
      <w:pPr>
        <w:ind w:firstLine="420" w:firstLineChars="0"/>
        <w:contextualSpacing/>
      </w:pPr>
      <w:r>
        <w:t>3）渠道工程按每2km左右的土石方开挖及回填进行土石平衡，回填量不足部分就近相邻渠段调配。</w:t>
      </w:r>
    </w:p>
    <w:p>
      <w:pPr>
        <w:ind w:firstLine="420" w:firstLineChars="0"/>
        <w:contextualSpacing/>
      </w:pPr>
      <w:r>
        <w:t>4）施工弃渣尽量不跨溪沟、河流，不翻山转运弃渣。</w:t>
      </w:r>
    </w:p>
    <w:p>
      <w:pPr>
        <w:ind w:firstLine="420" w:firstLineChars="0"/>
        <w:contextualSpacing/>
      </w:pPr>
      <w:r>
        <w:t>5）渣场尽量布置在弃渣量较大建筑物附近。</w:t>
      </w:r>
    </w:p>
    <w:p>
      <w:pPr>
        <w:ind w:firstLine="420" w:firstLineChars="0"/>
        <w:contextualSpacing/>
      </w:pPr>
      <w:r>
        <w:t>6）弃渣尽量堆放于荒坡或荒沟内，尽量少占或不占耕地，不占用基本农田，避开泥石流沟、滑坡体、崩塌等不良地质地段。</w:t>
      </w:r>
    </w:p>
    <w:p>
      <w:pPr>
        <w:ind w:firstLine="420" w:firstLineChars="0"/>
        <w:contextualSpacing/>
      </w:pPr>
      <w:r>
        <w:t>根据以上渣场规划原则，本工程共设置4个渣场，总弃渣量3.75万m3。</w:t>
      </w:r>
    </w:p>
    <w:p>
      <w:pPr>
        <w:ind w:firstLine="0" w:firstLineChars="0"/>
        <w:contextualSpacing/>
        <w:jc w:val="center"/>
        <w:rPr>
          <w:rFonts w:hAnsi="宋体"/>
          <w:b/>
          <w:bCs/>
          <w:sz w:val="21"/>
          <w:szCs w:val="21"/>
        </w:rPr>
      </w:pPr>
      <w:r>
        <w:rPr>
          <w:rFonts w:hAnsi="宋体"/>
          <w:b/>
          <w:bCs/>
          <w:sz w:val="21"/>
          <w:szCs w:val="21"/>
        </w:rPr>
        <w:t>表2.3.5-4  渠道工程渣场规划特性表</w:t>
      </w:r>
    </w:p>
    <w:tbl>
      <w:tblPr>
        <w:tblStyle w:val="38"/>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270"/>
        <w:gridCol w:w="1270"/>
        <w:gridCol w:w="1192"/>
        <w:gridCol w:w="1270"/>
        <w:gridCol w:w="1355"/>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1" w:type="pct"/>
            <w:vAlign w:val="center"/>
          </w:tcPr>
          <w:p>
            <w:pPr>
              <w:pStyle w:val="139"/>
              <w:spacing w:line="240" w:lineRule="auto"/>
            </w:pPr>
            <w:r>
              <w:t>渣场编号</w:t>
            </w:r>
          </w:p>
        </w:tc>
        <w:tc>
          <w:tcPr>
            <w:tcW w:w="761" w:type="pct"/>
            <w:vAlign w:val="center"/>
          </w:tcPr>
          <w:p>
            <w:pPr>
              <w:pStyle w:val="139"/>
              <w:spacing w:line="240" w:lineRule="auto"/>
            </w:pPr>
            <w:r>
              <w:t>渣场位置</w:t>
            </w:r>
          </w:p>
        </w:tc>
        <w:tc>
          <w:tcPr>
            <w:tcW w:w="761" w:type="pct"/>
            <w:vAlign w:val="center"/>
          </w:tcPr>
          <w:p>
            <w:pPr>
              <w:pStyle w:val="139"/>
              <w:spacing w:line="240" w:lineRule="auto"/>
            </w:pPr>
            <w:r>
              <w:t>弃渣来源</w:t>
            </w:r>
          </w:p>
        </w:tc>
        <w:tc>
          <w:tcPr>
            <w:tcW w:w="714" w:type="pct"/>
            <w:vAlign w:val="center"/>
          </w:tcPr>
          <w:p>
            <w:pPr>
              <w:pStyle w:val="139"/>
              <w:spacing w:line="240" w:lineRule="auto"/>
            </w:pPr>
            <w:r>
              <w:t>堆渣量</w:t>
            </w:r>
          </w:p>
          <w:p>
            <w:pPr>
              <w:pStyle w:val="139"/>
              <w:spacing w:line="240" w:lineRule="auto"/>
            </w:pPr>
            <w:r>
              <w:t>万m3</w:t>
            </w:r>
          </w:p>
        </w:tc>
        <w:tc>
          <w:tcPr>
            <w:tcW w:w="761" w:type="pct"/>
            <w:vAlign w:val="center"/>
          </w:tcPr>
          <w:p>
            <w:pPr>
              <w:pStyle w:val="139"/>
              <w:spacing w:line="240" w:lineRule="auto"/>
            </w:pPr>
            <w:r>
              <w:t>占地面积</w:t>
            </w:r>
          </w:p>
          <w:p>
            <w:pPr>
              <w:pStyle w:val="139"/>
              <w:spacing w:line="240" w:lineRule="auto"/>
            </w:pPr>
            <w:r>
              <w:t>亩</w:t>
            </w:r>
          </w:p>
        </w:tc>
        <w:tc>
          <w:tcPr>
            <w:tcW w:w="812" w:type="pct"/>
            <w:vAlign w:val="center"/>
          </w:tcPr>
          <w:p>
            <w:pPr>
              <w:pStyle w:val="139"/>
              <w:spacing w:line="240" w:lineRule="auto"/>
            </w:pPr>
            <w:r>
              <w:t>平均堆渣高度</w:t>
            </w:r>
          </w:p>
          <w:p>
            <w:pPr>
              <w:pStyle w:val="139"/>
              <w:spacing w:line="240" w:lineRule="auto"/>
            </w:pPr>
            <w:r>
              <w:t>m</w:t>
            </w:r>
          </w:p>
        </w:tc>
        <w:tc>
          <w:tcPr>
            <w:tcW w:w="427" w:type="pct"/>
            <w:vAlign w:val="center"/>
          </w:tcPr>
          <w:p>
            <w:pPr>
              <w:pStyle w:val="139"/>
              <w:spacing w:line="240" w:lineRule="auto"/>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pStyle w:val="139"/>
              <w:spacing w:line="240" w:lineRule="auto"/>
            </w:pPr>
            <w:r>
              <w:t>1</w:t>
            </w:r>
          </w:p>
        </w:tc>
        <w:tc>
          <w:tcPr>
            <w:tcW w:w="761" w:type="pct"/>
            <w:vAlign w:val="center"/>
          </w:tcPr>
          <w:p>
            <w:pPr>
              <w:pStyle w:val="139"/>
              <w:spacing w:line="240" w:lineRule="auto"/>
            </w:pPr>
            <w:r>
              <w:t>干0+800</w:t>
            </w:r>
          </w:p>
        </w:tc>
        <w:tc>
          <w:tcPr>
            <w:tcW w:w="761" w:type="pct"/>
            <w:vAlign w:val="center"/>
          </w:tcPr>
          <w:p>
            <w:pPr>
              <w:pStyle w:val="139"/>
              <w:spacing w:line="240" w:lineRule="auto"/>
            </w:pPr>
            <w:r>
              <w:t>干渠管线及尖佛山隧洞</w:t>
            </w:r>
          </w:p>
        </w:tc>
        <w:tc>
          <w:tcPr>
            <w:tcW w:w="714" w:type="pct"/>
            <w:vAlign w:val="center"/>
          </w:tcPr>
          <w:p>
            <w:pPr>
              <w:pStyle w:val="139"/>
              <w:spacing w:line="240" w:lineRule="auto"/>
            </w:pPr>
            <w:r>
              <w:t>0.49</w:t>
            </w:r>
          </w:p>
        </w:tc>
        <w:tc>
          <w:tcPr>
            <w:tcW w:w="761" w:type="pct"/>
            <w:vAlign w:val="center"/>
          </w:tcPr>
          <w:p>
            <w:pPr>
              <w:pStyle w:val="139"/>
              <w:spacing w:line="240" w:lineRule="auto"/>
            </w:pPr>
            <w:r>
              <w:t>2.12</w:t>
            </w:r>
          </w:p>
        </w:tc>
        <w:tc>
          <w:tcPr>
            <w:tcW w:w="812" w:type="pct"/>
            <w:vAlign w:val="center"/>
          </w:tcPr>
          <w:p>
            <w:pPr>
              <w:pStyle w:val="139"/>
              <w:spacing w:line="240" w:lineRule="auto"/>
            </w:pPr>
            <w:r>
              <w:t>3.5</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pStyle w:val="139"/>
              <w:spacing w:line="240" w:lineRule="auto"/>
            </w:pPr>
            <w:r>
              <w:t>2</w:t>
            </w:r>
          </w:p>
        </w:tc>
        <w:tc>
          <w:tcPr>
            <w:tcW w:w="761" w:type="pct"/>
            <w:vAlign w:val="center"/>
          </w:tcPr>
          <w:p>
            <w:pPr>
              <w:pStyle w:val="139"/>
              <w:spacing w:line="240" w:lineRule="auto"/>
            </w:pPr>
            <w:r>
              <w:t>干2+200</w:t>
            </w:r>
          </w:p>
        </w:tc>
        <w:tc>
          <w:tcPr>
            <w:tcW w:w="761" w:type="pct"/>
            <w:vAlign w:val="center"/>
          </w:tcPr>
          <w:p>
            <w:pPr>
              <w:pStyle w:val="139"/>
              <w:spacing w:line="240" w:lineRule="auto"/>
            </w:pPr>
            <w:r>
              <w:t>干渠管线及尖佛山隧洞</w:t>
            </w:r>
          </w:p>
        </w:tc>
        <w:tc>
          <w:tcPr>
            <w:tcW w:w="714" w:type="pct"/>
            <w:vAlign w:val="center"/>
          </w:tcPr>
          <w:p>
            <w:pPr>
              <w:pStyle w:val="139"/>
              <w:spacing w:line="240" w:lineRule="auto"/>
            </w:pPr>
            <w:r>
              <w:t>0.68</w:t>
            </w:r>
          </w:p>
        </w:tc>
        <w:tc>
          <w:tcPr>
            <w:tcW w:w="761" w:type="pct"/>
            <w:vAlign w:val="center"/>
          </w:tcPr>
          <w:p>
            <w:pPr>
              <w:pStyle w:val="139"/>
              <w:spacing w:line="240" w:lineRule="auto"/>
            </w:pPr>
            <w:r>
              <w:t>3.40</w:t>
            </w:r>
          </w:p>
        </w:tc>
        <w:tc>
          <w:tcPr>
            <w:tcW w:w="812" w:type="pct"/>
            <w:vAlign w:val="center"/>
          </w:tcPr>
          <w:p>
            <w:pPr>
              <w:pStyle w:val="139"/>
              <w:spacing w:line="240" w:lineRule="auto"/>
            </w:pPr>
            <w:r>
              <w:t>3</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pStyle w:val="139"/>
              <w:spacing w:line="240" w:lineRule="auto"/>
            </w:pPr>
            <w:r>
              <w:t>3</w:t>
            </w:r>
          </w:p>
        </w:tc>
        <w:tc>
          <w:tcPr>
            <w:tcW w:w="761" w:type="pct"/>
            <w:vAlign w:val="center"/>
          </w:tcPr>
          <w:p>
            <w:pPr>
              <w:pStyle w:val="139"/>
              <w:spacing w:line="240" w:lineRule="auto"/>
            </w:pPr>
            <w:r>
              <w:t>干4+600</w:t>
            </w:r>
          </w:p>
        </w:tc>
        <w:tc>
          <w:tcPr>
            <w:tcW w:w="761" w:type="pct"/>
            <w:vAlign w:val="center"/>
          </w:tcPr>
          <w:p>
            <w:pPr>
              <w:pStyle w:val="139"/>
              <w:spacing w:line="240" w:lineRule="auto"/>
            </w:pPr>
            <w:r>
              <w:t>干渠管线及代洛山隧洞</w:t>
            </w:r>
          </w:p>
        </w:tc>
        <w:tc>
          <w:tcPr>
            <w:tcW w:w="714" w:type="pct"/>
            <w:vAlign w:val="center"/>
          </w:tcPr>
          <w:p>
            <w:pPr>
              <w:pStyle w:val="139"/>
              <w:spacing w:line="240" w:lineRule="auto"/>
            </w:pPr>
            <w:r>
              <w:t>2.30</w:t>
            </w:r>
          </w:p>
        </w:tc>
        <w:tc>
          <w:tcPr>
            <w:tcW w:w="761" w:type="pct"/>
            <w:vAlign w:val="center"/>
          </w:tcPr>
          <w:p>
            <w:pPr>
              <w:pStyle w:val="139"/>
              <w:spacing w:line="240" w:lineRule="auto"/>
            </w:pPr>
            <w:r>
              <w:t>17.22</w:t>
            </w:r>
          </w:p>
        </w:tc>
        <w:tc>
          <w:tcPr>
            <w:tcW w:w="812" w:type="pct"/>
            <w:vAlign w:val="center"/>
          </w:tcPr>
          <w:p>
            <w:pPr>
              <w:pStyle w:val="139"/>
              <w:spacing w:line="240" w:lineRule="auto"/>
            </w:pPr>
            <w:r>
              <w:t>2</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pStyle w:val="139"/>
              <w:spacing w:line="240" w:lineRule="auto"/>
            </w:pPr>
            <w:r>
              <w:t>4</w:t>
            </w:r>
          </w:p>
        </w:tc>
        <w:tc>
          <w:tcPr>
            <w:tcW w:w="761" w:type="pct"/>
            <w:vAlign w:val="center"/>
          </w:tcPr>
          <w:p>
            <w:pPr>
              <w:pStyle w:val="139"/>
              <w:spacing w:line="240" w:lineRule="auto"/>
            </w:pPr>
            <w:r>
              <w:t>干6+350</w:t>
            </w:r>
          </w:p>
        </w:tc>
        <w:tc>
          <w:tcPr>
            <w:tcW w:w="761" w:type="pct"/>
            <w:vAlign w:val="center"/>
          </w:tcPr>
          <w:p>
            <w:pPr>
              <w:pStyle w:val="139"/>
              <w:spacing w:line="240" w:lineRule="auto"/>
            </w:pPr>
            <w:r>
              <w:t>干渠管线及代洛山隧洞</w:t>
            </w:r>
          </w:p>
        </w:tc>
        <w:tc>
          <w:tcPr>
            <w:tcW w:w="714" w:type="pct"/>
            <w:vAlign w:val="center"/>
          </w:tcPr>
          <w:p>
            <w:pPr>
              <w:pStyle w:val="139"/>
              <w:spacing w:line="240" w:lineRule="auto"/>
            </w:pPr>
            <w:r>
              <w:t>0.27</w:t>
            </w:r>
          </w:p>
        </w:tc>
        <w:tc>
          <w:tcPr>
            <w:tcW w:w="761" w:type="pct"/>
            <w:vAlign w:val="center"/>
          </w:tcPr>
          <w:p>
            <w:pPr>
              <w:pStyle w:val="139"/>
              <w:spacing w:line="240" w:lineRule="auto"/>
            </w:pPr>
            <w:r>
              <w:t>2.70</w:t>
            </w:r>
          </w:p>
        </w:tc>
        <w:tc>
          <w:tcPr>
            <w:tcW w:w="812" w:type="pct"/>
            <w:vAlign w:val="center"/>
          </w:tcPr>
          <w:p>
            <w:pPr>
              <w:pStyle w:val="139"/>
              <w:spacing w:line="240" w:lineRule="auto"/>
            </w:pPr>
            <w:r>
              <w:t>2</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vAlign w:val="center"/>
          </w:tcPr>
          <w:p>
            <w:pPr>
              <w:pStyle w:val="139"/>
              <w:spacing w:line="240" w:lineRule="auto"/>
            </w:pPr>
            <w:r>
              <w:t>合计</w:t>
            </w:r>
          </w:p>
        </w:tc>
        <w:tc>
          <w:tcPr>
            <w:tcW w:w="761" w:type="pct"/>
            <w:vAlign w:val="center"/>
          </w:tcPr>
          <w:p>
            <w:pPr>
              <w:pStyle w:val="139"/>
              <w:spacing w:line="240" w:lineRule="auto"/>
            </w:pPr>
          </w:p>
        </w:tc>
        <w:tc>
          <w:tcPr>
            <w:tcW w:w="761" w:type="pct"/>
            <w:vAlign w:val="center"/>
          </w:tcPr>
          <w:p>
            <w:pPr>
              <w:pStyle w:val="139"/>
              <w:spacing w:line="240" w:lineRule="auto"/>
            </w:pPr>
          </w:p>
        </w:tc>
        <w:tc>
          <w:tcPr>
            <w:tcW w:w="714" w:type="pct"/>
            <w:vAlign w:val="center"/>
          </w:tcPr>
          <w:p>
            <w:pPr>
              <w:pStyle w:val="139"/>
              <w:spacing w:line="240" w:lineRule="auto"/>
            </w:pPr>
            <w:r>
              <w:t>3.75</w:t>
            </w:r>
          </w:p>
        </w:tc>
        <w:tc>
          <w:tcPr>
            <w:tcW w:w="761" w:type="pct"/>
            <w:vAlign w:val="center"/>
          </w:tcPr>
          <w:p>
            <w:pPr>
              <w:pStyle w:val="139"/>
              <w:spacing w:line="240" w:lineRule="auto"/>
            </w:pPr>
            <w:r>
              <w:t>25.44</w:t>
            </w:r>
          </w:p>
        </w:tc>
        <w:tc>
          <w:tcPr>
            <w:tcW w:w="812" w:type="pct"/>
            <w:vAlign w:val="center"/>
          </w:tcPr>
          <w:p>
            <w:pPr>
              <w:pStyle w:val="139"/>
              <w:spacing w:line="240" w:lineRule="auto"/>
            </w:pPr>
          </w:p>
        </w:tc>
        <w:tc>
          <w:tcPr>
            <w:tcW w:w="427" w:type="pct"/>
            <w:vAlign w:val="center"/>
          </w:tcPr>
          <w:p>
            <w:pPr>
              <w:pStyle w:val="139"/>
              <w:spacing w:line="240" w:lineRule="auto"/>
            </w:pPr>
          </w:p>
        </w:tc>
      </w:tr>
    </w:tbl>
    <w:p>
      <w:pPr>
        <w:pStyle w:val="5"/>
        <w:ind w:firstLine="0" w:firstLineChars="0"/>
        <w:contextualSpacing/>
        <w:rPr>
          <w:rFonts w:ascii="Times New Roman" w:hAnsi="Times New Roman"/>
        </w:rPr>
      </w:pPr>
      <w:r>
        <w:rPr>
          <w:rFonts w:ascii="Times New Roman" w:hAnsi="Times New Roman"/>
        </w:rPr>
        <w:t>2.3.6</w:t>
      </w:r>
      <w:r>
        <w:rPr>
          <w:rFonts w:hint="eastAsia" w:ascii="Times New Roman" w:hAnsi="Times New Roman"/>
        </w:rPr>
        <w:t>临时</w:t>
      </w:r>
      <w:r>
        <w:rPr>
          <w:rFonts w:ascii="Times New Roman" w:hAnsi="宋体"/>
        </w:rPr>
        <w:t>施工占地</w:t>
      </w:r>
    </w:p>
    <w:p>
      <w:pPr>
        <w:spacing w:line="160" w:lineRule="exact"/>
        <w:ind w:firstLine="422"/>
        <w:contextualSpacing/>
        <w:jc w:val="center"/>
        <w:rPr>
          <w:b/>
          <w:bCs/>
          <w:sz w:val="21"/>
          <w:szCs w:val="21"/>
        </w:rPr>
      </w:pPr>
    </w:p>
    <w:p>
      <w:pPr>
        <w:ind w:firstLine="0" w:firstLineChars="0"/>
        <w:contextualSpacing/>
        <w:outlineLvl w:val="3"/>
        <w:rPr>
          <w:b/>
          <w:bCs/>
        </w:rPr>
      </w:pPr>
      <w:r>
        <w:rPr>
          <w:rFonts w:hint="eastAsia"/>
          <w:b/>
          <w:bCs/>
        </w:rPr>
        <w:t>2</w:t>
      </w:r>
      <w:r>
        <w:rPr>
          <w:b/>
          <w:bCs/>
        </w:rPr>
        <w:t>.3.6.1</w:t>
      </w:r>
      <w:r>
        <w:rPr>
          <w:rFonts w:hint="eastAsia"/>
          <w:b/>
          <w:bCs/>
        </w:rPr>
        <w:t>枢纽工程</w:t>
      </w:r>
    </w:p>
    <w:p>
      <w:pPr>
        <w:ind w:firstLine="420" w:firstLineChars="0"/>
        <w:contextualSpacing/>
      </w:pPr>
      <w:r>
        <w:t>根据水工建筑物布置及施工总布置规划，枢纽工程施工临时占地201.37亩，其中生产用房及仓库占地9.50亩，生活福利占地9.90亩，临时堆料场占地5.70亩，弃渣场占地53.10亩，石料场占地32.02亩，施工道路占地91.15亩。</w:t>
      </w:r>
    </w:p>
    <w:p>
      <w:pPr>
        <w:ind w:firstLine="0" w:firstLineChars="0"/>
        <w:contextualSpacing/>
        <w:jc w:val="center"/>
        <w:rPr>
          <w:rFonts w:hAnsi="宋体"/>
          <w:b/>
          <w:bCs/>
          <w:sz w:val="21"/>
          <w:szCs w:val="21"/>
        </w:rPr>
      </w:pPr>
      <w:r>
        <w:rPr>
          <w:rFonts w:hAnsi="宋体"/>
          <w:b/>
          <w:bCs/>
          <w:sz w:val="21"/>
          <w:szCs w:val="21"/>
        </w:rPr>
        <w:t>表8.1.7-6  枢纽工程施工临时占地统计表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614"/>
        <w:gridCol w:w="997"/>
        <w:gridCol w:w="707"/>
        <w:gridCol w:w="995"/>
        <w:gridCol w:w="804"/>
        <w:gridCol w:w="804"/>
        <w:gridCol w:w="804"/>
        <w:gridCol w:w="996"/>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pStyle w:val="139"/>
              <w:spacing w:line="240" w:lineRule="auto"/>
              <w:rPr>
                <w:rFonts w:cs="Times New Roman"/>
              </w:rPr>
            </w:pPr>
            <w:r>
              <w:rPr>
                <w:rFonts w:cs="Times New Roman"/>
              </w:rPr>
              <w:t>项目</w:t>
            </w:r>
          </w:p>
        </w:tc>
        <w:tc>
          <w:tcPr>
            <w:tcW w:w="360" w:type="pct"/>
            <w:vAlign w:val="center"/>
          </w:tcPr>
          <w:p>
            <w:pPr>
              <w:pStyle w:val="139"/>
              <w:spacing w:line="240" w:lineRule="auto"/>
              <w:rPr>
                <w:rFonts w:cs="Times New Roman"/>
              </w:rPr>
            </w:pPr>
            <w:r>
              <w:rPr>
                <w:rFonts w:cs="Times New Roman"/>
              </w:rPr>
              <w:t>单位</w:t>
            </w:r>
          </w:p>
        </w:tc>
        <w:tc>
          <w:tcPr>
            <w:tcW w:w="585" w:type="pct"/>
            <w:vAlign w:val="center"/>
          </w:tcPr>
          <w:p>
            <w:pPr>
              <w:pStyle w:val="139"/>
              <w:spacing w:line="240" w:lineRule="auto"/>
              <w:rPr>
                <w:rFonts w:cs="Times New Roman"/>
              </w:rPr>
            </w:pPr>
            <w:r>
              <w:rPr>
                <w:rFonts w:cs="Times New Roman"/>
              </w:rPr>
              <w:t>生产用房</w:t>
            </w:r>
          </w:p>
        </w:tc>
        <w:tc>
          <w:tcPr>
            <w:tcW w:w="415" w:type="pct"/>
            <w:vAlign w:val="center"/>
          </w:tcPr>
          <w:p>
            <w:pPr>
              <w:pStyle w:val="139"/>
              <w:spacing w:line="240" w:lineRule="auto"/>
              <w:rPr>
                <w:rFonts w:cs="Times New Roman"/>
              </w:rPr>
            </w:pPr>
            <w:r>
              <w:rPr>
                <w:rFonts w:cs="Times New Roman"/>
              </w:rPr>
              <w:t>仓 库</w:t>
            </w:r>
          </w:p>
        </w:tc>
        <w:tc>
          <w:tcPr>
            <w:tcW w:w="584" w:type="pct"/>
            <w:vAlign w:val="center"/>
          </w:tcPr>
          <w:p>
            <w:pPr>
              <w:pStyle w:val="139"/>
              <w:spacing w:line="240" w:lineRule="auto"/>
              <w:rPr>
                <w:rFonts w:cs="Times New Roman"/>
              </w:rPr>
            </w:pPr>
            <w:r>
              <w:rPr>
                <w:rFonts w:cs="Times New Roman"/>
              </w:rPr>
              <w:t>生产福利</w:t>
            </w:r>
          </w:p>
        </w:tc>
        <w:tc>
          <w:tcPr>
            <w:tcW w:w="472" w:type="pct"/>
            <w:vAlign w:val="center"/>
          </w:tcPr>
          <w:p>
            <w:pPr>
              <w:pStyle w:val="139"/>
              <w:spacing w:line="240" w:lineRule="auto"/>
              <w:rPr>
                <w:rFonts w:cs="Times New Roman"/>
              </w:rPr>
            </w:pPr>
            <w:r>
              <w:rPr>
                <w:rFonts w:cs="Times New Roman"/>
              </w:rPr>
              <w:t>堆料场</w:t>
            </w:r>
          </w:p>
        </w:tc>
        <w:tc>
          <w:tcPr>
            <w:tcW w:w="472" w:type="pct"/>
            <w:vAlign w:val="center"/>
          </w:tcPr>
          <w:p>
            <w:pPr>
              <w:pStyle w:val="139"/>
              <w:spacing w:line="240" w:lineRule="auto"/>
              <w:rPr>
                <w:rFonts w:cs="Times New Roman"/>
              </w:rPr>
            </w:pPr>
            <w:r>
              <w:rPr>
                <w:rFonts w:cs="Times New Roman"/>
              </w:rPr>
              <w:t>石料场</w:t>
            </w:r>
          </w:p>
        </w:tc>
        <w:tc>
          <w:tcPr>
            <w:tcW w:w="472" w:type="pct"/>
            <w:vAlign w:val="center"/>
          </w:tcPr>
          <w:p>
            <w:pPr>
              <w:pStyle w:val="139"/>
              <w:spacing w:line="240" w:lineRule="auto"/>
              <w:rPr>
                <w:rFonts w:cs="Times New Roman"/>
              </w:rPr>
            </w:pPr>
            <w:r>
              <w:rPr>
                <w:rFonts w:cs="Times New Roman"/>
              </w:rPr>
              <w:t>弃渣场</w:t>
            </w:r>
          </w:p>
        </w:tc>
        <w:tc>
          <w:tcPr>
            <w:tcW w:w="584" w:type="pct"/>
            <w:vAlign w:val="center"/>
          </w:tcPr>
          <w:p>
            <w:pPr>
              <w:pStyle w:val="139"/>
              <w:spacing w:line="240" w:lineRule="auto"/>
              <w:rPr>
                <w:rFonts w:cs="Times New Roman"/>
              </w:rPr>
            </w:pPr>
            <w:r>
              <w:rPr>
                <w:rFonts w:cs="Times New Roman"/>
              </w:rPr>
              <w:t>施工道路</w:t>
            </w:r>
          </w:p>
        </w:tc>
        <w:tc>
          <w:tcPr>
            <w:tcW w:w="469" w:type="pct"/>
            <w:vAlign w:val="center"/>
          </w:tcPr>
          <w:p>
            <w:pPr>
              <w:pStyle w:val="139"/>
              <w:spacing w:line="240" w:lineRule="auto"/>
              <w:rPr>
                <w:rFonts w:cs="Times New Roman"/>
              </w:rPr>
            </w:pPr>
            <w:r>
              <w:rPr>
                <w:rFonts w:cs="Times New Roman"/>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pStyle w:val="139"/>
              <w:spacing w:line="240" w:lineRule="auto"/>
              <w:rPr>
                <w:rFonts w:cs="Times New Roman"/>
              </w:rPr>
            </w:pPr>
            <w:r>
              <w:rPr>
                <w:rFonts w:cs="Times New Roman"/>
              </w:rPr>
              <w:t>库内占地</w:t>
            </w:r>
          </w:p>
        </w:tc>
        <w:tc>
          <w:tcPr>
            <w:tcW w:w="360" w:type="pct"/>
            <w:vAlign w:val="center"/>
          </w:tcPr>
          <w:p>
            <w:pPr>
              <w:pStyle w:val="139"/>
              <w:spacing w:line="240" w:lineRule="auto"/>
              <w:rPr>
                <w:rFonts w:cs="Times New Roman"/>
              </w:rPr>
            </w:pPr>
            <w:r>
              <w:rPr>
                <w:rFonts w:cs="Times New Roman"/>
              </w:rPr>
              <w:t>亩</w:t>
            </w:r>
          </w:p>
        </w:tc>
        <w:tc>
          <w:tcPr>
            <w:tcW w:w="585" w:type="pct"/>
            <w:vAlign w:val="center"/>
          </w:tcPr>
          <w:p>
            <w:pPr>
              <w:pStyle w:val="139"/>
              <w:spacing w:line="240" w:lineRule="auto"/>
              <w:rPr>
                <w:rFonts w:cs="Times New Roman"/>
              </w:rPr>
            </w:pPr>
          </w:p>
        </w:tc>
        <w:tc>
          <w:tcPr>
            <w:tcW w:w="415" w:type="pct"/>
            <w:vAlign w:val="center"/>
          </w:tcPr>
          <w:p>
            <w:pPr>
              <w:pStyle w:val="139"/>
              <w:spacing w:line="240" w:lineRule="auto"/>
              <w:rPr>
                <w:rFonts w:cs="Times New Roman"/>
              </w:rPr>
            </w:pPr>
          </w:p>
        </w:tc>
        <w:tc>
          <w:tcPr>
            <w:tcW w:w="584" w:type="pct"/>
            <w:vAlign w:val="center"/>
          </w:tcPr>
          <w:p>
            <w:pPr>
              <w:pStyle w:val="139"/>
              <w:spacing w:line="240" w:lineRule="auto"/>
              <w:rPr>
                <w:rFonts w:cs="Times New Roman"/>
              </w:rPr>
            </w:pPr>
          </w:p>
        </w:tc>
        <w:tc>
          <w:tcPr>
            <w:tcW w:w="472" w:type="pct"/>
            <w:vAlign w:val="center"/>
          </w:tcPr>
          <w:p>
            <w:pPr>
              <w:pStyle w:val="139"/>
              <w:spacing w:line="240" w:lineRule="auto"/>
              <w:rPr>
                <w:rFonts w:cs="Times New Roman"/>
              </w:rPr>
            </w:pPr>
          </w:p>
        </w:tc>
        <w:tc>
          <w:tcPr>
            <w:tcW w:w="472" w:type="pct"/>
            <w:vAlign w:val="center"/>
          </w:tcPr>
          <w:p>
            <w:pPr>
              <w:pStyle w:val="139"/>
              <w:spacing w:line="240" w:lineRule="auto"/>
              <w:rPr>
                <w:rFonts w:cs="Times New Roman"/>
              </w:rPr>
            </w:pPr>
            <w:r>
              <w:rPr>
                <w:rFonts w:cs="Times New Roman"/>
              </w:rPr>
              <w:t>26.21</w:t>
            </w:r>
          </w:p>
        </w:tc>
        <w:tc>
          <w:tcPr>
            <w:tcW w:w="472" w:type="pct"/>
            <w:vAlign w:val="center"/>
          </w:tcPr>
          <w:p>
            <w:pPr>
              <w:pStyle w:val="139"/>
              <w:spacing w:line="240" w:lineRule="auto"/>
              <w:rPr>
                <w:rFonts w:cs="Times New Roman"/>
              </w:rPr>
            </w:pPr>
            <w:r>
              <w:rPr>
                <w:rFonts w:cs="Times New Roman"/>
              </w:rPr>
              <w:t>25.60</w:t>
            </w:r>
          </w:p>
        </w:tc>
        <w:tc>
          <w:tcPr>
            <w:tcW w:w="584" w:type="pct"/>
            <w:noWrap/>
            <w:vAlign w:val="center"/>
          </w:tcPr>
          <w:p>
            <w:pPr>
              <w:pStyle w:val="139"/>
              <w:spacing w:line="240" w:lineRule="auto"/>
              <w:rPr>
                <w:rFonts w:cs="Times New Roman"/>
              </w:rPr>
            </w:pPr>
            <w:r>
              <w:rPr>
                <w:rFonts w:cs="Times New Roman"/>
              </w:rPr>
              <w:t>19.12</w:t>
            </w:r>
          </w:p>
        </w:tc>
        <w:tc>
          <w:tcPr>
            <w:tcW w:w="469" w:type="pct"/>
            <w:vAlign w:val="center"/>
          </w:tcPr>
          <w:p>
            <w:pPr>
              <w:pStyle w:val="139"/>
              <w:spacing w:line="240" w:lineRule="auto"/>
              <w:rPr>
                <w:rFonts w:cs="Times New Roman"/>
              </w:rPr>
            </w:pPr>
            <w:r>
              <w:rPr>
                <w:rFonts w:cs="Times New Roman"/>
              </w:rPr>
              <w:t>70.92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noWrap/>
            <w:vAlign w:val="center"/>
          </w:tcPr>
          <w:p>
            <w:pPr>
              <w:pStyle w:val="139"/>
              <w:spacing w:line="240" w:lineRule="auto"/>
              <w:rPr>
                <w:rFonts w:cs="Times New Roman"/>
              </w:rPr>
            </w:pPr>
            <w:r>
              <w:rPr>
                <w:rFonts w:cs="Times New Roman"/>
              </w:rPr>
              <w:t>库外占地</w:t>
            </w:r>
          </w:p>
        </w:tc>
        <w:tc>
          <w:tcPr>
            <w:tcW w:w="360" w:type="pct"/>
            <w:vAlign w:val="center"/>
          </w:tcPr>
          <w:p>
            <w:pPr>
              <w:pStyle w:val="139"/>
              <w:spacing w:line="240" w:lineRule="auto"/>
              <w:rPr>
                <w:rFonts w:cs="Times New Roman"/>
              </w:rPr>
            </w:pPr>
            <w:r>
              <w:rPr>
                <w:rFonts w:cs="Times New Roman"/>
              </w:rPr>
              <w:t>亩</w:t>
            </w:r>
          </w:p>
        </w:tc>
        <w:tc>
          <w:tcPr>
            <w:tcW w:w="585" w:type="pct"/>
            <w:noWrap/>
            <w:vAlign w:val="center"/>
          </w:tcPr>
          <w:p>
            <w:pPr>
              <w:pStyle w:val="139"/>
              <w:spacing w:line="240" w:lineRule="auto"/>
              <w:rPr>
                <w:rFonts w:cs="Times New Roman"/>
              </w:rPr>
            </w:pPr>
            <w:r>
              <w:rPr>
                <w:rFonts w:cs="Times New Roman"/>
              </w:rPr>
              <w:t>6.40</w:t>
            </w:r>
          </w:p>
        </w:tc>
        <w:tc>
          <w:tcPr>
            <w:tcW w:w="415" w:type="pct"/>
            <w:noWrap/>
            <w:vAlign w:val="center"/>
          </w:tcPr>
          <w:p>
            <w:pPr>
              <w:pStyle w:val="139"/>
              <w:spacing w:line="240" w:lineRule="auto"/>
              <w:rPr>
                <w:rFonts w:cs="Times New Roman"/>
              </w:rPr>
            </w:pPr>
            <w:r>
              <w:rPr>
                <w:rFonts w:cs="Times New Roman"/>
              </w:rPr>
              <w:t>3.10</w:t>
            </w:r>
          </w:p>
        </w:tc>
        <w:tc>
          <w:tcPr>
            <w:tcW w:w="584" w:type="pct"/>
            <w:noWrap/>
            <w:vAlign w:val="center"/>
          </w:tcPr>
          <w:p>
            <w:pPr>
              <w:pStyle w:val="139"/>
              <w:spacing w:line="240" w:lineRule="auto"/>
              <w:rPr>
                <w:rFonts w:cs="Times New Roman"/>
              </w:rPr>
            </w:pPr>
            <w:r>
              <w:rPr>
                <w:rFonts w:cs="Times New Roman"/>
              </w:rPr>
              <w:t>9.90</w:t>
            </w:r>
          </w:p>
        </w:tc>
        <w:tc>
          <w:tcPr>
            <w:tcW w:w="472" w:type="pct"/>
            <w:vAlign w:val="center"/>
          </w:tcPr>
          <w:p>
            <w:pPr>
              <w:pStyle w:val="139"/>
              <w:spacing w:line="240" w:lineRule="auto"/>
              <w:rPr>
                <w:rFonts w:cs="Times New Roman"/>
              </w:rPr>
            </w:pPr>
            <w:r>
              <w:rPr>
                <w:rFonts w:cs="Times New Roman"/>
              </w:rPr>
              <w:t>5.70</w:t>
            </w:r>
          </w:p>
        </w:tc>
        <w:tc>
          <w:tcPr>
            <w:tcW w:w="472" w:type="pct"/>
            <w:vAlign w:val="center"/>
          </w:tcPr>
          <w:p>
            <w:pPr>
              <w:pStyle w:val="139"/>
              <w:spacing w:line="240" w:lineRule="auto"/>
              <w:rPr>
                <w:rFonts w:cs="Times New Roman"/>
              </w:rPr>
            </w:pPr>
            <w:r>
              <w:rPr>
                <w:rFonts w:cs="Times New Roman"/>
              </w:rPr>
              <w:t>5.81</w:t>
            </w:r>
          </w:p>
        </w:tc>
        <w:tc>
          <w:tcPr>
            <w:tcW w:w="472" w:type="pct"/>
            <w:noWrap/>
            <w:vAlign w:val="center"/>
          </w:tcPr>
          <w:p>
            <w:pPr>
              <w:pStyle w:val="139"/>
              <w:spacing w:line="240" w:lineRule="auto"/>
              <w:rPr>
                <w:rFonts w:cs="Times New Roman"/>
              </w:rPr>
            </w:pPr>
            <w:r>
              <w:rPr>
                <w:rFonts w:cs="Times New Roman"/>
              </w:rPr>
              <w:t>27.50</w:t>
            </w:r>
          </w:p>
        </w:tc>
        <w:tc>
          <w:tcPr>
            <w:tcW w:w="584" w:type="pct"/>
            <w:noWrap/>
            <w:vAlign w:val="center"/>
          </w:tcPr>
          <w:p>
            <w:pPr>
              <w:pStyle w:val="139"/>
              <w:spacing w:line="240" w:lineRule="auto"/>
              <w:rPr>
                <w:rFonts w:cs="Times New Roman"/>
              </w:rPr>
            </w:pPr>
            <w:r>
              <w:rPr>
                <w:rFonts w:cs="Times New Roman"/>
              </w:rPr>
              <w:t>72.04</w:t>
            </w:r>
          </w:p>
        </w:tc>
        <w:tc>
          <w:tcPr>
            <w:tcW w:w="469" w:type="pct"/>
            <w:vAlign w:val="center"/>
          </w:tcPr>
          <w:p>
            <w:pPr>
              <w:pStyle w:val="139"/>
              <w:spacing w:line="240" w:lineRule="auto"/>
              <w:rPr>
                <w:rFonts w:cs="Times New Roman"/>
              </w:rPr>
            </w:pPr>
            <w:r>
              <w:rPr>
                <w:rFonts w:cs="Times New Roman"/>
              </w:rPr>
              <w:t>130.45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noWrap/>
            <w:vAlign w:val="center"/>
          </w:tcPr>
          <w:p>
            <w:pPr>
              <w:pStyle w:val="139"/>
              <w:spacing w:line="240" w:lineRule="auto"/>
              <w:rPr>
                <w:rFonts w:cs="Times New Roman"/>
              </w:rPr>
            </w:pPr>
            <w:r>
              <w:rPr>
                <w:rFonts w:cs="Times New Roman"/>
              </w:rPr>
              <w:t>合计</w:t>
            </w:r>
          </w:p>
        </w:tc>
        <w:tc>
          <w:tcPr>
            <w:tcW w:w="360" w:type="pct"/>
            <w:vAlign w:val="center"/>
          </w:tcPr>
          <w:p>
            <w:pPr>
              <w:pStyle w:val="139"/>
              <w:spacing w:line="240" w:lineRule="auto"/>
              <w:rPr>
                <w:rFonts w:cs="Times New Roman"/>
              </w:rPr>
            </w:pPr>
            <w:r>
              <w:rPr>
                <w:rFonts w:cs="Times New Roman"/>
              </w:rPr>
              <w:t>亩</w:t>
            </w:r>
          </w:p>
        </w:tc>
        <w:tc>
          <w:tcPr>
            <w:tcW w:w="585" w:type="pct"/>
            <w:noWrap/>
            <w:vAlign w:val="center"/>
          </w:tcPr>
          <w:p>
            <w:pPr>
              <w:pStyle w:val="139"/>
              <w:spacing w:line="240" w:lineRule="auto"/>
              <w:rPr>
                <w:rFonts w:cs="Times New Roman"/>
              </w:rPr>
            </w:pPr>
            <w:r>
              <w:rPr>
                <w:rFonts w:cs="Times New Roman"/>
              </w:rPr>
              <w:t>6.40</w:t>
            </w:r>
          </w:p>
        </w:tc>
        <w:tc>
          <w:tcPr>
            <w:tcW w:w="415" w:type="pct"/>
            <w:noWrap/>
            <w:vAlign w:val="center"/>
          </w:tcPr>
          <w:p>
            <w:pPr>
              <w:pStyle w:val="139"/>
              <w:spacing w:line="240" w:lineRule="auto"/>
              <w:rPr>
                <w:rFonts w:cs="Times New Roman"/>
              </w:rPr>
            </w:pPr>
            <w:r>
              <w:rPr>
                <w:rFonts w:cs="Times New Roman"/>
              </w:rPr>
              <w:t>3.10</w:t>
            </w:r>
          </w:p>
        </w:tc>
        <w:tc>
          <w:tcPr>
            <w:tcW w:w="584" w:type="pct"/>
            <w:noWrap/>
            <w:vAlign w:val="center"/>
          </w:tcPr>
          <w:p>
            <w:pPr>
              <w:pStyle w:val="139"/>
              <w:spacing w:line="240" w:lineRule="auto"/>
              <w:rPr>
                <w:rFonts w:cs="Times New Roman"/>
              </w:rPr>
            </w:pPr>
            <w:r>
              <w:rPr>
                <w:rFonts w:cs="Times New Roman"/>
              </w:rPr>
              <w:t>9.90</w:t>
            </w:r>
          </w:p>
        </w:tc>
        <w:tc>
          <w:tcPr>
            <w:tcW w:w="472" w:type="pct"/>
            <w:vAlign w:val="center"/>
          </w:tcPr>
          <w:p>
            <w:pPr>
              <w:pStyle w:val="139"/>
              <w:spacing w:line="240" w:lineRule="auto"/>
              <w:rPr>
                <w:rFonts w:cs="Times New Roman"/>
              </w:rPr>
            </w:pPr>
            <w:r>
              <w:rPr>
                <w:rFonts w:cs="Times New Roman"/>
              </w:rPr>
              <w:t>5.70</w:t>
            </w:r>
          </w:p>
        </w:tc>
        <w:tc>
          <w:tcPr>
            <w:tcW w:w="472" w:type="pct"/>
            <w:noWrap/>
            <w:vAlign w:val="center"/>
          </w:tcPr>
          <w:p>
            <w:pPr>
              <w:pStyle w:val="139"/>
              <w:spacing w:line="240" w:lineRule="auto"/>
              <w:rPr>
                <w:rFonts w:cs="Times New Roman"/>
              </w:rPr>
            </w:pPr>
            <w:r>
              <w:rPr>
                <w:rFonts w:cs="Times New Roman"/>
              </w:rPr>
              <w:t>32.02</w:t>
            </w:r>
          </w:p>
        </w:tc>
        <w:tc>
          <w:tcPr>
            <w:tcW w:w="472" w:type="pct"/>
            <w:noWrap/>
            <w:vAlign w:val="center"/>
          </w:tcPr>
          <w:p>
            <w:pPr>
              <w:pStyle w:val="139"/>
              <w:spacing w:line="240" w:lineRule="auto"/>
              <w:rPr>
                <w:rFonts w:cs="Times New Roman"/>
              </w:rPr>
            </w:pPr>
            <w:r>
              <w:rPr>
                <w:rFonts w:cs="Times New Roman"/>
              </w:rPr>
              <w:t>53.10</w:t>
            </w:r>
          </w:p>
        </w:tc>
        <w:tc>
          <w:tcPr>
            <w:tcW w:w="584" w:type="pct"/>
            <w:noWrap/>
            <w:vAlign w:val="center"/>
          </w:tcPr>
          <w:p>
            <w:pPr>
              <w:pStyle w:val="139"/>
              <w:spacing w:line="240" w:lineRule="auto"/>
              <w:rPr>
                <w:rFonts w:cs="Times New Roman"/>
              </w:rPr>
            </w:pPr>
            <w:r>
              <w:rPr>
                <w:rFonts w:cs="Times New Roman"/>
              </w:rPr>
              <w:t>91.15</w:t>
            </w:r>
          </w:p>
        </w:tc>
        <w:tc>
          <w:tcPr>
            <w:tcW w:w="469" w:type="pct"/>
            <w:vAlign w:val="center"/>
          </w:tcPr>
          <w:p>
            <w:pPr>
              <w:pStyle w:val="139"/>
              <w:spacing w:line="240" w:lineRule="auto"/>
              <w:rPr>
                <w:rFonts w:cs="Times New Roman"/>
              </w:rPr>
            </w:pPr>
            <w:r>
              <w:rPr>
                <w:rFonts w:cs="Times New Roman"/>
              </w:rPr>
              <w:t>201.37</w:t>
            </w:r>
          </w:p>
        </w:tc>
      </w:tr>
    </w:tbl>
    <w:p>
      <w:pPr>
        <w:ind w:firstLine="0" w:firstLineChars="0"/>
        <w:contextualSpacing/>
        <w:outlineLvl w:val="3"/>
        <w:rPr>
          <w:b/>
          <w:bCs/>
        </w:rPr>
      </w:pPr>
      <w:r>
        <w:rPr>
          <w:rFonts w:hint="eastAsia"/>
          <w:b/>
          <w:bCs/>
        </w:rPr>
        <w:t>2</w:t>
      </w:r>
      <w:r>
        <w:rPr>
          <w:b/>
          <w:bCs/>
        </w:rPr>
        <w:t>.3.6.2</w:t>
      </w:r>
      <w:r>
        <w:rPr>
          <w:rFonts w:hint="eastAsia"/>
          <w:b/>
          <w:bCs/>
        </w:rPr>
        <w:t>渠道工程</w:t>
      </w:r>
    </w:p>
    <w:p>
      <w:pPr>
        <w:ind w:firstLine="420" w:firstLineChars="0"/>
        <w:contextualSpacing/>
      </w:pPr>
      <w:r>
        <w:t>根据水工建筑物布置及施工总布置规划，渠道及供水工程施工占地65.26亩，其中生产用房占地5.94亩，仓库占地2.40亩，生活福利占地9.90亩，弃渣场占地25.44亩，施工道路占地21.59亩。</w:t>
      </w:r>
    </w:p>
    <w:p>
      <w:pPr>
        <w:ind w:firstLine="0" w:firstLineChars="0"/>
        <w:contextualSpacing/>
        <w:jc w:val="center"/>
        <w:rPr>
          <w:rFonts w:hAnsi="宋体"/>
          <w:b/>
          <w:bCs/>
          <w:sz w:val="21"/>
          <w:szCs w:val="21"/>
        </w:rPr>
      </w:pPr>
      <w:r>
        <w:rPr>
          <w:rFonts w:hAnsi="宋体"/>
          <w:b/>
          <w:bCs/>
          <w:sz w:val="21"/>
          <w:szCs w:val="21"/>
        </w:rPr>
        <w:t>表8.2.7-7  渠道工程施工临时占地统计表</w:t>
      </w:r>
    </w:p>
    <w:tbl>
      <w:tblPr>
        <w:tblStyle w:val="38"/>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4"/>
        <w:gridCol w:w="1217"/>
        <w:gridCol w:w="1171"/>
        <w:gridCol w:w="1171"/>
        <w:gridCol w:w="1171"/>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vMerge w:val="restart"/>
            <w:tcMar>
              <w:top w:w="15" w:type="dxa"/>
              <w:left w:w="15" w:type="dxa"/>
              <w:bottom w:w="0" w:type="dxa"/>
              <w:right w:w="15" w:type="dxa"/>
            </w:tcMar>
            <w:vAlign w:val="center"/>
          </w:tcPr>
          <w:p>
            <w:pPr>
              <w:pStyle w:val="139"/>
              <w:spacing w:line="240" w:lineRule="auto"/>
            </w:pPr>
            <w:r>
              <w:t>项目</w:t>
            </w:r>
          </w:p>
        </w:tc>
        <w:tc>
          <w:tcPr>
            <w:tcW w:w="746" w:type="pct"/>
            <w:tcMar>
              <w:top w:w="15" w:type="dxa"/>
              <w:left w:w="15" w:type="dxa"/>
              <w:bottom w:w="0" w:type="dxa"/>
              <w:right w:w="15" w:type="dxa"/>
            </w:tcMar>
            <w:vAlign w:val="center"/>
          </w:tcPr>
          <w:p>
            <w:pPr>
              <w:pStyle w:val="139"/>
              <w:spacing w:line="240" w:lineRule="auto"/>
            </w:pPr>
            <w:r>
              <w:t>生产用房</w:t>
            </w:r>
          </w:p>
        </w:tc>
        <w:tc>
          <w:tcPr>
            <w:tcW w:w="718" w:type="pct"/>
            <w:tcMar>
              <w:top w:w="15" w:type="dxa"/>
              <w:left w:w="15" w:type="dxa"/>
              <w:bottom w:w="0" w:type="dxa"/>
              <w:right w:w="15" w:type="dxa"/>
            </w:tcMar>
            <w:vAlign w:val="center"/>
          </w:tcPr>
          <w:p>
            <w:pPr>
              <w:pStyle w:val="139"/>
              <w:spacing w:line="240" w:lineRule="auto"/>
            </w:pPr>
            <w:r>
              <w:t>仓库</w:t>
            </w:r>
          </w:p>
        </w:tc>
        <w:tc>
          <w:tcPr>
            <w:tcW w:w="718" w:type="pct"/>
            <w:tcMar>
              <w:top w:w="15" w:type="dxa"/>
              <w:left w:w="15" w:type="dxa"/>
              <w:bottom w:w="0" w:type="dxa"/>
              <w:right w:w="15" w:type="dxa"/>
            </w:tcMar>
            <w:vAlign w:val="center"/>
          </w:tcPr>
          <w:p>
            <w:pPr>
              <w:pStyle w:val="139"/>
              <w:spacing w:line="240" w:lineRule="auto"/>
            </w:pPr>
            <w:r>
              <w:t>办公生活福利</w:t>
            </w:r>
          </w:p>
        </w:tc>
        <w:tc>
          <w:tcPr>
            <w:tcW w:w="718" w:type="pct"/>
            <w:tcMar>
              <w:top w:w="15" w:type="dxa"/>
              <w:left w:w="15" w:type="dxa"/>
              <w:bottom w:w="0" w:type="dxa"/>
              <w:right w:w="15" w:type="dxa"/>
            </w:tcMar>
            <w:vAlign w:val="center"/>
          </w:tcPr>
          <w:p>
            <w:pPr>
              <w:pStyle w:val="139"/>
              <w:spacing w:line="240" w:lineRule="auto"/>
            </w:pPr>
            <w:r>
              <w:t>弃渣场</w:t>
            </w:r>
          </w:p>
        </w:tc>
        <w:tc>
          <w:tcPr>
            <w:tcW w:w="745" w:type="pct"/>
            <w:tcMar>
              <w:top w:w="15" w:type="dxa"/>
              <w:left w:w="15" w:type="dxa"/>
              <w:bottom w:w="0" w:type="dxa"/>
              <w:right w:w="15" w:type="dxa"/>
            </w:tcMar>
            <w:vAlign w:val="center"/>
          </w:tcPr>
          <w:p>
            <w:pPr>
              <w:pStyle w:val="139"/>
              <w:spacing w:line="240" w:lineRule="auto"/>
            </w:pPr>
            <w:r>
              <w:t>施工道路</w:t>
            </w:r>
          </w:p>
        </w:tc>
        <w:tc>
          <w:tcPr>
            <w:tcW w:w="745" w:type="pct"/>
            <w:tcMar>
              <w:top w:w="15" w:type="dxa"/>
              <w:left w:w="15" w:type="dxa"/>
              <w:bottom w:w="0" w:type="dxa"/>
              <w:right w:w="15" w:type="dxa"/>
            </w:tcMar>
            <w:vAlign w:val="center"/>
          </w:tcPr>
          <w:p>
            <w:pPr>
              <w:pStyle w:val="139"/>
              <w:spacing w:line="240" w:lineRule="auto"/>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vMerge w:val="continue"/>
            <w:vAlign w:val="center"/>
          </w:tcPr>
          <w:p>
            <w:pPr>
              <w:pStyle w:val="139"/>
              <w:spacing w:line="240" w:lineRule="auto"/>
            </w:pPr>
          </w:p>
        </w:tc>
        <w:tc>
          <w:tcPr>
            <w:tcW w:w="746" w:type="pct"/>
            <w:tcMar>
              <w:top w:w="15" w:type="dxa"/>
              <w:left w:w="15" w:type="dxa"/>
              <w:bottom w:w="0" w:type="dxa"/>
              <w:right w:w="15" w:type="dxa"/>
            </w:tcMar>
            <w:vAlign w:val="center"/>
          </w:tcPr>
          <w:p>
            <w:pPr>
              <w:pStyle w:val="139"/>
              <w:spacing w:line="240" w:lineRule="auto"/>
            </w:pPr>
            <w:r>
              <w:t>（亩）</w:t>
            </w:r>
          </w:p>
        </w:tc>
        <w:tc>
          <w:tcPr>
            <w:tcW w:w="718" w:type="pct"/>
            <w:tcMar>
              <w:top w:w="15" w:type="dxa"/>
              <w:left w:w="15" w:type="dxa"/>
              <w:bottom w:w="0" w:type="dxa"/>
              <w:right w:w="15" w:type="dxa"/>
            </w:tcMar>
            <w:vAlign w:val="center"/>
          </w:tcPr>
          <w:p>
            <w:pPr>
              <w:pStyle w:val="139"/>
              <w:spacing w:line="240" w:lineRule="auto"/>
            </w:pPr>
            <w:r>
              <w:t>（亩）</w:t>
            </w:r>
          </w:p>
        </w:tc>
        <w:tc>
          <w:tcPr>
            <w:tcW w:w="718" w:type="pct"/>
            <w:tcMar>
              <w:top w:w="15" w:type="dxa"/>
              <w:left w:w="15" w:type="dxa"/>
              <w:bottom w:w="0" w:type="dxa"/>
              <w:right w:w="15" w:type="dxa"/>
            </w:tcMar>
            <w:vAlign w:val="center"/>
          </w:tcPr>
          <w:p>
            <w:pPr>
              <w:pStyle w:val="139"/>
              <w:spacing w:line="240" w:lineRule="auto"/>
            </w:pPr>
            <w:r>
              <w:t>（亩）</w:t>
            </w:r>
          </w:p>
        </w:tc>
        <w:tc>
          <w:tcPr>
            <w:tcW w:w="718" w:type="pct"/>
            <w:tcMar>
              <w:top w:w="15" w:type="dxa"/>
              <w:left w:w="15" w:type="dxa"/>
              <w:bottom w:w="0" w:type="dxa"/>
              <w:right w:w="15" w:type="dxa"/>
            </w:tcMar>
            <w:vAlign w:val="center"/>
          </w:tcPr>
          <w:p>
            <w:pPr>
              <w:pStyle w:val="139"/>
              <w:spacing w:line="240" w:lineRule="auto"/>
            </w:pPr>
            <w:r>
              <w:t>（亩）</w:t>
            </w:r>
          </w:p>
        </w:tc>
        <w:tc>
          <w:tcPr>
            <w:tcW w:w="745" w:type="pct"/>
            <w:tcMar>
              <w:top w:w="15" w:type="dxa"/>
              <w:left w:w="15" w:type="dxa"/>
              <w:bottom w:w="0" w:type="dxa"/>
              <w:right w:w="15" w:type="dxa"/>
            </w:tcMar>
            <w:vAlign w:val="center"/>
          </w:tcPr>
          <w:p>
            <w:pPr>
              <w:pStyle w:val="139"/>
              <w:spacing w:line="240" w:lineRule="auto"/>
            </w:pPr>
            <w:r>
              <w:t>（亩）</w:t>
            </w:r>
          </w:p>
        </w:tc>
        <w:tc>
          <w:tcPr>
            <w:tcW w:w="745" w:type="pct"/>
            <w:tcMar>
              <w:top w:w="15" w:type="dxa"/>
              <w:left w:w="15" w:type="dxa"/>
              <w:bottom w:w="0" w:type="dxa"/>
              <w:right w:w="15" w:type="dxa"/>
            </w:tcMar>
            <w:vAlign w:val="center"/>
          </w:tcPr>
          <w:p>
            <w:pPr>
              <w:pStyle w:val="139"/>
              <w:spacing w:line="240" w:lineRule="auto"/>
            </w:pPr>
            <w: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tcMar>
              <w:top w:w="15" w:type="dxa"/>
              <w:left w:w="15" w:type="dxa"/>
              <w:bottom w:w="0" w:type="dxa"/>
              <w:right w:w="15" w:type="dxa"/>
            </w:tcMar>
            <w:vAlign w:val="center"/>
          </w:tcPr>
          <w:p>
            <w:pPr>
              <w:pStyle w:val="139"/>
              <w:spacing w:line="240" w:lineRule="auto"/>
            </w:pPr>
            <w:r>
              <w:t>占地</w:t>
            </w:r>
          </w:p>
        </w:tc>
        <w:tc>
          <w:tcPr>
            <w:tcW w:w="746" w:type="pct"/>
            <w:tcMar>
              <w:top w:w="15" w:type="dxa"/>
              <w:left w:w="15" w:type="dxa"/>
              <w:bottom w:w="0" w:type="dxa"/>
              <w:right w:w="15" w:type="dxa"/>
            </w:tcMar>
            <w:vAlign w:val="center"/>
          </w:tcPr>
          <w:p>
            <w:pPr>
              <w:pStyle w:val="139"/>
              <w:spacing w:line="240" w:lineRule="auto"/>
            </w:pPr>
            <w:r>
              <w:t>5.94</w:t>
            </w:r>
          </w:p>
        </w:tc>
        <w:tc>
          <w:tcPr>
            <w:tcW w:w="718" w:type="pct"/>
            <w:tcMar>
              <w:top w:w="15" w:type="dxa"/>
              <w:left w:w="15" w:type="dxa"/>
              <w:bottom w:w="0" w:type="dxa"/>
              <w:right w:w="15" w:type="dxa"/>
            </w:tcMar>
            <w:vAlign w:val="center"/>
          </w:tcPr>
          <w:p>
            <w:pPr>
              <w:pStyle w:val="139"/>
              <w:spacing w:line="240" w:lineRule="auto"/>
            </w:pPr>
            <w:r>
              <w:t>2.40</w:t>
            </w:r>
          </w:p>
        </w:tc>
        <w:tc>
          <w:tcPr>
            <w:tcW w:w="718" w:type="pct"/>
            <w:tcMar>
              <w:top w:w="15" w:type="dxa"/>
              <w:left w:w="15" w:type="dxa"/>
              <w:bottom w:w="0" w:type="dxa"/>
              <w:right w:w="15" w:type="dxa"/>
            </w:tcMar>
            <w:vAlign w:val="center"/>
          </w:tcPr>
          <w:p>
            <w:pPr>
              <w:pStyle w:val="139"/>
              <w:spacing w:line="240" w:lineRule="auto"/>
            </w:pPr>
            <w:r>
              <w:t>9.90</w:t>
            </w:r>
          </w:p>
        </w:tc>
        <w:tc>
          <w:tcPr>
            <w:tcW w:w="718" w:type="pct"/>
            <w:tcMar>
              <w:top w:w="15" w:type="dxa"/>
              <w:left w:w="15" w:type="dxa"/>
              <w:bottom w:w="0" w:type="dxa"/>
              <w:right w:w="15" w:type="dxa"/>
            </w:tcMar>
            <w:vAlign w:val="center"/>
          </w:tcPr>
          <w:p>
            <w:pPr>
              <w:pStyle w:val="139"/>
              <w:spacing w:line="240" w:lineRule="auto"/>
            </w:pPr>
            <w:r>
              <w:t>25.44</w:t>
            </w:r>
          </w:p>
        </w:tc>
        <w:tc>
          <w:tcPr>
            <w:tcW w:w="745" w:type="pct"/>
            <w:tcMar>
              <w:top w:w="15" w:type="dxa"/>
              <w:left w:w="15" w:type="dxa"/>
              <w:bottom w:w="0" w:type="dxa"/>
              <w:right w:w="15" w:type="dxa"/>
            </w:tcMar>
            <w:vAlign w:val="center"/>
          </w:tcPr>
          <w:p>
            <w:pPr>
              <w:pStyle w:val="139"/>
              <w:spacing w:line="240" w:lineRule="auto"/>
            </w:pPr>
            <w:r>
              <w:t>21.59</w:t>
            </w:r>
          </w:p>
        </w:tc>
        <w:tc>
          <w:tcPr>
            <w:tcW w:w="745" w:type="pct"/>
            <w:tcMar>
              <w:top w:w="15" w:type="dxa"/>
              <w:left w:w="15" w:type="dxa"/>
              <w:bottom w:w="0" w:type="dxa"/>
              <w:right w:w="15" w:type="dxa"/>
            </w:tcMar>
            <w:vAlign w:val="center"/>
          </w:tcPr>
          <w:p>
            <w:pPr>
              <w:pStyle w:val="139"/>
              <w:spacing w:line="240" w:lineRule="auto"/>
            </w:pPr>
            <w:r>
              <w:t>65.26</w:t>
            </w:r>
          </w:p>
        </w:tc>
      </w:tr>
    </w:tbl>
    <w:p>
      <w:pPr>
        <w:pStyle w:val="5"/>
        <w:ind w:firstLine="0" w:firstLineChars="0"/>
        <w:contextualSpacing/>
        <w:rPr>
          <w:rFonts w:ascii="Times New Roman" w:hAnsi="Times New Roman"/>
        </w:rPr>
      </w:pPr>
      <w:r>
        <w:rPr>
          <w:rFonts w:ascii="Times New Roman" w:hAnsi="Times New Roman"/>
        </w:rPr>
        <w:t>2.3.7</w:t>
      </w:r>
      <w:r>
        <w:rPr>
          <w:rFonts w:ascii="Times New Roman" w:hAnsi="宋体"/>
        </w:rPr>
        <w:t>工程施工</w:t>
      </w:r>
    </w:p>
    <w:p>
      <w:pPr>
        <w:ind w:firstLine="0" w:firstLineChars="0"/>
        <w:contextualSpacing/>
        <w:outlineLvl w:val="3"/>
        <w:rPr>
          <w:b/>
          <w:bCs/>
        </w:rPr>
      </w:pPr>
      <w:r>
        <w:rPr>
          <w:b/>
          <w:bCs/>
        </w:rPr>
        <w:t>2.3.7.1</w:t>
      </w:r>
      <w:r>
        <w:rPr>
          <w:rFonts w:hint="eastAsia"/>
          <w:b/>
          <w:bCs/>
        </w:rPr>
        <w:t>大</w:t>
      </w:r>
      <w:r>
        <w:rPr>
          <w:rFonts w:hAnsi="宋体"/>
          <w:b/>
          <w:bCs/>
        </w:rPr>
        <w:t>坝施工</w:t>
      </w:r>
    </w:p>
    <w:p>
      <w:pPr>
        <w:ind w:firstLine="424" w:firstLineChars="177"/>
        <w:contextualSpacing/>
        <w:rPr>
          <w:rFonts w:hint="eastAsia" w:hAnsi="宋体"/>
        </w:rPr>
      </w:pPr>
      <w:r>
        <w:rPr>
          <w:rFonts w:hint="eastAsia" w:hAnsi="宋体"/>
        </w:rPr>
        <w:t>1）大坝施工程序</w:t>
      </w:r>
    </w:p>
    <w:p>
      <w:pPr>
        <w:ind w:firstLine="424" w:firstLineChars="177"/>
        <w:contextualSpacing/>
        <w:rPr>
          <w:rFonts w:hint="eastAsia" w:hAnsi="宋体"/>
        </w:rPr>
      </w:pPr>
      <w:r>
        <w:rPr>
          <w:rFonts w:hint="eastAsia" w:hAnsi="宋体"/>
        </w:rPr>
        <w:t>大坝主要施工程序为：岸坡及坝基开挖→心墙基座混凝土浇筑→固结灌浆→帷幕灌浆→坝体填筑→反滤过渡料填筑及沥青混凝土心墙浇筑→坝顶及坡面工程施工→完工。</w:t>
      </w:r>
    </w:p>
    <w:p>
      <w:pPr>
        <w:ind w:firstLine="424" w:firstLineChars="177"/>
        <w:contextualSpacing/>
        <w:rPr>
          <w:rFonts w:hint="eastAsia" w:hAnsi="宋体"/>
        </w:rPr>
      </w:pPr>
      <w:r>
        <w:rPr>
          <w:rFonts w:hint="eastAsia" w:hAnsi="宋体"/>
        </w:rPr>
        <w:t>2）施工道路布置</w:t>
      </w:r>
    </w:p>
    <w:p>
      <w:pPr>
        <w:ind w:firstLine="424" w:firstLineChars="177"/>
        <w:contextualSpacing/>
        <w:rPr>
          <w:rFonts w:hint="eastAsia" w:hAnsi="宋体"/>
        </w:rPr>
      </w:pPr>
      <w:r>
        <w:rPr>
          <w:rFonts w:hint="eastAsia" w:hAnsi="宋体"/>
        </w:rPr>
        <w:t>为便于岸坡开挖和坝体填筑施工，并结合坝体填筑料料源分布情况，拟分别在大坝上、下游的左、右岸分高程（大坝上游右岸675.00m、585.00m至石料场公路，大坝下游左岸开挖出渣道路）布置施工道路，还布置有岸坡上坝公路与进场公路相接。</w:t>
      </w:r>
    </w:p>
    <w:p>
      <w:pPr>
        <w:ind w:firstLine="424" w:firstLineChars="177"/>
        <w:contextualSpacing/>
        <w:rPr>
          <w:rFonts w:hint="eastAsia" w:hAnsi="宋体"/>
        </w:rPr>
      </w:pPr>
      <w:r>
        <w:rPr>
          <w:rFonts w:hint="eastAsia" w:hAnsi="宋体"/>
        </w:rPr>
        <w:t>3）施工方法</w:t>
      </w:r>
    </w:p>
    <w:p>
      <w:pPr>
        <w:ind w:firstLine="424" w:firstLineChars="177"/>
        <w:contextualSpacing/>
        <w:rPr>
          <w:rFonts w:hint="eastAsia" w:hAnsi="宋体"/>
        </w:rPr>
      </w:pPr>
      <w:r>
        <w:rPr>
          <w:rFonts w:hint="eastAsia" w:hAnsi="宋体"/>
        </w:rPr>
        <w:t>基础开挖处理</w:t>
      </w:r>
    </w:p>
    <w:p>
      <w:pPr>
        <w:ind w:firstLine="424" w:firstLineChars="177"/>
        <w:contextualSpacing/>
        <w:rPr>
          <w:rFonts w:hint="eastAsia" w:hAnsi="宋体"/>
        </w:rPr>
      </w:pPr>
      <w:r>
        <w:rPr>
          <w:rFonts w:hint="eastAsia" w:hAnsi="宋体"/>
        </w:rPr>
        <w:t>开挖程序为：先岸坡后坝基，从上至下分层分梯段开挖。</w:t>
      </w:r>
    </w:p>
    <w:p>
      <w:pPr>
        <w:ind w:firstLine="424" w:firstLineChars="177"/>
        <w:contextualSpacing/>
        <w:rPr>
          <w:rFonts w:hint="eastAsia" w:hAnsi="宋体"/>
        </w:rPr>
      </w:pPr>
      <w:r>
        <w:rPr>
          <w:rFonts w:hint="eastAsia" w:hAnsi="宋体"/>
        </w:rPr>
        <w:t>坝肩开挖</w:t>
      </w:r>
    </w:p>
    <w:p>
      <w:pPr>
        <w:ind w:firstLine="424" w:firstLineChars="177"/>
        <w:contextualSpacing/>
        <w:rPr>
          <w:rFonts w:hint="eastAsia" w:hAnsi="宋体"/>
        </w:rPr>
      </w:pPr>
      <w:r>
        <w:rPr>
          <w:rFonts w:hint="eastAsia" w:hAnsi="宋体"/>
        </w:rPr>
        <w:t>先人工清除树木（桩根）杂草表面覆盖层，采用自上而下梯段开挖，平均开挖深度约5.0m，最大挖深约9.0m，采用100型潜孔钻钻孔，预裂松动爆破，220HP推土机集渣，1m3～2m3反铲挖掘机配15t～20t自卸汽车运输出渣至下游左岸堆渣场。岸坡开挖的石渣料可部分利用筑坝和土石回填，堆放到坝下游右岸临时堆放场，需二次转运。</w:t>
      </w:r>
    </w:p>
    <w:p>
      <w:pPr>
        <w:ind w:firstLine="424" w:firstLineChars="177"/>
        <w:contextualSpacing/>
        <w:rPr>
          <w:rFonts w:hint="eastAsia" w:hAnsi="宋体"/>
        </w:rPr>
      </w:pPr>
      <w:r>
        <w:rPr>
          <w:rFonts w:hint="eastAsia" w:hAnsi="宋体"/>
        </w:rPr>
        <w:t>基坑开挖</w:t>
      </w:r>
    </w:p>
    <w:p>
      <w:pPr>
        <w:ind w:firstLine="424" w:firstLineChars="177"/>
        <w:contextualSpacing/>
        <w:rPr>
          <w:rFonts w:hint="eastAsia" w:hAnsi="宋体"/>
        </w:rPr>
      </w:pPr>
      <w:r>
        <w:rPr>
          <w:rFonts w:hint="eastAsia" w:hAnsi="宋体"/>
        </w:rPr>
        <w:t>齿槽石方开挖采用自河槽中部拉槽开挖方式，沿坝轴线向两侧扩展的施工顺序，采用预留保护层的开挖方法，手风钻钻孔，周边预裂，浅孔松动爆破，辅以人工修坡拣底，开挖装车运输方法同坝肩开挖。</w:t>
      </w:r>
    </w:p>
    <w:p>
      <w:pPr>
        <w:ind w:firstLine="424" w:firstLineChars="177"/>
        <w:contextualSpacing/>
        <w:rPr>
          <w:rFonts w:hint="eastAsia" w:hAnsi="宋体"/>
        </w:rPr>
      </w:pPr>
      <w:r>
        <w:rPr>
          <w:rFonts w:hint="eastAsia" w:hAnsi="宋体"/>
        </w:rPr>
        <w:t>心墙基座混凝土浇筑</w:t>
      </w:r>
    </w:p>
    <w:p>
      <w:pPr>
        <w:ind w:firstLine="424" w:firstLineChars="177"/>
        <w:contextualSpacing/>
        <w:rPr>
          <w:rFonts w:hint="eastAsia" w:hAnsi="宋体"/>
        </w:rPr>
      </w:pPr>
      <w:r>
        <w:rPr>
          <w:rFonts w:hint="eastAsia" w:hAnsi="宋体"/>
        </w:rPr>
        <w:t>混凝土由下游生产区附近设置的JZC1000混凝土拌和机拌制，5t自卸汽车运输转溜槽入仓，振捣器捣实。</w:t>
      </w:r>
    </w:p>
    <w:p>
      <w:pPr>
        <w:ind w:firstLine="424" w:firstLineChars="177"/>
        <w:contextualSpacing/>
        <w:rPr>
          <w:rFonts w:hint="eastAsia" w:hAnsi="宋体"/>
        </w:rPr>
      </w:pPr>
      <w:r>
        <w:rPr>
          <w:rFonts w:hint="eastAsia" w:hAnsi="宋体"/>
        </w:rPr>
        <w:t>基础帷幕、固结灌浆</w:t>
      </w:r>
    </w:p>
    <w:p>
      <w:pPr>
        <w:ind w:firstLine="424" w:firstLineChars="177"/>
        <w:contextualSpacing/>
        <w:rPr>
          <w:rFonts w:hint="eastAsia" w:hAnsi="宋体"/>
        </w:rPr>
      </w:pPr>
      <w:r>
        <w:rPr>
          <w:rFonts w:hint="eastAsia" w:hAnsi="宋体"/>
        </w:rPr>
        <w:t>在已浇筑的混凝土盖板上进行帷幕灌浆。帷幕灌浆孔设2排，平行于坝轴线，排距2m，孔距2m，梅花形布置，伸入透水率10Lu岩层以下5m。帷幕灌浆深度12～27m，防渗线平面长397.43m。</w:t>
      </w:r>
    </w:p>
    <w:p>
      <w:pPr>
        <w:ind w:firstLine="424" w:firstLineChars="177"/>
        <w:contextualSpacing/>
        <w:rPr>
          <w:rFonts w:hint="eastAsia" w:hAnsi="宋体"/>
        </w:rPr>
      </w:pPr>
      <w:r>
        <w:rPr>
          <w:rFonts w:hint="eastAsia" w:hAnsi="宋体"/>
        </w:rPr>
        <w:t>在帷幕灌浆实施前，对心墙基础进行固结灌浆。共布置5排固结灌浆孔，其中2排固结灌浆孔与帷幕灌浆孔轴线一致，所以兼做帷幕灌浆孔，固结灌浆孔排距2m，孔距2m，梅花形布置，孔深入基岩5m。</w:t>
      </w:r>
    </w:p>
    <w:p>
      <w:pPr>
        <w:ind w:firstLine="424" w:firstLineChars="177"/>
        <w:contextualSpacing/>
        <w:rPr>
          <w:rFonts w:hint="eastAsia" w:hAnsi="宋体"/>
        </w:rPr>
      </w:pPr>
      <w:r>
        <w:rPr>
          <w:rFonts w:hint="eastAsia" w:hAnsi="宋体"/>
        </w:rPr>
        <w:t>根据两岸地形条件，大坝左岸坝肩地形较平缓，不设置灌浆平洞，右岸坝肩地形较陡，需设置灌浆平洞，平洞宽3.0m，高3.5m，长72m，灌浆完成后对其进行封堵。</w:t>
      </w:r>
    </w:p>
    <w:p>
      <w:pPr>
        <w:ind w:firstLine="424" w:firstLineChars="177"/>
        <w:contextualSpacing/>
        <w:rPr>
          <w:rFonts w:hint="eastAsia" w:hAnsi="宋体"/>
        </w:rPr>
      </w:pPr>
      <w:r>
        <w:rPr>
          <w:rFonts w:hint="eastAsia" w:hAnsi="宋体"/>
        </w:rPr>
        <w:t>为保证工程灌浆质量，灌浆遵循从上至下分序加密循环式灌浆的原则，其施工工艺为：定位→钻孔→冲洗→压水试验→灌浆→封孔。钻孔用XU—100、150型钻机钻孔，循环水用IS80-50-315型离心泵供水，扬程125m，功率37KW，出水量50m3/h。选用300L立式双桶灰浆机制浆，BW—250/50型中压泥浆泵灌注。</w:t>
      </w:r>
    </w:p>
    <w:p>
      <w:pPr>
        <w:ind w:firstLine="424" w:firstLineChars="177"/>
        <w:contextualSpacing/>
        <w:rPr>
          <w:rFonts w:hint="eastAsia" w:hAnsi="宋体"/>
        </w:rPr>
      </w:pPr>
      <w:r>
        <w:rPr>
          <w:rFonts w:hint="eastAsia" w:hAnsi="宋体"/>
        </w:rPr>
        <w:t>大坝施工</w:t>
      </w:r>
    </w:p>
    <w:p>
      <w:pPr>
        <w:ind w:firstLine="424" w:firstLineChars="177"/>
        <w:contextualSpacing/>
        <w:rPr>
          <w:rFonts w:hint="eastAsia" w:hAnsi="宋体"/>
        </w:rPr>
      </w:pPr>
      <w:r>
        <w:rPr>
          <w:rFonts w:hint="eastAsia" w:hAnsi="宋体"/>
        </w:rPr>
        <w:t>大坝填筑采用分期分块的施工方案，先抢筑度汛临时断面坝体，沥青混凝土心墙与过渡料同时上升，度汛后，滞后坝体随即跟进的施工方法。</w:t>
      </w:r>
    </w:p>
    <w:p>
      <w:pPr>
        <w:ind w:firstLine="424" w:firstLineChars="177"/>
        <w:contextualSpacing/>
        <w:rPr>
          <w:rFonts w:hint="eastAsia" w:hAnsi="宋体"/>
        </w:rPr>
      </w:pPr>
      <w:r>
        <w:rPr>
          <w:rFonts w:hint="eastAsia" w:hAnsi="宋体"/>
        </w:rPr>
        <w:t>坝体填筑分三期完成，一期填筑时段为第1年11月至第2年4月，填筑坝体度汛断面677.80m高程；二期填筑时段为第2年5月至7月，全断面填筑度汛坝体高程677.80m；三期填筑时段为第2年8月至第3年3月，将坝体填筑至697.00m设计高程。</w:t>
      </w:r>
    </w:p>
    <w:p>
      <w:pPr>
        <w:ind w:firstLine="424" w:firstLineChars="177"/>
        <w:contextualSpacing/>
        <w:rPr>
          <w:rFonts w:hint="eastAsia" w:hAnsi="宋体"/>
        </w:rPr>
      </w:pPr>
      <w:r>
        <w:rPr>
          <w:rFonts w:hint="eastAsia" w:hAnsi="宋体"/>
        </w:rPr>
        <w:t>坝体填筑</w:t>
      </w:r>
    </w:p>
    <w:p>
      <w:pPr>
        <w:ind w:firstLine="424" w:firstLineChars="177"/>
        <w:contextualSpacing/>
        <w:rPr>
          <w:rFonts w:hint="eastAsia" w:hAnsi="宋体"/>
        </w:rPr>
      </w:pPr>
      <w:r>
        <w:rPr>
          <w:rFonts w:hint="eastAsia" w:hAnsi="宋体"/>
        </w:rPr>
        <w:t>石渣料在库内蒋家河石渣料场开采，堆石料部分也在该石料场开采，相应料场拟分3～4个台阶4～6个工作面进行开采，料场表面覆盖层由1.2m3液压反铲挖掘机挖装，15～20t自卸汽车运输至石料弃渣场堆放。石料开挖选用100型潜孔钻钻孔，深孔挤压爆破，采用梯段式台阶法开采，周边永久边坡采用光面爆破，台阶高度约8～12m。料场开挖边坡1∶0.5，且边坡应分级设置马道。超径石在料场解小，选用移动空压机供风，手风钻钻孔，非电雷管爆破。石渣料用1.2m3～1.6m3液压反铲挖掘机挖装，15t～20t自卸汽车运输上坝。采用进占法铺料，220HP推土机平料，24.0t牵引式光面振动碾进退错距法碾压，初拟铺料厚度80cm，碾压8遍，边角、结合部位加强碾压，结合边碾压应重叠30cm，并用小型挖掘机处理好分离料及收坡。在大坝施工前应做碾压实验，碾压遍数和铺料厚度由试验确定。</w:t>
      </w:r>
    </w:p>
    <w:p>
      <w:pPr>
        <w:ind w:firstLine="424" w:firstLineChars="177"/>
        <w:contextualSpacing/>
        <w:rPr>
          <w:rFonts w:hint="eastAsia" w:hAnsi="宋体"/>
        </w:rPr>
      </w:pPr>
      <w:r>
        <w:rPr>
          <w:rFonts w:hint="eastAsia" w:hAnsi="宋体"/>
        </w:rPr>
        <w:t>垫层及过渡料铺筑</w:t>
      </w:r>
    </w:p>
    <w:p>
      <w:pPr>
        <w:ind w:firstLine="424" w:firstLineChars="177"/>
        <w:contextualSpacing/>
        <w:rPr>
          <w:rFonts w:hint="eastAsia" w:hAnsi="宋体"/>
        </w:rPr>
      </w:pPr>
      <w:r>
        <w:rPr>
          <w:rFonts w:hint="eastAsia" w:hAnsi="宋体"/>
        </w:rPr>
        <w:t>过渡料用3.0m3装载机装装运（从备料场装料），人工配合机械铺料，心墙两侧的过渡料应采用3.0t以下的小型振动碾同步碾压。过渡料的摊铺宽和厚度、碾压遍数根据设计密度要求通过试验确定。冬季施工坝壳料最多不高于一层，有利于骑缝碾压。</w:t>
      </w:r>
    </w:p>
    <w:p>
      <w:pPr>
        <w:ind w:firstLine="424" w:firstLineChars="177"/>
        <w:contextualSpacing/>
        <w:rPr>
          <w:rFonts w:hint="eastAsia" w:hAnsi="宋体"/>
        </w:rPr>
      </w:pPr>
      <w:r>
        <w:rPr>
          <w:rFonts w:hint="eastAsia" w:hAnsi="宋体"/>
        </w:rPr>
        <w:t>沥青混凝土心墙施工</w:t>
      </w:r>
    </w:p>
    <w:p>
      <w:pPr>
        <w:ind w:firstLine="424" w:firstLineChars="177"/>
        <w:contextualSpacing/>
        <w:rPr>
          <w:rFonts w:hAnsi="宋体"/>
        </w:rPr>
      </w:pPr>
      <w:r>
        <w:rPr>
          <w:rFonts w:hint="eastAsia" w:hAnsi="宋体"/>
        </w:rPr>
        <w:t>沥青混凝土料由设在坝下游的沥青混凝土拌和系统制备，配合比由试验确定。沥青混凝土施工要求在日平均气温5℃以上，日降雨量小于5mm的气象条件下施工。</w:t>
      </w:r>
    </w:p>
    <w:p>
      <w:pPr>
        <w:ind w:firstLine="424" w:firstLineChars="177"/>
        <w:contextualSpacing/>
        <w:rPr>
          <w:rFonts w:hint="eastAsia"/>
        </w:rPr>
      </w:pPr>
      <w:r>
        <w:rPr>
          <w:rFonts w:hint="eastAsia"/>
        </w:rPr>
        <w:t>沥青</w:t>
      </w:r>
      <w:r>
        <w:rPr>
          <w:rFonts w:hint="eastAsia" w:hAnsi="宋体"/>
        </w:rPr>
        <w:t>混凝土</w:t>
      </w:r>
      <w:r>
        <w:rPr>
          <w:rFonts w:hint="eastAsia"/>
        </w:rPr>
        <w:t>心墙施工宜遵循以下工艺流程：摊铺机就位→过渡料铺料→过渡料初碾→沥青混合料摊铺→搌布遮盖→沥青混凝土与过渡料同步碾压→过渡料终碾。</w:t>
      </w:r>
    </w:p>
    <w:p>
      <w:pPr>
        <w:ind w:firstLine="424" w:firstLineChars="177"/>
        <w:contextualSpacing/>
        <w:rPr>
          <w:rFonts w:hint="eastAsia"/>
        </w:rPr>
      </w:pPr>
      <w:r>
        <w:rPr>
          <w:rFonts w:hint="eastAsia" w:hAnsi="宋体"/>
        </w:rPr>
        <w:t>沥青混合料</w:t>
      </w:r>
      <w:r>
        <w:rPr>
          <w:rFonts w:hint="eastAsia"/>
        </w:rPr>
        <w:t>的摊铺：沥青混凝土心墙及过渡料应与坝壳料填筑同步上升，心墙及过渡料与相邻坝壳料的填筑高差应不大于800mm。沥青混合料的摊铺应采用专用摊铺机，摊铺速度以3m/min为宜，或通过现场摊铺试验确定。专用机械难以铺筑的部位可采用人工摊铺，用小型机械压实。沥青混合料摊铺厚度应为250mm，压实后为200±10mm（或通过试验确定）。人工摊铺时，每次铺筑前应根据沥青混凝土心墙和过渡层的结构要求及施工要求调校铺筑宽度、厚度等相关参数。连续铺筑2层及以上沥青混凝土时，下层沥青混凝土表面温度应降至90℃以下后方可摊铺上层沥青混合料。沥青混合料的入仓温度宜控制为140℃～170℃，或通过试验确定。</w:t>
      </w:r>
    </w:p>
    <w:p>
      <w:pPr>
        <w:ind w:firstLine="424" w:firstLineChars="177"/>
        <w:contextualSpacing/>
        <w:rPr>
          <w:rFonts w:hint="eastAsia"/>
        </w:rPr>
      </w:pPr>
      <w:r>
        <w:rPr>
          <w:rFonts w:hint="eastAsia"/>
        </w:rPr>
        <w:t>沥青混合料的碾压：心墙与过渡料平齐上升，骑缝碾压。沥青混合料宜选用小于2t的专用振动碾碾压。沥青混合料与过渡料的碾压宜按先过渡料后沥青混合料的次序或按试验确定的次序进行。沥青混合料的碾压应先无振碾压2遍，再有振碾压，最后再静碾2遍结束。碾压设备不得直接在混合料表面碾压，混合料摊铺后应立即用搌布遮盖，在搌布上面碾压，以免污染沥青混合料。碾压速度控制为30m/min。碾压遍数应按设计要求的密度通过试验确定。施工中应严格控制振碾碾压遍数，防止由于碾压遍数增多造成骨料下沉造成沥青含量分布不均。前后两段交接处应重叠碾压30～50cm。碾压时振动碾不得急刹车或横跨心墙行走、碾压。沥青混凝土与过渡层的结合部应进行骑缝碾压。沥青混合料碾压时应控制碾压温度，初碾温度不低于130℃，终碾温度不低于110℃，最佳碾压温度由试验确定。各种机械不得直接跨越心墙。需跨越心墙施工应搭设钢栈桥作业。沥青混凝土心墙施工时，在心墙两侧4.0m范围内不得使用10t以上的大型机械作业。</w:t>
      </w:r>
    </w:p>
    <w:p>
      <w:pPr>
        <w:ind w:firstLine="424" w:firstLineChars="177"/>
        <w:contextualSpacing/>
        <w:rPr>
          <w:rFonts w:hint="eastAsia"/>
        </w:rPr>
      </w:pPr>
      <w:r>
        <w:rPr>
          <w:rFonts w:hint="eastAsia"/>
        </w:rPr>
        <w:t>施工接缝及层面处理：与沥青混凝土相接的水泥混凝土表面应采取冲毛、刷毛等措施，将其表面的浮浆、乳皮、废渣及黏附污物等全部清理干净，并使表面干燥。经处理后的水泥混凝土表面，应均匀喷涂1～2遍稀释沥青，待稀释沥青干涸后，再铺设一层沥青砂浆。沥青混凝土心墙应采用水平分层，全轴线不分段一次摊铺的施工方法，心墙全线保持同一高程均衡上升施工，以避免横缝。当无法避免横缝时，其结合部应做成缓于1∶3的斜坡，上、下层横缝应错开2.0m以上。在已压实的心墙上继续铺筑前，应将结合面清理干净。沥青混凝土表面停歇时间较长时，应采取覆盖保护措施。继续铺筑时应将结合面清理干净，使其干燥并加热至70℃以上后，方可铺筑沥青混合料。沥青混凝土心墙钻孔取芯后留下的孔洞应及时回填，回填时应先将钻孔吹洗干净，蘸干孔内积水，用管式红外加热器将孔壁烘干并使沥青混凝土表面温度达到70℃以上，再用热沥青混合料按50mm层厚分层回填击实。沥青混凝土在正常施工和天气条件下，宜按每天铺筑两层控制施工，并以此协调大坝各填筑分区的进度安排。</w:t>
      </w:r>
    </w:p>
    <w:p>
      <w:pPr>
        <w:ind w:firstLine="424" w:firstLineChars="177"/>
        <w:contextualSpacing/>
        <w:rPr>
          <w:rFonts w:hint="eastAsia"/>
        </w:rPr>
      </w:pPr>
      <w:r>
        <w:rPr>
          <w:rFonts w:hint="eastAsia"/>
        </w:rPr>
        <w:t>坝顶防浪墙施工</w:t>
      </w:r>
    </w:p>
    <w:p>
      <w:pPr>
        <w:ind w:firstLine="424" w:firstLineChars="177"/>
        <w:contextualSpacing/>
        <w:rPr>
          <w:rFonts w:hint="eastAsia"/>
        </w:rPr>
      </w:pPr>
      <w:r>
        <w:rPr>
          <w:rFonts w:hint="eastAsia"/>
        </w:rPr>
        <w:t>坝顶防浪墙混凝土浇筑，混凝土采用商品混凝土，混凝土罐车或2m3装载机运输入仓，组合钢模板成型，插入式振捣器振捣密实，人工洒水养护。</w:t>
      </w:r>
    </w:p>
    <w:p>
      <w:pPr>
        <w:ind w:firstLine="424" w:firstLineChars="177"/>
        <w:contextualSpacing/>
        <w:rPr>
          <w:rFonts w:hint="eastAsia"/>
        </w:rPr>
      </w:pPr>
      <w:r>
        <w:rPr>
          <w:rFonts w:hint="eastAsia"/>
        </w:rPr>
        <w:t>混凝土框格草皮护坡</w:t>
      </w:r>
    </w:p>
    <w:p>
      <w:pPr>
        <w:ind w:firstLine="424" w:firstLineChars="177"/>
        <w:contextualSpacing/>
        <w:rPr>
          <w:rFonts w:hint="eastAsia"/>
        </w:rPr>
      </w:pPr>
      <w:r>
        <w:rPr>
          <w:rFonts w:hint="eastAsia"/>
        </w:rPr>
        <w:t>混凝土框格草皮护坡为大坝下游坝坡，混凝土采用商品混凝土，混凝土罐车或5t自卸汽车转脚轮车运输入仓，木模板支模，插入式振捣器振捣密实，人工洒水养护。草由人工种植，人力挑水浇灌。</w:t>
      </w:r>
    </w:p>
    <w:p>
      <w:pPr>
        <w:ind w:firstLine="0" w:firstLineChars="0"/>
        <w:contextualSpacing/>
        <w:outlineLvl w:val="3"/>
        <w:rPr>
          <w:b/>
          <w:bCs/>
        </w:rPr>
      </w:pPr>
      <w:r>
        <w:rPr>
          <w:b/>
          <w:bCs/>
        </w:rPr>
        <w:t>2.3.7.2</w:t>
      </w:r>
      <w:r>
        <w:rPr>
          <w:rFonts w:hint="eastAsia" w:hAnsi="宋体"/>
          <w:b/>
          <w:bCs/>
        </w:rPr>
        <w:t>隧洞</w:t>
      </w:r>
      <w:r>
        <w:rPr>
          <w:rFonts w:hAnsi="宋体"/>
          <w:b/>
          <w:bCs/>
        </w:rPr>
        <w:t>施工</w:t>
      </w:r>
    </w:p>
    <w:p>
      <w:pPr>
        <w:ind w:firstLine="480"/>
        <w:contextualSpacing/>
        <w:rPr>
          <w:rFonts w:hint="eastAsia" w:hAnsi="宋体"/>
        </w:rPr>
      </w:pPr>
      <w:r>
        <w:rPr>
          <w:rFonts w:hint="eastAsia" w:hAnsi="宋体"/>
        </w:rPr>
        <w:t>1）隧洞工程施工程序</w:t>
      </w:r>
    </w:p>
    <w:p>
      <w:pPr>
        <w:ind w:firstLine="480"/>
        <w:contextualSpacing/>
        <w:rPr>
          <w:rFonts w:hint="eastAsia" w:hAnsi="宋体"/>
        </w:rPr>
      </w:pPr>
      <w:r>
        <w:rPr>
          <w:rFonts w:hint="eastAsia" w:hAnsi="宋体"/>
        </w:rPr>
        <w:t>隧洞工程主要施工程序为：隧洞进出口开挖、锁口→洞身开挖、通风散烟、出渣→临时支护→洞身混凝土浇筑→回填灌浆→闸门安装施工→完工。</w:t>
      </w:r>
    </w:p>
    <w:p>
      <w:pPr>
        <w:ind w:firstLine="480"/>
        <w:contextualSpacing/>
        <w:rPr>
          <w:rFonts w:hint="eastAsia" w:hAnsi="宋体"/>
        </w:rPr>
      </w:pPr>
      <w:r>
        <w:rPr>
          <w:rFonts w:hint="eastAsia" w:hAnsi="宋体"/>
        </w:rPr>
        <w:t>2）施工道路布置</w:t>
      </w:r>
    </w:p>
    <w:p>
      <w:pPr>
        <w:ind w:firstLine="480"/>
        <w:contextualSpacing/>
        <w:rPr>
          <w:rFonts w:hint="eastAsia" w:hAnsi="宋体"/>
        </w:rPr>
      </w:pPr>
      <w:r>
        <w:rPr>
          <w:rFonts w:hint="eastAsia" w:hAnsi="宋体"/>
        </w:rPr>
        <w:t>隧洞进出口附近布置施工道路与现有施工道路及大坝施工主干道相接。</w:t>
      </w:r>
    </w:p>
    <w:p>
      <w:pPr>
        <w:ind w:firstLine="480"/>
        <w:contextualSpacing/>
        <w:rPr>
          <w:rFonts w:hint="eastAsia" w:hAnsi="宋体"/>
        </w:rPr>
      </w:pPr>
      <w:r>
        <w:rPr>
          <w:rFonts w:hint="eastAsia" w:hAnsi="宋体"/>
        </w:rPr>
        <w:t>3）施工方法</w:t>
      </w:r>
    </w:p>
    <w:p>
      <w:pPr>
        <w:ind w:firstLine="480"/>
        <w:contextualSpacing/>
        <w:rPr>
          <w:rFonts w:hint="eastAsia" w:hAnsi="宋体"/>
        </w:rPr>
      </w:pPr>
      <w:r>
        <w:rPr>
          <w:rFonts w:hint="eastAsia" w:hAnsi="宋体"/>
        </w:rPr>
        <w:t>进出口明挖</w:t>
      </w:r>
    </w:p>
    <w:p>
      <w:pPr>
        <w:ind w:firstLine="480"/>
        <w:contextualSpacing/>
        <w:rPr>
          <w:rFonts w:hint="eastAsia" w:hAnsi="宋体"/>
        </w:rPr>
      </w:pPr>
      <w:r>
        <w:rPr>
          <w:rFonts w:hint="eastAsia" w:hAnsi="宋体"/>
        </w:rPr>
        <w:t>隧洞进出口覆盖层及石方开挖，选用手风钻钻孔，电雷管浅孔松动爆破，人工撬挖松渣，选用1.0m3反铲挖装，5t自卸汽车运输弃渣。</w:t>
      </w:r>
    </w:p>
    <w:p>
      <w:pPr>
        <w:ind w:firstLine="480"/>
        <w:contextualSpacing/>
        <w:rPr>
          <w:rFonts w:hint="eastAsia" w:hAnsi="宋体"/>
        </w:rPr>
      </w:pPr>
      <w:r>
        <w:rPr>
          <w:rFonts w:hint="eastAsia" w:hAnsi="宋体"/>
        </w:rPr>
        <w:t>洞身开挖</w:t>
      </w:r>
    </w:p>
    <w:p>
      <w:pPr>
        <w:ind w:firstLine="480"/>
        <w:contextualSpacing/>
        <w:rPr>
          <w:rFonts w:hint="eastAsia" w:hAnsi="宋体"/>
        </w:rPr>
      </w:pPr>
      <w:r>
        <w:rPr>
          <w:rFonts w:hint="eastAsia" w:hAnsi="宋体"/>
        </w:rPr>
        <w:t>采用钻爆法施工，全断面掘进，循环作业。选用10m3/min空压机供风，气腿式风钻钻孔，周边钻光面孔，中间布置掏槽孔，毫秒延期（分段）电雷管爆破，轴流式通风机散烟，放空隧洞采用装岩机装渣，自卸汽车运输出渣；补水隧洞采用0.2m3装岩机装渣，人力推轻轨斗车运输出渣。补水隧洞较长，断面较小，为了加快施工进度，缩短循环作业时间，应选用大功率通风机散烟。</w:t>
      </w:r>
    </w:p>
    <w:p>
      <w:pPr>
        <w:ind w:firstLine="480"/>
        <w:contextualSpacing/>
        <w:rPr>
          <w:rFonts w:hint="eastAsia" w:hAnsi="宋体"/>
        </w:rPr>
      </w:pPr>
      <w:r>
        <w:rPr>
          <w:rFonts w:hint="eastAsia" w:hAnsi="宋体"/>
        </w:rPr>
        <w:t>隧洞衬砌</w:t>
      </w:r>
    </w:p>
    <w:p>
      <w:pPr>
        <w:ind w:firstLine="480"/>
        <w:contextualSpacing/>
        <w:rPr>
          <w:rFonts w:hint="eastAsia" w:hAnsi="宋体"/>
        </w:rPr>
      </w:pPr>
      <w:r>
        <w:rPr>
          <w:rFonts w:hint="eastAsia" w:hAnsi="宋体"/>
        </w:rPr>
        <w:t>隧洞衬砌采用先边墙顶拱、后底板的施工顺序进行。混凝土衬砌采用购买的商品混凝土罐车转隧洞进出口设置的混凝土泵入仓，混凝土采用钢模台车成型，补水洞用钢模板成型，钢筋人工绑扎。泵送混凝土入仓、插入式振捣器捣实。底部混凝土采用后退法施工，泵送混凝土入仓，辅以人工摊平，平板振捣器浇筑，人工收面抹光。</w:t>
      </w:r>
    </w:p>
    <w:p>
      <w:pPr>
        <w:ind w:firstLine="480"/>
        <w:contextualSpacing/>
        <w:rPr>
          <w:rFonts w:hint="eastAsia" w:hAnsi="宋体"/>
        </w:rPr>
      </w:pPr>
      <w:r>
        <w:rPr>
          <w:rFonts w:hint="eastAsia" w:hAnsi="宋体"/>
        </w:rPr>
        <w:t>启闭机房混凝土浇筑，采用3t井架卷扬机吊运入仓，钢筋人工绑扎，钢模板成型，插入式振捣器捣实。</w:t>
      </w:r>
    </w:p>
    <w:p>
      <w:pPr>
        <w:ind w:firstLine="480"/>
        <w:contextualSpacing/>
        <w:rPr>
          <w:rFonts w:hint="eastAsia" w:hAnsi="宋体"/>
        </w:rPr>
      </w:pPr>
      <w:r>
        <w:rPr>
          <w:rFonts w:hint="eastAsia" w:hAnsi="宋体"/>
        </w:rPr>
        <w:t>喷锚支护施工</w:t>
      </w:r>
    </w:p>
    <w:p>
      <w:pPr>
        <w:ind w:firstLine="480"/>
        <w:contextualSpacing/>
        <w:rPr>
          <w:rFonts w:hint="eastAsia" w:hAnsi="宋体"/>
        </w:rPr>
      </w:pPr>
      <w:r>
        <w:rPr>
          <w:rFonts w:hint="eastAsia" w:hAnsi="宋体"/>
        </w:rPr>
        <w:t>Ⅲ类围岩采用随机锚杆进行临时支护，局部采用8cm厚喷C20混凝土防止碎石崩落。</w:t>
      </w:r>
    </w:p>
    <w:p>
      <w:pPr>
        <w:ind w:firstLine="480"/>
        <w:contextualSpacing/>
        <w:rPr>
          <w:rFonts w:hint="eastAsia" w:hAnsi="宋体"/>
        </w:rPr>
      </w:pPr>
      <w:r>
        <w:rPr>
          <w:rFonts w:hint="eastAsia" w:hAnsi="宋体"/>
        </w:rPr>
        <w:t>Ⅳ类围岩采用砂浆锚杆挂网喷混凝土进行临时支护，锚杆采用Ф20钢筋，长度2.0m，间距1.0m，喷混凝土标号为C20，喷混凝土厚10cm。</w:t>
      </w:r>
    </w:p>
    <w:p>
      <w:pPr>
        <w:ind w:firstLine="480"/>
        <w:contextualSpacing/>
        <w:rPr>
          <w:rFonts w:hint="eastAsia" w:hAnsi="宋体"/>
        </w:rPr>
      </w:pPr>
      <w:r>
        <w:rPr>
          <w:rFonts w:hint="eastAsia" w:hAnsi="宋体"/>
        </w:rPr>
        <w:t>Ⅴ类围岩采用采用系统锚杆、网喷混凝土、工字钢拱架和超前锚杆等联合支护方案进行临时支护，锚杆采用Ф20钢筋，长度2.0m，间距2.0m，喷混凝土标号为C20，喷混凝土厚20cm，钢筋网采用ф6.5@200，工字钢拱架采用I14型号，间距0.8m/榀～1.0m/榀。</w:t>
      </w:r>
    </w:p>
    <w:p>
      <w:pPr>
        <w:ind w:firstLine="480"/>
        <w:contextualSpacing/>
        <w:rPr>
          <w:rFonts w:hint="eastAsia" w:hAnsi="宋体"/>
        </w:rPr>
      </w:pPr>
      <w:r>
        <w:rPr>
          <w:rFonts w:hint="eastAsia" w:hAnsi="宋体"/>
        </w:rPr>
        <w:t>锚杆施工的工艺流程为：测量定位—造孔—高压风清孔—拌和砂浆—注浆—安装锚杆—检测。</w:t>
      </w:r>
    </w:p>
    <w:p>
      <w:pPr>
        <w:ind w:firstLine="480"/>
        <w:contextualSpacing/>
        <w:rPr>
          <w:rFonts w:hAnsi="宋体"/>
        </w:rPr>
      </w:pPr>
      <w:r>
        <w:rPr>
          <w:rFonts w:hint="eastAsia" w:hAnsi="宋体"/>
        </w:rPr>
        <w:t>喷射混凝土采用湿喷法施工，混凝土购买商品混凝土获得，采用QPJ型混凝土喷射机喷射混凝土。</w:t>
      </w:r>
    </w:p>
    <w:p>
      <w:pPr>
        <w:ind w:firstLine="480"/>
        <w:contextualSpacing/>
        <w:rPr>
          <w:rFonts w:hint="eastAsia"/>
        </w:rPr>
      </w:pPr>
      <w:r>
        <w:rPr>
          <w:rFonts w:hint="eastAsia"/>
        </w:rPr>
        <w:t>回填灌浆</w:t>
      </w:r>
    </w:p>
    <w:p>
      <w:pPr>
        <w:ind w:firstLine="480"/>
        <w:contextualSpacing/>
        <w:rPr>
          <w:rFonts w:hint="eastAsia"/>
        </w:rPr>
      </w:pPr>
      <w:r>
        <w:rPr>
          <w:rFonts w:hint="eastAsia"/>
        </w:rPr>
        <w:t>回填灌浆指混凝土衬砌隧洞拱顶外围120°范围，钢筋混凝土衬砌段采用预埋灌浆管，管经50mm，素混凝土衬砌段采用风钻钻孔，钻孔深入基岩10cm，孔距3.0～4.0m，采取分序加密的原则，从低端向高端推进。灌注浆液采用水泥浆，顶部空腔较大地段采用水泥砂浆，砂灰比不大于200%。选用BW－250／50型灌浆泵灌注，灌浆压力：素混凝土按0.3MPa控制，钢筋混凝土按0.5Mpa控制。灌浆14天后进行质量检查，检查孔数量按灌浆总数的5%抽取，用水灰比2：1的浆液压入10min的水泥浆不超过10L即为合格，灌浆孔用砂浆封堵抹平。</w:t>
      </w:r>
    </w:p>
    <w:p>
      <w:pPr>
        <w:ind w:firstLine="0" w:firstLineChars="0"/>
        <w:contextualSpacing/>
        <w:outlineLvl w:val="3"/>
        <w:rPr>
          <w:b/>
          <w:bCs/>
        </w:rPr>
      </w:pPr>
      <w:r>
        <w:rPr>
          <w:b/>
          <w:bCs/>
        </w:rPr>
        <w:t>2.3.7.3</w:t>
      </w:r>
      <w:r>
        <w:rPr>
          <w:rFonts w:hAnsi="宋体"/>
          <w:b/>
          <w:bCs/>
        </w:rPr>
        <w:t>溢洪道施工</w:t>
      </w:r>
    </w:p>
    <w:p>
      <w:pPr>
        <w:ind w:firstLine="480"/>
        <w:contextualSpacing/>
        <w:rPr>
          <w:rFonts w:hint="eastAsia" w:hAnsi="宋体"/>
        </w:rPr>
      </w:pPr>
      <w:r>
        <w:rPr>
          <w:rFonts w:hint="eastAsia" w:hAnsi="宋体"/>
        </w:rPr>
        <w:t>1）土石方开挖</w:t>
      </w:r>
    </w:p>
    <w:p>
      <w:pPr>
        <w:ind w:firstLine="480"/>
        <w:contextualSpacing/>
        <w:rPr>
          <w:rFonts w:hint="eastAsia" w:hAnsi="宋体"/>
        </w:rPr>
      </w:pPr>
      <w:r>
        <w:rPr>
          <w:rFonts w:hint="eastAsia" w:hAnsi="宋体"/>
        </w:rPr>
        <w:t>采用从上至下分层开挖，手风钻钻孔，电雷管松动爆破，人工翻渣，形成平台后用YQ100型潜孔钻钻孔，周边预裂，电雷管松爆破，辅以人工拣底修坡，220HP推土机集渣，2m3～3m3装载机或1.6m3～3.0m3反铲装10～20t自卸汽车运输弃渣。</w:t>
      </w:r>
    </w:p>
    <w:p>
      <w:pPr>
        <w:ind w:firstLine="480"/>
        <w:contextualSpacing/>
        <w:rPr>
          <w:rFonts w:hint="eastAsia" w:hAnsi="宋体"/>
        </w:rPr>
      </w:pPr>
      <w:r>
        <w:rPr>
          <w:rFonts w:hint="eastAsia" w:hAnsi="宋体"/>
        </w:rPr>
        <w:t>2）混凝土浇筑</w:t>
      </w:r>
    </w:p>
    <w:p>
      <w:pPr>
        <w:ind w:firstLine="480"/>
        <w:contextualSpacing/>
        <w:rPr>
          <w:rFonts w:hint="eastAsia" w:hAnsi="宋体"/>
        </w:rPr>
      </w:pPr>
      <w:r>
        <w:rPr>
          <w:rFonts w:hint="eastAsia" w:hAnsi="宋体"/>
        </w:rPr>
        <w:t>混凝土浇筑采用购买商品混凝土获得，熟料由混凝土罐车运输经溜槽入仓，部分地方用手推车转运人工入仓，侧墙用组合钢模板成型，底板用滑模施工，附着式振捣器浇筑。高边墙部位辅脚手架，钢模成型，钢筋人工绑扎，胶轮车运输混凝土，人工入仓，插入式振捣器振岛密实，人工洒水养护。</w:t>
      </w:r>
    </w:p>
    <w:p>
      <w:pPr>
        <w:ind w:firstLine="480"/>
        <w:contextualSpacing/>
        <w:rPr>
          <w:rFonts w:hint="eastAsia" w:hAnsi="宋体"/>
        </w:rPr>
      </w:pPr>
      <w:r>
        <w:rPr>
          <w:rFonts w:hint="eastAsia" w:hAnsi="宋体"/>
        </w:rPr>
        <w:t>3）闸门及机电设备安装</w:t>
      </w:r>
    </w:p>
    <w:p>
      <w:pPr>
        <w:ind w:firstLine="480"/>
        <w:contextualSpacing/>
      </w:pPr>
      <w:r>
        <w:rPr>
          <w:rFonts w:hint="eastAsia" w:hAnsi="宋体"/>
        </w:rPr>
        <w:t>闸门由工厂制作，15t载重汽车运输到现场组装，10t汽车起重机吊装。机电设备用10t载重汽车运输到现场，10t汽车吊就位，人工安装。</w:t>
      </w:r>
    </w:p>
    <w:p>
      <w:pPr>
        <w:ind w:firstLine="0" w:firstLineChars="0"/>
        <w:contextualSpacing/>
        <w:outlineLvl w:val="3"/>
        <w:rPr>
          <w:b/>
          <w:bCs/>
        </w:rPr>
      </w:pPr>
      <w:r>
        <w:rPr>
          <w:b/>
          <w:bCs/>
        </w:rPr>
        <w:t>2.3.7.4</w:t>
      </w:r>
      <w:r>
        <w:rPr>
          <w:rFonts w:hint="eastAsia" w:hAnsi="宋体"/>
          <w:b/>
          <w:bCs/>
        </w:rPr>
        <w:t>渠道</w:t>
      </w:r>
      <w:r>
        <w:rPr>
          <w:rFonts w:hAnsi="宋体"/>
          <w:b/>
          <w:bCs/>
        </w:rPr>
        <w:t>施工</w:t>
      </w:r>
    </w:p>
    <w:p>
      <w:pPr>
        <w:ind w:firstLine="424" w:firstLineChars="177"/>
        <w:contextualSpacing/>
        <w:rPr>
          <w:rFonts w:hint="eastAsia" w:hAnsi="宋体"/>
        </w:rPr>
      </w:pPr>
      <w:r>
        <w:rPr>
          <w:rFonts w:hint="eastAsia" w:hAnsi="宋体"/>
        </w:rPr>
        <w:t>a）隧洞工程</w:t>
      </w:r>
    </w:p>
    <w:p>
      <w:pPr>
        <w:ind w:firstLine="424" w:firstLineChars="177"/>
        <w:contextualSpacing/>
        <w:rPr>
          <w:rFonts w:hint="eastAsia" w:hAnsi="宋体"/>
        </w:rPr>
      </w:pPr>
      <w:r>
        <w:rPr>
          <w:rFonts w:hint="eastAsia" w:hAnsi="宋体"/>
        </w:rPr>
        <w:t>渠道建筑物中设有隧洞共2座（尖佛山隧洞和代洛山隧洞），其中最长的隧洞为尖佛山隧洞，长度为1324m。干渠所经隧洞隧洞围岩由砂岩、粉砂质泥岩、泥质粉砂岩等沉积岩组成，尖佛山隧洞岩体完整性差，围岩以Ⅳ、Ⅴ类为主，属不稳定或极不稳定。隧洞结构形式均采用园拱直墙型，洞身断面尺寸为（宽×高）1.5m×1.8m，顶拱、直墙、底板匀采用C20混凝土衬砌，衬砌厚度均为0.3m。隧洞主要工程量为土石方明挖273m3，石方洞挖10095m3，混凝土浇筑5041m3，回填灌浆6259m2，土石方回填68m2。</w:t>
      </w:r>
    </w:p>
    <w:p>
      <w:pPr>
        <w:ind w:firstLine="424" w:firstLineChars="177"/>
        <w:contextualSpacing/>
        <w:rPr>
          <w:rFonts w:hint="eastAsia" w:hAnsi="宋体"/>
        </w:rPr>
      </w:pPr>
      <w:r>
        <w:rPr>
          <w:rFonts w:hint="eastAsia" w:hAnsi="宋体"/>
        </w:rPr>
        <w:t>Ⅳ～Ⅴ类围岩隧洞开挖钻进坚持“短进尺、弱爆破、少扰动、强支护、勤观察”的原则施工，并根据围岩实际揭露情况采取恰当的开挖方法，确保成洞稳定。支护与开挖同时跟进。</w:t>
      </w:r>
    </w:p>
    <w:p>
      <w:pPr>
        <w:ind w:firstLine="424" w:firstLineChars="177"/>
        <w:contextualSpacing/>
        <w:rPr>
          <w:rFonts w:hint="eastAsia" w:hAnsi="宋体"/>
        </w:rPr>
      </w:pPr>
      <w:r>
        <w:rPr>
          <w:rFonts w:hint="eastAsia" w:hAnsi="宋体"/>
        </w:rPr>
        <w:t>地下洞室平洞段全断面开挖，按每天以2～3个爆破循环推进，Ⅲ类围岩每循环进尺2.0m，Ⅳ、Ⅴ类围岩每循环进尺1.5m。隧洞混凝土衬砌在开挖完成，全洞贯通后进行。隧洞洞身混凝土施工采用先浇边顶拱后浇底板的施工程序进行施工。隧洞洞身混凝土施工按72h一个循环，每循环进尺10.0m。</w:t>
      </w:r>
    </w:p>
    <w:p>
      <w:pPr>
        <w:ind w:firstLine="424" w:firstLineChars="177"/>
        <w:contextualSpacing/>
        <w:rPr>
          <w:rFonts w:hint="eastAsia" w:hAnsi="宋体"/>
        </w:rPr>
      </w:pPr>
      <w:r>
        <w:rPr>
          <w:rFonts w:hint="eastAsia" w:hAnsi="宋体"/>
        </w:rPr>
        <w:t>1）隧洞进出口开挖：隧洞进出口土石方开挖自上而下进行，覆盖层采用人工开挖；石方开挖采用手风钻钻孔，浅孔光面爆破，0.5m3挖掘机挖装拖拉机运输0.5～1.0km至渣场弃渣。</w:t>
      </w:r>
    </w:p>
    <w:p>
      <w:pPr>
        <w:ind w:firstLine="424" w:firstLineChars="177"/>
        <w:contextualSpacing/>
        <w:rPr>
          <w:rFonts w:hint="eastAsia" w:hAnsi="宋体"/>
        </w:rPr>
      </w:pPr>
      <w:r>
        <w:rPr>
          <w:rFonts w:hint="eastAsia" w:hAnsi="宋体"/>
        </w:rPr>
        <w:t>2）洞身石方开挖：采用全断面开挖方法，由设在洞外的10m3空压机供风，手风钻钻孔爆破，采用装岩机装渣，轻轨斗车运输至洞外20m，0.5m3挖掘机挖装拖拉机运输0.5km～1.0km至渣场弃渣。</w:t>
      </w:r>
    </w:p>
    <w:p>
      <w:pPr>
        <w:ind w:firstLine="424" w:firstLineChars="177"/>
        <w:contextualSpacing/>
        <w:rPr>
          <w:rFonts w:hint="eastAsia" w:hAnsi="宋体"/>
        </w:rPr>
      </w:pPr>
      <w:r>
        <w:rPr>
          <w:rFonts w:hint="eastAsia" w:hAnsi="宋体"/>
        </w:rPr>
        <w:t>3）混凝土浇筑：洞内边墙顶拱混凝土浇筑，采用洞口附近设置的0.4 m3拌和机拌制混凝土，0.6m3矿用斗车运输到作业面，采用人工入仓（或采用泵送混凝土入仓），钢模板成形，电动振捣器振捣。底板混凝土浇筑，采用后退法施工，即从洞中间开始向洞口方向浇筑。</w:t>
      </w:r>
    </w:p>
    <w:p>
      <w:pPr>
        <w:ind w:firstLine="424" w:firstLineChars="177"/>
        <w:contextualSpacing/>
        <w:rPr>
          <w:rFonts w:hint="eastAsia" w:hAnsi="宋体"/>
        </w:rPr>
      </w:pPr>
      <w:r>
        <w:rPr>
          <w:rFonts w:hint="eastAsia" w:hAnsi="宋体"/>
        </w:rPr>
        <w:t>4）喷锚支护施工</w:t>
      </w:r>
    </w:p>
    <w:p>
      <w:pPr>
        <w:ind w:firstLine="424" w:firstLineChars="177"/>
        <w:contextualSpacing/>
        <w:rPr>
          <w:rFonts w:hint="eastAsia" w:hAnsi="宋体"/>
        </w:rPr>
      </w:pPr>
      <w:r>
        <w:rPr>
          <w:rFonts w:hint="eastAsia" w:hAnsi="宋体"/>
        </w:rPr>
        <w:t>根据隧洞穿过围岩情况，施工中采取相应临时支护措施。</w:t>
      </w:r>
    </w:p>
    <w:p>
      <w:pPr>
        <w:ind w:firstLine="424" w:firstLineChars="177"/>
        <w:contextualSpacing/>
        <w:rPr>
          <w:rFonts w:hint="eastAsia" w:hAnsi="宋体"/>
        </w:rPr>
      </w:pPr>
      <w:r>
        <w:rPr>
          <w:rFonts w:hint="eastAsia" w:hAnsi="宋体"/>
        </w:rPr>
        <w:t>Ⅲ类围岩采用随机锚杆进行临时支护，锚杆采用Ф20钢筋，长度2.0m，间距2.0m。局部喷C20混凝土厚8cm防止碎石崩落。</w:t>
      </w:r>
    </w:p>
    <w:p>
      <w:pPr>
        <w:ind w:firstLine="424" w:firstLineChars="177"/>
        <w:contextualSpacing/>
        <w:rPr>
          <w:rFonts w:hint="eastAsia" w:hAnsi="宋体"/>
        </w:rPr>
      </w:pPr>
      <w:r>
        <w:rPr>
          <w:rFonts w:hint="eastAsia" w:hAnsi="宋体"/>
        </w:rPr>
        <w:t>Ⅳ类围岩采用砂浆锚杆喷混凝土进行临时支护，锚杆采用Ф20钢筋，长度2.0m，间距1.0m，喷混凝土标号为C20，喷混凝土厚10cm，钢筋网采用ф6.5@200。</w:t>
      </w:r>
    </w:p>
    <w:p>
      <w:pPr>
        <w:ind w:firstLine="424" w:firstLineChars="177"/>
        <w:contextualSpacing/>
        <w:rPr>
          <w:rFonts w:hint="eastAsia" w:hAnsi="宋体"/>
        </w:rPr>
      </w:pPr>
      <w:r>
        <w:rPr>
          <w:rFonts w:hint="eastAsia" w:hAnsi="宋体"/>
        </w:rPr>
        <w:t>Ⅴ类围岩采用采用系统锚杆、网喷混凝土、工字钢拱架和超前锚杆等联合支护方案进行临时支护，锚杆采用Ф20钢筋，长度2.0m，间距2.0m，喷混凝土标号为C20，喷混凝土厚10cm～20cm，钢筋网采用ф6.5@200，工字钢拱架间距0.5m/榀～0.8m/榀，工字钢采用I14型号。</w:t>
      </w:r>
    </w:p>
    <w:p>
      <w:pPr>
        <w:ind w:firstLine="424" w:firstLineChars="177"/>
        <w:contextualSpacing/>
        <w:rPr>
          <w:rFonts w:hint="eastAsia" w:hAnsi="宋体"/>
        </w:rPr>
      </w:pPr>
      <w:r>
        <w:rPr>
          <w:rFonts w:hint="eastAsia" w:hAnsi="宋体"/>
        </w:rPr>
        <w:t>锚杆施工的工艺流程为：测量定位—造孔—冲洗钻孔（杆体除锈）—拌和砂浆—注浆—安装锚杆—检测。</w:t>
      </w:r>
    </w:p>
    <w:p>
      <w:pPr>
        <w:ind w:firstLine="424" w:firstLineChars="177"/>
        <w:contextualSpacing/>
        <w:rPr>
          <w:rFonts w:hint="eastAsia" w:hAnsi="宋体"/>
        </w:rPr>
      </w:pPr>
      <w:r>
        <w:rPr>
          <w:rFonts w:hint="eastAsia" w:hAnsi="宋体"/>
        </w:rPr>
        <w:t>喷射混凝土采用湿喷法施工，混凝土由JW-375型强制式搅拌机拌制，采用QPJ型混凝土喷射机喷射混凝土。</w:t>
      </w:r>
    </w:p>
    <w:p>
      <w:pPr>
        <w:ind w:firstLine="424" w:firstLineChars="177"/>
        <w:contextualSpacing/>
        <w:rPr>
          <w:rFonts w:hint="eastAsia" w:hAnsi="宋体"/>
        </w:rPr>
      </w:pPr>
      <w:r>
        <w:rPr>
          <w:rFonts w:hint="eastAsia" w:hAnsi="宋体"/>
        </w:rPr>
        <w:t>5）不良地质段施工（如有）</w:t>
      </w:r>
    </w:p>
    <w:p>
      <w:pPr>
        <w:ind w:firstLine="424" w:firstLineChars="177"/>
        <w:contextualSpacing/>
        <w:rPr>
          <w:rFonts w:hint="eastAsia" w:hAnsi="宋体"/>
        </w:rPr>
      </w:pPr>
      <w:r>
        <w:rPr>
          <w:rFonts w:hint="eastAsia" w:hAnsi="宋体"/>
        </w:rPr>
        <w:t>对断层破碎带、软弱夹层等地质缺陷采用超前锚杆、管棚进行预支护，在预支护的保护下采用“短进尺、弱爆破、强支护、常观察”的施工原则进行施工。破碎带较软弱时，预支护稳定后、可直接采用挖掘机或人工挖除。</w:t>
      </w:r>
    </w:p>
    <w:p>
      <w:pPr>
        <w:ind w:firstLine="424" w:firstLineChars="177"/>
        <w:contextualSpacing/>
        <w:rPr>
          <w:rFonts w:hint="eastAsia" w:hAnsi="宋体"/>
        </w:rPr>
      </w:pPr>
      <w:r>
        <w:rPr>
          <w:rFonts w:hint="eastAsia" w:hAnsi="宋体"/>
        </w:rPr>
        <w:t>对涌水段拟采取设置排水孔对地下水进行排、引的施工方案：按渗水部位用手风钻随机钻孔，在孔口安装PVC排水管，钻孔孔深3.0m，孔径50mm。支护过程中，拱顶部位的排水管沿围岩周边牵至侧墙，所有排水管口均出露在支护混凝土表面。底板排水沟自然排水不畅时，设置集水坑，用潜水泵将水直接抽出洞外。</w:t>
      </w:r>
    </w:p>
    <w:p>
      <w:pPr>
        <w:ind w:firstLine="424" w:firstLineChars="177"/>
        <w:contextualSpacing/>
        <w:rPr>
          <w:rFonts w:hint="eastAsia" w:hAnsi="宋体"/>
        </w:rPr>
      </w:pPr>
      <w:r>
        <w:rPr>
          <w:rFonts w:hint="eastAsia" w:hAnsi="宋体"/>
        </w:rPr>
        <w:t>6）回填灌浆</w:t>
      </w:r>
    </w:p>
    <w:p>
      <w:pPr>
        <w:ind w:firstLine="424" w:firstLineChars="177"/>
        <w:contextualSpacing/>
        <w:rPr>
          <w:rFonts w:hint="eastAsia" w:hAnsi="宋体"/>
        </w:rPr>
      </w:pPr>
      <w:r>
        <w:rPr>
          <w:rFonts w:hint="eastAsia" w:hAnsi="宋体"/>
        </w:rPr>
        <w:t>回填灌浆指拱顶120°范围，混凝土浇筑时预埋灌浆管，管径50mm，孔距3～4m，采取分序加密的原则灌浆，选用BW－250／50型灌浆泵灌注，灌浆压力按0.3MPa～0.5Mpa控制。灌浆14天后进行质量检查，检查孔数量按灌浆总数的5%抽取，检查压力按灌浆压力确定，以水灰比2：1的浆液压入10min的水泥浆不超过10L即为合格，灌浆孔用砂浆封堵抹平。</w:t>
      </w:r>
    </w:p>
    <w:p>
      <w:pPr>
        <w:ind w:firstLine="424" w:firstLineChars="177"/>
        <w:contextualSpacing/>
        <w:rPr>
          <w:rFonts w:hint="eastAsia" w:hAnsi="宋体"/>
        </w:rPr>
      </w:pPr>
      <w:r>
        <w:rPr>
          <w:rFonts w:hint="eastAsia" w:hAnsi="宋体"/>
        </w:rPr>
        <w:t>7）洞内通风、散烟与防尘</w:t>
      </w:r>
    </w:p>
    <w:p>
      <w:pPr>
        <w:ind w:firstLine="424" w:firstLineChars="177"/>
        <w:contextualSpacing/>
        <w:rPr>
          <w:rFonts w:hint="eastAsia" w:hAnsi="宋体"/>
        </w:rPr>
      </w:pPr>
      <w:r>
        <w:rPr>
          <w:rFonts w:hint="eastAsia" w:hAnsi="宋体"/>
        </w:rPr>
        <w:t>隧洞开挖中应加强通风散烟与防尘工作，主要采取长抽短吹机械通风方式，同时可利用各隧洞洞口自然通风，减少机械通风距离。长隧洞选择45KW轴流式通风机，其通风量为480m3/min，洞内采用30KW轴流式通风机串联通风，每500m左右布置一台风机。风管采用厚1.5mm的铁皮制成，直径500mm。为减少爆破的烟尘，提高通风效果，采取喷雾降尘措施，在工作面设置水喷雾器。</w:t>
      </w:r>
    </w:p>
    <w:p>
      <w:pPr>
        <w:ind w:firstLine="424" w:firstLineChars="177"/>
        <w:contextualSpacing/>
        <w:rPr>
          <w:rFonts w:hint="eastAsia" w:hAnsi="宋体"/>
        </w:rPr>
      </w:pPr>
      <w:r>
        <w:rPr>
          <w:rFonts w:hint="eastAsia" w:hAnsi="宋体"/>
        </w:rPr>
        <w:t>8）洞内照明</w:t>
      </w:r>
    </w:p>
    <w:p>
      <w:pPr>
        <w:ind w:firstLine="424" w:firstLineChars="177"/>
        <w:contextualSpacing/>
        <w:rPr>
          <w:rFonts w:hint="eastAsia" w:hAnsi="宋体"/>
        </w:rPr>
      </w:pPr>
      <w:r>
        <w:rPr>
          <w:rFonts w:hint="eastAsia" w:hAnsi="宋体"/>
        </w:rPr>
        <w:t>为保证施工安全，洞内照明既要灯光明亮，又要求对人体无害，工作面照明电压使用24～36V低压，掌子面用500～800W碘钨灯照明。洞内动力供电当380/220V电压进洞难以保证要求时，需考虑高压电进洞问题。</w:t>
      </w:r>
    </w:p>
    <w:p>
      <w:pPr>
        <w:ind w:firstLine="424" w:firstLineChars="177"/>
        <w:contextualSpacing/>
        <w:rPr>
          <w:rFonts w:hint="eastAsia" w:hAnsi="宋体"/>
        </w:rPr>
      </w:pPr>
      <w:r>
        <w:rPr>
          <w:rFonts w:hint="eastAsia" w:hAnsi="宋体"/>
        </w:rPr>
        <w:t>9）施工供水</w:t>
      </w:r>
    </w:p>
    <w:p>
      <w:pPr>
        <w:ind w:firstLine="424" w:firstLineChars="177"/>
        <w:contextualSpacing/>
        <w:rPr>
          <w:rFonts w:hint="eastAsia" w:hAnsi="宋体"/>
        </w:rPr>
      </w:pPr>
      <w:r>
        <w:rPr>
          <w:rFonts w:hint="eastAsia" w:hAnsi="宋体"/>
        </w:rPr>
        <w:t>从就近高位供水主管直接用钢管接至洞内工作面，再用相应的胶皮管连接至用水设备上。</w:t>
      </w:r>
    </w:p>
    <w:p>
      <w:pPr>
        <w:ind w:firstLine="424" w:firstLineChars="177"/>
        <w:contextualSpacing/>
        <w:rPr>
          <w:rFonts w:hint="eastAsia" w:hAnsi="宋体"/>
        </w:rPr>
      </w:pPr>
      <w:r>
        <w:rPr>
          <w:rFonts w:hint="eastAsia" w:hAnsi="宋体"/>
        </w:rPr>
        <w:t>b）输水管线工程</w:t>
      </w:r>
    </w:p>
    <w:p>
      <w:pPr>
        <w:ind w:firstLine="424" w:firstLineChars="177"/>
        <w:contextualSpacing/>
        <w:rPr>
          <w:rFonts w:hint="eastAsia" w:hAnsi="宋体"/>
        </w:rPr>
      </w:pPr>
      <w:r>
        <w:rPr>
          <w:rFonts w:hint="eastAsia" w:hAnsi="宋体"/>
        </w:rPr>
        <w:t>输水管线流量较小，管线长度5493m。输水管按无压流设计，采用直径1000～1200mm的钢带加强波纹管。其主要工程量为土石方开挖71354m3，混凝土浇筑2696m3，土石回填51367m3，钢带加强波纹管安装5493m。</w:t>
      </w:r>
    </w:p>
    <w:p>
      <w:pPr>
        <w:ind w:firstLine="424" w:firstLineChars="177"/>
        <w:contextualSpacing/>
        <w:rPr>
          <w:rFonts w:hint="eastAsia" w:hAnsi="宋体"/>
        </w:rPr>
      </w:pPr>
      <w:r>
        <w:rPr>
          <w:rFonts w:hint="eastAsia" w:hAnsi="宋体"/>
        </w:rPr>
        <w:t>1）土方开挖采用0.5m3挖掘机开挖，拖拉机运输0.5～1.0km至渣场弃渣。</w:t>
      </w:r>
    </w:p>
    <w:p>
      <w:pPr>
        <w:ind w:firstLine="424" w:firstLineChars="177"/>
        <w:contextualSpacing/>
        <w:rPr>
          <w:rFonts w:hint="eastAsia" w:hAnsi="宋体"/>
        </w:rPr>
      </w:pPr>
      <w:r>
        <w:rPr>
          <w:rFonts w:hint="eastAsia" w:hAnsi="宋体"/>
        </w:rPr>
        <w:t>2）石方开挖：石方开挖选用6m3空压机供风，手风钻钻孔松动爆破，0.5m3挖掘机挖装拖拉机运输0.5km～1.0km至渣场弃渣。</w:t>
      </w:r>
    </w:p>
    <w:p>
      <w:pPr>
        <w:ind w:firstLine="424" w:firstLineChars="177"/>
        <w:contextualSpacing/>
        <w:rPr>
          <w:rFonts w:hint="eastAsia" w:hAnsi="宋体"/>
        </w:rPr>
      </w:pPr>
      <w:r>
        <w:rPr>
          <w:rFonts w:hint="eastAsia" w:hAnsi="宋体"/>
        </w:rPr>
        <w:t>3）土石方回填：利用沿线开挖的弃渣料，采用0.5m3挖掘机挖运回填。</w:t>
      </w:r>
    </w:p>
    <w:p>
      <w:pPr>
        <w:ind w:firstLine="424" w:firstLineChars="177"/>
        <w:contextualSpacing/>
        <w:rPr>
          <w:rFonts w:hint="eastAsia" w:hAnsi="宋体"/>
        </w:rPr>
      </w:pPr>
      <w:r>
        <w:rPr>
          <w:rFonts w:hint="eastAsia" w:hAnsi="宋体"/>
        </w:rPr>
        <w:t>4）混凝土浇筑：混凝土采用0.5m3拌和机拌制，人工推胶轮车运输至工作面，振捣器捣实。</w:t>
      </w:r>
    </w:p>
    <w:p>
      <w:pPr>
        <w:ind w:firstLine="424" w:firstLineChars="177"/>
        <w:contextualSpacing/>
        <w:rPr>
          <w:rFonts w:hint="eastAsia" w:hAnsi="宋体"/>
        </w:rPr>
      </w:pPr>
      <w:r>
        <w:rPr>
          <w:rFonts w:hint="eastAsia" w:hAnsi="宋体"/>
        </w:rPr>
        <w:t>5）钢带加强波纹管施工</w:t>
      </w:r>
    </w:p>
    <w:p>
      <w:pPr>
        <w:ind w:firstLine="424" w:firstLineChars="177"/>
        <w:contextualSpacing/>
        <w:rPr>
          <w:rFonts w:hint="eastAsia" w:hAnsi="宋体"/>
        </w:rPr>
      </w:pPr>
      <w:r>
        <w:rPr>
          <w:rFonts w:hint="eastAsia" w:hAnsi="宋体"/>
        </w:rPr>
        <w:t>钢带加强波纹管由购买获得，载重汽车运输到现场，平段采用汽车起重机吊装，斜坡段在顶部设1台卷扬机，在卷扬机的牵引下，使中间部位的管道就位安装施工。</w:t>
      </w:r>
    </w:p>
    <w:p>
      <w:pPr>
        <w:ind w:firstLine="424" w:firstLineChars="177"/>
        <w:contextualSpacing/>
        <w:rPr>
          <w:rFonts w:hint="eastAsia" w:hAnsi="宋体"/>
        </w:rPr>
      </w:pPr>
      <w:r>
        <w:rPr>
          <w:rFonts w:hint="eastAsia" w:hAnsi="宋体"/>
        </w:rPr>
        <w:t>c）渡槽工程</w:t>
      </w:r>
    </w:p>
    <w:p>
      <w:pPr>
        <w:ind w:firstLine="424" w:firstLineChars="177"/>
        <w:contextualSpacing/>
        <w:rPr>
          <w:rFonts w:hint="eastAsia" w:hAnsi="宋体"/>
        </w:rPr>
      </w:pPr>
      <w:r>
        <w:rPr>
          <w:rFonts w:hint="eastAsia" w:hAnsi="宋体"/>
        </w:rPr>
        <w:t>本工程布置渡槽1座（陈家山渡槽），长118m，渡槽采用排架结构，采用C25钢筋混凝土浇筑；排架基础采用C25混凝土。</w:t>
      </w:r>
    </w:p>
    <w:p>
      <w:pPr>
        <w:ind w:firstLine="424" w:firstLineChars="177"/>
        <w:contextualSpacing/>
        <w:rPr>
          <w:rFonts w:hint="eastAsia" w:hAnsi="宋体"/>
        </w:rPr>
      </w:pPr>
      <w:r>
        <w:rPr>
          <w:rFonts w:hint="eastAsia" w:hAnsi="宋体"/>
        </w:rPr>
        <w:t>1）土石方开挖：土方开挖采用0.1m3～0.5m3挖掘机开挖，3.5t～5t自卸汽车或拖拉机运输0.5km～2.0km至渣场弃渣。</w:t>
      </w:r>
    </w:p>
    <w:p>
      <w:pPr>
        <w:ind w:firstLine="424" w:firstLineChars="177"/>
        <w:contextualSpacing/>
        <w:rPr>
          <w:rFonts w:hint="eastAsia" w:hAnsi="宋体"/>
        </w:rPr>
      </w:pPr>
      <w:r>
        <w:rPr>
          <w:rFonts w:hint="eastAsia" w:hAnsi="宋体"/>
        </w:rPr>
        <w:t>石方开挖选用6m3空压机供风，手风钻钻孔浅孔光面爆破，0.1m3～0.5m3挖掘机挖装3.5t～5t自卸汽车或拖拉机运输0.5km～2.0km至渣场弃渣。</w:t>
      </w:r>
    </w:p>
    <w:p>
      <w:pPr>
        <w:ind w:firstLine="424" w:firstLineChars="177"/>
        <w:contextualSpacing/>
        <w:rPr>
          <w:rFonts w:hint="eastAsia" w:hAnsi="宋体"/>
        </w:rPr>
      </w:pPr>
      <w:r>
        <w:rPr>
          <w:rFonts w:hint="eastAsia" w:hAnsi="宋体"/>
        </w:rPr>
        <w:t>2）土石回填</w:t>
      </w:r>
    </w:p>
    <w:p>
      <w:pPr>
        <w:ind w:firstLine="424" w:firstLineChars="177"/>
        <w:contextualSpacing/>
        <w:rPr>
          <w:rFonts w:hint="eastAsia" w:hAnsi="宋体"/>
        </w:rPr>
      </w:pPr>
      <w:r>
        <w:rPr>
          <w:rFonts w:hint="eastAsia" w:hAnsi="宋体"/>
        </w:rPr>
        <w:t>利用开挖的土石料，0.1m3～0.5m3挖掘机挖装3.5t～5t自卸汽车或拖拉机运输至回填工作面，蛙式打夯机夯实。</w:t>
      </w:r>
    </w:p>
    <w:p>
      <w:pPr>
        <w:ind w:firstLine="424" w:firstLineChars="177"/>
        <w:contextualSpacing/>
        <w:rPr>
          <w:rFonts w:hint="eastAsia" w:hAnsi="宋体"/>
        </w:rPr>
      </w:pPr>
      <w:r>
        <w:rPr>
          <w:rFonts w:hint="eastAsia" w:hAnsi="宋体"/>
        </w:rPr>
        <w:t>3）混凝土浇筑</w:t>
      </w:r>
    </w:p>
    <w:p>
      <w:pPr>
        <w:ind w:firstLine="424" w:firstLineChars="177"/>
        <w:contextualSpacing/>
        <w:rPr>
          <w:rFonts w:hint="eastAsia" w:hAnsi="宋体"/>
        </w:rPr>
      </w:pPr>
      <w:r>
        <w:rPr>
          <w:rFonts w:hint="eastAsia" w:hAnsi="宋体"/>
        </w:rPr>
        <w:t>混凝土采用0.5m3拌和机拌制，基础采用机动翻斗车运输转溜槽入仓，振捣器捣实。排架及槽身混凝土采用泵送入仓，钢管脚手架支撑，钢模板成型，插入式振捣器捣实。</w:t>
      </w:r>
    </w:p>
    <w:p>
      <w:pPr>
        <w:ind w:firstLine="424" w:firstLineChars="177"/>
        <w:contextualSpacing/>
        <w:rPr>
          <w:rFonts w:hint="eastAsia" w:hAnsi="宋体"/>
        </w:rPr>
      </w:pPr>
      <w:r>
        <w:rPr>
          <w:rFonts w:hint="eastAsia" w:hAnsi="宋体"/>
        </w:rPr>
        <w:t>4）钢管栏杆</w:t>
      </w:r>
    </w:p>
    <w:p>
      <w:pPr>
        <w:ind w:firstLine="424" w:firstLineChars="177"/>
        <w:contextualSpacing/>
      </w:pPr>
      <w:r>
        <w:rPr>
          <w:rFonts w:hint="eastAsia" w:hAnsi="宋体"/>
        </w:rPr>
        <w:t>钢管栏杆采用购买获得，10t汽车起重机吊运转人力抬运，人工安装。</w:t>
      </w:r>
    </w:p>
    <w:p>
      <w:pPr>
        <w:pStyle w:val="5"/>
        <w:ind w:firstLine="0" w:firstLineChars="0"/>
        <w:contextualSpacing/>
        <w:rPr>
          <w:rFonts w:ascii="Times New Roman" w:hAnsi="Times New Roman"/>
        </w:rPr>
      </w:pPr>
      <w:r>
        <w:rPr>
          <w:rFonts w:ascii="Times New Roman" w:hAnsi="Times New Roman"/>
        </w:rPr>
        <w:t>2.3.8</w:t>
      </w:r>
      <w:r>
        <w:rPr>
          <w:rFonts w:ascii="Times New Roman" w:hAnsi="宋体"/>
        </w:rPr>
        <w:t>水库蓄水计划</w:t>
      </w:r>
    </w:p>
    <w:p>
      <w:pPr>
        <w:ind w:firstLine="424" w:firstLineChars="177"/>
        <w:contextualSpacing/>
        <w:rPr>
          <w:rFonts w:hint="eastAsia" w:hAnsi="宋体"/>
        </w:rPr>
      </w:pPr>
      <w:r>
        <w:rPr>
          <w:rFonts w:hint="eastAsia" w:hAnsi="宋体"/>
        </w:rPr>
        <w:t>据施工组织设计安排，枢纽工程施工总工期为22个月，即第1年9月至第3年6月，在此期间主要完成水库枢纽工程的施工，可在第3年7月下闸蓄水。</w:t>
      </w:r>
    </w:p>
    <w:p>
      <w:pPr>
        <w:ind w:firstLine="424" w:firstLineChars="177"/>
        <w:contextualSpacing/>
        <w:rPr>
          <w:rFonts w:hint="eastAsia" w:hAnsi="宋体"/>
        </w:rPr>
      </w:pPr>
      <w:r>
        <w:rPr>
          <w:rFonts w:hint="eastAsia" w:hAnsi="宋体"/>
        </w:rPr>
        <w:t>从各频率典型代表年来用水过程来看，在水库蓄水初期，若遭遇枯水年份，水库基本不具备供水能力，为此，按只考虑保证下游生态用水进行初期蓄水分析：</w:t>
      </w:r>
    </w:p>
    <w:p>
      <w:pPr>
        <w:ind w:firstLine="424" w:firstLineChars="177"/>
        <w:contextualSpacing/>
        <w:rPr>
          <w:rFonts w:hint="eastAsia" w:hAnsi="宋体"/>
        </w:rPr>
      </w:pPr>
      <w:r>
        <w:rPr>
          <w:rFonts w:hint="eastAsia" w:hAnsi="宋体"/>
        </w:rPr>
        <w:t>在P=95%枯水年份，在7月下闸蓄水，蓄水时应适度开启生态放水洞，保证下游生态用水要求（0.0084m3/s），当年8月即可蓄至死水位669.0m（库容15.8万m3），但蓄水一年后只能蓄至水位674.00m，库容约64万m3）；</w:t>
      </w:r>
    </w:p>
    <w:p>
      <w:pPr>
        <w:ind w:firstLine="424" w:firstLineChars="177"/>
        <w:contextualSpacing/>
        <w:rPr>
          <w:rFonts w:hint="eastAsia" w:hAnsi="宋体"/>
        </w:rPr>
      </w:pPr>
      <w:r>
        <w:rPr>
          <w:rFonts w:hint="eastAsia" w:hAnsi="宋体"/>
        </w:rPr>
        <w:t>在P=70%枯水年份，在7月下闸蓄水，当年7月即可蓄至死水位669.0m（库容15.8万m3），蓄水一年后可蓄至水位685.00m，库容约157万m3；</w:t>
      </w:r>
    </w:p>
    <w:p>
      <w:pPr>
        <w:ind w:firstLine="424" w:firstLineChars="177"/>
        <w:contextualSpacing/>
        <w:rPr>
          <w:rFonts w:hint="eastAsia" w:hAnsi="宋体"/>
        </w:rPr>
      </w:pPr>
      <w:r>
        <w:rPr>
          <w:rFonts w:hint="eastAsia" w:hAnsi="宋体"/>
        </w:rPr>
        <w:t>在P=50%平水年份，在7月下闸蓄水，当年7月即可蓄至死水位669.0m（库容15.8万m3），蓄水一年后可蓄至水位691.00m，库容约244万m3；</w:t>
      </w:r>
    </w:p>
    <w:p>
      <w:pPr>
        <w:ind w:firstLine="424" w:firstLineChars="177"/>
        <w:contextualSpacing/>
        <w:rPr>
          <w:rFonts w:hint="eastAsia" w:hAnsi="宋体"/>
        </w:rPr>
      </w:pPr>
      <w:r>
        <w:rPr>
          <w:rFonts w:hint="eastAsia" w:hAnsi="宋体"/>
        </w:rPr>
        <w:t>在P=30%丰水年份，在7月下闸蓄水，当年7月即可蓄至死水位669.0m（库容15.8万m3），蓄水一年后可蓄至水位694.00m，库容约295万m3；</w:t>
      </w:r>
    </w:p>
    <w:p>
      <w:pPr>
        <w:ind w:firstLine="424" w:firstLineChars="177"/>
        <w:contextualSpacing/>
      </w:pPr>
      <w:r>
        <w:rPr>
          <w:rFonts w:hint="eastAsia" w:hAnsi="宋体"/>
        </w:rPr>
        <w:t>在P=5%丰水年份，在7月下闸蓄水，当年7月即可蓄至死水位669.0m（库容15.8万m3），蓄水约11个月至次年5月可蓄水至正常蓄水位695.00m，库容约313.6万m3。</w:t>
      </w:r>
    </w:p>
    <w:p>
      <w:pPr>
        <w:pStyle w:val="5"/>
        <w:ind w:firstLine="0" w:firstLineChars="0"/>
        <w:contextualSpacing/>
        <w:rPr>
          <w:rFonts w:ascii="Times New Roman" w:hAnsi="Times New Roman"/>
        </w:rPr>
      </w:pPr>
      <w:r>
        <w:rPr>
          <w:rFonts w:ascii="Times New Roman" w:hAnsi="Times New Roman"/>
        </w:rPr>
        <w:t>2.3.9</w:t>
      </w:r>
      <w:r>
        <w:rPr>
          <w:rFonts w:ascii="Times New Roman" w:hAnsi="宋体"/>
        </w:rPr>
        <w:t>施工总进度</w:t>
      </w:r>
    </w:p>
    <w:p>
      <w:pPr>
        <w:ind w:firstLine="0" w:firstLineChars="0"/>
        <w:contextualSpacing/>
        <w:outlineLvl w:val="3"/>
        <w:rPr>
          <w:b/>
          <w:bCs/>
        </w:rPr>
      </w:pPr>
      <w:r>
        <w:rPr>
          <w:b/>
          <w:bCs/>
        </w:rPr>
        <w:t>2.3.9.1</w:t>
      </w:r>
      <w:r>
        <w:rPr>
          <w:rFonts w:hAnsi="宋体"/>
          <w:b/>
          <w:bCs/>
        </w:rPr>
        <w:t>枢纽工程施工总进度计划</w:t>
      </w:r>
    </w:p>
    <w:p>
      <w:pPr>
        <w:ind w:firstLine="424" w:firstLineChars="177"/>
        <w:contextualSpacing/>
        <w:rPr>
          <w:rFonts w:hint="eastAsia" w:hAnsi="宋体"/>
        </w:rPr>
      </w:pPr>
      <w:r>
        <w:rPr>
          <w:rFonts w:hint="eastAsia" w:hAnsi="宋体"/>
        </w:rPr>
        <w:t>工程建设分为四期，即工程筹建期、施工准备期、主体工程施工期和工程完建期。</w:t>
      </w:r>
    </w:p>
    <w:p>
      <w:pPr>
        <w:ind w:firstLine="424" w:firstLineChars="177"/>
        <w:contextualSpacing/>
        <w:rPr>
          <w:rFonts w:hint="eastAsia" w:hAnsi="宋体"/>
        </w:rPr>
      </w:pPr>
      <w:r>
        <w:rPr>
          <w:rFonts w:hint="eastAsia" w:hAnsi="宋体"/>
        </w:rPr>
        <w:t>工程筹建期安排在第1年3月以前进行，不计入总工期，筹建期内应完成场外主要公路建设，施工用电线路架设、通讯、征地、移民及施工招投标工作，为施工队伍进场创造条件。</w:t>
      </w:r>
    </w:p>
    <w:p>
      <w:pPr>
        <w:ind w:firstLine="424" w:firstLineChars="177"/>
        <w:contextualSpacing/>
        <w:rPr>
          <w:rFonts w:hint="eastAsia" w:hAnsi="宋体"/>
        </w:rPr>
      </w:pPr>
      <w:r>
        <w:rPr>
          <w:rFonts w:hint="eastAsia" w:hAnsi="宋体"/>
        </w:rPr>
        <w:t>施工准备期为第1年3月至4月，完成施工场内三通一平，临时房屋建筑、施工辅助企业、施工所需的临时设施。</w:t>
      </w:r>
    </w:p>
    <w:p>
      <w:pPr>
        <w:ind w:firstLine="424" w:firstLineChars="177"/>
        <w:contextualSpacing/>
        <w:rPr>
          <w:rFonts w:hint="eastAsia" w:hAnsi="宋体"/>
        </w:rPr>
      </w:pPr>
      <w:r>
        <w:rPr>
          <w:rFonts w:hint="eastAsia" w:hAnsi="宋体"/>
        </w:rPr>
        <w:t>主体工程施工期为第1年5月至第3年8月，在此施工期内主要完成放空导流隧洞、拦河大坝、补水工程及溢洪道等工程的施工。</w:t>
      </w:r>
    </w:p>
    <w:p>
      <w:pPr>
        <w:ind w:firstLine="424" w:firstLineChars="177"/>
        <w:contextualSpacing/>
      </w:pPr>
      <w:r>
        <w:rPr>
          <w:rFonts w:hint="eastAsia" w:hAnsi="宋体"/>
        </w:rPr>
        <w:t>工程完建期安排2个月，即第3年9月至10月，主要完成工程的扫尾工作。</w:t>
      </w:r>
    </w:p>
    <w:p>
      <w:pPr>
        <w:ind w:firstLine="0" w:firstLineChars="0"/>
        <w:contextualSpacing/>
        <w:outlineLvl w:val="3"/>
        <w:rPr>
          <w:b/>
          <w:bCs/>
        </w:rPr>
      </w:pPr>
      <w:r>
        <w:rPr>
          <w:b/>
          <w:bCs/>
        </w:rPr>
        <w:t>2.3.9.2</w:t>
      </w:r>
      <w:r>
        <w:rPr>
          <w:rFonts w:hint="eastAsia" w:hAnsi="宋体"/>
          <w:b/>
          <w:bCs/>
        </w:rPr>
        <w:t>渠道</w:t>
      </w:r>
      <w:r>
        <w:rPr>
          <w:rFonts w:hAnsi="宋体"/>
          <w:b/>
          <w:bCs/>
        </w:rPr>
        <w:t>工程施工总进度计划</w:t>
      </w:r>
    </w:p>
    <w:p>
      <w:pPr>
        <w:ind w:firstLine="480"/>
        <w:contextualSpacing/>
        <w:rPr>
          <w:rFonts w:hint="eastAsia" w:hAnsi="宋体"/>
        </w:rPr>
      </w:pPr>
      <w:r>
        <w:rPr>
          <w:rFonts w:hint="eastAsia" w:hAnsi="宋体"/>
        </w:rPr>
        <w:t>工程建设分四期，即工程筹建期，工程准备期，主体工程施工期和完建期。</w:t>
      </w:r>
    </w:p>
    <w:p>
      <w:pPr>
        <w:ind w:firstLine="480"/>
        <w:contextualSpacing/>
        <w:rPr>
          <w:rFonts w:hint="eastAsia" w:hAnsi="宋体"/>
        </w:rPr>
      </w:pPr>
      <w:r>
        <w:rPr>
          <w:rFonts w:hint="eastAsia" w:hAnsi="宋体"/>
        </w:rPr>
        <w:t>工程筹建期安排在第1年8月以前完成，其不计入总工期。</w:t>
      </w:r>
    </w:p>
    <w:p>
      <w:pPr>
        <w:ind w:firstLine="480"/>
        <w:contextualSpacing/>
        <w:rPr>
          <w:rFonts w:hint="eastAsia" w:hAnsi="宋体"/>
        </w:rPr>
      </w:pPr>
      <w:r>
        <w:rPr>
          <w:rFonts w:hint="eastAsia" w:hAnsi="宋体"/>
        </w:rPr>
        <w:t>施工准备期安排2个月（即第1年8月至9月），完成场内三通一平，临时房屋建筑、施工辅助企业及施工所需的临时设施。</w:t>
      </w:r>
    </w:p>
    <w:p>
      <w:pPr>
        <w:ind w:firstLine="480"/>
        <w:contextualSpacing/>
        <w:rPr>
          <w:rFonts w:hint="eastAsia" w:hAnsi="宋体"/>
        </w:rPr>
      </w:pPr>
      <w:r>
        <w:rPr>
          <w:rFonts w:hint="eastAsia" w:hAnsi="宋体"/>
        </w:rPr>
        <w:t>主体工程施工期为第1年10月至第3年4月，在此施工期内完成干渠工程，使其具备通水条件。</w:t>
      </w:r>
    </w:p>
    <w:p>
      <w:pPr>
        <w:ind w:firstLine="480"/>
        <w:contextualSpacing/>
      </w:pPr>
      <w:r>
        <w:rPr>
          <w:rFonts w:hint="eastAsia" w:hAnsi="宋体"/>
        </w:rPr>
        <w:t>工程完建期2个月（第3年5月至6月），主要完成工程的扫尾工作，拆除临时设施，清理施工场地、弃渣等处理工作。</w:t>
      </w:r>
    </w:p>
    <w:p>
      <w:pPr>
        <w:pStyle w:val="4"/>
        <w:ind w:firstLine="0" w:firstLineChars="0"/>
        <w:contextualSpacing/>
      </w:pPr>
      <w:bookmarkStart w:id="327" w:name="_Toc17026"/>
      <w:bookmarkStart w:id="328" w:name="_Toc130753414"/>
      <w:r>
        <w:t>2.4</w:t>
      </w:r>
      <w:r>
        <w:rPr>
          <w:rFonts w:hAnsi="宋体"/>
        </w:rPr>
        <w:t>建设征地及移民安置</w:t>
      </w:r>
      <w:bookmarkEnd w:id="327"/>
      <w:bookmarkEnd w:id="328"/>
    </w:p>
    <w:p>
      <w:pPr>
        <w:pStyle w:val="5"/>
        <w:ind w:firstLine="0" w:firstLineChars="0"/>
        <w:contextualSpacing/>
        <w:rPr>
          <w:rFonts w:ascii="Times New Roman" w:hAnsi="Times New Roman"/>
        </w:rPr>
      </w:pPr>
      <w:r>
        <w:rPr>
          <w:rFonts w:ascii="Times New Roman" w:hAnsi="Times New Roman"/>
        </w:rPr>
        <w:t>2.4.1</w:t>
      </w:r>
      <w:r>
        <w:rPr>
          <w:rFonts w:ascii="Times New Roman" w:hAnsi="宋体"/>
        </w:rPr>
        <w:t>建设征地实物指标</w:t>
      </w:r>
    </w:p>
    <w:p>
      <w:pPr>
        <w:ind w:firstLine="0" w:firstLineChars="0"/>
        <w:contextualSpacing/>
        <w:outlineLvl w:val="3"/>
        <w:rPr>
          <w:b/>
          <w:bCs/>
        </w:rPr>
      </w:pPr>
      <w:r>
        <w:rPr>
          <w:b/>
          <w:bCs/>
        </w:rPr>
        <w:t>2.4.1.1</w:t>
      </w:r>
      <w:r>
        <w:rPr>
          <w:rFonts w:hAnsi="宋体"/>
          <w:b/>
          <w:bCs/>
        </w:rPr>
        <w:t>涉及行政区域</w:t>
      </w:r>
    </w:p>
    <w:p>
      <w:pPr>
        <w:ind w:firstLine="480"/>
        <w:contextualSpacing/>
      </w:pPr>
      <w:r>
        <w:rPr>
          <w:rFonts w:hint="eastAsia" w:hAnsi="宋体"/>
        </w:rPr>
        <w:t>寒溪寺水库建设征地共涉及巴中市巴州区的2个镇（街道办事处）2个行政村、9个村民小组。</w:t>
      </w:r>
    </w:p>
    <w:p>
      <w:pPr>
        <w:ind w:firstLine="0" w:firstLineChars="0"/>
        <w:contextualSpacing/>
        <w:outlineLvl w:val="3"/>
        <w:rPr>
          <w:b/>
          <w:bCs/>
        </w:rPr>
      </w:pPr>
      <w:r>
        <w:rPr>
          <w:b/>
          <w:bCs/>
        </w:rPr>
        <w:t>2.4.1.2</w:t>
      </w:r>
      <w:r>
        <w:rPr>
          <w:rFonts w:hAnsi="宋体"/>
          <w:b/>
          <w:bCs/>
        </w:rPr>
        <w:t>实物指标</w:t>
      </w:r>
    </w:p>
    <w:p>
      <w:pPr>
        <w:ind w:firstLine="480"/>
        <w:contextualSpacing/>
      </w:pPr>
      <w:r>
        <w:rPr>
          <w:rFonts w:hint="eastAsia" w:hAnsi="宋体"/>
        </w:rPr>
        <w:t>实物主要包括：土地总面积631.79亩，其中耕地107.91亩、园地0.17亩、林地453.12亩。涉及搬迁人口5户27人，各类房屋面积1402.59m2及附属设施；零星林（果）木1768株；坟墓62座；机耕道0.12km。工程建设征地范围内不涉及文物古迹、矿产资源等重要设施；不涉及基本农田、退耕还林地和坡度25°以上耕地。</w:t>
      </w:r>
    </w:p>
    <w:p>
      <w:pPr>
        <w:pStyle w:val="5"/>
        <w:ind w:firstLine="0" w:firstLineChars="0"/>
        <w:contextualSpacing/>
        <w:rPr>
          <w:rFonts w:ascii="Times New Roman" w:hAnsi="Times New Roman"/>
        </w:rPr>
      </w:pPr>
      <w:r>
        <w:rPr>
          <w:rFonts w:ascii="Times New Roman" w:hAnsi="Times New Roman"/>
        </w:rPr>
        <w:t>2.4.2</w:t>
      </w:r>
      <w:r>
        <w:rPr>
          <w:rFonts w:ascii="Times New Roman" w:hAnsi="宋体"/>
        </w:rPr>
        <w:t>移民安置规划</w:t>
      </w:r>
    </w:p>
    <w:p>
      <w:pPr>
        <w:ind w:firstLine="0" w:firstLineChars="0"/>
        <w:contextualSpacing/>
        <w:outlineLvl w:val="3"/>
        <w:rPr>
          <w:b/>
          <w:bCs/>
        </w:rPr>
      </w:pPr>
      <w:r>
        <w:rPr>
          <w:b/>
          <w:bCs/>
        </w:rPr>
        <w:t>2.4.2.1</w:t>
      </w:r>
      <w:r>
        <w:rPr>
          <w:rFonts w:hAnsi="宋体"/>
          <w:b/>
          <w:bCs/>
        </w:rPr>
        <w:t>生产安置规划</w:t>
      </w:r>
    </w:p>
    <w:p>
      <w:pPr>
        <w:ind w:firstLine="480"/>
        <w:contextualSpacing/>
        <w:rPr>
          <w:b/>
          <w:bCs/>
          <w:sz w:val="21"/>
          <w:szCs w:val="21"/>
        </w:rPr>
      </w:pPr>
      <w:r>
        <w:rPr>
          <w:rFonts w:hint="eastAsia" w:hAnsi="宋体"/>
        </w:rPr>
        <w:t>至规划水平年，寒溪寺水库工程建设征地生产安置人口共计59人。本阶段规划在本村本组范围内调剂耕26.13亩，安置24人；在本村邻组及邻村邻组范围内调剂耕地14.3亩，安置13人；自谋职业安置22人。</w:t>
      </w:r>
    </w:p>
    <w:p>
      <w:pPr>
        <w:ind w:firstLine="0" w:firstLineChars="0"/>
        <w:contextualSpacing/>
        <w:outlineLvl w:val="3"/>
        <w:rPr>
          <w:b/>
          <w:bCs/>
        </w:rPr>
      </w:pPr>
      <w:r>
        <w:rPr>
          <w:b/>
          <w:bCs/>
        </w:rPr>
        <w:t>2.4.2.2</w:t>
      </w:r>
      <w:r>
        <w:rPr>
          <w:rFonts w:hAnsi="宋体"/>
          <w:b/>
          <w:bCs/>
        </w:rPr>
        <w:t>搬迁安置规划</w:t>
      </w:r>
    </w:p>
    <w:p>
      <w:pPr>
        <w:ind w:firstLine="480"/>
        <w:contextualSpacing/>
        <w:rPr>
          <w:rFonts w:hint="eastAsia" w:hAnsi="宋体"/>
        </w:rPr>
      </w:pPr>
      <w:r>
        <w:rPr>
          <w:rFonts w:hint="eastAsia" w:hAnsi="宋体"/>
        </w:rPr>
        <w:t>至规划水平年，寒溪寺水库工程建设征地移民搬迁安置人口28人，初步拟定移民搬迁安置方案为在本组范围内分散安置。</w:t>
      </w:r>
    </w:p>
    <w:p>
      <w:pPr>
        <w:pStyle w:val="5"/>
        <w:ind w:firstLine="0" w:firstLineChars="0"/>
        <w:contextualSpacing/>
        <w:rPr>
          <w:rFonts w:ascii="Times New Roman" w:hAnsi="Times New Roman"/>
          <w:bCs/>
        </w:rPr>
      </w:pPr>
      <w:r>
        <w:rPr>
          <w:rFonts w:ascii="Times New Roman" w:hAnsi="Times New Roman"/>
        </w:rPr>
        <w:t>2.4.3</w:t>
      </w:r>
      <w:r>
        <w:rPr>
          <w:rFonts w:ascii="Times New Roman" w:hAnsi="宋体"/>
        </w:rPr>
        <w:t>专业项目处理</w:t>
      </w:r>
    </w:p>
    <w:p>
      <w:pPr>
        <w:ind w:firstLine="480"/>
        <w:contextualSpacing/>
      </w:pPr>
      <w:r>
        <w:rPr>
          <w:rFonts w:hint="eastAsia"/>
        </w:rPr>
        <w:t>寒溪寺水库建设征地涉及机耕道0.12km，路面宽3.0m，土石路面。该设施位于右岸坝肩靠上游侧，是右岸居民通往现水库大坝及左岸的道路末端。经分析，该机耕道将改建为永久上坝公路，本工程完建后，右岸居民仍可通过该机耕道至水库大坝，且能通过坝顶至左岸。因此，工程建设虽然影响该机耕道末端断面，但是道路功能并未丧失。因此，经与权属人协商，不对该处设施进行处理。</w:t>
      </w:r>
    </w:p>
    <w:p>
      <w:pPr>
        <w:pStyle w:val="5"/>
        <w:ind w:firstLine="0" w:firstLineChars="0"/>
        <w:contextualSpacing/>
        <w:rPr>
          <w:rFonts w:ascii="Times New Roman" w:hAnsi="Times New Roman"/>
        </w:rPr>
      </w:pPr>
      <w:r>
        <w:rPr>
          <w:rFonts w:ascii="Times New Roman" w:hAnsi="Times New Roman"/>
        </w:rPr>
        <w:t>2.4.4</w:t>
      </w:r>
      <w:r>
        <w:rPr>
          <w:rFonts w:ascii="Times New Roman" w:hAnsi="宋体"/>
        </w:rPr>
        <w:t>库底清理</w:t>
      </w:r>
    </w:p>
    <w:p>
      <w:pPr>
        <w:ind w:firstLine="0" w:firstLineChars="0"/>
        <w:contextualSpacing/>
        <w:outlineLvl w:val="3"/>
        <w:rPr>
          <w:b/>
          <w:bCs/>
        </w:rPr>
      </w:pPr>
      <w:r>
        <w:rPr>
          <w:b/>
          <w:bCs/>
        </w:rPr>
        <w:t>2.4.4.1</w:t>
      </w:r>
      <w:r>
        <w:rPr>
          <w:rFonts w:hAnsi="宋体"/>
          <w:b/>
          <w:bCs/>
        </w:rPr>
        <w:t>清理范围</w:t>
      </w:r>
    </w:p>
    <w:p>
      <w:pPr>
        <w:pStyle w:val="2"/>
        <w:spacing w:before="0"/>
        <w:ind w:left="0" w:firstLine="480"/>
        <w:contextualSpacing/>
        <w:rPr>
          <w:rFonts w:ascii="Times New Roman" w:hAnsi="Times New Roman"/>
        </w:rPr>
      </w:pPr>
      <w:r>
        <w:rPr>
          <w:rFonts w:ascii="Times New Roman"/>
        </w:rPr>
        <w:t>依据《水利水电工程水库库底清理设计规范》（</w:t>
      </w:r>
      <w:r>
        <w:rPr>
          <w:rFonts w:ascii="Times New Roman" w:hAnsi="Times New Roman"/>
        </w:rPr>
        <w:t>SL644-2014</w:t>
      </w:r>
      <w:r>
        <w:rPr>
          <w:rFonts w:ascii="Times New Roman"/>
        </w:rPr>
        <w:t>），</w:t>
      </w:r>
      <w:r>
        <w:rPr>
          <w:rFonts w:hint="eastAsia" w:ascii="Times New Roman"/>
        </w:rPr>
        <w:t>根据工程建设任务和水库综合利用要求，水库库底清理分为一般清理和特殊清理。一般清理所需费用根据清库工作量和清理措施计算，列入建设征地移民安置补偿费用；特殊清理所需费用按照“谁受益、谁投资”的原则由受益方自行承担。根据相关规程规范，寒溪寺水库工程库底清理为一般清理。一般清理分建（构）筑物清理、林木清理、易漂浮物清理、卫生清理、固体废物清理五类。</w:t>
      </w:r>
    </w:p>
    <w:p>
      <w:pPr>
        <w:ind w:firstLine="0" w:firstLineChars="0"/>
        <w:contextualSpacing/>
        <w:outlineLvl w:val="3"/>
        <w:rPr>
          <w:b/>
          <w:bCs/>
        </w:rPr>
      </w:pPr>
      <w:bookmarkStart w:id="329" w:name="_Toc6042"/>
      <w:r>
        <w:rPr>
          <w:b/>
          <w:bCs/>
        </w:rPr>
        <w:t>2.4.4.2</w:t>
      </w:r>
      <w:r>
        <w:rPr>
          <w:rFonts w:hAnsi="宋体"/>
          <w:b/>
          <w:bCs/>
        </w:rPr>
        <w:t>清理方法</w:t>
      </w:r>
    </w:p>
    <w:p>
      <w:pPr>
        <w:pStyle w:val="2"/>
        <w:ind w:firstLine="480"/>
        <w:contextualSpacing/>
        <w:rPr>
          <w:rFonts w:hint="eastAsia" w:ascii="Times New Roman"/>
        </w:rPr>
      </w:pPr>
      <w:r>
        <w:rPr>
          <w:rFonts w:hint="eastAsia" w:ascii="Times New Roman"/>
        </w:rPr>
        <w:t>a）建（构）筑物拆除与清理</w:t>
      </w:r>
    </w:p>
    <w:p>
      <w:pPr>
        <w:pStyle w:val="2"/>
        <w:ind w:firstLine="480"/>
        <w:contextualSpacing/>
        <w:rPr>
          <w:rFonts w:hint="eastAsia" w:ascii="Times New Roman"/>
        </w:rPr>
      </w:pPr>
      <w:r>
        <w:rPr>
          <w:rFonts w:hint="eastAsia" w:ascii="Times New Roman"/>
        </w:rPr>
        <w:t>1）清理方法建筑物拆除：木（竹）结构、土木、砖木、砖混结构的房屋可采用人工、机械或爆破方式拆除。框架、排架、刚架结构房屋可采用爆破、机械拆除或两者结合方式拆除。建筑物密集区采用爆破方式拆除应考虑对居民迁移线以上房屋及设施的影响，必要时应采用定向爆破方式拆除。</w:t>
      </w:r>
    </w:p>
    <w:p>
      <w:pPr>
        <w:pStyle w:val="2"/>
        <w:ind w:firstLine="480"/>
        <w:contextualSpacing/>
        <w:rPr>
          <w:rFonts w:hint="eastAsia" w:ascii="Times New Roman"/>
        </w:rPr>
      </w:pPr>
      <w:r>
        <w:rPr>
          <w:rFonts w:hint="eastAsia" w:ascii="Times New Roman"/>
        </w:rPr>
        <w:t>构筑物拆除：围墙分砖石墙和土墙两类，可采用人工或机械方式推到。用于烧砖（瓦、石灰）的独窑可采用人工方式破除坍塌。杆塔包括铁塔、水泥杆、木杆等，各类杆线可采用人工或机械方式拆除，拆除的线材、铁制品、木杆等应回收至居民迁移线以上。</w:t>
      </w:r>
    </w:p>
    <w:p>
      <w:pPr>
        <w:pStyle w:val="2"/>
        <w:ind w:firstLine="480"/>
        <w:contextualSpacing/>
        <w:rPr>
          <w:rFonts w:hint="eastAsia" w:ascii="Times New Roman"/>
        </w:rPr>
      </w:pPr>
      <w:r>
        <w:rPr>
          <w:rFonts w:hint="eastAsia" w:ascii="Times New Roman"/>
        </w:rPr>
        <w:t>2）技术要求</w:t>
      </w:r>
    </w:p>
    <w:p>
      <w:pPr>
        <w:pStyle w:val="2"/>
        <w:ind w:firstLine="480"/>
        <w:contextualSpacing/>
        <w:rPr>
          <w:rFonts w:hint="eastAsia" w:ascii="Times New Roman"/>
        </w:rPr>
      </w:pPr>
      <w:r>
        <w:rPr>
          <w:rFonts w:hint="eastAsia" w:ascii="Times New Roman"/>
        </w:rPr>
        <w:t>建筑物、构筑物清理后，残留高度不得超过地面0.5m，拆除的线材、铁制品、木杆不得残留库区。对库岸稳定性有利的建（构）筑物基础、挡土墙等可不予拆除。对确难以清除且危及水库安全运行的较大障碍物，应设置明显标志，并在地形图上注明其位置与标高。</w:t>
      </w:r>
    </w:p>
    <w:p>
      <w:pPr>
        <w:pStyle w:val="2"/>
        <w:ind w:firstLine="480"/>
        <w:contextualSpacing/>
        <w:rPr>
          <w:rFonts w:hint="eastAsia" w:ascii="Times New Roman"/>
        </w:rPr>
      </w:pPr>
      <w:r>
        <w:rPr>
          <w:rFonts w:hint="eastAsia" w:ascii="Times New Roman"/>
        </w:rPr>
        <w:t>b）林木清理</w:t>
      </w:r>
    </w:p>
    <w:p>
      <w:pPr>
        <w:pStyle w:val="2"/>
        <w:ind w:firstLine="480"/>
        <w:contextualSpacing/>
        <w:rPr>
          <w:rFonts w:hint="eastAsia" w:ascii="Times New Roman"/>
        </w:rPr>
      </w:pPr>
      <w:r>
        <w:rPr>
          <w:rFonts w:hint="eastAsia" w:ascii="Times New Roman"/>
        </w:rPr>
        <w:t>1）清理方法需清理的各类林木，应按规定砍伐并清理外运。林木清理过程中，应按国家或当地有关部门的规定采取安全措施。</w:t>
      </w:r>
    </w:p>
    <w:p>
      <w:pPr>
        <w:pStyle w:val="2"/>
        <w:ind w:firstLine="480"/>
        <w:contextualSpacing/>
        <w:rPr>
          <w:rFonts w:hint="eastAsia" w:ascii="Times New Roman"/>
        </w:rPr>
      </w:pPr>
      <w:r>
        <w:rPr>
          <w:rFonts w:hint="eastAsia" w:ascii="Times New Roman"/>
        </w:rPr>
        <w:t>2）技术要求</w:t>
      </w:r>
    </w:p>
    <w:p>
      <w:pPr>
        <w:pStyle w:val="2"/>
        <w:ind w:firstLine="480"/>
        <w:contextualSpacing/>
        <w:rPr>
          <w:rFonts w:hint="eastAsia" w:ascii="Times New Roman"/>
        </w:rPr>
      </w:pPr>
      <w:r>
        <w:rPr>
          <w:rFonts w:hint="eastAsia" w:ascii="Times New Roman"/>
        </w:rPr>
        <w:t>林木清理后残留树桩不得高出地面0.3m。砍伐林木应符合国家有关规定。</w:t>
      </w:r>
    </w:p>
    <w:p>
      <w:pPr>
        <w:pStyle w:val="2"/>
        <w:ind w:firstLine="480"/>
        <w:contextualSpacing/>
        <w:rPr>
          <w:rFonts w:hint="eastAsia" w:ascii="Times New Roman"/>
        </w:rPr>
      </w:pPr>
      <w:r>
        <w:rPr>
          <w:rFonts w:hint="eastAsia" w:ascii="Times New Roman"/>
        </w:rPr>
        <w:t>c）易漂浮物清理</w:t>
      </w:r>
    </w:p>
    <w:p>
      <w:pPr>
        <w:pStyle w:val="2"/>
        <w:ind w:firstLine="480"/>
        <w:contextualSpacing/>
        <w:rPr>
          <w:rFonts w:hint="eastAsia" w:ascii="Times New Roman"/>
        </w:rPr>
      </w:pPr>
      <w:r>
        <w:rPr>
          <w:rFonts w:hint="eastAsia" w:ascii="Times New Roman"/>
        </w:rPr>
        <w:t>1）清理方法</w:t>
      </w:r>
    </w:p>
    <w:p>
      <w:pPr>
        <w:pStyle w:val="2"/>
        <w:ind w:firstLine="480"/>
        <w:contextualSpacing/>
        <w:rPr>
          <w:rFonts w:hint="eastAsia" w:ascii="Times New Roman"/>
        </w:rPr>
      </w:pPr>
      <w:r>
        <w:rPr>
          <w:rFonts w:hint="eastAsia" w:ascii="Times New Roman"/>
        </w:rPr>
        <w:t>建（构）筑物清理后废弃的木质门窗、木檩橼、木质杆材、油毡、塑料及田间和农舍旁堆置的秸秆应就地处理或运至居民迁移线以上。林木砍伐残余的枝桠、枯木等易漂浮物应就地处理，或及时运至居民迁移线以上。</w:t>
      </w:r>
    </w:p>
    <w:p>
      <w:pPr>
        <w:pStyle w:val="2"/>
        <w:ind w:firstLine="480"/>
        <w:contextualSpacing/>
        <w:rPr>
          <w:rFonts w:hint="eastAsia" w:ascii="Times New Roman"/>
        </w:rPr>
      </w:pPr>
      <w:r>
        <w:rPr>
          <w:rFonts w:hint="eastAsia" w:ascii="Times New Roman"/>
        </w:rPr>
        <w:t>2）技术要求</w:t>
      </w:r>
    </w:p>
    <w:p>
      <w:pPr>
        <w:pStyle w:val="2"/>
        <w:ind w:firstLine="480"/>
        <w:contextualSpacing/>
        <w:rPr>
          <w:rFonts w:hint="eastAsia" w:ascii="Times New Roman"/>
        </w:rPr>
      </w:pPr>
      <w:r>
        <w:rPr>
          <w:rFonts w:hint="eastAsia" w:ascii="Times New Roman"/>
        </w:rPr>
        <w:t>建筑物、构筑物清理后的易漂浮材料，不应堆放在居民迁移线以下。易漂浮物清理设计方案应结合库区地形、地质、交通条件，根据国家及地方相关规定，制定简便、易于操作的清理措施。易漂浮物运输过程中不应沿途丢弃、遗撒。</w:t>
      </w:r>
    </w:p>
    <w:p>
      <w:pPr>
        <w:pStyle w:val="2"/>
        <w:ind w:firstLine="480"/>
        <w:contextualSpacing/>
        <w:rPr>
          <w:rFonts w:hint="eastAsia" w:ascii="Times New Roman"/>
        </w:rPr>
      </w:pPr>
      <w:r>
        <w:rPr>
          <w:rFonts w:hint="eastAsia" w:ascii="Times New Roman"/>
        </w:rPr>
        <w:t>d）卫生清理</w:t>
      </w:r>
    </w:p>
    <w:p>
      <w:pPr>
        <w:pStyle w:val="2"/>
        <w:ind w:firstLine="480"/>
        <w:contextualSpacing/>
        <w:rPr>
          <w:rFonts w:hint="eastAsia" w:ascii="Times New Roman"/>
        </w:rPr>
      </w:pPr>
      <w:r>
        <w:rPr>
          <w:rFonts w:hint="eastAsia" w:ascii="Times New Roman"/>
        </w:rPr>
        <w:t>1）清理方法一般污染源的清理应符合下列规定：</w:t>
      </w:r>
    </w:p>
    <w:p>
      <w:pPr>
        <w:pStyle w:val="2"/>
        <w:ind w:firstLine="480"/>
        <w:contextualSpacing/>
        <w:rPr>
          <w:rFonts w:hint="eastAsia" w:ascii="Times New Roman"/>
        </w:rPr>
      </w:pPr>
      <w:r>
        <w:rPr>
          <w:rFonts w:hint="eastAsia" w:ascii="Times New Roman"/>
        </w:rPr>
        <w:t>化粪池、沼气池、粪池、公共厕所、牲畜栏中的粪便应清掏运至居民迁移线以上。无法清掏的残留物，应按1kg/m2撒布漂白粉（有效氯含量大于20%，以下同）消毒，坑穴用漂白粉按1kg/m2撒布、浇湿后，用农田土壤或建筑渣土填平、压实。公共厕所地面和坑穴表面用4%漂白粉上清液按1-2kg/m2喷洒。埋葬15年以内（包含15年）的普通坟墓应限期迁出淹没区，墓穴及周围土应摊晒，或直接用4%漂白粉上清液按1-2kg/m2喷洒后，应回填压实；对埋葬15年以上的普通坟墓，是否迁移，可按当地民政部门规定，并尊重当地习俗处理；对无主普通坟墓进行压实处理。</w:t>
      </w:r>
    </w:p>
    <w:p>
      <w:pPr>
        <w:pStyle w:val="2"/>
        <w:ind w:firstLine="480"/>
        <w:contextualSpacing/>
        <w:rPr>
          <w:rFonts w:hint="eastAsia" w:ascii="Times New Roman"/>
        </w:rPr>
      </w:pPr>
      <w:r>
        <w:rPr>
          <w:rFonts w:hint="eastAsia" w:ascii="Times New Roman"/>
        </w:rPr>
        <w:t>传染性污染源及生物类污染源的清理应符合《水利水电工程水库库底清理设计规范》（SL644-2014）中有关规定。</w:t>
      </w:r>
    </w:p>
    <w:p>
      <w:pPr>
        <w:pStyle w:val="2"/>
        <w:ind w:firstLine="480"/>
        <w:contextualSpacing/>
        <w:rPr>
          <w:rFonts w:hint="eastAsia" w:ascii="Times New Roman"/>
        </w:rPr>
      </w:pPr>
      <w:r>
        <w:rPr>
          <w:rFonts w:hint="eastAsia" w:ascii="Times New Roman"/>
        </w:rPr>
        <w:t>2）质量控制</w:t>
      </w:r>
    </w:p>
    <w:p>
      <w:pPr>
        <w:pStyle w:val="2"/>
        <w:ind w:firstLine="480"/>
        <w:contextualSpacing/>
        <w:rPr>
          <w:rFonts w:hint="eastAsia" w:ascii="Times New Roman"/>
        </w:rPr>
      </w:pPr>
      <w:r>
        <w:rPr>
          <w:rFonts w:hint="eastAsia" w:ascii="Times New Roman"/>
        </w:rPr>
        <w:t>粪便消毒处理后应达到（GB-7959）指标要求，由县级以上疾病预防控制中心提供检测报告。</w:t>
      </w:r>
    </w:p>
    <w:p>
      <w:pPr>
        <w:pStyle w:val="2"/>
        <w:ind w:firstLine="480"/>
        <w:contextualSpacing/>
        <w:rPr>
          <w:rFonts w:hint="eastAsia" w:ascii="Times New Roman"/>
        </w:rPr>
      </w:pPr>
      <w:r>
        <w:rPr>
          <w:rFonts w:hint="eastAsia" w:ascii="Times New Roman"/>
        </w:rPr>
        <w:t>灭鼠后鼠密度不应超过1%。其它质量控制要求详见《水利水电工程水库库底清理设计规范》（SL644-2014）。</w:t>
      </w:r>
    </w:p>
    <w:p>
      <w:pPr>
        <w:pStyle w:val="2"/>
        <w:ind w:firstLine="480"/>
        <w:contextualSpacing/>
        <w:rPr>
          <w:rFonts w:hint="eastAsia" w:ascii="Times New Roman"/>
        </w:rPr>
      </w:pPr>
      <w:r>
        <w:rPr>
          <w:rFonts w:hint="eastAsia" w:ascii="Times New Roman"/>
        </w:rPr>
        <w:t>e）固体废物清理</w:t>
      </w:r>
    </w:p>
    <w:p>
      <w:pPr>
        <w:pStyle w:val="2"/>
        <w:ind w:firstLine="480"/>
        <w:contextualSpacing/>
        <w:rPr>
          <w:rFonts w:hint="eastAsia" w:ascii="Times New Roman"/>
        </w:rPr>
      </w:pPr>
      <w:r>
        <w:rPr>
          <w:rFonts w:hint="eastAsia" w:ascii="Times New Roman"/>
        </w:rPr>
        <w:t>1）清理方法</w:t>
      </w:r>
    </w:p>
    <w:p>
      <w:pPr>
        <w:pStyle w:val="2"/>
        <w:ind w:firstLine="480"/>
        <w:contextualSpacing/>
        <w:rPr>
          <w:rFonts w:hint="eastAsia" w:ascii="Times New Roman"/>
        </w:rPr>
      </w:pPr>
      <w:r>
        <w:rPr>
          <w:rFonts w:hint="eastAsia" w:ascii="Times New Roman"/>
        </w:rPr>
        <w:t>生活垃圾堆放场应根据垃圾堆龄、组成及体积进行无害化处理、资源化处理、水库居民迁移线以上卫生填埋和就地处理。无害化处理可采取堆肥法、焚烧法和卫生填埋法等方法。经无害化处理的废物应化学性质稳定、病原体被杀灭，达到国家有关固体废物无害化处理卫生评价标准要求。</w:t>
      </w:r>
    </w:p>
    <w:p>
      <w:pPr>
        <w:pStyle w:val="2"/>
        <w:ind w:firstLine="480"/>
        <w:contextualSpacing/>
        <w:rPr>
          <w:rFonts w:hint="eastAsia" w:ascii="Times New Roman"/>
        </w:rPr>
      </w:pPr>
      <w:r>
        <w:rPr>
          <w:rFonts w:hint="eastAsia" w:ascii="Times New Roman"/>
        </w:rPr>
        <w:t>2）技术要求</w:t>
      </w:r>
    </w:p>
    <w:p>
      <w:pPr>
        <w:pStyle w:val="2"/>
        <w:spacing w:before="0"/>
        <w:ind w:left="0" w:firstLine="480"/>
        <w:contextualSpacing/>
        <w:rPr>
          <w:rFonts w:ascii="Times New Roman" w:hAnsi="Times New Roman"/>
        </w:rPr>
      </w:pPr>
      <w:r>
        <w:rPr>
          <w:rFonts w:hint="eastAsia" w:ascii="Times New Roman"/>
        </w:rPr>
        <w:t>清理现场表面应用农田土或建筑渣土填平压实。需要清理的固体废物均应在符合国家标准的处理处置场中进行处置，所有固体废物的暂存地应在水库居民迁移线以上。</w:t>
      </w:r>
    </w:p>
    <w:p>
      <w:pPr>
        <w:ind w:firstLine="0" w:firstLineChars="0"/>
        <w:contextualSpacing/>
        <w:outlineLvl w:val="3"/>
        <w:rPr>
          <w:b/>
          <w:bCs/>
        </w:rPr>
      </w:pPr>
      <w:r>
        <w:rPr>
          <w:b/>
          <w:bCs/>
        </w:rPr>
        <w:t>2.4.4.3</w:t>
      </w:r>
      <w:r>
        <w:rPr>
          <w:rFonts w:hAnsi="宋体"/>
          <w:b/>
          <w:bCs/>
        </w:rPr>
        <w:t>清理工程量</w:t>
      </w:r>
    </w:p>
    <w:p>
      <w:pPr>
        <w:ind w:firstLine="480"/>
        <w:contextualSpacing/>
      </w:pPr>
      <w:r>
        <w:rPr>
          <w:rFonts w:hAnsi="宋体"/>
        </w:rPr>
        <w:t>根据本阶段实物调查成果和库底清理专项调查成果，寒溪寺水库库底清理工作量见下表：</w:t>
      </w:r>
    </w:p>
    <w:p>
      <w:pPr>
        <w:ind w:firstLine="0" w:firstLineChars="0"/>
        <w:contextualSpacing/>
        <w:jc w:val="center"/>
        <w:rPr>
          <w:b/>
          <w:bCs/>
          <w:sz w:val="21"/>
          <w:szCs w:val="21"/>
        </w:rPr>
      </w:pPr>
      <w:r>
        <w:rPr>
          <w:rFonts w:hAnsi="宋体"/>
          <w:b/>
          <w:bCs/>
          <w:sz w:val="21"/>
          <w:szCs w:val="21"/>
        </w:rPr>
        <w:t>表</w:t>
      </w:r>
      <w:r>
        <w:rPr>
          <w:b/>
          <w:bCs/>
          <w:sz w:val="21"/>
          <w:szCs w:val="21"/>
        </w:rPr>
        <w:t xml:space="preserve">2.4.4  </w:t>
      </w:r>
      <w:r>
        <w:rPr>
          <w:rFonts w:hAnsi="宋体"/>
          <w:b/>
          <w:bCs/>
          <w:sz w:val="21"/>
          <w:szCs w:val="21"/>
        </w:rPr>
        <w:t>库底清理工作量一览表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3334"/>
        <w:gridCol w:w="929"/>
        <w:gridCol w:w="2470"/>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序号</w:t>
            </w:r>
          </w:p>
        </w:tc>
        <w:tc>
          <w:tcPr>
            <w:tcW w:w="1956" w:type="pct"/>
            <w:vAlign w:val="center"/>
          </w:tcPr>
          <w:p>
            <w:pPr>
              <w:pStyle w:val="139"/>
              <w:spacing w:line="240" w:lineRule="auto"/>
              <w:rPr>
                <w:rFonts w:cs="Times New Roman"/>
              </w:rPr>
            </w:pPr>
            <w:r>
              <w:rPr>
                <w:rFonts w:cs="Times New Roman"/>
              </w:rPr>
              <w:t>项目</w:t>
            </w:r>
          </w:p>
        </w:tc>
        <w:tc>
          <w:tcPr>
            <w:tcW w:w="545" w:type="pct"/>
            <w:vAlign w:val="center"/>
          </w:tcPr>
          <w:p>
            <w:pPr>
              <w:pStyle w:val="139"/>
              <w:spacing w:line="240" w:lineRule="auto"/>
              <w:rPr>
                <w:rFonts w:cs="Times New Roman"/>
              </w:rPr>
            </w:pPr>
            <w:r>
              <w:rPr>
                <w:rFonts w:cs="Times New Roman"/>
              </w:rPr>
              <w:t>单位</w:t>
            </w:r>
          </w:p>
        </w:tc>
        <w:tc>
          <w:tcPr>
            <w:tcW w:w="1449" w:type="pct"/>
            <w:vAlign w:val="center"/>
          </w:tcPr>
          <w:p>
            <w:pPr>
              <w:pStyle w:val="139"/>
              <w:spacing w:line="240" w:lineRule="auto"/>
              <w:rPr>
                <w:rFonts w:cs="Times New Roman"/>
              </w:rPr>
            </w:pPr>
            <w:r>
              <w:rPr>
                <w:rFonts w:cs="Times New Roman"/>
              </w:rPr>
              <w:t>数量</w:t>
            </w:r>
          </w:p>
        </w:tc>
        <w:tc>
          <w:tcPr>
            <w:tcW w:w="508"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1</w:t>
            </w:r>
          </w:p>
        </w:tc>
        <w:tc>
          <w:tcPr>
            <w:tcW w:w="1956" w:type="pct"/>
            <w:vAlign w:val="center"/>
          </w:tcPr>
          <w:p>
            <w:pPr>
              <w:pStyle w:val="139"/>
              <w:spacing w:line="240" w:lineRule="auto"/>
              <w:rPr>
                <w:rFonts w:cs="Times New Roman"/>
              </w:rPr>
            </w:pPr>
            <w:r>
              <w:rPr>
                <w:rFonts w:cs="Times New Roman"/>
              </w:rPr>
              <w:t>卫生清理</w:t>
            </w:r>
          </w:p>
        </w:tc>
        <w:tc>
          <w:tcPr>
            <w:tcW w:w="545" w:type="pct"/>
            <w:vAlign w:val="center"/>
          </w:tcPr>
          <w:p>
            <w:pPr>
              <w:pStyle w:val="139"/>
              <w:spacing w:line="240" w:lineRule="auto"/>
              <w:rPr>
                <w:rFonts w:cs="Times New Roman"/>
              </w:rPr>
            </w:pPr>
          </w:p>
        </w:tc>
        <w:tc>
          <w:tcPr>
            <w:tcW w:w="1449" w:type="pct"/>
            <w:vAlign w:val="center"/>
          </w:tcPr>
          <w:p>
            <w:pPr>
              <w:pStyle w:val="139"/>
              <w:spacing w:line="240" w:lineRule="auto"/>
              <w:rPr>
                <w:rFonts w:cs="Times New Roman"/>
              </w:rPr>
            </w:pP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1.1</w:t>
            </w:r>
          </w:p>
        </w:tc>
        <w:tc>
          <w:tcPr>
            <w:tcW w:w="1956" w:type="pct"/>
            <w:vAlign w:val="center"/>
          </w:tcPr>
          <w:p>
            <w:pPr>
              <w:pStyle w:val="139"/>
              <w:spacing w:line="240" w:lineRule="auto"/>
              <w:rPr>
                <w:rFonts w:cs="Times New Roman"/>
              </w:rPr>
            </w:pPr>
            <w:r>
              <w:rPr>
                <w:rFonts w:cs="Times New Roman"/>
              </w:rPr>
              <w:t>粪池</w:t>
            </w:r>
          </w:p>
        </w:tc>
        <w:tc>
          <w:tcPr>
            <w:tcW w:w="545" w:type="pct"/>
            <w:vAlign w:val="center"/>
          </w:tcPr>
          <w:p>
            <w:pPr>
              <w:pStyle w:val="139"/>
              <w:spacing w:line="240" w:lineRule="auto"/>
              <w:rPr>
                <w:rFonts w:cs="Times New Roman"/>
              </w:rPr>
            </w:pPr>
            <w:r>
              <w:rPr>
                <w:rFonts w:cs="Times New Roman"/>
              </w:rPr>
              <w:t>m</w:t>
            </w:r>
            <w:r>
              <w:rPr>
                <w:rFonts w:cs="Times New Roman"/>
                <w:vertAlign w:val="superscript"/>
              </w:rPr>
              <w:t>3</w:t>
            </w:r>
          </w:p>
        </w:tc>
        <w:tc>
          <w:tcPr>
            <w:tcW w:w="1449" w:type="pct"/>
            <w:vAlign w:val="center"/>
          </w:tcPr>
          <w:p>
            <w:pPr>
              <w:pStyle w:val="139"/>
              <w:spacing w:line="240" w:lineRule="auto"/>
              <w:rPr>
                <w:rFonts w:cs="Times New Roman"/>
              </w:rPr>
            </w:pPr>
            <w:r>
              <w:rPr>
                <w:rFonts w:cs="Times New Roman"/>
              </w:rPr>
              <w:t>7.94</w:t>
            </w: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1.2</w:t>
            </w:r>
          </w:p>
        </w:tc>
        <w:tc>
          <w:tcPr>
            <w:tcW w:w="1956" w:type="pct"/>
            <w:vAlign w:val="center"/>
          </w:tcPr>
          <w:p>
            <w:pPr>
              <w:pStyle w:val="139"/>
              <w:spacing w:line="240" w:lineRule="auto"/>
              <w:rPr>
                <w:rFonts w:cs="Times New Roman"/>
              </w:rPr>
            </w:pPr>
            <w:r>
              <w:rPr>
                <w:rFonts w:cs="Times New Roman"/>
              </w:rPr>
              <w:t>坟墓</w:t>
            </w:r>
          </w:p>
        </w:tc>
        <w:tc>
          <w:tcPr>
            <w:tcW w:w="545" w:type="pct"/>
            <w:vAlign w:val="center"/>
          </w:tcPr>
          <w:p>
            <w:pPr>
              <w:pStyle w:val="139"/>
              <w:spacing w:line="240" w:lineRule="auto"/>
              <w:rPr>
                <w:rFonts w:cs="Times New Roman"/>
              </w:rPr>
            </w:pPr>
            <w:r>
              <w:rPr>
                <w:rFonts w:cs="Times New Roman"/>
              </w:rPr>
              <w:t>座</w:t>
            </w:r>
          </w:p>
        </w:tc>
        <w:tc>
          <w:tcPr>
            <w:tcW w:w="1449" w:type="pct"/>
            <w:vAlign w:val="center"/>
          </w:tcPr>
          <w:p>
            <w:pPr>
              <w:pStyle w:val="139"/>
              <w:spacing w:line="240" w:lineRule="auto"/>
              <w:rPr>
                <w:rFonts w:cs="Times New Roman"/>
              </w:rPr>
            </w:pPr>
            <w:r>
              <w:rPr>
                <w:rFonts w:cs="Times New Roman"/>
              </w:rPr>
              <w:t>37</w:t>
            </w: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1.3</w:t>
            </w:r>
          </w:p>
        </w:tc>
        <w:tc>
          <w:tcPr>
            <w:tcW w:w="1956" w:type="pct"/>
            <w:vAlign w:val="center"/>
          </w:tcPr>
          <w:p>
            <w:pPr>
              <w:pStyle w:val="139"/>
              <w:spacing w:line="240" w:lineRule="auto"/>
              <w:rPr>
                <w:rFonts w:cs="Times New Roman"/>
              </w:rPr>
            </w:pPr>
            <w:r>
              <w:rPr>
                <w:rFonts w:cs="Times New Roman"/>
              </w:rPr>
              <w:t>灭鼠</w:t>
            </w:r>
          </w:p>
        </w:tc>
        <w:tc>
          <w:tcPr>
            <w:tcW w:w="545" w:type="pct"/>
            <w:vAlign w:val="center"/>
          </w:tcPr>
          <w:p>
            <w:pPr>
              <w:pStyle w:val="139"/>
              <w:spacing w:line="240" w:lineRule="auto"/>
              <w:rPr>
                <w:rFonts w:cs="Times New Roman"/>
              </w:rPr>
            </w:pPr>
            <w:r>
              <w:rPr>
                <w:rFonts w:cs="Times New Roman"/>
              </w:rPr>
              <w:t>处</w:t>
            </w:r>
          </w:p>
        </w:tc>
        <w:tc>
          <w:tcPr>
            <w:tcW w:w="1449" w:type="pct"/>
            <w:vAlign w:val="center"/>
          </w:tcPr>
          <w:p>
            <w:pPr>
              <w:pStyle w:val="139"/>
              <w:spacing w:line="240" w:lineRule="auto"/>
              <w:rPr>
                <w:rFonts w:cs="Times New Roman"/>
              </w:rPr>
            </w:pPr>
            <w:r>
              <w:rPr>
                <w:rFonts w:cs="Times New Roman"/>
              </w:rPr>
              <w:t>2000</w:t>
            </w: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2</w:t>
            </w:r>
          </w:p>
        </w:tc>
        <w:tc>
          <w:tcPr>
            <w:tcW w:w="1956" w:type="pct"/>
            <w:vAlign w:val="center"/>
          </w:tcPr>
          <w:p>
            <w:pPr>
              <w:pStyle w:val="139"/>
              <w:spacing w:line="240" w:lineRule="auto"/>
              <w:rPr>
                <w:rFonts w:cs="Times New Roman"/>
              </w:rPr>
            </w:pPr>
            <w:r>
              <w:rPr>
                <w:rFonts w:cs="Times New Roman"/>
              </w:rPr>
              <w:t>林木清理</w:t>
            </w:r>
          </w:p>
        </w:tc>
        <w:tc>
          <w:tcPr>
            <w:tcW w:w="545" w:type="pct"/>
            <w:vAlign w:val="center"/>
          </w:tcPr>
          <w:p>
            <w:pPr>
              <w:pStyle w:val="139"/>
              <w:spacing w:line="240" w:lineRule="auto"/>
              <w:rPr>
                <w:rFonts w:cs="Times New Roman"/>
              </w:rPr>
            </w:pPr>
          </w:p>
        </w:tc>
        <w:tc>
          <w:tcPr>
            <w:tcW w:w="1449" w:type="pct"/>
            <w:vAlign w:val="center"/>
          </w:tcPr>
          <w:p>
            <w:pPr>
              <w:pStyle w:val="139"/>
              <w:spacing w:line="240" w:lineRule="auto"/>
              <w:rPr>
                <w:rFonts w:cs="Times New Roman"/>
              </w:rPr>
            </w:pP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2.1</w:t>
            </w:r>
          </w:p>
        </w:tc>
        <w:tc>
          <w:tcPr>
            <w:tcW w:w="1956" w:type="pct"/>
            <w:vAlign w:val="center"/>
          </w:tcPr>
          <w:p>
            <w:pPr>
              <w:pStyle w:val="139"/>
              <w:spacing w:line="240" w:lineRule="auto"/>
              <w:rPr>
                <w:rFonts w:cs="Times New Roman"/>
              </w:rPr>
            </w:pPr>
            <w:r>
              <w:rPr>
                <w:rFonts w:cs="Times New Roman"/>
              </w:rPr>
              <w:t>零星林（果）木</w:t>
            </w:r>
          </w:p>
        </w:tc>
        <w:tc>
          <w:tcPr>
            <w:tcW w:w="545" w:type="pct"/>
            <w:vAlign w:val="center"/>
          </w:tcPr>
          <w:p>
            <w:pPr>
              <w:pStyle w:val="139"/>
              <w:spacing w:line="240" w:lineRule="auto"/>
              <w:rPr>
                <w:rFonts w:cs="Times New Roman"/>
              </w:rPr>
            </w:pPr>
            <w:r>
              <w:rPr>
                <w:rFonts w:cs="Times New Roman"/>
              </w:rPr>
              <w:t>株</w:t>
            </w:r>
          </w:p>
        </w:tc>
        <w:tc>
          <w:tcPr>
            <w:tcW w:w="1449" w:type="pct"/>
            <w:vAlign w:val="center"/>
          </w:tcPr>
          <w:p>
            <w:pPr>
              <w:pStyle w:val="139"/>
              <w:spacing w:line="240" w:lineRule="auto"/>
              <w:rPr>
                <w:rFonts w:cs="Times New Roman"/>
              </w:rPr>
            </w:pPr>
            <w:r>
              <w:rPr>
                <w:rFonts w:cs="Times New Roman"/>
              </w:rPr>
              <w:t>623</w:t>
            </w: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2.2</w:t>
            </w:r>
          </w:p>
        </w:tc>
        <w:tc>
          <w:tcPr>
            <w:tcW w:w="1956" w:type="pct"/>
            <w:vAlign w:val="center"/>
          </w:tcPr>
          <w:p>
            <w:pPr>
              <w:pStyle w:val="139"/>
              <w:spacing w:line="240" w:lineRule="auto"/>
              <w:rPr>
                <w:rFonts w:cs="Times New Roman"/>
              </w:rPr>
            </w:pPr>
            <w:r>
              <w:rPr>
                <w:rFonts w:cs="Times New Roman"/>
              </w:rPr>
              <w:t>林地林木</w:t>
            </w:r>
          </w:p>
        </w:tc>
        <w:tc>
          <w:tcPr>
            <w:tcW w:w="545" w:type="pct"/>
            <w:vAlign w:val="center"/>
          </w:tcPr>
          <w:p>
            <w:pPr>
              <w:pStyle w:val="139"/>
              <w:spacing w:line="240" w:lineRule="auto"/>
              <w:rPr>
                <w:rFonts w:cs="Times New Roman"/>
              </w:rPr>
            </w:pPr>
            <w:r>
              <w:rPr>
                <w:rFonts w:cs="Times New Roman"/>
              </w:rPr>
              <w:t>亩</w:t>
            </w:r>
          </w:p>
        </w:tc>
        <w:tc>
          <w:tcPr>
            <w:tcW w:w="1449" w:type="pct"/>
            <w:vAlign w:val="center"/>
          </w:tcPr>
          <w:p>
            <w:pPr>
              <w:pStyle w:val="139"/>
              <w:spacing w:line="240" w:lineRule="auto"/>
              <w:rPr>
                <w:rFonts w:cs="Times New Roman"/>
              </w:rPr>
            </w:pPr>
            <w:r>
              <w:rPr>
                <w:rFonts w:cs="Times New Roman"/>
              </w:rPr>
              <w:t>104.65</w:t>
            </w:r>
          </w:p>
        </w:tc>
        <w:tc>
          <w:tcPr>
            <w:tcW w:w="508" w:type="pct"/>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pPr>
              <w:pStyle w:val="139"/>
              <w:spacing w:line="240" w:lineRule="auto"/>
              <w:rPr>
                <w:rFonts w:cs="Times New Roman"/>
              </w:rPr>
            </w:pPr>
            <w:r>
              <w:rPr>
                <w:rFonts w:cs="Times New Roman"/>
              </w:rPr>
              <w:t>2.3</w:t>
            </w:r>
          </w:p>
        </w:tc>
        <w:tc>
          <w:tcPr>
            <w:tcW w:w="1956" w:type="pct"/>
            <w:vAlign w:val="center"/>
          </w:tcPr>
          <w:p>
            <w:pPr>
              <w:pStyle w:val="139"/>
              <w:spacing w:line="240" w:lineRule="auto"/>
              <w:rPr>
                <w:rFonts w:cs="Times New Roman"/>
              </w:rPr>
            </w:pPr>
            <w:r>
              <w:rPr>
                <w:rFonts w:cs="Times New Roman"/>
              </w:rPr>
              <w:t>农作物秸秆</w:t>
            </w:r>
          </w:p>
        </w:tc>
        <w:tc>
          <w:tcPr>
            <w:tcW w:w="545" w:type="pct"/>
            <w:vAlign w:val="center"/>
          </w:tcPr>
          <w:p>
            <w:pPr>
              <w:pStyle w:val="139"/>
              <w:spacing w:line="240" w:lineRule="auto"/>
              <w:rPr>
                <w:rFonts w:cs="Times New Roman"/>
              </w:rPr>
            </w:pPr>
            <w:r>
              <w:rPr>
                <w:rFonts w:cs="Times New Roman"/>
              </w:rPr>
              <w:t>亩</w:t>
            </w:r>
          </w:p>
        </w:tc>
        <w:tc>
          <w:tcPr>
            <w:tcW w:w="1449" w:type="pct"/>
            <w:vAlign w:val="center"/>
          </w:tcPr>
          <w:p>
            <w:pPr>
              <w:pStyle w:val="139"/>
              <w:spacing w:line="240" w:lineRule="auto"/>
              <w:rPr>
                <w:rFonts w:cs="Times New Roman"/>
              </w:rPr>
            </w:pPr>
            <w:r>
              <w:rPr>
                <w:rFonts w:cs="Times New Roman"/>
              </w:rPr>
              <w:t>18.09</w:t>
            </w:r>
          </w:p>
        </w:tc>
        <w:tc>
          <w:tcPr>
            <w:tcW w:w="508" w:type="pct"/>
            <w:vAlign w:val="center"/>
          </w:tcPr>
          <w:p>
            <w:pPr>
              <w:pStyle w:val="139"/>
              <w:spacing w:line="240" w:lineRule="auto"/>
              <w:rPr>
                <w:rFonts w:cs="Times New Roman"/>
              </w:rPr>
            </w:pPr>
          </w:p>
        </w:tc>
      </w:tr>
    </w:tbl>
    <w:p>
      <w:pPr>
        <w:pStyle w:val="4"/>
        <w:ind w:firstLine="0" w:firstLineChars="0"/>
        <w:contextualSpacing/>
      </w:pPr>
      <w:bookmarkStart w:id="330" w:name="_Toc130753415"/>
      <w:r>
        <w:t>2.5</w:t>
      </w:r>
      <w:r>
        <w:rPr>
          <w:rFonts w:hAnsi="宋体"/>
        </w:rPr>
        <w:t>工程运行调度方案</w:t>
      </w:r>
      <w:bookmarkEnd w:id="330"/>
    </w:p>
    <w:p>
      <w:pPr>
        <w:pStyle w:val="5"/>
        <w:ind w:firstLine="0" w:firstLineChars="0"/>
        <w:contextualSpacing/>
        <w:rPr>
          <w:rFonts w:ascii="Times New Roman" w:hAnsi="Times New Roman"/>
        </w:rPr>
      </w:pPr>
      <w:r>
        <w:rPr>
          <w:rFonts w:ascii="Times New Roman" w:hAnsi="Times New Roman"/>
        </w:rPr>
        <w:t>2.5.1</w:t>
      </w:r>
      <w:r>
        <w:rPr>
          <w:rFonts w:ascii="Times New Roman" w:hAnsi="宋体"/>
        </w:rPr>
        <w:t>水库调度运行方式</w:t>
      </w:r>
    </w:p>
    <w:p>
      <w:pPr>
        <w:ind w:firstLine="0" w:firstLineChars="0"/>
        <w:contextualSpacing/>
        <w:outlineLvl w:val="3"/>
        <w:rPr>
          <w:b/>
          <w:bCs/>
        </w:rPr>
      </w:pPr>
      <w:r>
        <w:rPr>
          <w:b/>
          <w:bCs/>
        </w:rPr>
        <w:t>2.5.1.1</w:t>
      </w:r>
      <w:r>
        <w:rPr>
          <w:rFonts w:hAnsi="宋体"/>
          <w:b/>
          <w:bCs/>
        </w:rPr>
        <w:t>调度原则</w:t>
      </w:r>
    </w:p>
    <w:p>
      <w:pPr>
        <w:ind w:firstLine="480"/>
        <w:contextualSpacing/>
        <w:rPr>
          <w:rFonts w:hint="eastAsia" w:hAnsi="宋体"/>
          <w:kern w:val="24"/>
        </w:rPr>
      </w:pPr>
      <w:r>
        <w:rPr>
          <w:rFonts w:hint="eastAsia" w:hAnsi="宋体"/>
          <w:kern w:val="24"/>
        </w:rPr>
        <w:t>寒溪寺水库工程任务为农业灌溉、乡村供水，其调度运行基本原则为：</w:t>
      </w:r>
    </w:p>
    <w:p>
      <w:pPr>
        <w:ind w:firstLine="480"/>
        <w:contextualSpacing/>
        <w:rPr>
          <w:rFonts w:hint="eastAsia" w:hAnsi="宋体"/>
          <w:kern w:val="24"/>
        </w:rPr>
      </w:pPr>
      <w:r>
        <w:rPr>
          <w:rFonts w:hint="eastAsia" w:hAnsi="宋体"/>
          <w:kern w:val="24"/>
        </w:rPr>
        <w:t>1）水库调度规则应依据和遵守《中华人民共和国水法》、《中华人民共和国防洪法》、《中华人民共和国河道管理条例》、《水库大坝安全管理条例》和水库规划、设计等有关批准文件。</w:t>
      </w:r>
    </w:p>
    <w:p>
      <w:pPr>
        <w:ind w:firstLine="480"/>
        <w:contextualSpacing/>
        <w:rPr>
          <w:rFonts w:hint="eastAsia" w:hAnsi="宋体"/>
          <w:kern w:val="24"/>
        </w:rPr>
      </w:pPr>
      <w:r>
        <w:rPr>
          <w:rFonts w:hint="eastAsia" w:hAnsi="宋体"/>
          <w:kern w:val="24"/>
        </w:rPr>
        <w:t>2）保证水库工程安全的前提下，充分发挥水库蓄水兴利作用，在遵循计划用水、节约用水的原则下，最大程度满足各部门用水需求。</w:t>
      </w:r>
    </w:p>
    <w:p>
      <w:pPr>
        <w:ind w:firstLine="480"/>
        <w:contextualSpacing/>
        <w:rPr>
          <w:rFonts w:hint="eastAsia" w:hAnsi="宋体"/>
          <w:kern w:val="24"/>
        </w:rPr>
      </w:pPr>
      <w:r>
        <w:rPr>
          <w:rFonts w:hint="eastAsia" w:hAnsi="宋体"/>
          <w:kern w:val="24"/>
        </w:rPr>
        <w:t>3）当水库水位在保证供水区时，水库按需供水；</w:t>
      </w:r>
    </w:p>
    <w:p>
      <w:pPr>
        <w:ind w:firstLine="480"/>
        <w:contextualSpacing/>
        <w:rPr>
          <w:rFonts w:hint="eastAsia" w:hAnsi="宋体"/>
          <w:kern w:val="24"/>
        </w:rPr>
      </w:pPr>
      <w:r>
        <w:rPr>
          <w:rFonts w:hint="eastAsia" w:hAnsi="宋体"/>
          <w:kern w:val="24"/>
        </w:rPr>
        <w:t>4）当水库水位在加大供水区时，水库加大供水，尽量减少弃水；</w:t>
      </w:r>
    </w:p>
    <w:p>
      <w:pPr>
        <w:ind w:firstLine="480"/>
        <w:contextualSpacing/>
        <w:rPr>
          <w:rFonts w:hint="eastAsia" w:hAnsi="宋体"/>
          <w:kern w:val="24"/>
        </w:rPr>
      </w:pPr>
      <w:r>
        <w:rPr>
          <w:rFonts w:hint="eastAsia" w:hAnsi="宋体"/>
          <w:kern w:val="24"/>
        </w:rPr>
        <w:t>5）当水库水位在限制供水区时，水库在确保场镇和农村人畜供水后余水按灌溉需水的70%～80%限制供水；</w:t>
      </w:r>
    </w:p>
    <w:p>
      <w:pPr>
        <w:ind w:firstLine="480"/>
        <w:contextualSpacing/>
        <w:rPr>
          <w:rFonts w:hint="eastAsia" w:hAnsi="宋体"/>
          <w:kern w:val="24"/>
        </w:rPr>
      </w:pPr>
      <w:r>
        <w:rPr>
          <w:rFonts w:hint="eastAsia" w:hAnsi="宋体"/>
          <w:kern w:val="24"/>
        </w:rPr>
        <w:t>6）当水库水位消落至死水位时，水库应停止供水，不轻易动用死库容，防止下一年供水遭破坏；</w:t>
      </w:r>
    </w:p>
    <w:p>
      <w:pPr>
        <w:ind w:firstLine="480"/>
        <w:contextualSpacing/>
      </w:pPr>
      <w:r>
        <w:rPr>
          <w:rFonts w:hint="eastAsia" w:hAnsi="宋体"/>
          <w:kern w:val="24"/>
        </w:rPr>
        <w:t>7）当发生突发事件，如供水区辅助水源污染事故等，可加大供水，甚至动用死库容。</w:t>
      </w:r>
    </w:p>
    <w:p>
      <w:pPr>
        <w:ind w:firstLine="0" w:firstLineChars="0"/>
        <w:contextualSpacing/>
        <w:outlineLvl w:val="3"/>
        <w:rPr>
          <w:b/>
          <w:bCs/>
        </w:rPr>
      </w:pPr>
      <w:r>
        <w:rPr>
          <w:b/>
          <w:bCs/>
        </w:rPr>
        <w:t>2.5.1.2</w:t>
      </w:r>
      <w:r>
        <w:rPr>
          <w:rFonts w:hAnsi="宋体"/>
          <w:b/>
          <w:bCs/>
        </w:rPr>
        <w:t>运行方式</w:t>
      </w:r>
    </w:p>
    <w:p>
      <w:pPr>
        <w:ind w:firstLine="480"/>
        <w:contextualSpacing/>
        <w:rPr>
          <w:rFonts w:hAnsi="宋体"/>
          <w:kern w:val="24"/>
        </w:rPr>
      </w:pPr>
      <w:r>
        <w:rPr>
          <w:rFonts w:hAnsi="宋体"/>
          <w:kern w:val="24"/>
        </w:rPr>
        <w:t>1）水库兴利调度</w:t>
      </w:r>
    </w:p>
    <w:p>
      <w:pPr>
        <w:ind w:firstLine="480"/>
        <w:contextualSpacing/>
        <w:rPr>
          <w:rFonts w:hAnsi="宋体"/>
          <w:kern w:val="24"/>
        </w:rPr>
      </w:pPr>
      <w:r>
        <w:rPr>
          <w:rFonts w:hAnsi="宋体"/>
          <w:kern w:val="24"/>
        </w:rPr>
        <w:t>根据水库来水和蓄水状况，在优先下泄河道内生态用水的条件下，按照水库开发任务，水库供水次序由各用水部门供水设计保证率决定，依次为场镇供水、农村人畜供水、灌溉。</w:t>
      </w:r>
    </w:p>
    <w:p>
      <w:pPr>
        <w:ind w:firstLine="480"/>
        <w:contextualSpacing/>
        <w:rPr>
          <w:rFonts w:hAnsi="宋体"/>
          <w:kern w:val="24"/>
        </w:rPr>
      </w:pPr>
      <w:r>
        <w:rPr>
          <w:rFonts w:hAnsi="宋体"/>
          <w:kern w:val="24"/>
        </w:rPr>
        <w:t>正常情况下，水库按需水过程供水，当来水大于供水，水库蓄水，库水位上升，当水库水位达到正常蓄水位695.00m时，水库按防洪运用方式运行；当来水小于供水，则动用水库库容，库水位下降，当库水位降落至死水位669.00m时，供水开始破坏。</w:t>
      </w:r>
    </w:p>
    <w:p>
      <w:pPr>
        <w:ind w:firstLine="480"/>
        <w:contextualSpacing/>
        <w:rPr>
          <w:rFonts w:hAnsi="宋体"/>
          <w:kern w:val="24"/>
        </w:rPr>
      </w:pPr>
      <w:r>
        <w:rPr>
          <w:rFonts w:hAnsi="宋体"/>
          <w:kern w:val="24"/>
        </w:rPr>
        <w:t>2）水库防洪调度</w:t>
      </w:r>
    </w:p>
    <w:p>
      <w:pPr>
        <w:ind w:firstLine="480"/>
        <w:contextualSpacing/>
        <w:rPr>
          <w:rFonts w:hAnsi="宋体"/>
          <w:kern w:val="24"/>
        </w:rPr>
      </w:pPr>
      <w:r>
        <w:rPr>
          <w:rFonts w:hAnsi="宋体"/>
          <w:kern w:val="24"/>
        </w:rPr>
        <w:t>本工程泄洪建筑采用侧槽式溢洪道，上下游无防洪保护目标，不设汛限水位。</w:t>
      </w:r>
    </w:p>
    <w:p>
      <w:pPr>
        <w:ind w:firstLine="480"/>
        <w:contextualSpacing/>
        <w:rPr>
          <w:rFonts w:hAnsi="宋体"/>
          <w:kern w:val="24"/>
        </w:rPr>
      </w:pPr>
      <w:r>
        <w:rPr>
          <w:rFonts w:hAnsi="宋体"/>
          <w:kern w:val="24"/>
        </w:rPr>
        <w:t>水库调洪从正常蓄水位起调。在涨水段，在涨水段，随来水量的增大，库水位上涨，泄流能力也增大；在退水段，当来水大于该水位的下泄能力时，库水位继续升高，当来水与泄流能力相等时，库水位达到最高，其后随来水减小，库水位降低，直至水位降至正常蓄水位，停止溢流。</w:t>
      </w:r>
    </w:p>
    <w:p>
      <w:pPr>
        <w:ind w:firstLine="480"/>
        <w:contextualSpacing/>
        <w:rPr>
          <w:rFonts w:hAnsi="宋体"/>
          <w:kern w:val="24"/>
        </w:rPr>
      </w:pPr>
      <w:r>
        <w:rPr>
          <w:rFonts w:hAnsi="宋体"/>
          <w:kern w:val="24"/>
        </w:rPr>
        <w:t>3）水库兴利调度图</w:t>
      </w:r>
    </w:p>
    <w:p>
      <w:pPr>
        <w:ind w:firstLine="480"/>
        <w:contextualSpacing/>
        <w:rPr>
          <w:rFonts w:hAnsi="宋体"/>
          <w:kern w:val="24"/>
        </w:rPr>
      </w:pPr>
      <w:r>
        <w:rPr>
          <w:rFonts w:hAnsi="宋体"/>
          <w:kern w:val="24"/>
        </w:rPr>
        <w:t>水库为多年调节水库，根据《水库调度设计规范》（GB/T50587-2010），多年调节水库宜按时历法绘制调度图：将长系列调节计算成果中灌溉或供水设计保证率以内年份的同时段水位，点绘在同一图上，其上包线为初步上基本调度线（保证供水线），下包线为初步下基本调度线（降低供水线），上、下包线之间即为保证供水区。</w:t>
      </w:r>
    </w:p>
    <w:p>
      <w:pPr>
        <w:ind w:firstLine="480"/>
        <w:contextualSpacing/>
        <w:rPr>
          <w:rFonts w:hAnsi="宋体"/>
          <w:kern w:val="24"/>
        </w:rPr>
      </w:pPr>
      <w:r>
        <w:rPr>
          <w:rFonts w:hAnsi="宋体"/>
          <w:kern w:val="24"/>
        </w:rPr>
        <w:t>按所得初步上、下基本调度线指导原53年序列进行模拟运行，检查其保证率，修正初步调度线，直到满足保证率要求为止。将修正后的外包线点绘在同一张图上，并在图中绘出死水位、正常蓄水位、设计洪水位及校核洪水位，即可得出水库供水调度图。</w:t>
      </w:r>
    </w:p>
    <w:p>
      <w:pPr>
        <w:ind w:firstLine="480"/>
        <w:contextualSpacing/>
        <w:rPr>
          <w:rFonts w:hAnsi="宋体"/>
          <w:kern w:val="24"/>
        </w:rPr>
      </w:pPr>
      <w:r>
        <w:rPr>
          <w:rFonts w:hAnsi="宋体"/>
          <w:kern w:val="24"/>
        </w:rPr>
        <w:t>计算并修正后调度线见</w:t>
      </w:r>
      <w:r>
        <w:rPr>
          <w:rFonts w:hint="eastAsia" w:hAnsi="宋体"/>
          <w:kern w:val="24"/>
        </w:rPr>
        <w:t>下表</w:t>
      </w:r>
      <w:r>
        <w:rPr>
          <w:rFonts w:hAnsi="宋体"/>
          <w:kern w:val="24"/>
        </w:rPr>
        <w:t>。水库调度图见下图。</w:t>
      </w:r>
    </w:p>
    <w:p>
      <w:pPr>
        <w:ind w:firstLine="0" w:firstLineChars="0"/>
        <w:contextualSpacing/>
        <w:jc w:val="center"/>
        <w:rPr>
          <w:sz w:val="21"/>
          <w:szCs w:val="21"/>
          <w:lang w:val="zh-CN"/>
        </w:rPr>
      </w:pPr>
      <w:r>
        <w:rPr>
          <w:rFonts w:hAnsi="宋体"/>
          <w:b/>
          <w:bCs/>
          <w:sz w:val="21"/>
          <w:szCs w:val="21"/>
        </w:rPr>
        <w:t>表2.5.1-1  寒溪寺水库调度线成果表</w:t>
      </w:r>
      <w:r>
        <w:rPr>
          <w:rFonts w:hint="eastAsia" w:hAnsi="宋体"/>
          <w:b/>
          <w:bCs/>
          <w:sz w:val="21"/>
          <w:szCs w:val="21"/>
        </w:rPr>
        <w:t xml:space="preserve"> </w:t>
      </w:r>
      <w:r>
        <w:rPr>
          <w:rFonts w:hAnsi="宋体"/>
          <w:b/>
          <w:bCs/>
          <w:sz w:val="21"/>
          <w:szCs w:val="21"/>
        </w:rPr>
        <w:t xml:space="preserve"> </w:t>
      </w:r>
      <w:r>
        <w:rPr>
          <w:sz w:val="21"/>
          <w:szCs w:val="21"/>
          <w:lang w:val="zh-CN"/>
        </w:rPr>
        <w:t>单位：m</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219"/>
        <w:gridCol w:w="625"/>
        <w:gridCol w:w="625"/>
        <w:gridCol w:w="624"/>
        <w:gridCol w:w="624"/>
        <w:gridCol w:w="624"/>
        <w:gridCol w:w="624"/>
        <w:gridCol w:w="624"/>
        <w:gridCol w:w="624"/>
        <w:gridCol w:w="624"/>
        <w:gridCol w:w="624"/>
        <w:gridCol w:w="62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2" w:type="pct"/>
            <w:gridSpan w:val="2"/>
            <w:noWrap/>
            <w:vAlign w:val="center"/>
          </w:tcPr>
          <w:p>
            <w:pPr>
              <w:pStyle w:val="139"/>
              <w:spacing w:line="240" w:lineRule="auto"/>
              <w:rPr>
                <w:rFonts w:cs="Times New Roman"/>
              </w:rPr>
            </w:pPr>
            <w:r>
              <w:rPr>
                <w:rFonts w:cs="Times New Roman"/>
              </w:rPr>
              <w:t>月份</w:t>
            </w:r>
          </w:p>
        </w:tc>
        <w:tc>
          <w:tcPr>
            <w:tcW w:w="376" w:type="pct"/>
            <w:noWrap/>
            <w:vAlign w:val="center"/>
          </w:tcPr>
          <w:p>
            <w:pPr>
              <w:pStyle w:val="139"/>
              <w:spacing w:line="240" w:lineRule="auto"/>
              <w:rPr>
                <w:rFonts w:cs="Times New Roman"/>
              </w:rPr>
            </w:pPr>
            <w:r>
              <w:rPr>
                <w:rFonts w:cs="Times New Roman"/>
              </w:rPr>
              <w:t>7月</w:t>
            </w:r>
          </w:p>
        </w:tc>
        <w:tc>
          <w:tcPr>
            <w:tcW w:w="376" w:type="pct"/>
            <w:noWrap/>
            <w:vAlign w:val="center"/>
          </w:tcPr>
          <w:p>
            <w:pPr>
              <w:pStyle w:val="139"/>
              <w:spacing w:line="240" w:lineRule="auto"/>
              <w:rPr>
                <w:rFonts w:cs="Times New Roman"/>
              </w:rPr>
            </w:pPr>
            <w:r>
              <w:rPr>
                <w:rFonts w:cs="Times New Roman"/>
              </w:rPr>
              <w:t>8月</w:t>
            </w:r>
          </w:p>
        </w:tc>
        <w:tc>
          <w:tcPr>
            <w:tcW w:w="375" w:type="pct"/>
            <w:noWrap/>
            <w:vAlign w:val="center"/>
          </w:tcPr>
          <w:p>
            <w:pPr>
              <w:pStyle w:val="139"/>
              <w:spacing w:line="240" w:lineRule="auto"/>
              <w:rPr>
                <w:rFonts w:cs="Times New Roman"/>
              </w:rPr>
            </w:pPr>
            <w:r>
              <w:rPr>
                <w:rFonts w:cs="Times New Roman"/>
              </w:rPr>
              <w:t>9月</w:t>
            </w:r>
          </w:p>
        </w:tc>
        <w:tc>
          <w:tcPr>
            <w:tcW w:w="375" w:type="pct"/>
            <w:noWrap/>
            <w:vAlign w:val="center"/>
          </w:tcPr>
          <w:p>
            <w:pPr>
              <w:pStyle w:val="139"/>
              <w:spacing w:line="240" w:lineRule="auto"/>
              <w:rPr>
                <w:rFonts w:cs="Times New Roman"/>
              </w:rPr>
            </w:pPr>
            <w:r>
              <w:rPr>
                <w:rFonts w:cs="Times New Roman"/>
              </w:rPr>
              <w:t>10月</w:t>
            </w:r>
          </w:p>
        </w:tc>
        <w:tc>
          <w:tcPr>
            <w:tcW w:w="375" w:type="pct"/>
            <w:noWrap/>
            <w:vAlign w:val="center"/>
          </w:tcPr>
          <w:p>
            <w:pPr>
              <w:pStyle w:val="139"/>
              <w:spacing w:line="240" w:lineRule="auto"/>
              <w:rPr>
                <w:rFonts w:cs="Times New Roman"/>
              </w:rPr>
            </w:pPr>
            <w:r>
              <w:rPr>
                <w:rFonts w:cs="Times New Roman"/>
              </w:rPr>
              <w:t>11月</w:t>
            </w:r>
          </w:p>
        </w:tc>
        <w:tc>
          <w:tcPr>
            <w:tcW w:w="375" w:type="pct"/>
            <w:noWrap/>
            <w:vAlign w:val="center"/>
          </w:tcPr>
          <w:p>
            <w:pPr>
              <w:pStyle w:val="139"/>
              <w:spacing w:line="240" w:lineRule="auto"/>
              <w:rPr>
                <w:rFonts w:cs="Times New Roman"/>
              </w:rPr>
            </w:pPr>
            <w:r>
              <w:rPr>
                <w:rFonts w:cs="Times New Roman"/>
              </w:rPr>
              <w:t>12月</w:t>
            </w:r>
          </w:p>
        </w:tc>
        <w:tc>
          <w:tcPr>
            <w:tcW w:w="375" w:type="pct"/>
            <w:noWrap/>
            <w:vAlign w:val="center"/>
          </w:tcPr>
          <w:p>
            <w:pPr>
              <w:pStyle w:val="139"/>
              <w:spacing w:line="240" w:lineRule="auto"/>
              <w:rPr>
                <w:rFonts w:cs="Times New Roman"/>
              </w:rPr>
            </w:pPr>
            <w:r>
              <w:rPr>
                <w:rFonts w:cs="Times New Roman"/>
              </w:rPr>
              <w:t>1月</w:t>
            </w:r>
          </w:p>
        </w:tc>
        <w:tc>
          <w:tcPr>
            <w:tcW w:w="375" w:type="pct"/>
            <w:noWrap/>
            <w:vAlign w:val="center"/>
          </w:tcPr>
          <w:p>
            <w:pPr>
              <w:pStyle w:val="139"/>
              <w:spacing w:line="240" w:lineRule="auto"/>
              <w:rPr>
                <w:rFonts w:cs="Times New Roman"/>
              </w:rPr>
            </w:pPr>
            <w:r>
              <w:rPr>
                <w:rFonts w:cs="Times New Roman"/>
              </w:rPr>
              <w:t>2月</w:t>
            </w:r>
          </w:p>
        </w:tc>
        <w:tc>
          <w:tcPr>
            <w:tcW w:w="375" w:type="pct"/>
            <w:noWrap/>
            <w:vAlign w:val="center"/>
          </w:tcPr>
          <w:p>
            <w:pPr>
              <w:pStyle w:val="139"/>
              <w:spacing w:line="240" w:lineRule="auto"/>
              <w:rPr>
                <w:rFonts w:cs="Times New Roman"/>
              </w:rPr>
            </w:pPr>
            <w:r>
              <w:rPr>
                <w:rFonts w:cs="Times New Roman"/>
              </w:rPr>
              <w:t>3月</w:t>
            </w:r>
          </w:p>
        </w:tc>
        <w:tc>
          <w:tcPr>
            <w:tcW w:w="375" w:type="pct"/>
            <w:noWrap/>
            <w:vAlign w:val="center"/>
          </w:tcPr>
          <w:p>
            <w:pPr>
              <w:pStyle w:val="139"/>
              <w:spacing w:line="240" w:lineRule="auto"/>
              <w:rPr>
                <w:rFonts w:cs="Times New Roman"/>
              </w:rPr>
            </w:pPr>
            <w:r>
              <w:rPr>
                <w:rFonts w:cs="Times New Roman"/>
              </w:rPr>
              <w:t>4月</w:t>
            </w:r>
          </w:p>
        </w:tc>
        <w:tc>
          <w:tcPr>
            <w:tcW w:w="375" w:type="pct"/>
            <w:noWrap/>
            <w:vAlign w:val="center"/>
          </w:tcPr>
          <w:p>
            <w:pPr>
              <w:pStyle w:val="139"/>
              <w:spacing w:line="240" w:lineRule="auto"/>
              <w:rPr>
                <w:rFonts w:cs="Times New Roman"/>
              </w:rPr>
            </w:pPr>
            <w:r>
              <w:rPr>
                <w:rFonts w:cs="Times New Roman"/>
              </w:rPr>
              <w:t>5月</w:t>
            </w:r>
          </w:p>
        </w:tc>
        <w:tc>
          <w:tcPr>
            <w:tcW w:w="370" w:type="pct"/>
            <w:noWrap/>
            <w:vAlign w:val="center"/>
          </w:tcPr>
          <w:p>
            <w:pPr>
              <w:pStyle w:val="139"/>
              <w:spacing w:line="240" w:lineRule="auto"/>
              <w:rPr>
                <w:rFonts w:cs="Times New Roman"/>
              </w:rPr>
            </w:pPr>
            <w:r>
              <w:rPr>
                <w:rFonts w:cs="Times New Roman"/>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0" w:type="pct"/>
            <w:vMerge w:val="restart"/>
            <w:vAlign w:val="center"/>
          </w:tcPr>
          <w:p>
            <w:pPr>
              <w:pStyle w:val="139"/>
              <w:spacing w:line="240" w:lineRule="auto"/>
              <w:rPr>
                <w:rFonts w:cs="Times New Roman"/>
              </w:rPr>
            </w:pPr>
            <w:r>
              <w:rPr>
                <w:rFonts w:cs="Times New Roman"/>
              </w:rPr>
              <w:t>基本</w:t>
            </w:r>
          </w:p>
          <w:p>
            <w:pPr>
              <w:pStyle w:val="139"/>
              <w:spacing w:line="240" w:lineRule="auto"/>
              <w:rPr>
                <w:rFonts w:cs="Times New Roman"/>
              </w:rPr>
            </w:pPr>
            <w:r>
              <w:rPr>
                <w:rFonts w:cs="Times New Roman"/>
              </w:rPr>
              <w:t>调度线</w:t>
            </w:r>
          </w:p>
        </w:tc>
        <w:tc>
          <w:tcPr>
            <w:tcW w:w="132" w:type="pct"/>
            <w:noWrap/>
            <w:vAlign w:val="center"/>
          </w:tcPr>
          <w:p>
            <w:pPr>
              <w:pStyle w:val="139"/>
              <w:spacing w:line="240" w:lineRule="auto"/>
              <w:rPr>
                <w:rFonts w:cs="Times New Roman"/>
              </w:rPr>
            </w:pPr>
            <w:r>
              <w:rPr>
                <w:rFonts w:cs="Times New Roman"/>
              </w:rPr>
              <w:t>上</w:t>
            </w:r>
          </w:p>
        </w:tc>
        <w:tc>
          <w:tcPr>
            <w:tcW w:w="376" w:type="pct"/>
            <w:noWrap/>
            <w:vAlign w:val="center"/>
          </w:tcPr>
          <w:p>
            <w:pPr>
              <w:pStyle w:val="139"/>
              <w:spacing w:line="240" w:lineRule="auto"/>
              <w:rPr>
                <w:rFonts w:cs="Times New Roman"/>
              </w:rPr>
            </w:pPr>
            <w:r>
              <w:rPr>
                <w:rFonts w:cs="Times New Roman"/>
              </w:rPr>
              <w:t>692.50</w:t>
            </w:r>
          </w:p>
        </w:tc>
        <w:tc>
          <w:tcPr>
            <w:tcW w:w="376" w:type="pct"/>
            <w:noWrap/>
            <w:vAlign w:val="center"/>
          </w:tcPr>
          <w:p>
            <w:pPr>
              <w:pStyle w:val="139"/>
              <w:spacing w:line="240" w:lineRule="auto"/>
              <w:rPr>
                <w:rFonts w:cs="Times New Roman"/>
              </w:rPr>
            </w:pPr>
            <w:r>
              <w:rPr>
                <w:rFonts w:cs="Times New Roman"/>
              </w:rPr>
              <w:t>695.00</w:t>
            </w:r>
          </w:p>
        </w:tc>
        <w:tc>
          <w:tcPr>
            <w:tcW w:w="375" w:type="pct"/>
            <w:noWrap/>
            <w:vAlign w:val="center"/>
          </w:tcPr>
          <w:p>
            <w:pPr>
              <w:pStyle w:val="139"/>
              <w:spacing w:line="240" w:lineRule="auto"/>
              <w:rPr>
                <w:rFonts w:cs="Times New Roman"/>
              </w:rPr>
            </w:pPr>
            <w:r>
              <w:rPr>
                <w:rFonts w:cs="Times New Roman"/>
              </w:rPr>
              <w:t>695.00</w:t>
            </w:r>
          </w:p>
        </w:tc>
        <w:tc>
          <w:tcPr>
            <w:tcW w:w="375" w:type="pct"/>
            <w:noWrap/>
            <w:vAlign w:val="center"/>
          </w:tcPr>
          <w:p>
            <w:pPr>
              <w:pStyle w:val="139"/>
              <w:spacing w:line="240" w:lineRule="auto"/>
              <w:rPr>
                <w:rFonts w:cs="Times New Roman"/>
              </w:rPr>
            </w:pPr>
            <w:r>
              <w:rPr>
                <w:rFonts w:cs="Times New Roman"/>
              </w:rPr>
              <w:t>695.00</w:t>
            </w:r>
          </w:p>
        </w:tc>
        <w:tc>
          <w:tcPr>
            <w:tcW w:w="375" w:type="pct"/>
            <w:noWrap/>
            <w:vAlign w:val="center"/>
          </w:tcPr>
          <w:p>
            <w:pPr>
              <w:pStyle w:val="139"/>
              <w:spacing w:line="240" w:lineRule="auto"/>
              <w:rPr>
                <w:rFonts w:cs="Times New Roman"/>
              </w:rPr>
            </w:pPr>
            <w:r>
              <w:rPr>
                <w:rFonts w:cs="Times New Roman"/>
              </w:rPr>
              <w:t>695.00</w:t>
            </w:r>
          </w:p>
        </w:tc>
        <w:tc>
          <w:tcPr>
            <w:tcW w:w="375" w:type="pct"/>
            <w:noWrap/>
            <w:vAlign w:val="center"/>
          </w:tcPr>
          <w:p>
            <w:pPr>
              <w:pStyle w:val="139"/>
              <w:spacing w:line="240" w:lineRule="auto"/>
              <w:rPr>
                <w:rFonts w:cs="Times New Roman"/>
              </w:rPr>
            </w:pPr>
            <w:r>
              <w:rPr>
                <w:rFonts w:cs="Times New Roman"/>
              </w:rPr>
              <w:t>694.98</w:t>
            </w:r>
          </w:p>
        </w:tc>
        <w:tc>
          <w:tcPr>
            <w:tcW w:w="375" w:type="pct"/>
            <w:noWrap/>
            <w:vAlign w:val="center"/>
          </w:tcPr>
          <w:p>
            <w:pPr>
              <w:pStyle w:val="139"/>
              <w:spacing w:line="240" w:lineRule="auto"/>
              <w:rPr>
                <w:rFonts w:cs="Times New Roman"/>
              </w:rPr>
            </w:pPr>
            <w:r>
              <w:rPr>
                <w:rFonts w:cs="Times New Roman"/>
              </w:rPr>
              <w:t>692.66</w:t>
            </w:r>
          </w:p>
        </w:tc>
        <w:tc>
          <w:tcPr>
            <w:tcW w:w="375" w:type="pct"/>
            <w:noWrap/>
            <w:vAlign w:val="center"/>
          </w:tcPr>
          <w:p>
            <w:pPr>
              <w:pStyle w:val="139"/>
              <w:spacing w:line="240" w:lineRule="auto"/>
              <w:rPr>
                <w:rFonts w:cs="Times New Roman"/>
              </w:rPr>
            </w:pPr>
            <w:r>
              <w:rPr>
                <w:rFonts w:cs="Times New Roman"/>
              </w:rPr>
              <w:t>689.08</w:t>
            </w:r>
          </w:p>
        </w:tc>
        <w:tc>
          <w:tcPr>
            <w:tcW w:w="375" w:type="pct"/>
            <w:noWrap/>
            <w:vAlign w:val="center"/>
          </w:tcPr>
          <w:p>
            <w:pPr>
              <w:pStyle w:val="139"/>
              <w:spacing w:line="240" w:lineRule="auto"/>
              <w:rPr>
                <w:rFonts w:cs="Times New Roman"/>
              </w:rPr>
            </w:pPr>
            <w:r>
              <w:rPr>
                <w:rFonts w:cs="Times New Roman"/>
              </w:rPr>
              <w:t>691.75</w:t>
            </w:r>
          </w:p>
        </w:tc>
        <w:tc>
          <w:tcPr>
            <w:tcW w:w="375" w:type="pct"/>
            <w:noWrap/>
            <w:vAlign w:val="center"/>
          </w:tcPr>
          <w:p>
            <w:pPr>
              <w:pStyle w:val="139"/>
              <w:spacing w:line="240" w:lineRule="auto"/>
              <w:rPr>
                <w:rFonts w:cs="Times New Roman"/>
              </w:rPr>
            </w:pPr>
            <w:r>
              <w:rPr>
                <w:rFonts w:cs="Times New Roman"/>
              </w:rPr>
              <w:t>689.70</w:t>
            </w:r>
          </w:p>
        </w:tc>
        <w:tc>
          <w:tcPr>
            <w:tcW w:w="375" w:type="pct"/>
            <w:noWrap/>
            <w:vAlign w:val="center"/>
          </w:tcPr>
          <w:p>
            <w:pPr>
              <w:pStyle w:val="139"/>
              <w:spacing w:line="240" w:lineRule="auto"/>
              <w:rPr>
                <w:rFonts w:cs="Times New Roman"/>
              </w:rPr>
            </w:pPr>
            <w:r>
              <w:rPr>
                <w:rFonts w:cs="Times New Roman"/>
              </w:rPr>
              <w:t>683.81</w:t>
            </w:r>
          </w:p>
        </w:tc>
        <w:tc>
          <w:tcPr>
            <w:tcW w:w="370" w:type="pct"/>
            <w:noWrap/>
            <w:vAlign w:val="center"/>
          </w:tcPr>
          <w:p>
            <w:pPr>
              <w:pStyle w:val="139"/>
              <w:spacing w:line="240" w:lineRule="auto"/>
              <w:rPr>
                <w:rFonts w:cs="Times New Roman"/>
              </w:rPr>
            </w:pPr>
            <w:r>
              <w:rPr>
                <w:rFonts w:cs="Times New Roman"/>
              </w:rPr>
              <w:t>691.54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0" w:type="pct"/>
            <w:vMerge w:val="continue"/>
            <w:vAlign w:val="center"/>
          </w:tcPr>
          <w:p>
            <w:pPr>
              <w:pStyle w:val="139"/>
              <w:spacing w:line="240" w:lineRule="auto"/>
              <w:rPr>
                <w:rFonts w:cs="Times New Roman"/>
              </w:rPr>
            </w:pPr>
          </w:p>
        </w:tc>
        <w:tc>
          <w:tcPr>
            <w:tcW w:w="132" w:type="pct"/>
            <w:noWrap/>
            <w:vAlign w:val="center"/>
          </w:tcPr>
          <w:p>
            <w:pPr>
              <w:pStyle w:val="139"/>
              <w:spacing w:line="240" w:lineRule="auto"/>
              <w:rPr>
                <w:rFonts w:cs="Times New Roman"/>
              </w:rPr>
            </w:pPr>
            <w:r>
              <w:rPr>
                <w:rFonts w:cs="Times New Roman"/>
              </w:rPr>
              <w:t>下</w:t>
            </w:r>
          </w:p>
        </w:tc>
        <w:tc>
          <w:tcPr>
            <w:tcW w:w="376" w:type="pct"/>
            <w:noWrap/>
            <w:vAlign w:val="center"/>
          </w:tcPr>
          <w:p>
            <w:pPr>
              <w:pStyle w:val="139"/>
              <w:spacing w:line="240" w:lineRule="auto"/>
              <w:rPr>
                <w:rFonts w:cs="Times New Roman"/>
              </w:rPr>
            </w:pPr>
            <w:r>
              <w:rPr>
                <w:rFonts w:cs="Times New Roman"/>
              </w:rPr>
              <w:t>675.38</w:t>
            </w:r>
          </w:p>
        </w:tc>
        <w:tc>
          <w:tcPr>
            <w:tcW w:w="376" w:type="pct"/>
            <w:noWrap/>
            <w:vAlign w:val="center"/>
          </w:tcPr>
          <w:p>
            <w:pPr>
              <w:pStyle w:val="139"/>
              <w:spacing w:line="240" w:lineRule="auto"/>
              <w:rPr>
                <w:rFonts w:cs="Times New Roman"/>
              </w:rPr>
            </w:pPr>
            <w:r>
              <w:rPr>
                <w:rFonts w:cs="Times New Roman"/>
              </w:rPr>
              <w:t>680.66</w:t>
            </w:r>
          </w:p>
        </w:tc>
        <w:tc>
          <w:tcPr>
            <w:tcW w:w="375" w:type="pct"/>
            <w:noWrap/>
            <w:vAlign w:val="center"/>
          </w:tcPr>
          <w:p>
            <w:pPr>
              <w:pStyle w:val="139"/>
              <w:spacing w:line="240" w:lineRule="auto"/>
              <w:rPr>
                <w:rFonts w:cs="Times New Roman"/>
              </w:rPr>
            </w:pPr>
            <w:r>
              <w:rPr>
                <w:rFonts w:cs="Times New Roman"/>
              </w:rPr>
              <w:t>683.23</w:t>
            </w:r>
          </w:p>
        </w:tc>
        <w:tc>
          <w:tcPr>
            <w:tcW w:w="375" w:type="pct"/>
            <w:noWrap/>
            <w:vAlign w:val="center"/>
          </w:tcPr>
          <w:p>
            <w:pPr>
              <w:pStyle w:val="139"/>
              <w:spacing w:line="240" w:lineRule="auto"/>
              <w:rPr>
                <w:rFonts w:cs="Times New Roman"/>
              </w:rPr>
            </w:pPr>
            <w:r>
              <w:rPr>
                <w:rFonts w:cs="Times New Roman"/>
              </w:rPr>
              <w:t>686.39</w:t>
            </w:r>
          </w:p>
        </w:tc>
        <w:tc>
          <w:tcPr>
            <w:tcW w:w="375" w:type="pct"/>
            <w:noWrap/>
            <w:vAlign w:val="center"/>
          </w:tcPr>
          <w:p>
            <w:pPr>
              <w:pStyle w:val="139"/>
              <w:spacing w:line="240" w:lineRule="auto"/>
              <w:rPr>
                <w:rFonts w:cs="Times New Roman"/>
              </w:rPr>
            </w:pPr>
            <w:r>
              <w:rPr>
                <w:rFonts w:cs="Times New Roman"/>
              </w:rPr>
              <w:t>686.75</w:t>
            </w:r>
          </w:p>
        </w:tc>
        <w:tc>
          <w:tcPr>
            <w:tcW w:w="375" w:type="pct"/>
            <w:noWrap/>
            <w:vAlign w:val="center"/>
          </w:tcPr>
          <w:p>
            <w:pPr>
              <w:pStyle w:val="139"/>
              <w:spacing w:line="240" w:lineRule="auto"/>
              <w:rPr>
                <w:rFonts w:cs="Times New Roman"/>
              </w:rPr>
            </w:pPr>
            <w:r>
              <w:rPr>
                <w:rFonts w:cs="Times New Roman"/>
              </w:rPr>
              <w:t>686.22</w:t>
            </w:r>
          </w:p>
        </w:tc>
        <w:tc>
          <w:tcPr>
            <w:tcW w:w="375" w:type="pct"/>
            <w:noWrap/>
            <w:vAlign w:val="center"/>
          </w:tcPr>
          <w:p>
            <w:pPr>
              <w:pStyle w:val="139"/>
              <w:spacing w:line="240" w:lineRule="auto"/>
              <w:rPr>
                <w:rFonts w:cs="Times New Roman"/>
              </w:rPr>
            </w:pPr>
            <w:r>
              <w:rPr>
                <w:rFonts w:cs="Times New Roman"/>
              </w:rPr>
              <w:t>686.07</w:t>
            </w:r>
          </w:p>
        </w:tc>
        <w:tc>
          <w:tcPr>
            <w:tcW w:w="375" w:type="pct"/>
            <w:noWrap/>
            <w:vAlign w:val="center"/>
          </w:tcPr>
          <w:p>
            <w:pPr>
              <w:pStyle w:val="139"/>
              <w:spacing w:line="240" w:lineRule="auto"/>
              <w:rPr>
                <w:rFonts w:cs="Times New Roman"/>
              </w:rPr>
            </w:pPr>
            <w:r>
              <w:rPr>
                <w:rFonts w:cs="Times New Roman"/>
              </w:rPr>
              <w:t>682.43</w:t>
            </w:r>
          </w:p>
        </w:tc>
        <w:tc>
          <w:tcPr>
            <w:tcW w:w="375" w:type="pct"/>
            <w:noWrap/>
            <w:vAlign w:val="center"/>
          </w:tcPr>
          <w:p>
            <w:pPr>
              <w:pStyle w:val="139"/>
              <w:spacing w:line="240" w:lineRule="auto"/>
              <w:rPr>
                <w:rFonts w:cs="Times New Roman"/>
              </w:rPr>
            </w:pPr>
            <w:r>
              <w:rPr>
                <w:rFonts w:cs="Times New Roman"/>
              </w:rPr>
              <w:t>678.17</w:t>
            </w:r>
          </w:p>
        </w:tc>
        <w:tc>
          <w:tcPr>
            <w:tcW w:w="375" w:type="pct"/>
            <w:noWrap/>
            <w:vAlign w:val="center"/>
          </w:tcPr>
          <w:p>
            <w:pPr>
              <w:pStyle w:val="139"/>
              <w:spacing w:line="240" w:lineRule="auto"/>
              <w:rPr>
                <w:rFonts w:cs="Times New Roman"/>
              </w:rPr>
            </w:pPr>
            <w:r>
              <w:rPr>
                <w:rFonts w:cs="Times New Roman"/>
              </w:rPr>
              <w:t>673.03</w:t>
            </w:r>
          </w:p>
        </w:tc>
        <w:tc>
          <w:tcPr>
            <w:tcW w:w="375" w:type="pct"/>
            <w:noWrap/>
            <w:vAlign w:val="center"/>
          </w:tcPr>
          <w:p>
            <w:pPr>
              <w:pStyle w:val="139"/>
              <w:spacing w:line="240" w:lineRule="auto"/>
              <w:rPr>
                <w:rFonts w:cs="Times New Roman"/>
              </w:rPr>
            </w:pPr>
            <w:r>
              <w:rPr>
                <w:rFonts w:cs="Times New Roman"/>
              </w:rPr>
              <w:t>669.00</w:t>
            </w:r>
          </w:p>
        </w:tc>
        <w:tc>
          <w:tcPr>
            <w:tcW w:w="370" w:type="pct"/>
            <w:noWrap/>
            <w:vAlign w:val="center"/>
          </w:tcPr>
          <w:p>
            <w:pPr>
              <w:pStyle w:val="139"/>
              <w:spacing w:line="240" w:lineRule="auto"/>
              <w:rPr>
                <w:rFonts w:cs="Times New Roman"/>
              </w:rPr>
            </w:pPr>
            <w:r>
              <w:rPr>
                <w:rFonts w:cs="Times New Roman"/>
              </w:rPr>
              <w:t>669.00</w:t>
            </w:r>
          </w:p>
        </w:tc>
      </w:tr>
    </w:tbl>
    <w:p>
      <w:pPr>
        <w:ind w:firstLine="480"/>
        <w:contextualSpacing/>
        <w:rPr>
          <w:rFonts w:hAnsi="宋体"/>
          <w:kern w:val="24"/>
        </w:rPr>
      </w:pPr>
      <w:r>
        <w:rPr>
          <w:rFonts w:hAnsi="宋体"/>
          <w:kern w:val="24"/>
        </w:rPr>
        <w:t>按调度图模拟运行，寒溪寺水库多年平均供水量可达260万m3左右，城镇供水保证率和灌溉供水保证率分别达到95.0%和70.0%，基本能满足供水范围用水要求。</w:t>
      </w:r>
    </w:p>
    <w:p>
      <w:pPr>
        <w:ind w:firstLine="0" w:firstLineChars="0"/>
        <w:contextualSpacing/>
        <w:jc w:val="center"/>
      </w:pPr>
      <w:bookmarkStart w:id="331" w:name="_Toc145149562"/>
      <w:bookmarkEnd w:id="331"/>
      <w:r>
        <w:drawing>
          <wp:inline distT="0" distB="0" distL="0" distR="0">
            <wp:extent cx="4853940" cy="416814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853940" cy="4168140"/>
                    </a:xfrm>
                    <a:prstGeom prst="rect">
                      <a:avLst/>
                    </a:prstGeom>
                    <a:noFill/>
                    <a:ln>
                      <a:noFill/>
                    </a:ln>
                  </pic:spPr>
                </pic:pic>
              </a:graphicData>
            </a:graphic>
          </wp:inline>
        </w:drawing>
      </w:r>
    </w:p>
    <w:p>
      <w:pPr>
        <w:ind w:firstLine="0" w:firstLineChars="0"/>
        <w:contextualSpacing/>
        <w:outlineLvl w:val="3"/>
        <w:rPr>
          <w:b/>
          <w:bCs/>
        </w:rPr>
      </w:pPr>
      <w:r>
        <w:rPr>
          <w:b/>
          <w:bCs/>
        </w:rPr>
        <w:t>2.5.1.3</w:t>
      </w:r>
      <w:r>
        <w:rPr>
          <w:rFonts w:hint="eastAsia" w:hAnsi="宋体"/>
          <w:b/>
          <w:bCs/>
        </w:rPr>
        <w:t>补水工程运行方式</w:t>
      </w:r>
    </w:p>
    <w:p>
      <w:pPr>
        <w:ind w:firstLine="480"/>
        <w:contextualSpacing/>
        <w:rPr>
          <w:rFonts w:hint="eastAsia" w:hAnsi="宋体"/>
          <w:kern w:val="24"/>
        </w:rPr>
      </w:pPr>
      <w:r>
        <w:rPr>
          <w:rFonts w:hint="eastAsia" w:hAnsi="宋体"/>
          <w:kern w:val="24"/>
        </w:rPr>
        <w:t>启用工程设置的控制设备，满足工程运行及维护的特定要求。主要设备包括：补水工程节制闸、检修闸、冲砂闸、取水闸。同时，为保证工程的正常运行，应进行经常性检查、临时性检查、定期检查、过水期检查。</w:t>
      </w:r>
    </w:p>
    <w:p>
      <w:pPr>
        <w:ind w:firstLine="480"/>
        <w:contextualSpacing/>
        <w:rPr>
          <w:rFonts w:hint="eastAsia" w:hAnsi="宋体"/>
          <w:kern w:val="24"/>
        </w:rPr>
      </w:pPr>
      <w:r>
        <w:rPr>
          <w:rFonts w:hint="eastAsia" w:hAnsi="宋体"/>
          <w:kern w:val="24"/>
        </w:rPr>
        <w:t>a）正常运用方式</w:t>
      </w:r>
    </w:p>
    <w:p>
      <w:pPr>
        <w:ind w:firstLine="480"/>
        <w:contextualSpacing/>
        <w:rPr>
          <w:rFonts w:hint="eastAsia" w:hAnsi="宋体"/>
          <w:kern w:val="24"/>
        </w:rPr>
      </w:pPr>
      <w:r>
        <w:rPr>
          <w:rFonts w:hint="eastAsia" w:hAnsi="宋体"/>
          <w:kern w:val="24"/>
        </w:rPr>
        <w:t>当水库未蓄满，补水枢纽有取水条件时，开启补水枢纽取水闸，调节节制闸控制水位，保证生态流量泄放和补水渠正常取水。</w:t>
      </w:r>
    </w:p>
    <w:p>
      <w:pPr>
        <w:ind w:firstLine="480"/>
        <w:contextualSpacing/>
        <w:rPr>
          <w:rFonts w:hint="eastAsia" w:hAnsi="宋体"/>
          <w:kern w:val="24"/>
        </w:rPr>
      </w:pPr>
      <w:r>
        <w:rPr>
          <w:rFonts w:hint="eastAsia" w:hAnsi="宋体"/>
          <w:kern w:val="24"/>
        </w:rPr>
        <w:t>b）非常运用方式</w:t>
      </w:r>
    </w:p>
    <w:p>
      <w:pPr>
        <w:ind w:firstLine="480"/>
        <w:contextualSpacing/>
        <w:rPr>
          <w:rFonts w:hint="eastAsia" w:hAnsi="宋体"/>
          <w:kern w:val="24"/>
        </w:rPr>
      </w:pPr>
      <w:r>
        <w:rPr>
          <w:rFonts w:hint="eastAsia" w:hAnsi="宋体"/>
          <w:kern w:val="24"/>
        </w:rPr>
        <w:t>非常运用方式主要是检修期的运用方式、事故期的运用方式、超标准洪水和加大流量输水的运行方式等。</w:t>
      </w:r>
    </w:p>
    <w:p>
      <w:pPr>
        <w:ind w:firstLine="480"/>
        <w:contextualSpacing/>
        <w:rPr>
          <w:rFonts w:hint="eastAsia" w:hAnsi="宋体"/>
          <w:kern w:val="24"/>
        </w:rPr>
      </w:pPr>
      <w:r>
        <w:rPr>
          <w:rFonts w:hint="eastAsia" w:hAnsi="宋体"/>
          <w:kern w:val="24"/>
        </w:rPr>
        <w:t>1）检修期</w:t>
      </w:r>
    </w:p>
    <w:p>
      <w:pPr>
        <w:ind w:firstLine="480"/>
        <w:contextualSpacing/>
        <w:rPr>
          <w:rFonts w:hint="eastAsia" w:hAnsi="宋体"/>
          <w:kern w:val="24"/>
        </w:rPr>
      </w:pPr>
      <w:r>
        <w:rPr>
          <w:rFonts w:hint="eastAsia" w:hAnsi="宋体"/>
          <w:kern w:val="24"/>
        </w:rPr>
        <w:t>从下段到上段，关闭上段节制闸，排空下段渠道水量，从下到上依序检修。</w:t>
      </w:r>
    </w:p>
    <w:p>
      <w:pPr>
        <w:ind w:firstLine="480"/>
        <w:contextualSpacing/>
        <w:rPr>
          <w:rFonts w:hint="eastAsia" w:hAnsi="宋体"/>
          <w:kern w:val="24"/>
        </w:rPr>
      </w:pPr>
      <w:r>
        <w:rPr>
          <w:rFonts w:hint="eastAsia" w:hAnsi="宋体"/>
          <w:kern w:val="24"/>
        </w:rPr>
        <w:t>2）事故期</w:t>
      </w:r>
    </w:p>
    <w:p>
      <w:pPr>
        <w:ind w:firstLine="480"/>
        <w:contextualSpacing/>
        <w:rPr>
          <w:rFonts w:hint="eastAsia" w:hAnsi="宋体"/>
          <w:kern w:val="24"/>
        </w:rPr>
      </w:pPr>
      <w:r>
        <w:rPr>
          <w:rFonts w:hint="eastAsia" w:hAnsi="宋体"/>
          <w:kern w:val="24"/>
        </w:rPr>
        <w:t>关闭上段节制闸，排空下段渠道水量，进行事故处理。若危及人员生命及财产安全时，应作好人员撤离、疏散和安置工作。</w:t>
      </w:r>
    </w:p>
    <w:p>
      <w:pPr>
        <w:ind w:firstLine="480"/>
        <w:contextualSpacing/>
        <w:rPr>
          <w:rFonts w:hint="eastAsia" w:hAnsi="宋体"/>
          <w:kern w:val="24"/>
        </w:rPr>
      </w:pPr>
      <w:r>
        <w:rPr>
          <w:rFonts w:hint="eastAsia" w:hAnsi="宋体"/>
          <w:kern w:val="24"/>
        </w:rPr>
        <w:t>3）超标准洪水</w:t>
      </w:r>
    </w:p>
    <w:p>
      <w:pPr>
        <w:ind w:firstLine="480"/>
        <w:contextualSpacing/>
        <w:rPr>
          <w:rFonts w:hint="eastAsia" w:hAnsi="宋体"/>
          <w:kern w:val="24"/>
        </w:rPr>
      </w:pPr>
      <w:r>
        <w:rPr>
          <w:rFonts w:hint="eastAsia" w:hAnsi="宋体"/>
          <w:kern w:val="24"/>
        </w:rPr>
        <w:t>若出现超过补水枢纽及输水系统设计标准洪水或水库满蓄，应停止取水。</w:t>
      </w:r>
    </w:p>
    <w:p>
      <w:pPr>
        <w:ind w:firstLine="480"/>
        <w:contextualSpacing/>
        <w:rPr>
          <w:rFonts w:hint="eastAsia" w:hAnsi="宋体"/>
          <w:kern w:val="24"/>
        </w:rPr>
      </w:pPr>
      <w:r>
        <w:rPr>
          <w:rFonts w:hint="eastAsia" w:hAnsi="宋体"/>
          <w:kern w:val="24"/>
        </w:rPr>
        <w:t>4）巡测、监测及事故预报</w:t>
      </w:r>
    </w:p>
    <w:p>
      <w:pPr>
        <w:ind w:firstLine="480"/>
        <w:contextualSpacing/>
        <w:rPr>
          <w:rFonts w:hAnsi="宋体"/>
          <w:kern w:val="24"/>
        </w:rPr>
      </w:pPr>
      <w:r>
        <w:rPr>
          <w:rFonts w:hint="eastAsia" w:hAnsi="宋体"/>
          <w:kern w:val="24"/>
        </w:rPr>
        <w:t>为保证渠系正常运行，提高供水质量，在运行期应加强巡测，重点建筑物应做好监测工作，当出现险情时，应做好相应预案和措施。</w:t>
      </w:r>
    </w:p>
    <w:bookmarkEnd w:id="329"/>
    <w:p>
      <w:pPr>
        <w:pStyle w:val="5"/>
        <w:ind w:firstLine="0" w:firstLineChars="0"/>
        <w:contextualSpacing/>
        <w:rPr>
          <w:rFonts w:ascii="Times New Roman" w:hAnsi="Times New Roman"/>
        </w:rPr>
      </w:pPr>
      <w:r>
        <w:rPr>
          <w:rFonts w:ascii="Times New Roman" w:hAnsi="Times New Roman"/>
        </w:rPr>
        <w:t>2.5.2</w:t>
      </w:r>
      <w:r>
        <w:rPr>
          <w:rFonts w:ascii="Times New Roman" w:hAnsi="宋体"/>
        </w:rPr>
        <w:t>灌区水资源配置</w:t>
      </w:r>
    </w:p>
    <w:p>
      <w:pPr>
        <w:ind w:firstLine="0" w:firstLineChars="0"/>
        <w:contextualSpacing/>
        <w:outlineLvl w:val="3"/>
        <w:rPr>
          <w:b/>
          <w:bCs/>
        </w:rPr>
      </w:pPr>
      <w:r>
        <w:rPr>
          <w:b/>
          <w:bCs/>
        </w:rPr>
        <w:t>2.5.2.1</w:t>
      </w:r>
      <w:r>
        <w:rPr>
          <w:rFonts w:hAnsi="宋体"/>
          <w:b/>
          <w:bCs/>
        </w:rPr>
        <w:t>灌区范围</w:t>
      </w:r>
    </w:p>
    <w:p>
      <w:pPr>
        <w:ind w:firstLine="480"/>
        <w:contextualSpacing/>
        <w:rPr>
          <w:rFonts w:hAnsi="宋体"/>
          <w:kern w:val="24"/>
        </w:rPr>
      </w:pPr>
      <w:r>
        <w:rPr>
          <w:rFonts w:hAnsi="宋体"/>
          <w:kern w:val="24"/>
        </w:rPr>
        <w:t>北起尖佛山，西至龙潭子河东岸及天星桥水库，南止于原石门乡与兴文镇边界，东以</w:t>
      </w:r>
      <w:r>
        <w:rPr>
          <w:rFonts w:hint="eastAsia" w:hAnsi="宋体"/>
          <w:kern w:val="24"/>
        </w:rPr>
        <w:t>寒溪寺水库</w:t>
      </w:r>
      <w:r>
        <w:rPr>
          <w:rFonts w:hAnsi="宋体"/>
          <w:kern w:val="24"/>
        </w:rPr>
        <w:t>及其右干渠灌区为界。灌区范围涉及玉堂街道、化成镇和天马山镇3个乡镇17个村共2.25万亩耕园地，其中：新增1.47万亩，改善0.78万亩；供水人口2.33万人（其中场镇人口0.70万人）。</w:t>
      </w:r>
    </w:p>
    <w:p>
      <w:pPr>
        <w:ind w:firstLine="0" w:firstLineChars="0"/>
        <w:contextualSpacing/>
        <w:outlineLvl w:val="3"/>
        <w:rPr>
          <w:b/>
          <w:bCs/>
        </w:rPr>
      </w:pPr>
      <w:r>
        <w:rPr>
          <w:b/>
          <w:bCs/>
        </w:rPr>
        <w:t>2.5.2.2</w:t>
      </w:r>
      <w:r>
        <w:rPr>
          <w:rFonts w:hAnsi="宋体"/>
          <w:b/>
          <w:bCs/>
        </w:rPr>
        <w:t>灌区种植结构</w:t>
      </w:r>
      <w:r>
        <w:rPr>
          <w:rFonts w:hint="eastAsia" w:hAnsi="宋体"/>
          <w:b/>
          <w:bCs/>
        </w:rPr>
        <w:t>及田土规划</w:t>
      </w:r>
    </w:p>
    <w:p>
      <w:pPr>
        <w:ind w:firstLine="480"/>
        <w:contextualSpacing/>
        <w:rPr>
          <w:rFonts w:hAnsi="宋体"/>
          <w:kern w:val="24"/>
        </w:rPr>
      </w:pPr>
      <w:r>
        <w:rPr>
          <w:rFonts w:hAnsi="宋体"/>
          <w:kern w:val="24"/>
        </w:rPr>
        <w:t>1）田土规划及作物组成</w:t>
      </w:r>
    </w:p>
    <w:p>
      <w:pPr>
        <w:ind w:firstLine="480"/>
        <w:contextualSpacing/>
        <w:rPr>
          <w:rFonts w:hAnsi="宋体"/>
          <w:kern w:val="24"/>
        </w:rPr>
      </w:pPr>
      <w:r>
        <w:rPr>
          <w:rFonts w:hAnsi="宋体"/>
          <w:kern w:val="24"/>
        </w:rPr>
        <w:t>根据区域的实际，结合农业区划、农业部门和相关规划指导性意见，分析确定2030年灌区田土规划和主要农作物组成。</w:t>
      </w:r>
    </w:p>
    <w:p>
      <w:pPr>
        <w:ind w:firstLine="480"/>
        <w:contextualSpacing/>
        <w:rPr>
          <w:rFonts w:hAnsi="宋体"/>
          <w:kern w:val="24"/>
        </w:rPr>
      </w:pPr>
      <w:r>
        <w:rPr>
          <w:rFonts w:hAnsi="宋体"/>
          <w:kern w:val="24"/>
        </w:rPr>
        <w:t>田土规划</w:t>
      </w:r>
    </w:p>
    <w:p>
      <w:pPr>
        <w:ind w:firstLine="480"/>
        <w:contextualSpacing/>
        <w:rPr>
          <w:rFonts w:hAnsi="宋体"/>
          <w:kern w:val="24"/>
        </w:rPr>
      </w:pPr>
      <w:r>
        <w:rPr>
          <w:rFonts w:hAnsi="宋体"/>
          <w:kern w:val="24"/>
        </w:rPr>
        <w:t>灌区现状田土比为72.5∶27.5（水稻播面占耕地面积的59.4%），由于水稻成本低、产量高而稳定，效益好，尽管灌区水资源利用较为困难，为确保粮食安全、民生口粮问题也不宜降低田的比例，同时也不宜增加田面积。规划灌区田土比维持目前的72.5∶27.5。目前，因灌区水利设施缺乏，为保证来年育秧和泡田用水，灌区约12%的田为冬水田，本阶段尊重当地耕种习惯，保留8%的冬水田。</w:t>
      </w:r>
    </w:p>
    <w:p>
      <w:pPr>
        <w:ind w:firstLine="480"/>
        <w:contextualSpacing/>
        <w:rPr>
          <w:rFonts w:hAnsi="宋体"/>
          <w:kern w:val="24"/>
        </w:rPr>
      </w:pPr>
      <w:r>
        <w:rPr>
          <w:rFonts w:hAnsi="宋体"/>
          <w:kern w:val="24"/>
        </w:rPr>
        <w:t>作物组成</w:t>
      </w:r>
    </w:p>
    <w:p>
      <w:pPr>
        <w:ind w:firstLine="480"/>
        <w:contextualSpacing/>
        <w:rPr>
          <w:rFonts w:hAnsi="宋体"/>
          <w:kern w:val="24"/>
        </w:rPr>
      </w:pPr>
      <w:r>
        <w:rPr>
          <w:rFonts w:hAnsi="宋体"/>
          <w:kern w:val="24"/>
        </w:rPr>
        <w:t>灌区是巴州区粮食主产区，区域人口集中、农耕发达。根据《巴中市巴州区</w:t>
      </w:r>
      <w:r>
        <w:rPr>
          <w:rFonts w:hint="eastAsia" w:hAnsi="宋体"/>
          <w:kern w:val="24"/>
        </w:rPr>
        <w:t>“</w:t>
      </w:r>
      <w:r>
        <w:rPr>
          <w:rFonts w:hAnsi="宋体"/>
          <w:kern w:val="24"/>
        </w:rPr>
        <w:t>十四五</w:t>
      </w:r>
      <w:r>
        <w:rPr>
          <w:rFonts w:hint="eastAsia" w:hAnsi="宋体"/>
          <w:kern w:val="24"/>
        </w:rPr>
        <w:t>”</w:t>
      </w:r>
      <w:r>
        <w:rPr>
          <w:rFonts w:hAnsi="宋体"/>
          <w:kern w:val="24"/>
        </w:rPr>
        <w:t>农业农村现代化和道地药材高质量发展规划（征求意见稿）》，规划确保优质粮油稳产保供，加大茶叶、道地药材、特色果蔬等种植，融合发展茶叶、中药材和休闲观光体验、生态康养等产业，促进农业产业升级，搞活乡村经济。区域主要粮经作物发展目标如下：</w:t>
      </w:r>
    </w:p>
    <w:p>
      <w:pPr>
        <w:ind w:firstLine="480"/>
        <w:contextualSpacing/>
        <w:rPr>
          <w:rFonts w:hAnsi="宋体"/>
          <w:kern w:val="24"/>
        </w:rPr>
      </w:pPr>
      <w:r>
        <w:rPr>
          <w:rFonts w:hAnsi="宋体"/>
          <w:kern w:val="24"/>
        </w:rPr>
        <w:t>考虑灌溉供水保障提高，主要作物单产相应提高，在水稻、小麦、玉米等主要粮食作物确保稳产保供的基础上，适当控制种植面积；</w:t>
      </w:r>
    </w:p>
    <w:p>
      <w:pPr>
        <w:ind w:firstLine="480"/>
        <w:contextualSpacing/>
        <w:rPr>
          <w:rFonts w:hAnsi="宋体"/>
          <w:kern w:val="24"/>
        </w:rPr>
      </w:pPr>
      <w:r>
        <w:rPr>
          <w:rFonts w:hAnsi="宋体"/>
          <w:kern w:val="24"/>
        </w:rPr>
        <w:t>稳定油菜、花生等油料作物，其中花生维持现状播面，油菜增种5%；</w:t>
      </w:r>
    </w:p>
    <w:p>
      <w:pPr>
        <w:ind w:firstLine="480"/>
        <w:contextualSpacing/>
        <w:rPr>
          <w:rFonts w:hAnsi="宋体"/>
          <w:kern w:val="24"/>
        </w:rPr>
      </w:pPr>
      <w:r>
        <w:rPr>
          <w:rFonts w:hAnsi="宋体"/>
          <w:kern w:val="24"/>
        </w:rPr>
        <w:t>注重发展红苕、土豆等杂粮，进一步保障粮食安全，规划在现状基础上，分别增种10%和25%播面；</w:t>
      </w:r>
    </w:p>
    <w:p>
      <w:pPr>
        <w:ind w:firstLine="480"/>
        <w:contextualSpacing/>
        <w:rPr>
          <w:rFonts w:hAnsi="宋体"/>
          <w:kern w:val="24"/>
        </w:rPr>
      </w:pPr>
      <w:r>
        <w:rPr>
          <w:rFonts w:hAnsi="宋体"/>
          <w:kern w:val="24"/>
        </w:rPr>
        <w:t>利用灌区靠近巴中主城区和经开区的区位优势，大力发展蔬菜种植，秋菜和冬春菜种植面积分别在现状基础上增种43%和29%；</w:t>
      </w:r>
    </w:p>
    <w:p>
      <w:pPr>
        <w:ind w:firstLine="480"/>
        <w:contextualSpacing/>
        <w:rPr>
          <w:rFonts w:hAnsi="宋体"/>
          <w:kern w:val="24"/>
        </w:rPr>
      </w:pPr>
      <w:r>
        <w:rPr>
          <w:rFonts w:hAnsi="宋体"/>
          <w:kern w:val="24"/>
        </w:rPr>
        <w:t>巴州区规划打造中药材示范基地，大力发展道地药材产业，计划建设万亩以上中药材产业园区6个，其中玉堂-化成片种植区涉及灌区柏垭庙村、寨子包村、印山坪村、水观音村，规划种植枳壳、丹参、白芍、姜黄等道地药材3020亩；</w:t>
      </w:r>
    </w:p>
    <w:p>
      <w:pPr>
        <w:ind w:firstLine="480"/>
        <w:contextualSpacing/>
        <w:rPr>
          <w:rFonts w:hAnsi="宋体"/>
          <w:kern w:val="24"/>
        </w:rPr>
      </w:pPr>
      <w:r>
        <w:rPr>
          <w:rFonts w:hAnsi="宋体"/>
          <w:kern w:val="24"/>
        </w:rPr>
        <w:t>规划北部环线以文旅经济为主，推进一三产业融合发展，集中打造</w:t>
      </w:r>
      <w:r>
        <w:rPr>
          <w:rFonts w:hint="eastAsia" w:hAnsi="宋体"/>
          <w:kern w:val="24"/>
        </w:rPr>
        <w:t>“</w:t>
      </w:r>
      <w:r>
        <w:rPr>
          <w:rFonts w:hAnsi="宋体"/>
          <w:kern w:val="24"/>
        </w:rPr>
        <w:t>玉堂-化成-天马山</w:t>
      </w:r>
      <w:r>
        <w:rPr>
          <w:rFonts w:hint="eastAsia" w:hAnsi="宋体"/>
          <w:kern w:val="24"/>
        </w:rPr>
        <w:t>”</w:t>
      </w:r>
      <w:r>
        <w:rPr>
          <w:rFonts w:hAnsi="宋体"/>
          <w:kern w:val="24"/>
        </w:rPr>
        <w:t>茶旅融合现代农业产业示范片，规划种植茶叶2046亩。</w:t>
      </w:r>
    </w:p>
    <w:p>
      <w:pPr>
        <w:ind w:firstLine="480"/>
        <w:contextualSpacing/>
        <w:rPr>
          <w:rFonts w:hAnsi="宋体"/>
          <w:kern w:val="24"/>
        </w:rPr>
      </w:pPr>
      <w:r>
        <w:rPr>
          <w:rFonts w:hAnsi="宋体"/>
          <w:kern w:val="24"/>
        </w:rPr>
        <w:t>按农业产业升级和节水灌溉的要求，利用增、间、套种等种植模式，如</w:t>
      </w:r>
      <w:r>
        <w:rPr>
          <w:rFonts w:hint="eastAsia" w:hAnsi="宋体"/>
          <w:kern w:val="24"/>
        </w:rPr>
        <w:t>“</w:t>
      </w:r>
      <w:r>
        <w:rPr>
          <w:rFonts w:hAnsi="宋体"/>
          <w:kern w:val="24"/>
        </w:rPr>
        <w:t>宽行间作</w:t>
      </w:r>
      <w:r>
        <w:rPr>
          <w:rFonts w:hint="eastAsia" w:hAnsi="宋体"/>
          <w:kern w:val="24"/>
        </w:rPr>
        <w:t>”</w:t>
      </w:r>
      <w:r>
        <w:rPr>
          <w:rFonts w:hAnsi="宋体"/>
          <w:kern w:val="24"/>
        </w:rPr>
        <w:t>、</w:t>
      </w:r>
      <w:r>
        <w:rPr>
          <w:rFonts w:hint="eastAsia" w:hAnsi="宋体"/>
          <w:kern w:val="24"/>
        </w:rPr>
        <w:t>“</w:t>
      </w:r>
      <w:r>
        <w:rPr>
          <w:rFonts w:hAnsi="宋体"/>
          <w:kern w:val="24"/>
        </w:rPr>
        <w:t>预留行套作</w:t>
      </w:r>
      <w:r>
        <w:rPr>
          <w:rFonts w:hint="eastAsia" w:hAnsi="宋体"/>
          <w:kern w:val="24"/>
        </w:rPr>
        <w:t>”</w:t>
      </w:r>
      <w:r>
        <w:rPr>
          <w:rFonts w:hAnsi="宋体"/>
          <w:kern w:val="24"/>
        </w:rPr>
        <w:t>等提高复种指数，粮经比由69∶31调整提高到60∶40，经济作物比例提高约9%，复种指数由目前的193%提高到219%。</w:t>
      </w:r>
    </w:p>
    <w:p>
      <w:pPr>
        <w:ind w:firstLine="480"/>
        <w:contextualSpacing/>
        <w:rPr>
          <w:rFonts w:hAnsi="宋体"/>
          <w:kern w:val="24"/>
        </w:rPr>
      </w:pPr>
      <w:r>
        <w:rPr>
          <w:rFonts w:hAnsi="宋体"/>
          <w:kern w:val="24"/>
        </w:rPr>
        <w:t>寒溪寺水库灌区现状和规划主要作物种植制度表详见</w:t>
      </w:r>
      <w:r>
        <w:rPr>
          <w:rFonts w:hint="eastAsia" w:hAnsi="宋体"/>
          <w:kern w:val="24"/>
        </w:rPr>
        <w:t>下</w:t>
      </w:r>
      <w:r>
        <w:rPr>
          <w:rFonts w:hAnsi="宋体"/>
          <w:kern w:val="24"/>
        </w:rPr>
        <w:t>表。</w:t>
      </w:r>
    </w:p>
    <w:p>
      <w:pPr>
        <w:ind w:firstLine="0" w:firstLineChars="0"/>
        <w:contextualSpacing/>
        <w:jc w:val="center"/>
        <w:rPr>
          <w:rFonts w:hAnsi="宋体"/>
          <w:b/>
          <w:bCs/>
          <w:sz w:val="21"/>
          <w:szCs w:val="21"/>
        </w:rPr>
      </w:pPr>
      <w:r>
        <w:rPr>
          <w:rFonts w:hAnsi="宋体"/>
          <w:b/>
          <w:bCs/>
          <w:sz w:val="21"/>
          <w:szCs w:val="21"/>
        </w:rPr>
        <w:t>表2.5.2</w:t>
      </w:r>
      <w:r>
        <w:rPr>
          <w:rFonts w:hint="eastAsia" w:hAnsi="宋体"/>
          <w:b/>
          <w:bCs/>
          <w:sz w:val="21"/>
          <w:szCs w:val="21"/>
        </w:rPr>
        <w:t>-</w:t>
      </w:r>
      <w:r>
        <w:rPr>
          <w:rFonts w:hAnsi="宋体"/>
          <w:b/>
          <w:bCs/>
          <w:sz w:val="21"/>
          <w:szCs w:val="21"/>
        </w:rPr>
        <w:t>1  巴州区寒溪寺水库灌区现状和规划主要作物种植制度表</w:t>
      </w:r>
    </w:p>
    <w:tbl>
      <w:tblPr>
        <w:tblStyle w:val="38"/>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0"/>
        <w:gridCol w:w="350"/>
        <w:gridCol w:w="520"/>
        <w:gridCol w:w="435"/>
        <w:gridCol w:w="407"/>
        <w:gridCol w:w="435"/>
        <w:gridCol w:w="451"/>
        <w:gridCol w:w="436"/>
        <w:gridCol w:w="408"/>
        <w:gridCol w:w="351"/>
        <w:gridCol w:w="408"/>
        <w:gridCol w:w="521"/>
        <w:gridCol w:w="436"/>
        <w:gridCol w:w="408"/>
        <w:gridCol w:w="436"/>
        <w:gridCol w:w="536"/>
        <w:gridCol w:w="436"/>
        <w:gridCol w:w="536"/>
        <w:gridCol w:w="351"/>
        <w:gridCol w:w="408"/>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2"/>
            <w:vMerge w:val="restart"/>
            <w:noWrap/>
            <w:vAlign w:val="center"/>
          </w:tcPr>
          <w:p>
            <w:pPr>
              <w:pStyle w:val="139"/>
              <w:spacing w:line="240" w:lineRule="auto"/>
              <w:rPr>
                <w:rFonts w:cs="Times New Roman"/>
                <w:sz w:val="16"/>
                <w:szCs w:val="18"/>
              </w:rPr>
            </w:pPr>
            <w:r>
              <w:rPr>
                <w:rFonts w:cs="Times New Roman"/>
                <w:sz w:val="16"/>
                <w:szCs w:val="18"/>
              </w:rPr>
              <w:t>作物</w:t>
            </w:r>
          </w:p>
          <w:p>
            <w:pPr>
              <w:pStyle w:val="139"/>
              <w:spacing w:line="240" w:lineRule="auto"/>
              <w:rPr>
                <w:rFonts w:cs="Times New Roman"/>
                <w:sz w:val="16"/>
                <w:szCs w:val="18"/>
              </w:rPr>
            </w:pPr>
            <w:r>
              <w:rPr>
                <w:rFonts w:cs="Times New Roman"/>
                <w:sz w:val="16"/>
                <w:szCs w:val="18"/>
              </w:rPr>
              <w:t>种类</w:t>
            </w:r>
          </w:p>
        </w:tc>
        <w:tc>
          <w:tcPr>
            <w:tcW w:w="0" w:type="auto"/>
            <w:vMerge w:val="restart"/>
            <w:noWrap/>
            <w:vAlign w:val="center"/>
          </w:tcPr>
          <w:p>
            <w:pPr>
              <w:pStyle w:val="139"/>
              <w:spacing w:line="240" w:lineRule="auto"/>
              <w:rPr>
                <w:rFonts w:cs="Times New Roman"/>
                <w:sz w:val="16"/>
                <w:szCs w:val="18"/>
              </w:rPr>
            </w:pPr>
            <w:r>
              <w:rPr>
                <w:rFonts w:cs="Times New Roman"/>
                <w:sz w:val="16"/>
                <w:szCs w:val="18"/>
              </w:rPr>
              <w:t>作物</w:t>
            </w:r>
          </w:p>
          <w:p>
            <w:pPr>
              <w:pStyle w:val="139"/>
              <w:spacing w:line="240" w:lineRule="auto"/>
              <w:rPr>
                <w:rFonts w:cs="Times New Roman"/>
                <w:sz w:val="16"/>
                <w:szCs w:val="18"/>
              </w:rPr>
            </w:pPr>
            <w:r>
              <w:rPr>
                <w:rFonts w:cs="Times New Roman"/>
                <w:sz w:val="16"/>
                <w:szCs w:val="18"/>
              </w:rPr>
              <w:t>名称</w:t>
            </w:r>
          </w:p>
        </w:tc>
        <w:tc>
          <w:tcPr>
            <w:tcW w:w="0" w:type="auto"/>
            <w:gridSpan w:val="9"/>
            <w:noWrap/>
            <w:vAlign w:val="center"/>
          </w:tcPr>
          <w:p>
            <w:pPr>
              <w:pStyle w:val="139"/>
              <w:spacing w:line="240" w:lineRule="auto"/>
              <w:rPr>
                <w:rFonts w:cs="Times New Roman"/>
                <w:sz w:val="16"/>
                <w:szCs w:val="18"/>
              </w:rPr>
            </w:pPr>
            <w:r>
              <w:rPr>
                <w:rFonts w:cs="Times New Roman"/>
                <w:sz w:val="16"/>
                <w:szCs w:val="18"/>
              </w:rPr>
              <w:t>现状指标（面积：亩）</w:t>
            </w:r>
          </w:p>
        </w:tc>
        <w:tc>
          <w:tcPr>
            <w:tcW w:w="0" w:type="auto"/>
            <w:gridSpan w:val="9"/>
            <w:noWrap/>
            <w:vAlign w:val="center"/>
          </w:tcPr>
          <w:p>
            <w:pPr>
              <w:pStyle w:val="139"/>
              <w:spacing w:line="240" w:lineRule="auto"/>
              <w:rPr>
                <w:rFonts w:cs="Times New Roman"/>
                <w:sz w:val="16"/>
                <w:szCs w:val="18"/>
              </w:rPr>
            </w:pPr>
            <w:r>
              <w:rPr>
                <w:rFonts w:cs="Times New Roman"/>
                <w:sz w:val="16"/>
                <w:szCs w:val="18"/>
              </w:rPr>
              <w:t>规划目标（面积：亩）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2"/>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gridSpan w:val="2"/>
            <w:noWrap/>
            <w:vAlign w:val="center"/>
          </w:tcPr>
          <w:p>
            <w:pPr>
              <w:pStyle w:val="139"/>
              <w:spacing w:line="240" w:lineRule="auto"/>
              <w:rPr>
                <w:rFonts w:cs="Times New Roman"/>
                <w:sz w:val="16"/>
                <w:szCs w:val="18"/>
              </w:rPr>
            </w:pPr>
            <w:r>
              <w:rPr>
                <w:rFonts w:cs="Times New Roman"/>
                <w:sz w:val="16"/>
                <w:szCs w:val="18"/>
              </w:rPr>
              <w:t>耕地</w:t>
            </w:r>
          </w:p>
        </w:tc>
        <w:tc>
          <w:tcPr>
            <w:tcW w:w="0" w:type="auto"/>
            <w:gridSpan w:val="2"/>
            <w:noWrap/>
            <w:vAlign w:val="center"/>
          </w:tcPr>
          <w:p>
            <w:pPr>
              <w:pStyle w:val="139"/>
              <w:spacing w:line="240" w:lineRule="auto"/>
              <w:rPr>
                <w:rFonts w:cs="Times New Roman"/>
                <w:sz w:val="16"/>
                <w:szCs w:val="18"/>
              </w:rPr>
            </w:pPr>
            <w:r>
              <w:rPr>
                <w:rFonts w:cs="Times New Roman"/>
                <w:sz w:val="16"/>
                <w:szCs w:val="18"/>
              </w:rPr>
              <w:t>田</w:t>
            </w:r>
          </w:p>
        </w:tc>
        <w:tc>
          <w:tcPr>
            <w:tcW w:w="0" w:type="auto"/>
            <w:gridSpan w:val="2"/>
            <w:noWrap/>
            <w:vAlign w:val="center"/>
          </w:tcPr>
          <w:p>
            <w:pPr>
              <w:pStyle w:val="139"/>
              <w:spacing w:line="240" w:lineRule="auto"/>
              <w:rPr>
                <w:rFonts w:cs="Times New Roman"/>
                <w:sz w:val="16"/>
                <w:szCs w:val="18"/>
              </w:rPr>
            </w:pPr>
            <w:r>
              <w:rPr>
                <w:rFonts w:cs="Times New Roman"/>
                <w:sz w:val="16"/>
                <w:szCs w:val="18"/>
              </w:rPr>
              <w:t>土</w:t>
            </w:r>
          </w:p>
        </w:tc>
        <w:tc>
          <w:tcPr>
            <w:tcW w:w="0" w:type="auto"/>
            <w:gridSpan w:val="2"/>
            <w:noWrap/>
            <w:vAlign w:val="center"/>
          </w:tcPr>
          <w:p>
            <w:pPr>
              <w:pStyle w:val="139"/>
              <w:spacing w:line="240" w:lineRule="auto"/>
              <w:rPr>
                <w:rFonts w:cs="Times New Roman"/>
                <w:sz w:val="16"/>
                <w:szCs w:val="18"/>
              </w:rPr>
            </w:pPr>
            <w:r>
              <w:rPr>
                <w:rFonts w:cs="Times New Roman"/>
                <w:sz w:val="16"/>
                <w:szCs w:val="18"/>
              </w:rPr>
              <w:t>园地</w:t>
            </w:r>
          </w:p>
        </w:tc>
        <w:tc>
          <w:tcPr>
            <w:tcW w:w="0" w:type="auto"/>
            <w:vMerge w:val="restart"/>
            <w:vAlign w:val="center"/>
          </w:tcPr>
          <w:p>
            <w:pPr>
              <w:pStyle w:val="139"/>
              <w:spacing w:line="240" w:lineRule="auto"/>
              <w:rPr>
                <w:rFonts w:cs="Times New Roman"/>
                <w:sz w:val="16"/>
                <w:szCs w:val="18"/>
              </w:rPr>
            </w:pPr>
            <w:r>
              <w:rPr>
                <w:rFonts w:cs="Times New Roman"/>
                <w:sz w:val="16"/>
                <w:szCs w:val="18"/>
              </w:rPr>
              <w:t>耕园地</w:t>
            </w:r>
          </w:p>
          <w:p>
            <w:pPr>
              <w:pStyle w:val="139"/>
              <w:spacing w:line="240" w:lineRule="auto"/>
              <w:rPr>
                <w:rFonts w:cs="Times New Roman"/>
                <w:sz w:val="16"/>
                <w:szCs w:val="18"/>
              </w:rPr>
            </w:pPr>
            <w:r>
              <w:rPr>
                <w:rFonts w:cs="Times New Roman"/>
                <w:sz w:val="16"/>
                <w:szCs w:val="18"/>
              </w:rPr>
              <w:t>合计</w:t>
            </w:r>
          </w:p>
        </w:tc>
        <w:tc>
          <w:tcPr>
            <w:tcW w:w="0" w:type="auto"/>
            <w:gridSpan w:val="2"/>
            <w:noWrap/>
            <w:vAlign w:val="center"/>
          </w:tcPr>
          <w:p>
            <w:pPr>
              <w:pStyle w:val="139"/>
              <w:spacing w:line="240" w:lineRule="auto"/>
              <w:rPr>
                <w:rFonts w:cs="Times New Roman"/>
                <w:sz w:val="16"/>
                <w:szCs w:val="18"/>
              </w:rPr>
            </w:pPr>
            <w:r>
              <w:rPr>
                <w:rFonts w:cs="Times New Roman"/>
                <w:sz w:val="16"/>
                <w:szCs w:val="18"/>
              </w:rPr>
              <w:t>耕地</w:t>
            </w:r>
          </w:p>
        </w:tc>
        <w:tc>
          <w:tcPr>
            <w:tcW w:w="0" w:type="auto"/>
            <w:gridSpan w:val="2"/>
            <w:noWrap/>
            <w:vAlign w:val="center"/>
          </w:tcPr>
          <w:p>
            <w:pPr>
              <w:pStyle w:val="139"/>
              <w:spacing w:line="240" w:lineRule="auto"/>
              <w:rPr>
                <w:rFonts w:cs="Times New Roman"/>
                <w:sz w:val="16"/>
                <w:szCs w:val="18"/>
              </w:rPr>
            </w:pPr>
            <w:r>
              <w:rPr>
                <w:rFonts w:cs="Times New Roman"/>
                <w:sz w:val="16"/>
                <w:szCs w:val="18"/>
              </w:rPr>
              <w:t>田</w:t>
            </w:r>
          </w:p>
        </w:tc>
        <w:tc>
          <w:tcPr>
            <w:tcW w:w="0" w:type="auto"/>
            <w:gridSpan w:val="2"/>
            <w:noWrap/>
            <w:vAlign w:val="center"/>
          </w:tcPr>
          <w:p>
            <w:pPr>
              <w:pStyle w:val="139"/>
              <w:spacing w:line="240" w:lineRule="auto"/>
              <w:rPr>
                <w:rFonts w:cs="Times New Roman"/>
                <w:sz w:val="16"/>
                <w:szCs w:val="18"/>
              </w:rPr>
            </w:pPr>
            <w:r>
              <w:rPr>
                <w:rFonts w:cs="Times New Roman"/>
                <w:sz w:val="16"/>
                <w:szCs w:val="18"/>
              </w:rPr>
              <w:t>土</w:t>
            </w:r>
          </w:p>
        </w:tc>
        <w:tc>
          <w:tcPr>
            <w:tcW w:w="0" w:type="auto"/>
            <w:gridSpan w:val="2"/>
            <w:noWrap/>
            <w:vAlign w:val="center"/>
          </w:tcPr>
          <w:p>
            <w:pPr>
              <w:pStyle w:val="139"/>
              <w:spacing w:line="240" w:lineRule="auto"/>
              <w:rPr>
                <w:rFonts w:cs="Times New Roman"/>
                <w:sz w:val="16"/>
                <w:szCs w:val="18"/>
              </w:rPr>
            </w:pPr>
            <w:r>
              <w:rPr>
                <w:rFonts w:cs="Times New Roman"/>
                <w:sz w:val="16"/>
                <w:szCs w:val="18"/>
              </w:rPr>
              <w:t>园地</w:t>
            </w:r>
          </w:p>
        </w:tc>
        <w:tc>
          <w:tcPr>
            <w:tcW w:w="0" w:type="auto"/>
            <w:vMerge w:val="restart"/>
            <w:vAlign w:val="center"/>
          </w:tcPr>
          <w:p>
            <w:pPr>
              <w:pStyle w:val="139"/>
              <w:spacing w:line="240" w:lineRule="auto"/>
              <w:rPr>
                <w:rFonts w:cs="Times New Roman"/>
                <w:sz w:val="16"/>
                <w:szCs w:val="18"/>
              </w:rPr>
            </w:pPr>
            <w:r>
              <w:rPr>
                <w:rFonts w:cs="Times New Roman"/>
                <w:sz w:val="16"/>
                <w:szCs w:val="18"/>
              </w:rPr>
              <w:t>耕园地</w:t>
            </w:r>
          </w:p>
          <w:p>
            <w:pPr>
              <w:pStyle w:val="139"/>
              <w:spacing w:line="240" w:lineRule="auto"/>
              <w:rPr>
                <w:rFonts w:cs="Times New Roman"/>
                <w:sz w:val="16"/>
                <w:szCs w:val="18"/>
              </w:rPr>
            </w:pPr>
            <w:r>
              <w:rPr>
                <w:rFonts w:cs="Times New Roman"/>
                <w:sz w:val="16"/>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2"/>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noWrap/>
            <w:vAlign w:val="center"/>
          </w:tcPr>
          <w:p>
            <w:pPr>
              <w:pStyle w:val="139"/>
              <w:spacing w:line="240" w:lineRule="auto"/>
              <w:rPr>
                <w:rFonts w:cs="Times New Roman"/>
                <w:sz w:val="16"/>
                <w:szCs w:val="18"/>
              </w:rPr>
            </w:pPr>
            <w:r>
              <w:rPr>
                <w:rFonts w:cs="Times New Roman"/>
                <w:sz w:val="16"/>
                <w:szCs w:val="18"/>
              </w:rPr>
              <w:t>面积</w:t>
            </w:r>
          </w:p>
        </w:tc>
        <w:tc>
          <w:tcPr>
            <w:tcW w:w="0" w:type="auto"/>
            <w:noWrap/>
            <w:vAlign w:val="center"/>
          </w:tcPr>
          <w:p>
            <w:pPr>
              <w:pStyle w:val="139"/>
              <w:spacing w:line="240" w:lineRule="auto"/>
              <w:rPr>
                <w:rFonts w:cs="Times New Roman"/>
                <w:sz w:val="16"/>
                <w:szCs w:val="18"/>
              </w:rPr>
            </w:pPr>
            <w:r>
              <w:rPr>
                <w:rFonts w:cs="Times New Roman"/>
                <w:sz w:val="16"/>
                <w:szCs w:val="18"/>
              </w:rPr>
              <w:t>比例</w:t>
            </w:r>
          </w:p>
        </w:tc>
        <w:tc>
          <w:tcPr>
            <w:tcW w:w="0" w:type="auto"/>
            <w:vMerge w:val="continue"/>
            <w:vAlign w:val="center"/>
          </w:tcPr>
          <w:p>
            <w:pPr>
              <w:pStyle w:val="139"/>
              <w:spacing w:line="240" w:lineRule="auto"/>
              <w:rPr>
                <w:rFonts w:cs="Times New Roman"/>
                <w:sz w:val="16"/>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3"/>
            <w:noWrap/>
            <w:vAlign w:val="center"/>
          </w:tcPr>
          <w:p>
            <w:pPr>
              <w:pStyle w:val="139"/>
              <w:spacing w:line="240" w:lineRule="auto"/>
              <w:rPr>
                <w:rFonts w:cs="Times New Roman"/>
                <w:sz w:val="16"/>
                <w:szCs w:val="18"/>
              </w:rPr>
            </w:pPr>
            <w:r>
              <w:rPr>
                <w:rFonts w:cs="Times New Roman"/>
                <w:sz w:val="16"/>
                <w:szCs w:val="18"/>
              </w:rPr>
              <w:t>耕园地面积</w:t>
            </w:r>
          </w:p>
        </w:tc>
        <w:tc>
          <w:tcPr>
            <w:tcW w:w="0" w:type="auto"/>
            <w:noWrap/>
            <w:vAlign w:val="center"/>
          </w:tcPr>
          <w:p>
            <w:pPr>
              <w:pStyle w:val="139"/>
              <w:spacing w:line="240" w:lineRule="auto"/>
              <w:rPr>
                <w:rFonts w:cs="Times New Roman"/>
                <w:sz w:val="16"/>
                <w:szCs w:val="18"/>
              </w:rPr>
            </w:pPr>
            <w:r>
              <w:rPr>
                <w:rFonts w:cs="Times New Roman"/>
                <w:sz w:val="16"/>
                <w:szCs w:val="18"/>
              </w:rPr>
              <w:t>21664</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15701</w:t>
            </w:r>
          </w:p>
        </w:tc>
        <w:tc>
          <w:tcPr>
            <w:tcW w:w="0" w:type="auto"/>
            <w:noWrap/>
            <w:vAlign w:val="center"/>
          </w:tcPr>
          <w:p>
            <w:pPr>
              <w:pStyle w:val="139"/>
              <w:spacing w:line="240" w:lineRule="auto"/>
              <w:rPr>
                <w:rFonts w:cs="Times New Roman"/>
                <w:sz w:val="16"/>
                <w:szCs w:val="18"/>
              </w:rPr>
            </w:pPr>
            <w:r>
              <w:rPr>
                <w:rFonts w:cs="Times New Roman"/>
                <w:sz w:val="16"/>
                <w:szCs w:val="18"/>
              </w:rPr>
              <w:t>72.5%</w:t>
            </w:r>
          </w:p>
        </w:tc>
        <w:tc>
          <w:tcPr>
            <w:tcW w:w="0" w:type="auto"/>
            <w:noWrap/>
            <w:vAlign w:val="center"/>
          </w:tcPr>
          <w:p>
            <w:pPr>
              <w:pStyle w:val="139"/>
              <w:spacing w:line="240" w:lineRule="auto"/>
              <w:rPr>
                <w:rFonts w:cs="Times New Roman"/>
                <w:sz w:val="16"/>
                <w:szCs w:val="18"/>
              </w:rPr>
            </w:pPr>
            <w:r>
              <w:rPr>
                <w:rFonts w:cs="Times New Roman"/>
                <w:sz w:val="16"/>
                <w:szCs w:val="18"/>
              </w:rPr>
              <w:t>5963</w:t>
            </w:r>
          </w:p>
        </w:tc>
        <w:tc>
          <w:tcPr>
            <w:tcW w:w="0" w:type="auto"/>
            <w:noWrap/>
            <w:vAlign w:val="center"/>
          </w:tcPr>
          <w:p>
            <w:pPr>
              <w:pStyle w:val="139"/>
              <w:spacing w:line="240" w:lineRule="auto"/>
              <w:rPr>
                <w:rFonts w:cs="Times New Roman"/>
                <w:sz w:val="16"/>
                <w:szCs w:val="18"/>
              </w:rPr>
            </w:pPr>
            <w:r>
              <w:rPr>
                <w:rFonts w:cs="Times New Roman"/>
                <w:sz w:val="16"/>
                <w:szCs w:val="18"/>
              </w:rPr>
              <w:t>28%</w:t>
            </w:r>
          </w:p>
        </w:tc>
        <w:tc>
          <w:tcPr>
            <w:tcW w:w="0" w:type="auto"/>
            <w:noWrap/>
            <w:vAlign w:val="center"/>
          </w:tcPr>
          <w:p>
            <w:pPr>
              <w:pStyle w:val="139"/>
              <w:spacing w:line="240" w:lineRule="auto"/>
              <w:rPr>
                <w:rFonts w:cs="Times New Roman"/>
                <w:sz w:val="16"/>
                <w:szCs w:val="18"/>
              </w:rPr>
            </w:pPr>
            <w:r>
              <w:rPr>
                <w:rFonts w:cs="Times New Roman"/>
                <w:sz w:val="16"/>
                <w:szCs w:val="18"/>
              </w:rPr>
              <w:t>837</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22501</w:t>
            </w:r>
          </w:p>
        </w:tc>
        <w:tc>
          <w:tcPr>
            <w:tcW w:w="0" w:type="auto"/>
            <w:noWrap/>
            <w:vAlign w:val="center"/>
          </w:tcPr>
          <w:p>
            <w:pPr>
              <w:pStyle w:val="139"/>
              <w:spacing w:line="240" w:lineRule="auto"/>
              <w:rPr>
                <w:rFonts w:cs="Times New Roman"/>
                <w:sz w:val="16"/>
                <w:szCs w:val="18"/>
              </w:rPr>
            </w:pPr>
            <w:r>
              <w:rPr>
                <w:rFonts w:cs="Times New Roman"/>
                <w:sz w:val="16"/>
                <w:szCs w:val="18"/>
              </w:rPr>
              <w:t>21664</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15701</w:t>
            </w:r>
          </w:p>
        </w:tc>
        <w:tc>
          <w:tcPr>
            <w:tcW w:w="0" w:type="auto"/>
            <w:noWrap/>
            <w:vAlign w:val="center"/>
          </w:tcPr>
          <w:p>
            <w:pPr>
              <w:pStyle w:val="139"/>
              <w:spacing w:line="240" w:lineRule="auto"/>
              <w:rPr>
                <w:rFonts w:cs="Times New Roman"/>
                <w:sz w:val="16"/>
                <w:szCs w:val="18"/>
              </w:rPr>
            </w:pPr>
            <w:r>
              <w:rPr>
                <w:rFonts w:cs="Times New Roman"/>
                <w:sz w:val="16"/>
                <w:szCs w:val="18"/>
              </w:rPr>
              <w:t>72.48%</w:t>
            </w:r>
          </w:p>
        </w:tc>
        <w:tc>
          <w:tcPr>
            <w:tcW w:w="0" w:type="auto"/>
            <w:noWrap/>
            <w:vAlign w:val="center"/>
          </w:tcPr>
          <w:p>
            <w:pPr>
              <w:pStyle w:val="139"/>
              <w:spacing w:line="240" w:lineRule="auto"/>
              <w:rPr>
                <w:rFonts w:cs="Times New Roman"/>
                <w:sz w:val="16"/>
                <w:szCs w:val="18"/>
              </w:rPr>
            </w:pPr>
            <w:r>
              <w:rPr>
                <w:rFonts w:cs="Times New Roman"/>
                <w:sz w:val="16"/>
                <w:szCs w:val="18"/>
              </w:rPr>
              <w:t>5963</w:t>
            </w:r>
          </w:p>
        </w:tc>
        <w:tc>
          <w:tcPr>
            <w:tcW w:w="0" w:type="auto"/>
            <w:noWrap/>
            <w:vAlign w:val="center"/>
          </w:tcPr>
          <w:p>
            <w:pPr>
              <w:pStyle w:val="139"/>
              <w:spacing w:line="240" w:lineRule="auto"/>
              <w:rPr>
                <w:rFonts w:cs="Times New Roman"/>
                <w:sz w:val="16"/>
                <w:szCs w:val="18"/>
              </w:rPr>
            </w:pPr>
            <w:r>
              <w:rPr>
                <w:rFonts w:cs="Times New Roman"/>
                <w:sz w:val="16"/>
                <w:szCs w:val="18"/>
              </w:rPr>
              <w:t>27.52%</w:t>
            </w:r>
          </w:p>
        </w:tc>
        <w:tc>
          <w:tcPr>
            <w:tcW w:w="0" w:type="auto"/>
            <w:noWrap/>
            <w:vAlign w:val="center"/>
          </w:tcPr>
          <w:p>
            <w:pPr>
              <w:pStyle w:val="139"/>
              <w:spacing w:line="240" w:lineRule="auto"/>
              <w:rPr>
                <w:rFonts w:cs="Times New Roman"/>
                <w:sz w:val="16"/>
                <w:szCs w:val="18"/>
              </w:rPr>
            </w:pPr>
            <w:r>
              <w:rPr>
                <w:rFonts w:cs="Times New Roman"/>
                <w:sz w:val="16"/>
                <w:szCs w:val="18"/>
              </w:rPr>
              <w:t>837</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22501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3"/>
            <w:noWrap/>
            <w:vAlign w:val="center"/>
          </w:tcPr>
          <w:p>
            <w:pPr>
              <w:pStyle w:val="139"/>
              <w:spacing w:line="240" w:lineRule="auto"/>
              <w:rPr>
                <w:rFonts w:cs="Times New Roman"/>
                <w:sz w:val="16"/>
                <w:szCs w:val="18"/>
              </w:rPr>
            </w:pPr>
            <w:r>
              <w:rPr>
                <w:rFonts w:cs="Times New Roman"/>
                <w:sz w:val="16"/>
                <w:szCs w:val="18"/>
              </w:rPr>
              <w:t>全年播面</w:t>
            </w:r>
          </w:p>
        </w:tc>
        <w:tc>
          <w:tcPr>
            <w:tcW w:w="0" w:type="auto"/>
            <w:noWrap/>
            <w:vAlign w:val="center"/>
          </w:tcPr>
          <w:p>
            <w:pPr>
              <w:pStyle w:val="139"/>
              <w:spacing w:line="240" w:lineRule="auto"/>
              <w:rPr>
                <w:rFonts w:cs="Times New Roman"/>
                <w:sz w:val="16"/>
                <w:szCs w:val="18"/>
              </w:rPr>
            </w:pPr>
            <w:r>
              <w:rPr>
                <w:rFonts w:cs="Times New Roman"/>
                <w:sz w:val="16"/>
                <w:szCs w:val="18"/>
              </w:rPr>
              <w:t>42056</w:t>
            </w:r>
          </w:p>
        </w:tc>
        <w:tc>
          <w:tcPr>
            <w:tcW w:w="0" w:type="auto"/>
            <w:noWrap/>
            <w:vAlign w:val="center"/>
          </w:tcPr>
          <w:p>
            <w:pPr>
              <w:pStyle w:val="139"/>
              <w:spacing w:line="240" w:lineRule="auto"/>
              <w:rPr>
                <w:rFonts w:cs="Times New Roman"/>
                <w:sz w:val="16"/>
                <w:szCs w:val="18"/>
              </w:rPr>
            </w:pPr>
            <w:r>
              <w:rPr>
                <w:rFonts w:cs="Times New Roman"/>
                <w:sz w:val="16"/>
                <w:szCs w:val="18"/>
              </w:rPr>
              <w:t>194%</w:t>
            </w:r>
          </w:p>
        </w:tc>
        <w:tc>
          <w:tcPr>
            <w:tcW w:w="0" w:type="auto"/>
            <w:noWrap/>
            <w:vAlign w:val="center"/>
          </w:tcPr>
          <w:p>
            <w:pPr>
              <w:pStyle w:val="139"/>
              <w:spacing w:line="240" w:lineRule="auto"/>
              <w:rPr>
                <w:rFonts w:cs="Times New Roman"/>
                <w:sz w:val="16"/>
                <w:szCs w:val="18"/>
              </w:rPr>
            </w:pPr>
            <w:r>
              <w:rPr>
                <w:rFonts w:cs="Times New Roman"/>
                <w:sz w:val="16"/>
                <w:szCs w:val="18"/>
              </w:rPr>
              <w:t>29832</w:t>
            </w:r>
          </w:p>
        </w:tc>
        <w:tc>
          <w:tcPr>
            <w:tcW w:w="0" w:type="auto"/>
            <w:noWrap/>
            <w:vAlign w:val="center"/>
          </w:tcPr>
          <w:p>
            <w:pPr>
              <w:pStyle w:val="139"/>
              <w:spacing w:line="240" w:lineRule="auto"/>
              <w:rPr>
                <w:rFonts w:cs="Times New Roman"/>
                <w:sz w:val="16"/>
                <w:szCs w:val="18"/>
              </w:rPr>
            </w:pPr>
            <w:r>
              <w:rPr>
                <w:rFonts w:cs="Times New Roman"/>
                <w:sz w:val="16"/>
                <w:szCs w:val="18"/>
              </w:rPr>
              <w:t>190%</w:t>
            </w:r>
          </w:p>
        </w:tc>
        <w:tc>
          <w:tcPr>
            <w:tcW w:w="0" w:type="auto"/>
            <w:noWrap/>
            <w:vAlign w:val="center"/>
          </w:tcPr>
          <w:p>
            <w:pPr>
              <w:pStyle w:val="139"/>
              <w:spacing w:line="240" w:lineRule="auto"/>
              <w:rPr>
                <w:rFonts w:cs="Times New Roman"/>
                <w:sz w:val="16"/>
                <w:szCs w:val="18"/>
              </w:rPr>
            </w:pPr>
            <w:r>
              <w:rPr>
                <w:rFonts w:cs="Times New Roman"/>
                <w:sz w:val="16"/>
                <w:szCs w:val="18"/>
              </w:rPr>
              <w:t>12224</w:t>
            </w:r>
          </w:p>
        </w:tc>
        <w:tc>
          <w:tcPr>
            <w:tcW w:w="0" w:type="auto"/>
            <w:noWrap/>
            <w:vAlign w:val="center"/>
          </w:tcPr>
          <w:p>
            <w:pPr>
              <w:pStyle w:val="139"/>
              <w:spacing w:line="240" w:lineRule="auto"/>
              <w:rPr>
                <w:rFonts w:cs="Times New Roman"/>
                <w:sz w:val="16"/>
                <w:szCs w:val="18"/>
              </w:rPr>
            </w:pPr>
            <w:r>
              <w:rPr>
                <w:rFonts w:cs="Times New Roman"/>
                <w:sz w:val="16"/>
                <w:szCs w:val="18"/>
              </w:rPr>
              <w:t>205%</w:t>
            </w:r>
          </w:p>
        </w:tc>
        <w:tc>
          <w:tcPr>
            <w:tcW w:w="0" w:type="auto"/>
            <w:noWrap/>
            <w:vAlign w:val="center"/>
          </w:tcPr>
          <w:p>
            <w:pPr>
              <w:pStyle w:val="139"/>
              <w:spacing w:line="240" w:lineRule="auto"/>
              <w:rPr>
                <w:rFonts w:cs="Times New Roman"/>
                <w:sz w:val="16"/>
                <w:szCs w:val="18"/>
              </w:rPr>
            </w:pPr>
            <w:r>
              <w:rPr>
                <w:rFonts w:cs="Times New Roman"/>
                <w:sz w:val="16"/>
                <w:szCs w:val="18"/>
              </w:rPr>
              <w:t>1430</w:t>
            </w:r>
          </w:p>
        </w:tc>
        <w:tc>
          <w:tcPr>
            <w:tcW w:w="0" w:type="auto"/>
            <w:noWrap/>
            <w:vAlign w:val="center"/>
          </w:tcPr>
          <w:p>
            <w:pPr>
              <w:pStyle w:val="139"/>
              <w:spacing w:line="240" w:lineRule="auto"/>
              <w:rPr>
                <w:rFonts w:cs="Times New Roman"/>
                <w:sz w:val="16"/>
                <w:szCs w:val="18"/>
              </w:rPr>
            </w:pPr>
            <w:r>
              <w:rPr>
                <w:rFonts w:cs="Times New Roman"/>
                <w:sz w:val="16"/>
                <w:szCs w:val="18"/>
              </w:rPr>
              <w:t>171%</w:t>
            </w:r>
          </w:p>
        </w:tc>
        <w:tc>
          <w:tcPr>
            <w:tcW w:w="0" w:type="auto"/>
            <w:noWrap/>
            <w:vAlign w:val="center"/>
          </w:tcPr>
          <w:p>
            <w:pPr>
              <w:pStyle w:val="139"/>
              <w:spacing w:line="240" w:lineRule="auto"/>
              <w:rPr>
                <w:rFonts w:cs="Times New Roman"/>
                <w:sz w:val="16"/>
                <w:szCs w:val="18"/>
              </w:rPr>
            </w:pPr>
            <w:r>
              <w:rPr>
                <w:rFonts w:cs="Times New Roman"/>
                <w:sz w:val="16"/>
                <w:szCs w:val="18"/>
              </w:rPr>
              <w:t>43486</w:t>
            </w:r>
          </w:p>
        </w:tc>
        <w:tc>
          <w:tcPr>
            <w:tcW w:w="0" w:type="auto"/>
            <w:noWrap/>
            <w:vAlign w:val="center"/>
          </w:tcPr>
          <w:p>
            <w:pPr>
              <w:pStyle w:val="139"/>
              <w:spacing w:line="240" w:lineRule="auto"/>
              <w:rPr>
                <w:rFonts w:cs="Times New Roman"/>
                <w:sz w:val="16"/>
                <w:szCs w:val="18"/>
              </w:rPr>
            </w:pPr>
            <w:r>
              <w:rPr>
                <w:rFonts w:cs="Times New Roman"/>
                <w:sz w:val="16"/>
                <w:szCs w:val="18"/>
              </w:rPr>
              <w:t>47662</w:t>
            </w:r>
          </w:p>
        </w:tc>
        <w:tc>
          <w:tcPr>
            <w:tcW w:w="0" w:type="auto"/>
            <w:noWrap/>
            <w:vAlign w:val="center"/>
          </w:tcPr>
          <w:p>
            <w:pPr>
              <w:pStyle w:val="139"/>
              <w:spacing w:line="240" w:lineRule="auto"/>
              <w:rPr>
                <w:rFonts w:cs="Times New Roman"/>
                <w:sz w:val="16"/>
                <w:szCs w:val="18"/>
              </w:rPr>
            </w:pPr>
            <w:r>
              <w:rPr>
                <w:rFonts w:cs="Times New Roman"/>
                <w:sz w:val="16"/>
                <w:szCs w:val="18"/>
              </w:rPr>
              <w:t>220%</w:t>
            </w:r>
          </w:p>
        </w:tc>
        <w:tc>
          <w:tcPr>
            <w:tcW w:w="0" w:type="auto"/>
            <w:noWrap/>
            <w:vAlign w:val="center"/>
          </w:tcPr>
          <w:p>
            <w:pPr>
              <w:pStyle w:val="139"/>
              <w:spacing w:line="240" w:lineRule="auto"/>
              <w:rPr>
                <w:rFonts w:cs="Times New Roman"/>
                <w:sz w:val="16"/>
                <w:szCs w:val="18"/>
              </w:rPr>
            </w:pPr>
            <w:r>
              <w:rPr>
                <w:rFonts w:cs="Times New Roman"/>
                <w:sz w:val="16"/>
                <w:szCs w:val="18"/>
              </w:rPr>
              <w:t>34167</w:t>
            </w:r>
          </w:p>
        </w:tc>
        <w:tc>
          <w:tcPr>
            <w:tcW w:w="0" w:type="auto"/>
            <w:noWrap/>
            <w:vAlign w:val="center"/>
          </w:tcPr>
          <w:p>
            <w:pPr>
              <w:pStyle w:val="139"/>
              <w:spacing w:line="240" w:lineRule="auto"/>
              <w:rPr>
                <w:rFonts w:cs="Times New Roman"/>
                <w:sz w:val="16"/>
                <w:szCs w:val="18"/>
              </w:rPr>
            </w:pPr>
            <w:r>
              <w:rPr>
                <w:rFonts w:cs="Times New Roman"/>
                <w:sz w:val="16"/>
                <w:szCs w:val="18"/>
              </w:rPr>
              <w:t>218%</w:t>
            </w:r>
          </w:p>
        </w:tc>
        <w:tc>
          <w:tcPr>
            <w:tcW w:w="0" w:type="auto"/>
            <w:noWrap/>
            <w:vAlign w:val="center"/>
          </w:tcPr>
          <w:p>
            <w:pPr>
              <w:pStyle w:val="139"/>
              <w:spacing w:line="240" w:lineRule="auto"/>
              <w:rPr>
                <w:rFonts w:cs="Times New Roman"/>
                <w:sz w:val="16"/>
                <w:szCs w:val="18"/>
              </w:rPr>
            </w:pPr>
            <w:r>
              <w:rPr>
                <w:rFonts w:cs="Times New Roman"/>
                <w:sz w:val="16"/>
                <w:szCs w:val="18"/>
              </w:rPr>
              <w:t>13495</w:t>
            </w:r>
          </w:p>
        </w:tc>
        <w:tc>
          <w:tcPr>
            <w:tcW w:w="0" w:type="auto"/>
            <w:noWrap/>
            <w:vAlign w:val="center"/>
          </w:tcPr>
          <w:p>
            <w:pPr>
              <w:pStyle w:val="139"/>
              <w:spacing w:line="240" w:lineRule="auto"/>
              <w:rPr>
                <w:rFonts w:cs="Times New Roman"/>
                <w:sz w:val="16"/>
                <w:szCs w:val="18"/>
              </w:rPr>
            </w:pPr>
            <w:r>
              <w:rPr>
                <w:rFonts w:cs="Times New Roman"/>
                <w:sz w:val="16"/>
                <w:szCs w:val="18"/>
              </w:rPr>
              <w:t>226%</w:t>
            </w:r>
          </w:p>
        </w:tc>
        <w:tc>
          <w:tcPr>
            <w:tcW w:w="0" w:type="auto"/>
            <w:noWrap/>
            <w:vAlign w:val="center"/>
          </w:tcPr>
          <w:p>
            <w:pPr>
              <w:pStyle w:val="139"/>
              <w:spacing w:line="240" w:lineRule="auto"/>
              <w:rPr>
                <w:rFonts w:cs="Times New Roman"/>
                <w:sz w:val="16"/>
                <w:szCs w:val="18"/>
              </w:rPr>
            </w:pPr>
            <w:r>
              <w:rPr>
                <w:rFonts w:cs="Times New Roman"/>
                <w:sz w:val="16"/>
                <w:szCs w:val="18"/>
              </w:rPr>
              <w:t>1610</w:t>
            </w:r>
          </w:p>
        </w:tc>
        <w:tc>
          <w:tcPr>
            <w:tcW w:w="0" w:type="auto"/>
            <w:noWrap/>
            <w:vAlign w:val="center"/>
          </w:tcPr>
          <w:p>
            <w:pPr>
              <w:pStyle w:val="139"/>
              <w:spacing w:line="240" w:lineRule="auto"/>
              <w:rPr>
                <w:rFonts w:cs="Times New Roman"/>
                <w:sz w:val="16"/>
                <w:szCs w:val="18"/>
              </w:rPr>
            </w:pPr>
            <w:r>
              <w:rPr>
                <w:rFonts w:cs="Times New Roman"/>
                <w:sz w:val="16"/>
                <w:szCs w:val="18"/>
              </w:rPr>
              <w:t>192%</w:t>
            </w:r>
          </w:p>
        </w:tc>
        <w:tc>
          <w:tcPr>
            <w:tcW w:w="0" w:type="auto"/>
            <w:noWrap/>
            <w:vAlign w:val="center"/>
          </w:tcPr>
          <w:p>
            <w:pPr>
              <w:pStyle w:val="139"/>
              <w:spacing w:line="240" w:lineRule="auto"/>
              <w:rPr>
                <w:rFonts w:cs="Times New Roman"/>
                <w:sz w:val="16"/>
                <w:szCs w:val="18"/>
              </w:rPr>
            </w:pPr>
            <w:r>
              <w:rPr>
                <w:rFonts w:cs="Times New Roman"/>
                <w:sz w:val="16"/>
                <w:szCs w:val="18"/>
              </w:rPr>
              <w:t>49272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3"/>
            <w:noWrap/>
            <w:vAlign w:val="center"/>
          </w:tcPr>
          <w:p>
            <w:pPr>
              <w:pStyle w:val="139"/>
              <w:spacing w:line="240" w:lineRule="auto"/>
              <w:rPr>
                <w:rFonts w:cs="Times New Roman"/>
                <w:sz w:val="16"/>
                <w:szCs w:val="18"/>
              </w:rPr>
            </w:pPr>
            <w:r>
              <w:rPr>
                <w:rFonts w:cs="Times New Roman"/>
                <w:sz w:val="16"/>
                <w:szCs w:val="18"/>
              </w:rPr>
              <w:t>粮食作物合计</w:t>
            </w:r>
          </w:p>
        </w:tc>
        <w:tc>
          <w:tcPr>
            <w:tcW w:w="0" w:type="auto"/>
            <w:noWrap/>
            <w:vAlign w:val="center"/>
          </w:tcPr>
          <w:p>
            <w:pPr>
              <w:pStyle w:val="139"/>
              <w:spacing w:line="240" w:lineRule="auto"/>
              <w:rPr>
                <w:rFonts w:cs="Times New Roman"/>
                <w:sz w:val="16"/>
                <w:szCs w:val="18"/>
              </w:rPr>
            </w:pPr>
            <w:r>
              <w:rPr>
                <w:rFonts w:cs="Times New Roman"/>
                <w:sz w:val="16"/>
                <w:szCs w:val="18"/>
              </w:rPr>
              <w:t>29225</w:t>
            </w:r>
          </w:p>
        </w:tc>
        <w:tc>
          <w:tcPr>
            <w:tcW w:w="0" w:type="auto"/>
            <w:noWrap/>
            <w:vAlign w:val="center"/>
          </w:tcPr>
          <w:p>
            <w:pPr>
              <w:pStyle w:val="139"/>
              <w:spacing w:line="240" w:lineRule="auto"/>
              <w:rPr>
                <w:rFonts w:cs="Times New Roman"/>
                <w:sz w:val="16"/>
                <w:szCs w:val="18"/>
              </w:rPr>
            </w:pPr>
            <w:r>
              <w:rPr>
                <w:rFonts w:cs="Times New Roman"/>
                <w:sz w:val="16"/>
                <w:szCs w:val="18"/>
              </w:rPr>
              <w:t>135%</w:t>
            </w:r>
          </w:p>
        </w:tc>
        <w:tc>
          <w:tcPr>
            <w:tcW w:w="0" w:type="auto"/>
            <w:noWrap/>
            <w:vAlign w:val="center"/>
          </w:tcPr>
          <w:p>
            <w:pPr>
              <w:pStyle w:val="139"/>
              <w:spacing w:line="240" w:lineRule="auto"/>
              <w:rPr>
                <w:rFonts w:cs="Times New Roman"/>
                <w:sz w:val="16"/>
                <w:szCs w:val="18"/>
              </w:rPr>
            </w:pPr>
            <w:r>
              <w:rPr>
                <w:rFonts w:cs="Times New Roman"/>
                <w:sz w:val="16"/>
                <w:szCs w:val="18"/>
              </w:rPr>
              <w:t>21353</w:t>
            </w:r>
          </w:p>
        </w:tc>
        <w:tc>
          <w:tcPr>
            <w:tcW w:w="0" w:type="auto"/>
            <w:noWrap/>
            <w:vAlign w:val="center"/>
          </w:tcPr>
          <w:p>
            <w:pPr>
              <w:pStyle w:val="139"/>
              <w:spacing w:line="240" w:lineRule="auto"/>
              <w:rPr>
                <w:rFonts w:cs="Times New Roman"/>
                <w:sz w:val="16"/>
                <w:szCs w:val="18"/>
              </w:rPr>
            </w:pPr>
            <w:r>
              <w:rPr>
                <w:rFonts w:cs="Times New Roman"/>
                <w:sz w:val="16"/>
                <w:szCs w:val="18"/>
              </w:rPr>
              <w:t>136%</w:t>
            </w:r>
          </w:p>
        </w:tc>
        <w:tc>
          <w:tcPr>
            <w:tcW w:w="0" w:type="auto"/>
            <w:noWrap/>
            <w:vAlign w:val="center"/>
          </w:tcPr>
          <w:p>
            <w:pPr>
              <w:pStyle w:val="139"/>
              <w:spacing w:line="240" w:lineRule="auto"/>
              <w:rPr>
                <w:rFonts w:cs="Times New Roman"/>
                <w:sz w:val="16"/>
                <w:szCs w:val="18"/>
              </w:rPr>
            </w:pPr>
            <w:r>
              <w:rPr>
                <w:rFonts w:cs="Times New Roman"/>
                <w:sz w:val="16"/>
                <w:szCs w:val="18"/>
              </w:rPr>
              <w:t>7871</w:t>
            </w:r>
          </w:p>
        </w:tc>
        <w:tc>
          <w:tcPr>
            <w:tcW w:w="0" w:type="auto"/>
            <w:noWrap/>
            <w:vAlign w:val="center"/>
          </w:tcPr>
          <w:p>
            <w:pPr>
              <w:pStyle w:val="139"/>
              <w:spacing w:line="240" w:lineRule="auto"/>
              <w:rPr>
                <w:rFonts w:cs="Times New Roman"/>
                <w:sz w:val="16"/>
                <w:szCs w:val="18"/>
              </w:rPr>
            </w:pPr>
            <w:r>
              <w:rPr>
                <w:rFonts w:cs="Times New Roman"/>
                <w:sz w:val="16"/>
                <w:szCs w:val="18"/>
              </w:rPr>
              <w:t>132%</w:t>
            </w:r>
          </w:p>
        </w:tc>
        <w:tc>
          <w:tcPr>
            <w:tcW w:w="0" w:type="auto"/>
            <w:noWrap/>
            <w:vAlign w:val="center"/>
          </w:tcPr>
          <w:p>
            <w:pPr>
              <w:pStyle w:val="139"/>
              <w:spacing w:line="240" w:lineRule="auto"/>
              <w:rPr>
                <w:rFonts w:cs="Times New Roman"/>
                <w:sz w:val="16"/>
                <w:szCs w:val="18"/>
              </w:rPr>
            </w:pPr>
            <w:r>
              <w:rPr>
                <w:rFonts w:cs="Times New Roman"/>
                <w:sz w:val="16"/>
                <w:szCs w:val="18"/>
              </w:rPr>
              <w:t>592</w:t>
            </w:r>
          </w:p>
        </w:tc>
        <w:tc>
          <w:tcPr>
            <w:tcW w:w="0" w:type="auto"/>
            <w:noWrap/>
            <w:vAlign w:val="center"/>
          </w:tcPr>
          <w:p>
            <w:pPr>
              <w:pStyle w:val="139"/>
              <w:spacing w:line="240" w:lineRule="auto"/>
              <w:rPr>
                <w:rFonts w:cs="Times New Roman"/>
                <w:sz w:val="16"/>
                <w:szCs w:val="18"/>
              </w:rPr>
            </w:pPr>
            <w:r>
              <w:rPr>
                <w:rFonts w:cs="Times New Roman"/>
                <w:sz w:val="16"/>
                <w:szCs w:val="18"/>
              </w:rPr>
              <w:t>71%</w:t>
            </w:r>
          </w:p>
        </w:tc>
        <w:tc>
          <w:tcPr>
            <w:tcW w:w="0" w:type="auto"/>
            <w:noWrap/>
            <w:vAlign w:val="center"/>
          </w:tcPr>
          <w:p>
            <w:pPr>
              <w:pStyle w:val="139"/>
              <w:spacing w:line="240" w:lineRule="auto"/>
              <w:rPr>
                <w:rFonts w:cs="Times New Roman"/>
                <w:sz w:val="16"/>
                <w:szCs w:val="18"/>
              </w:rPr>
            </w:pPr>
            <w:r>
              <w:rPr>
                <w:rFonts w:cs="Times New Roman"/>
                <w:sz w:val="16"/>
                <w:szCs w:val="18"/>
              </w:rPr>
              <w:t>29817</w:t>
            </w:r>
          </w:p>
        </w:tc>
        <w:tc>
          <w:tcPr>
            <w:tcW w:w="0" w:type="auto"/>
            <w:noWrap/>
            <w:vAlign w:val="center"/>
          </w:tcPr>
          <w:p>
            <w:pPr>
              <w:pStyle w:val="139"/>
              <w:spacing w:line="240" w:lineRule="auto"/>
              <w:rPr>
                <w:rFonts w:cs="Times New Roman"/>
                <w:sz w:val="16"/>
                <w:szCs w:val="18"/>
              </w:rPr>
            </w:pPr>
            <w:r>
              <w:rPr>
                <w:rFonts w:cs="Times New Roman"/>
                <w:sz w:val="16"/>
                <w:szCs w:val="18"/>
              </w:rPr>
              <w:t>28634</w:t>
            </w:r>
          </w:p>
        </w:tc>
        <w:tc>
          <w:tcPr>
            <w:tcW w:w="0" w:type="auto"/>
            <w:noWrap/>
            <w:vAlign w:val="center"/>
          </w:tcPr>
          <w:p>
            <w:pPr>
              <w:pStyle w:val="139"/>
              <w:spacing w:line="240" w:lineRule="auto"/>
              <w:rPr>
                <w:rFonts w:cs="Times New Roman"/>
                <w:sz w:val="16"/>
                <w:szCs w:val="18"/>
              </w:rPr>
            </w:pPr>
            <w:r>
              <w:rPr>
                <w:rFonts w:cs="Times New Roman"/>
                <w:sz w:val="16"/>
                <w:szCs w:val="18"/>
              </w:rPr>
              <w:t>132%</w:t>
            </w:r>
          </w:p>
        </w:tc>
        <w:tc>
          <w:tcPr>
            <w:tcW w:w="0" w:type="auto"/>
            <w:noWrap/>
            <w:vAlign w:val="center"/>
          </w:tcPr>
          <w:p>
            <w:pPr>
              <w:pStyle w:val="139"/>
              <w:spacing w:line="240" w:lineRule="auto"/>
              <w:rPr>
                <w:rFonts w:cs="Times New Roman"/>
                <w:sz w:val="16"/>
                <w:szCs w:val="18"/>
              </w:rPr>
            </w:pPr>
            <w:r>
              <w:rPr>
                <w:rFonts w:cs="Times New Roman"/>
                <w:sz w:val="16"/>
                <w:szCs w:val="18"/>
              </w:rPr>
              <w:t>20882</w:t>
            </w:r>
          </w:p>
        </w:tc>
        <w:tc>
          <w:tcPr>
            <w:tcW w:w="0" w:type="auto"/>
            <w:noWrap/>
            <w:vAlign w:val="center"/>
          </w:tcPr>
          <w:p>
            <w:pPr>
              <w:pStyle w:val="139"/>
              <w:spacing w:line="240" w:lineRule="auto"/>
              <w:rPr>
                <w:rFonts w:cs="Times New Roman"/>
                <w:sz w:val="16"/>
                <w:szCs w:val="18"/>
              </w:rPr>
            </w:pPr>
            <w:r>
              <w:rPr>
                <w:rFonts w:cs="Times New Roman"/>
                <w:sz w:val="16"/>
                <w:szCs w:val="18"/>
              </w:rPr>
              <w:t>133%</w:t>
            </w:r>
          </w:p>
        </w:tc>
        <w:tc>
          <w:tcPr>
            <w:tcW w:w="0" w:type="auto"/>
            <w:noWrap/>
            <w:vAlign w:val="center"/>
          </w:tcPr>
          <w:p>
            <w:pPr>
              <w:pStyle w:val="139"/>
              <w:spacing w:line="240" w:lineRule="auto"/>
              <w:rPr>
                <w:rFonts w:cs="Times New Roman"/>
                <w:sz w:val="16"/>
                <w:szCs w:val="18"/>
              </w:rPr>
            </w:pPr>
            <w:r>
              <w:rPr>
                <w:rFonts w:cs="Times New Roman"/>
                <w:sz w:val="16"/>
                <w:szCs w:val="18"/>
              </w:rPr>
              <w:t>7752</w:t>
            </w:r>
          </w:p>
        </w:tc>
        <w:tc>
          <w:tcPr>
            <w:tcW w:w="0" w:type="auto"/>
            <w:noWrap/>
            <w:vAlign w:val="center"/>
          </w:tcPr>
          <w:p>
            <w:pPr>
              <w:pStyle w:val="139"/>
              <w:spacing w:line="240" w:lineRule="auto"/>
              <w:rPr>
                <w:rFonts w:cs="Times New Roman"/>
                <w:sz w:val="16"/>
                <w:szCs w:val="18"/>
              </w:rPr>
            </w:pPr>
            <w:r>
              <w:rPr>
                <w:rFonts w:cs="Times New Roman"/>
                <w:sz w:val="16"/>
                <w:szCs w:val="18"/>
              </w:rPr>
              <w:t>130%</w:t>
            </w:r>
          </w:p>
        </w:tc>
        <w:tc>
          <w:tcPr>
            <w:tcW w:w="0" w:type="auto"/>
            <w:noWrap/>
            <w:vAlign w:val="center"/>
          </w:tcPr>
          <w:p>
            <w:pPr>
              <w:pStyle w:val="139"/>
              <w:spacing w:line="240" w:lineRule="auto"/>
              <w:rPr>
                <w:rFonts w:cs="Times New Roman"/>
                <w:sz w:val="16"/>
                <w:szCs w:val="18"/>
              </w:rPr>
            </w:pPr>
            <w:r>
              <w:rPr>
                <w:rFonts w:cs="Times New Roman"/>
                <w:sz w:val="16"/>
                <w:szCs w:val="18"/>
              </w:rPr>
              <w:t>772</w:t>
            </w:r>
          </w:p>
        </w:tc>
        <w:tc>
          <w:tcPr>
            <w:tcW w:w="0" w:type="auto"/>
            <w:noWrap/>
            <w:vAlign w:val="center"/>
          </w:tcPr>
          <w:p>
            <w:pPr>
              <w:pStyle w:val="139"/>
              <w:spacing w:line="240" w:lineRule="auto"/>
              <w:rPr>
                <w:rFonts w:cs="Times New Roman"/>
                <w:sz w:val="16"/>
                <w:szCs w:val="18"/>
              </w:rPr>
            </w:pPr>
            <w:r>
              <w:rPr>
                <w:rFonts w:cs="Times New Roman"/>
                <w:sz w:val="16"/>
                <w:szCs w:val="18"/>
              </w:rPr>
              <w:t>92%</w:t>
            </w:r>
          </w:p>
        </w:tc>
        <w:tc>
          <w:tcPr>
            <w:tcW w:w="0" w:type="auto"/>
            <w:noWrap/>
            <w:vAlign w:val="center"/>
          </w:tcPr>
          <w:p>
            <w:pPr>
              <w:pStyle w:val="139"/>
              <w:spacing w:line="240" w:lineRule="auto"/>
              <w:rPr>
                <w:rFonts w:cs="Times New Roman"/>
                <w:sz w:val="16"/>
                <w:szCs w:val="18"/>
              </w:rPr>
            </w:pPr>
            <w:r>
              <w:rPr>
                <w:rFonts w:cs="Times New Roman"/>
                <w:sz w:val="16"/>
                <w:szCs w:val="18"/>
              </w:rPr>
              <w:t>29406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restart"/>
            <w:noWrap/>
            <w:vAlign w:val="center"/>
          </w:tcPr>
          <w:p>
            <w:pPr>
              <w:pStyle w:val="139"/>
              <w:spacing w:line="240" w:lineRule="auto"/>
              <w:rPr>
                <w:rFonts w:cs="Times New Roman"/>
                <w:sz w:val="16"/>
                <w:szCs w:val="18"/>
              </w:rPr>
            </w:pPr>
            <w:r>
              <w:rPr>
                <w:rFonts w:cs="Times New Roman"/>
                <w:sz w:val="16"/>
                <w:szCs w:val="18"/>
              </w:rPr>
              <w:t>大春</w:t>
            </w:r>
          </w:p>
          <w:p>
            <w:pPr>
              <w:pStyle w:val="139"/>
              <w:spacing w:line="240" w:lineRule="auto"/>
              <w:rPr>
                <w:rFonts w:cs="Times New Roman"/>
                <w:sz w:val="16"/>
                <w:szCs w:val="18"/>
              </w:rPr>
            </w:pPr>
            <w:r>
              <w:rPr>
                <w:rFonts w:cs="Times New Roman"/>
                <w:sz w:val="16"/>
                <w:szCs w:val="18"/>
              </w:rPr>
              <w:t>粮食</w:t>
            </w:r>
          </w:p>
        </w:tc>
        <w:tc>
          <w:tcPr>
            <w:tcW w:w="0" w:type="auto"/>
            <w:vMerge w:val="restart"/>
            <w:noWrap/>
            <w:vAlign w:val="center"/>
          </w:tcPr>
          <w:p>
            <w:pPr>
              <w:pStyle w:val="139"/>
              <w:spacing w:line="240" w:lineRule="auto"/>
              <w:rPr>
                <w:rFonts w:cs="Times New Roman"/>
                <w:sz w:val="16"/>
                <w:szCs w:val="18"/>
              </w:rPr>
            </w:pPr>
            <w:r>
              <w:rPr>
                <w:rFonts w:cs="Times New Roman"/>
                <w:sz w:val="16"/>
                <w:szCs w:val="18"/>
              </w:rPr>
              <w:t>主粮</w:t>
            </w:r>
          </w:p>
        </w:tc>
        <w:tc>
          <w:tcPr>
            <w:tcW w:w="0" w:type="auto"/>
            <w:noWrap/>
            <w:vAlign w:val="center"/>
          </w:tcPr>
          <w:p>
            <w:pPr>
              <w:pStyle w:val="139"/>
              <w:spacing w:line="240" w:lineRule="auto"/>
              <w:rPr>
                <w:rFonts w:cs="Times New Roman"/>
                <w:sz w:val="16"/>
                <w:szCs w:val="18"/>
              </w:rPr>
            </w:pPr>
            <w:r>
              <w:rPr>
                <w:rFonts w:cs="Times New Roman"/>
                <w:sz w:val="16"/>
                <w:szCs w:val="18"/>
              </w:rPr>
              <w:t>中稻</w:t>
            </w:r>
          </w:p>
        </w:tc>
        <w:tc>
          <w:tcPr>
            <w:tcW w:w="0" w:type="auto"/>
            <w:noWrap/>
            <w:vAlign w:val="center"/>
          </w:tcPr>
          <w:p>
            <w:pPr>
              <w:pStyle w:val="139"/>
              <w:spacing w:line="240" w:lineRule="auto"/>
              <w:rPr>
                <w:rFonts w:cs="Times New Roman"/>
                <w:sz w:val="16"/>
                <w:szCs w:val="18"/>
              </w:rPr>
            </w:pPr>
            <w:r>
              <w:rPr>
                <w:rFonts w:cs="Times New Roman"/>
                <w:sz w:val="16"/>
                <w:szCs w:val="18"/>
              </w:rPr>
              <w:t>12875</w:t>
            </w:r>
          </w:p>
        </w:tc>
        <w:tc>
          <w:tcPr>
            <w:tcW w:w="0" w:type="auto"/>
            <w:noWrap/>
            <w:vAlign w:val="center"/>
          </w:tcPr>
          <w:p>
            <w:pPr>
              <w:pStyle w:val="139"/>
              <w:spacing w:line="240" w:lineRule="auto"/>
              <w:rPr>
                <w:rFonts w:cs="Times New Roman"/>
                <w:sz w:val="16"/>
                <w:szCs w:val="18"/>
              </w:rPr>
            </w:pPr>
            <w:r>
              <w:rPr>
                <w:rFonts w:cs="Times New Roman"/>
                <w:sz w:val="16"/>
                <w:szCs w:val="18"/>
              </w:rPr>
              <w:t>59%</w:t>
            </w:r>
          </w:p>
        </w:tc>
        <w:tc>
          <w:tcPr>
            <w:tcW w:w="0" w:type="auto"/>
            <w:noWrap/>
            <w:vAlign w:val="center"/>
          </w:tcPr>
          <w:p>
            <w:pPr>
              <w:pStyle w:val="139"/>
              <w:spacing w:line="240" w:lineRule="auto"/>
              <w:rPr>
                <w:rFonts w:cs="Times New Roman"/>
                <w:sz w:val="16"/>
                <w:szCs w:val="18"/>
              </w:rPr>
            </w:pPr>
            <w:r>
              <w:rPr>
                <w:rFonts w:cs="Times New Roman"/>
                <w:sz w:val="16"/>
                <w:szCs w:val="18"/>
              </w:rPr>
              <w:t>12875</w:t>
            </w:r>
          </w:p>
        </w:tc>
        <w:tc>
          <w:tcPr>
            <w:tcW w:w="0" w:type="auto"/>
            <w:noWrap/>
            <w:vAlign w:val="center"/>
          </w:tcPr>
          <w:p>
            <w:pPr>
              <w:pStyle w:val="139"/>
              <w:spacing w:line="240" w:lineRule="auto"/>
              <w:rPr>
                <w:rFonts w:cs="Times New Roman"/>
                <w:sz w:val="16"/>
                <w:szCs w:val="18"/>
              </w:rPr>
            </w:pPr>
            <w:r>
              <w:rPr>
                <w:rFonts w:cs="Times New Roman"/>
                <w:sz w:val="16"/>
                <w:szCs w:val="18"/>
              </w:rPr>
              <w:t>82%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12875</w:t>
            </w:r>
          </w:p>
        </w:tc>
        <w:tc>
          <w:tcPr>
            <w:tcW w:w="0" w:type="auto"/>
            <w:noWrap/>
            <w:vAlign w:val="center"/>
          </w:tcPr>
          <w:p>
            <w:pPr>
              <w:pStyle w:val="139"/>
              <w:spacing w:line="240" w:lineRule="auto"/>
              <w:rPr>
                <w:rFonts w:cs="Times New Roman"/>
                <w:sz w:val="16"/>
                <w:szCs w:val="18"/>
              </w:rPr>
            </w:pPr>
            <w:r>
              <w:rPr>
                <w:rFonts w:cs="Times New Roman"/>
                <w:sz w:val="16"/>
                <w:szCs w:val="18"/>
              </w:rPr>
              <w:t>12561</w:t>
            </w:r>
          </w:p>
        </w:tc>
        <w:tc>
          <w:tcPr>
            <w:tcW w:w="0" w:type="auto"/>
            <w:noWrap/>
            <w:vAlign w:val="center"/>
          </w:tcPr>
          <w:p>
            <w:pPr>
              <w:pStyle w:val="139"/>
              <w:spacing w:line="240" w:lineRule="auto"/>
              <w:rPr>
                <w:rFonts w:cs="Times New Roman"/>
                <w:sz w:val="16"/>
                <w:szCs w:val="18"/>
              </w:rPr>
            </w:pPr>
            <w:r>
              <w:rPr>
                <w:rFonts w:cs="Times New Roman"/>
                <w:sz w:val="16"/>
                <w:szCs w:val="18"/>
              </w:rPr>
              <w:t>58%</w:t>
            </w:r>
          </w:p>
        </w:tc>
        <w:tc>
          <w:tcPr>
            <w:tcW w:w="0" w:type="auto"/>
            <w:noWrap/>
            <w:vAlign w:val="center"/>
          </w:tcPr>
          <w:p>
            <w:pPr>
              <w:pStyle w:val="139"/>
              <w:spacing w:line="240" w:lineRule="auto"/>
              <w:rPr>
                <w:rFonts w:cs="Times New Roman"/>
                <w:sz w:val="16"/>
                <w:szCs w:val="18"/>
              </w:rPr>
            </w:pPr>
            <w:r>
              <w:rPr>
                <w:rFonts w:cs="Times New Roman"/>
                <w:sz w:val="16"/>
                <w:szCs w:val="18"/>
              </w:rPr>
              <w:t>12561</w:t>
            </w:r>
          </w:p>
        </w:tc>
        <w:tc>
          <w:tcPr>
            <w:tcW w:w="0" w:type="auto"/>
            <w:noWrap/>
            <w:vAlign w:val="center"/>
          </w:tcPr>
          <w:p>
            <w:pPr>
              <w:pStyle w:val="139"/>
              <w:spacing w:line="240" w:lineRule="auto"/>
              <w:rPr>
                <w:rFonts w:cs="Times New Roman"/>
                <w:sz w:val="16"/>
                <w:szCs w:val="18"/>
              </w:rPr>
            </w:pPr>
            <w:r>
              <w:rPr>
                <w:rFonts w:cs="Times New Roman"/>
                <w:sz w:val="16"/>
                <w:szCs w:val="18"/>
              </w:rPr>
              <w:t>80%</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12561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红苕</w:t>
            </w:r>
          </w:p>
        </w:tc>
        <w:tc>
          <w:tcPr>
            <w:tcW w:w="0" w:type="auto"/>
            <w:noWrap/>
            <w:vAlign w:val="center"/>
          </w:tcPr>
          <w:p>
            <w:pPr>
              <w:pStyle w:val="139"/>
              <w:spacing w:line="240" w:lineRule="auto"/>
              <w:rPr>
                <w:rFonts w:cs="Times New Roman"/>
                <w:sz w:val="16"/>
                <w:szCs w:val="18"/>
              </w:rPr>
            </w:pPr>
            <w:r>
              <w:rPr>
                <w:rFonts w:cs="Times New Roman"/>
                <w:sz w:val="16"/>
                <w:szCs w:val="18"/>
              </w:rPr>
              <w:t>2872</w:t>
            </w:r>
          </w:p>
        </w:tc>
        <w:tc>
          <w:tcPr>
            <w:tcW w:w="0" w:type="auto"/>
            <w:noWrap/>
            <w:vAlign w:val="center"/>
          </w:tcPr>
          <w:p>
            <w:pPr>
              <w:pStyle w:val="139"/>
              <w:spacing w:line="240" w:lineRule="auto"/>
              <w:rPr>
                <w:rFonts w:cs="Times New Roman"/>
                <w:sz w:val="16"/>
                <w:szCs w:val="18"/>
              </w:rPr>
            </w:pPr>
            <w:r>
              <w:rPr>
                <w:rFonts w:cs="Times New Roman"/>
                <w:sz w:val="16"/>
                <w:szCs w:val="18"/>
              </w:rPr>
              <w:t>13%</w:t>
            </w:r>
          </w:p>
        </w:tc>
        <w:tc>
          <w:tcPr>
            <w:tcW w:w="0" w:type="auto"/>
            <w:noWrap/>
            <w:vAlign w:val="center"/>
          </w:tcPr>
          <w:p>
            <w:pPr>
              <w:pStyle w:val="139"/>
              <w:spacing w:line="240" w:lineRule="auto"/>
              <w:rPr>
                <w:rFonts w:cs="Times New Roman"/>
                <w:sz w:val="16"/>
                <w:szCs w:val="18"/>
              </w:rPr>
            </w:pPr>
            <w:r>
              <w:rPr>
                <w:rFonts w:cs="Times New Roman"/>
                <w:sz w:val="16"/>
                <w:szCs w:val="18"/>
              </w:rPr>
              <w:t>785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2087</w:t>
            </w:r>
          </w:p>
        </w:tc>
        <w:tc>
          <w:tcPr>
            <w:tcW w:w="0" w:type="auto"/>
            <w:noWrap/>
            <w:vAlign w:val="center"/>
          </w:tcPr>
          <w:p>
            <w:pPr>
              <w:pStyle w:val="139"/>
              <w:spacing w:line="240" w:lineRule="auto"/>
              <w:rPr>
                <w:rFonts w:cs="Times New Roman"/>
                <w:sz w:val="16"/>
                <w:szCs w:val="18"/>
              </w:rPr>
            </w:pPr>
            <w:r>
              <w:rPr>
                <w:rFonts w:cs="Times New Roman"/>
                <w:sz w:val="16"/>
                <w:szCs w:val="18"/>
              </w:rPr>
              <w:t>35%</w:t>
            </w:r>
          </w:p>
        </w:tc>
        <w:tc>
          <w:tcPr>
            <w:tcW w:w="0" w:type="auto"/>
            <w:noWrap/>
            <w:vAlign w:val="center"/>
          </w:tcPr>
          <w:p>
            <w:pPr>
              <w:pStyle w:val="139"/>
              <w:spacing w:line="240" w:lineRule="auto"/>
              <w:rPr>
                <w:rFonts w:cs="Times New Roman"/>
                <w:sz w:val="16"/>
                <w:szCs w:val="18"/>
              </w:rPr>
            </w:pPr>
            <w:r>
              <w:rPr>
                <w:rFonts w:cs="Times New Roman"/>
                <w:sz w:val="16"/>
                <w:szCs w:val="18"/>
              </w:rPr>
              <w:t>296</w:t>
            </w:r>
          </w:p>
        </w:tc>
        <w:tc>
          <w:tcPr>
            <w:tcW w:w="0" w:type="auto"/>
            <w:noWrap/>
            <w:vAlign w:val="center"/>
          </w:tcPr>
          <w:p>
            <w:pPr>
              <w:pStyle w:val="139"/>
              <w:spacing w:line="240" w:lineRule="auto"/>
              <w:rPr>
                <w:rFonts w:cs="Times New Roman"/>
                <w:sz w:val="16"/>
                <w:szCs w:val="18"/>
              </w:rPr>
            </w:pPr>
            <w:r>
              <w:rPr>
                <w:rFonts w:cs="Times New Roman"/>
                <w:sz w:val="16"/>
                <w:szCs w:val="18"/>
              </w:rPr>
              <w:t>35%</w:t>
            </w:r>
          </w:p>
        </w:tc>
        <w:tc>
          <w:tcPr>
            <w:tcW w:w="0" w:type="auto"/>
            <w:noWrap/>
            <w:vAlign w:val="center"/>
          </w:tcPr>
          <w:p>
            <w:pPr>
              <w:pStyle w:val="139"/>
              <w:spacing w:line="240" w:lineRule="auto"/>
              <w:rPr>
                <w:rFonts w:cs="Times New Roman"/>
                <w:sz w:val="16"/>
                <w:szCs w:val="18"/>
              </w:rPr>
            </w:pPr>
            <w:r>
              <w:rPr>
                <w:rFonts w:cs="Times New Roman"/>
                <w:sz w:val="16"/>
                <w:szCs w:val="18"/>
              </w:rPr>
              <w:t>3168</w:t>
            </w:r>
          </w:p>
        </w:tc>
        <w:tc>
          <w:tcPr>
            <w:tcW w:w="0" w:type="auto"/>
            <w:noWrap/>
            <w:vAlign w:val="center"/>
          </w:tcPr>
          <w:p>
            <w:pPr>
              <w:pStyle w:val="139"/>
              <w:spacing w:line="240" w:lineRule="auto"/>
              <w:rPr>
                <w:rFonts w:cs="Times New Roman"/>
                <w:sz w:val="16"/>
                <w:szCs w:val="18"/>
              </w:rPr>
            </w:pPr>
            <w:r>
              <w:rPr>
                <w:rFonts w:cs="Times New Roman"/>
                <w:sz w:val="16"/>
                <w:szCs w:val="18"/>
              </w:rPr>
              <w:t>3170</w:t>
            </w:r>
          </w:p>
        </w:tc>
        <w:tc>
          <w:tcPr>
            <w:tcW w:w="0" w:type="auto"/>
            <w:noWrap/>
            <w:vAlign w:val="center"/>
          </w:tcPr>
          <w:p>
            <w:pPr>
              <w:pStyle w:val="139"/>
              <w:spacing w:line="240" w:lineRule="auto"/>
              <w:rPr>
                <w:rFonts w:cs="Times New Roman"/>
                <w:sz w:val="16"/>
                <w:szCs w:val="18"/>
              </w:rPr>
            </w:pPr>
            <w:r>
              <w:rPr>
                <w:rFonts w:cs="Times New Roman"/>
                <w:sz w:val="16"/>
                <w:szCs w:val="18"/>
              </w:rPr>
              <w:t>15%</w:t>
            </w:r>
          </w:p>
        </w:tc>
        <w:tc>
          <w:tcPr>
            <w:tcW w:w="0" w:type="auto"/>
            <w:noWrap/>
            <w:vAlign w:val="center"/>
          </w:tcPr>
          <w:p>
            <w:pPr>
              <w:pStyle w:val="139"/>
              <w:spacing w:line="240" w:lineRule="auto"/>
              <w:rPr>
                <w:rFonts w:cs="Times New Roman"/>
                <w:sz w:val="16"/>
                <w:szCs w:val="18"/>
              </w:rPr>
            </w:pPr>
            <w:r>
              <w:rPr>
                <w:rFonts w:cs="Times New Roman"/>
                <w:sz w:val="16"/>
                <w:szCs w:val="18"/>
              </w:rPr>
              <w:t>785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2385</w:t>
            </w:r>
          </w:p>
        </w:tc>
        <w:tc>
          <w:tcPr>
            <w:tcW w:w="0" w:type="auto"/>
            <w:noWrap/>
            <w:vAlign w:val="center"/>
          </w:tcPr>
          <w:p>
            <w:pPr>
              <w:pStyle w:val="139"/>
              <w:spacing w:line="240" w:lineRule="auto"/>
              <w:rPr>
                <w:rFonts w:cs="Times New Roman"/>
                <w:sz w:val="16"/>
                <w:szCs w:val="18"/>
              </w:rPr>
            </w:pPr>
            <w:r>
              <w:rPr>
                <w:rFonts w:cs="Times New Roman"/>
                <w:sz w:val="16"/>
                <w:szCs w:val="18"/>
              </w:rPr>
              <w:t>40%</w:t>
            </w:r>
          </w:p>
        </w:tc>
        <w:tc>
          <w:tcPr>
            <w:tcW w:w="0" w:type="auto"/>
            <w:noWrap/>
            <w:vAlign w:val="center"/>
          </w:tcPr>
          <w:p>
            <w:pPr>
              <w:pStyle w:val="139"/>
              <w:spacing w:line="240" w:lineRule="auto"/>
              <w:rPr>
                <w:rFonts w:cs="Times New Roman"/>
                <w:sz w:val="16"/>
                <w:szCs w:val="18"/>
              </w:rPr>
            </w:pPr>
            <w:r>
              <w:rPr>
                <w:rFonts w:cs="Times New Roman"/>
                <w:sz w:val="16"/>
                <w:szCs w:val="18"/>
              </w:rPr>
              <w:t>386</w:t>
            </w:r>
          </w:p>
        </w:tc>
        <w:tc>
          <w:tcPr>
            <w:tcW w:w="0" w:type="auto"/>
            <w:noWrap/>
            <w:vAlign w:val="center"/>
          </w:tcPr>
          <w:p>
            <w:pPr>
              <w:pStyle w:val="139"/>
              <w:spacing w:line="240" w:lineRule="auto"/>
              <w:rPr>
                <w:rFonts w:cs="Times New Roman"/>
                <w:sz w:val="16"/>
                <w:szCs w:val="18"/>
              </w:rPr>
            </w:pPr>
            <w:r>
              <w:rPr>
                <w:rFonts w:cs="Times New Roman"/>
                <w:sz w:val="16"/>
                <w:szCs w:val="18"/>
              </w:rPr>
              <w:t>46%</w:t>
            </w:r>
          </w:p>
        </w:tc>
        <w:tc>
          <w:tcPr>
            <w:tcW w:w="0" w:type="auto"/>
            <w:noWrap/>
            <w:vAlign w:val="center"/>
          </w:tcPr>
          <w:p>
            <w:pPr>
              <w:pStyle w:val="139"/>
              <w:spacing w:line="240" w:lineRule="auto"/>
              <w:rPr>
                <w:rFonts w:cs="Times New Roman"/>
                <w:sz w:val="16"/>
                <w:szCs w:val="18"/>
              </w:rPr>
            </w:pPr>
            <w:r>
              <w:rPr>
                <w:rFonts w:cs="Times New Roman"/>
                <w:sz w:val="16"/>
                <w:szCs w:val="18"/>
              </w:rPr>
              <w:t>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玉米</w:t>
            </w:r>
          </w:p>
        </w:tc>
        <w:tc>
          <w:tcPr>
            <w:tcW w:w="0" w:type="auto"/>
            <w:noWrap/>
            <w:vAlign w:val="center"/>
          </w:tcPr>
          <w:p>
            <w:pPr>
              <w:pStyle w:val="139"/>
              <w:spacing w:line="240" w:lineRule="auto"/>
              <w:rPr>
                <w:rFonts w:cs="Times New Roman"/>
                <w:sz w:val="16"/>
                <w:szCs w:val="18"/>
              </w:rPr>
            </w:pPr>
            <w:r>
              <w:rPr>
                <w:rFonts w:cs="Times New Roman"/>
                <w:sz w:val="16"/>
                <w:szCs w:val="18"/>
              </w:rPr>
              <w:t>3647</w:t>
            </w:r>
          </w:p>
        </w:tc>
        <w:tc>
          <w:tcPr>
            <w:tcW w:w="0" w:type="auto"/>
            <w:noWrap/>
            <w:vAlign w:val="center"/>
          </w:tcPr>
          <w:p>
            <w:pPr>
              <w:pStyle w:val="139"/>
              <w:spacing w:line="240" w:lineRule="auto"/>
              <w:rPr>
                <w:rFonts w:cs="Times New Roman"/>
                <w:sz w:val="16"/>
                <w:szCs w:val="18"/>
              </w:rPr>
            </w:pPr>
            <w:r>
              <w:rPr>
                <w:rFonts w:cs="Times New Roman"/>
                <w:sz w:val="16"/>
                <w:szCs w:val="18"/>
              </w:rPr>
              <w:t>17%</w:t>
            </w:r>
          </w:p>
        </w:tc>
        <w:tc>
          <w:tcPr>
            <w:tcW w:w="0" w:type="auto"/>
            <w:noWrap/>
            <w:vAlign w:val="center"/>
          </w:tcPr>
          <w:p>
            <w:pPr>
              <w:pStyle w:val="139"/>
              <w:spacing w:line="240" w:lineRule="auto"/>
              <w:rPr>
                <w:rFonts w:cs="Times New Roman"/>
                <w:sz w:val="16"/>
                <w:szCs w:val="18"/>
              </w:rPr>
            </w:pPr>
            <w:r>
              <w:rPr>
                <w:rFonts w:cs="Times New Roman"/>
                <w:sz w:val="16"/>
                <w:szCs w:val="18"/>
              </w:rPr>
              <w:t>785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2862</w:t>
            </w:r>
          </w:p>
        </w:tc>
        <w:tc>
          <w:tcPr>
            <w:tcW w:w="0" w:type="auto"/>
            <w:noWrap/>
            <w:vAlign w:val="center"/>
          </w:tcPr>
          <w:p>
            <w:pPr>
              <w:pStyle w:val="139"/>
              <w:spacing w:line="240" w:lineRule="auto"/>
              <w:rPr>
                <w:rFonts w:cs="Times New Roman"/>
                <w:sz w:val="16"/>
                <w:szCs w:val="18"/>
              </w:rPr>
            </w:pPr>
            <w:r>
              <w:rPr>
                <w:rFonts w:cs="Times New Roman"/>
                <w:sz w:val="16"/>
                <w:szCs w:val="18"/>
              </w:rPr>
              <w:t>48%</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3647</w:t>
            </w:r>
          </w:p>
        </w:tc>
        <w:tc>
          <w:tcPr>
            <w:tcW w:w="0" w:type="auto"/>
            <w:noWrap/>
            <w:vAlign w:val="center"/>
          </w:tcPr>
          <w:p>
            <w:pPr>
              <w:pStyle w:val="139"/>
              <w:spacing w:line="240" w:lineRule="auto"/>
              <w:rPr>
                <w:rFonts w:cs="Times New Roman"/>
                <w:sz w:val="16"/>
                <w:szCs w:val="18"/>
              </w:rPr>
            </w:pPr>
            <w:r>
              <w:rPr>
                <w:rFonts w:cs="Times New Roman"/>
                <w:sz w:val="16"/>
                <w:szCs w:val="18"/>
              </w:rPr>
              <w:t>3468</w:t>
            </w:r>
          </w:p>
        </w:tc>
        <w:tc>
          <w:tcPr>
            <w:tcW w:w="0" w:type="auto"/>
            <w:noWrap/>
            <w:vAlign w:val="center"/>
          </w:tcPr>
          <w:p>
            <w:pPr>
              <w:pStyle w:val="139"/>
              <w:spacing w:line="240" w:lineRule="auto"/>
              <w:rPr>
                <w:rFonts w:cs="Times New Roman"/>
                <w:sz w:val="16"/>
                <w:szCs w:val="18"/>
              </w:rPr>
            </w:pPr>
            <w:r>
              <w:rPr>
                <w:rFonts w:cs="Times New Roman"/>
                <w:sz w:val="16"/>
                <w:szCs w:val="18"/>
              </w:rPr>
              <w:t>16%</w:t>
            </w:r>
          </w:p>
        </w:tc>
        <w:tc>
          <w:tcPr>
            <w:tcW w:w="0" w:type="auto"/>
            <w:noWrap/>
            <w:vAlign w:val="center"/>
          </w:tcPr>
          <w:p>
            <w:pPr>
              <w:pStyle w:val="139"/>
              <w:spacing w:line="240" w:lineRule="auto"/>
              <w:rPr>
                <w:rFonts w:cs="Times New Roman"/>
                <w:sz w:val="16"/>
                <w:szCs w:val="18"/>
              </w:rPr>
            </w:pPr>
            <w:r>
              <w:rPr>
                <w:rFonts w:cs="Times New Roman"/>
                <w:sz w:val="16"/>
                <w:szCs w:val="18"/>
              </w:rPr>
              <w:t>785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2683</w:t>
            </w:r>
          </w:p>
        </w:tc>
        <w:tc>
          <w:tcPr>
            <w:tcW w:w="0" w:type="auto"/>
            <w:noWrap/>
            <w:vAlign w:val="center"/>
          </w:tcPr>
          <w:p>
            <w:pPr>
              <w:pStyle w:val="139"/>
              <w:spacing w:line="240" w:lineRule="auto"/>
              <w:rPr>
                <w:rFonts w:cs="Times New Roman"/>
                <w:sz w:val="16"/>
                <w:szCs w:val="18"/>
              </w:rPr>
            </w:pPr>
            <w:r>
              <w:rPr>
                <w:rFonts w:cs="Times New Roman"/>
                <w:sz w:val="16"/>
                <w:szCs w:val="18"/>
              </w:rPr>
              <w:t>45%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3468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restart"/>
            <w:noWrap/>
            <w:vAlign w:val="center"/>
          </w:tcPr>
          <w:p>
            <w:pPr>
              <w:pStyle w:val="139"/>
              <w:spacing w:line="240" w:lineRule="auto"/>
              <w:rPr>
                <w:rFonts w:cs="Times New Roman"/>
                <w:sz w:val="16"/>
                <w:szCs w:val="18"/>
              </w:rPr>
            </w:pPr>
            <w:r>
              <w:rPr>
                <w:rFonts w:cs="Times New Roman"/>
                <w:sz w:val="16"/>
                <w:szCs w:val="18"/>
              </w:rPr>
              <w:t>其他</w:t>
            </w:r>
          </w:p>
        </w:tc>
        <w:tc>
          <w:tcPr>
            <w:tcW w:w="0" w:type="auto"/>
            <w:noWrap/>
            <w:vAlign w:val="center"/>
          </w:tcPr>
          <w:p>
            <w:pPr>
              <w:pStyle w:val="139"/>
              <w:spacing w:line="240" w:lineRule="auto"/>
              <w:rPr>
                <w:rFonts w:cs="Times New Roman"/>
                <w:sz w:val="16"/>
                <w:szCs w:val="18"/>
              </w:rPr>
            </w:pPr>
            <w:r>
              <w:rPr>
                <w:rFonts w:cs="Times New Roman"/>
                <w:sz w:val="16"/>
                <w:szCs w:val="18"/>
              </w:rPr>
              <w:t>豆类</w:t>
            </w:r>
          </w:p>
        </w:tc>
        <w:tc>
          <w:tcPr>
            <w:tcW w:w="0" w:type="auto"/>
            <w:noWrap/>
            <w:vAlign w:val="center"/>
          </w:tcPr>
          <w:p>
            <w:pPr>
              <w:pStyle w:val="139"/>
              <w:spacing w:line="240" w:lineRule="auto"/>
              <w:rPr>
                <w:rFonts w:cs="Times New Roman"/>
                <w:sz w:val="16"/>
                <w:szCs w:val="18"/>
              </w:rPr>
            </w:pPr>
            <w:r>
              <w:rPr>
                <w:rFonts w:cs="Times New Roman"/>
                <w:sz w:val="16"/>
                <w:szCs w:val="18"/>
              </w:rPr>
              <w:t>433</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314</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433</w:t>
            </w:r>
          </w:p>
        </w:tc>
        <w:tc>
          <w:tcPr>
            <w:tcW w:w="0" w:type="auto"/>
            <w:noWrap/>
            <w:vAlign w:val="center"/>
          </w:tcPr>
          <w:p>
            <w:pPr>
              <w:pStyle w:val="139"/>
              <w:spacing w:line="240" w:lineRule="auto"/>
              <w:rPr>
                <w:rFonts w:cs="Times New Roman"/>
                <w:sz w:val="16"/>
                <w:szCs w:val="18"/>
              </w:rPr>
            </w:pPr>
            <w:r>
              <w:rPr>
                <w:rFonts w:cs="Times New Roman"/>
                <w:sz w:val="16"/>
                <w:szCs w:val="18"/>
              </w:rPr>
              <w:t>433</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314</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青饲料</w:t>
            </w:r>
          </w:p>
        </w:tc>
        <w:tc>
          <w:tcPr>
            <w:tcW w:w="0" w:type="auto"/>
            <w:noWrap/>
            <w:vAlign w:val="center"/>
          </w:tcPr>
          <w:p>
            <w:pPr>
              <w:pStyle w:val="139"/>
              <w:spacing w:line="240" w:lineRule="auto"/>
              <w:rPr>
                <w:rFonts w:cs="Times New Roman"/>
                <w:sz w:val="16"/>
                <w:szCs w:val="18"/>
              </w:rPr>
            </w:pPr>
            <w:r>
              <w:rPr>
                <w:rFonts w:cs="Times New Roman"/>
                <w:sz w:val="16"/>
                <w:szCs w:val="18"/>
              </w:rPr>
              <w:t>650</w:t>
            </w:r>
          </w:p>
        </w:tc>
        <w:tc>
          <w:tcPr>
            <w:tcW w:w="0" w:type="auto"/>
            <w:noWrap/>
            <w:vAlign w:val="center"/>
          </w:tcPr>
          <w:p>
            <w:pPr>
              <w:pStyle w:val="139"/>
              <w:spacing w:line="240" w:lineRule="auto"/>
              <w:rPr>
                <w:rFonts w:cs="Times New Roman"/>
                <w:sz w:val="16"/>
                <w:szCs w:val="18"/>
              </w:rPr>
            </w:pPr>
            <w:r>
              <w:rPr>
                <w:rFonts w:cs="Times New Roman"/>
                <w:sz w:val="16"/>
                <w:szCs w:val="18"/>
              </w:rPr>
              <w:t>3%</w:t>
            </w:r>
          </w:p>
        </w:tc>
        <w:tc>
          <w:tcPr>
            <w:tcW w:w="0" w:type="auto"/>
            <w:noWrap/>
            <w:vAlign w:val="center"/>
          </w:tcPr>
          <w:p>
            <w:pPr>
              <w:pStyle w:val="139"/>
              <w:spacing w:line="240" w:lineRule="auto"/>
              <w:rPr>
                <w:rFonts w:cs="Times New Roman"/>
                <w:sz w:val="16"/>
                <w:szCs w:val="18"/>
              </w:rPr>
            </w:pPr>
            <w:r>
              <w:rPr>
                <w:rFonts w:cs="Times New Roman"/>
                <w:sz w:val="16"/>
                <w:szCs w:val="18"/>
              </w:rPr>
              <w:t>471</w:t>
            </w:r>
          </w:p>
        </w:tc>
        <w:tc>
          <w:tcPr>
            <w:tcW w:w="0" w:type="auto"/>
            <w:noWrap/>
            <w:vAlign w:val="center"/>
          </w:tcPr>
          <w:p>
            <w:pPr>
              <w:pStyle w:val="139"/>
              <w:spacing w:line="240" w:lineRule="auto"/>
              <w:rPr>
                <w:rFonts w:cs="Times New Roman"/>
                <w:sz w:val="16"/>
                <w:szCs w:val="18"/>
              </w:rPr>
            </w:pPr>
            <w:r>
              <w:rPr>
                <w:rFonts w:cs="Times New Roman"/>
                <w:sz w:val="16"/>
                <w:szCs w:val="18"/>
              </w:rPr>
              <w:t>3%</w:t>
            </w:r>
          </w:p>
        </w:tc>
        <w:tc>
          <w:tcPr>
            <w:tcW w:w="0" w:type="auto"/>
            <w:noWrap/>
            <w:vAlign w:val="center"/>
          </w:tcPr>
          <w:p>
            <w:pPr>
              <w:pStyle w:val="139"/>
              <w:spacing w:line="240" w:lineRule="auto"/>
              <w:rPr>
                <w:rFonts w:cs="Times New Roman"/>
                <w:sz w:val="16"/>
                <w:szCs w:val="18"/>
              </w:rPr>
            </w:pPr>
            <w:r>
              <w:rPr>
                <w:rFonts w:cs="Times New Roman"/>
                <w:sz w:val="16"/>
                <w:szCs w:val="18"/>
              </w:rPr>
              <w:t>179</w:t>
            </w:r>
          </w:p>
        </w:tc>
        <w:tc>
          <w:tcPr>
            <w:tcW w:w="0" w:type="auto"/>
            <w:noWrap/>
            <w:vAlign w:val="center"/>
          </w:tcPr>
          <w:p>
            <w:pPr>
              <w:pStyle w:val="139"/>
              <w:spacing w:line="240" w:lineRule="auto"/>
              <w:rPr>
                <w:rFonts w:cs="Times New Roman"/>
                <w:sz w:val="16"/>
                <w:szCs w:val="18"/>
              </w:rPr>
            </w:pPr>
            <w:r>
              <w:rPr>
                <w:rFonts w:cs="Times New Roman"/>
                <w:sz w:val="16"/>
                <w:szCs w:val="18"/>
              </w:rPr>
              <w:t>3%</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650</w:t>
            </w:r>
          </w:p>
        </w:tc>
        <w:tc>
          <w:tcPr>
            <w:tcW w:w="0" w:type="auto"/>
            <w:noWrap/>
            <w:vAlign w:val="center"/>
          </w:tcPr>
          <w:p>
            <w:pPr>
              <w:pStyle w:val="139"/>
              <w:spacing w:line="240" w:lineRule="auto"/>
              <w:rPr>
                <w:rFonts w:cs="Times New Roman"/>
                <w:sz w:val="16"/>
                <w:szCs w:val="18"/>
              </w:rPr>
            </w:pPr>
            <w:r>
              <w:rPr>
                <w:rFonts w:cs="Times New Roman"/>
                <w:sz w:val="16"/>
                <w:szCs w:val="18"/>
              </w:rPr>
              <w:t>867</w:t>
            </w:r>
          </w:p>
        </w:tc>
        <w:tc>
          <w:tcPr>
            <w:tcW w:w="0" w:type="auto"/>
            <w:noWrap/>
            <w:vAlign w:val="center"/>
          </w:tcPr>
          <w:p>
            <w:pPr>
              <w:pStyle w:val="139"/>
              <w:spacing w:line="240" w:lineRule="auto"/>
              <w:rPr>
                <w:rFonts w:cs="Times New Roman"/>
                <w:sz w:val="16"/>
                <w:szCs w:val="18"/>
              </w:rPr>
            </w:pPr>
            <w:r>
              <w:rPr>
                <w:rFonts w:cs="Times New Roman"/>
                <w:sz w:val="16"/>
                <w:szCs w:val="18"/>
              </w:rPr>
              <w:t>4%</w:t>
            </w:r>
          </w:p>
        </w:tc>
        <w:tc>
          <w:tcPr>
            <w:tcW w:w="0" w:type="auto"/>
            <w:noWrap/>
            <w:vAlign w:val="center"/>
          </w:tcPr>
          <w:p>
            <w:pPr>
              <w:pStyle w:val="139"/>
              <w:spacing w:line="240" w:lineRule="auto"/>
              <w:rPr>
                <w:rFonts w:cs="Times New Roman"/>
                <w:sz w:val="16"/>
                <w:szCs w:val="18"/>
              </w:rPr>
            </w:pPr>
            <w:r>
              <w:rPr>
                <w:rFonts w:cs="Times New Roman"/>
                <w:sz w:val="16"/>
                <w:szCs w:val="18"/>
              </w:rPr>
              <w:t>628</w:t>
            </w:r>
          </w:p>
        </w:tc>
        <w:tc>
          <w:tcPr>
            <w:tcW w:w="0" w:type="auto"/>
            <w:noWrap/>
            <w:vAlign w:val="center"/>
          </w:tcPr>
          <w:p>
            <w:pPr>
              <w:pStyle w:val="139"/>
              <w:spacing w:line="240" w:lineRule="auto"/>
              <w:rPr>
                <w:rFonts w:cs="Times New Roman"/>
                <w:sz w:val="16"/>
                <w:szCs w:val="18"/>
              </w:rPr>
            </w:pPr>
            <w:r>
              <w:rPr>
                <w:rFonts w:cs="Times New Roman"/>
                <w:sz w:val="16"/>
                <w:szCs w:val="18"/>
              </w:rPr>
              <w:t>4%</w:t>
            </w:r>
          </w:p>
        </w:tc>
        <w:tc>
          <w:tcPr>
            <w:tcW w:w="0" w:type="auto"/>
            <w:noWrap/>
            <w:vAlign w:val="center"/>
          </w:tcPr>
          <w:p>
            <w:pPr>
              <w:pStyle w:val="139"/>
              <w:spacing w:line="240" w:lineRule="auto"/>
              <w:rPr>
                <w:rFonts w:cs="Times New Roman"/>
                <w:sz w:val="16"/>
                <w:szCs w:val="18"/>
              </w:rPr>
            </w:pPr>
            <w:r>
              <w:rPr>
                <w:rFonts w:cs="Times New Roman"/>
                <w:sz w:val="16"/>
                <w:szCs w:val="18"/>
              </w:rPr>
              <w:t>239</w:t>
            </w:r>
          </w:p>
        </w:tc>
        <w:tc>
          <w:tcPr>
            <w:tcW w:w="0" w:type="auto"/>
            <w:noWrap/>
            <w:vAlign w:val="center"/>
          </w:tcPr>
          <w:p>
            <w:pPr>
              <w:pStyle w:val="139"/>
              <w:spacing w:line="240" w:lineRule="auto"/>
              <w:rPr>
                <w:rFonts w:cs="Times New Roman"/>
                <w:sz w:val="16"/>
                <w:szCs w:val="18"/>
              </w:rPr>
            </w:pPr>
            <w:r>
              <w:rPr>
                <w:rFonts w:cs="Times New Roman"/>
                <w:sz w:val="16"/>
                <w:szCs w:val="18"/>
              </w:rPr>
              <w:t>4%</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restart"/>
            <w:noWrap/>
            <w:vAlign w:val="center"/>
          </w:tcPr>
          <w:p>
            <w:pPr>
              <w:pStyle w:val="139"/>
              <w:spacing w:line="240" w:lineRule="auto"/>
              <w:rPr>
                <w:rFonts w:cs="Times New Roman"/>
                <w:sz w:val="16"/>
                <w:szCs w:val="18"/>
              </w:rPr>
            </w:pPr>
            <w:r>
              <w:rPr>
                <w:rFonts w:cs="Times New Roman"/>
                <w:sz w:val="16"/>
                <w:szCs w:val="18"/>
              </w:rPr>
              <w:t>小春</w:t>
            </w:r>
          </w:p>
          <w:p>
            <w:pPr>
              <w:pStyle w:val="139"/>
              <w:spacing w:line="240" w:lineRule="auto"/>
              <w:rPr>
                <w:rFonts w:cs="Times New Roman"/>
                <w:sz w:val="16"/>
                <w:szCs w:val="18"/>
              </w:rPr>
            </w:pPr>
            <w:r>
              <w:rPr>
                <w:rFonts w:cs="Times New Roman"/>
                <w:sz w:val="16"/>
                <w:szCs w:val="18"/>
              </w:rPr>
              <w:t>粮食</w:t>
            </w:r>
          </w:p>
        </w:tc>
        <w:tc>
          <w:tcPr>
            <w:tcW w:w="0" w:type="auto"/>
            <w:vMerge w:val="restart"/>
            <w:noWrap/>
            <w:vAlign w:val="center"/>
          </w:tcPr>
          <w:p>
            <w:pPr>
              <w:pStyle w:val="139"/>
              <w:spacing w:line="240" w:lineRule="auto"/>
              <w:rPr>
                <w:rFonts w:cs="Times New Roman"/>
                <w:sz w:val="16"/>
                <w:szCs w:val="18"/>
              </w:rPr>
            </w:pPr>
            <w:r>
              <w:rPr>
                <w:rFonts w:cs="Times New Roman"/>
                <w:sz w:val="16"/>
                <w:szCs w:val="18"/>
              </w:rPr>
              <w:t>主粮</w:t>
            </w:r>
          </w:p>
        </w:tc>
        <w:tc>
          <w:tcPr>
            <w:tcW w:w="0" w:type="auto"/>
            <w:noWrap/>
            <w:vAlign w:val="center"/>
          </w:tcPr>
          <w:p>
            <w:pPr>
              <w:pStyle w:val="139"/>
              <w:spacing w:line="240" w:lineRule="auto"/>
              <w:rPr>
                <w:rFonts w:cs="Times New Roman"/>
                <w:sz w:val="16"/>
                <w:szCs w:val="18"/>
              </w:rPr>
            </w:pPr>
            <w:r>
              <w:rPr>
                <w:rFonts w:cs="Times New Roman"/>
                <w:sz w:val="16"/>
                <w:szCs w:val="18"/>
              </w:rPr>
              <w:t>小麦</w:t>
            </w:r>
          </w:p>
        </w:tc>
        <w:tc>
          <w:tcPr>
            <w:tcW w:w="0" w:type="auto"/>
            <w:noWrap/>
            <w:vAlign w:val="center"/>
          </w:tcPr>
          <w:p>
            <w:pPr>
              <w:pStyle w:val="139"/>
              <w:spacing w:line="240" w:lineRule="auto"/>
              <w:rPr>
                <w:rFonts w:cs="Times New Roman"/>
                <w:sz w:val="16"/>
                <w:szCs w:val="18"/>
              </w:rPr>
            </w:pPr>
            <w:r>
              <w:rPr>
                <w:rFonts w:cs="Times New Roman"/>
                <w:sz w:val="16"/>
                <w:szCs w:val="18"/>
              </w:rPr>
              <w:t>7089</w:t>
            </w:r>
          </w:p>
        </w:tc>
        <w:tc>
          <w:tcPr>
            <w:tcW w:w="0" w:type="auto"/>
            <w:noWrap/>
            <w:vAlign w:val="center"/>
          </w:tcPr>
          <w:p>
            <w:pPr>
              <w:pStyle w:val="139"/>
              <w:spacing w:line="240" w:lineRule="auto"/>
              <w:rPr>
                <w:rFonts w:cs="Times New Roman"/>
                <w:sz w:val="16"/>
                <w:szCs w:val="18"/>
              </w:rPr>
            </w:pPr>
            <w:r>
              <w:rPr>
                <w:rFonts w:cs="Times New Roman"/>
                <w:sz w:val="16"/>
                <w:szCs w:val="18"/>
              </w:rPr>
              <w:t>33%</w:t>
            </w:r>
          </w:p>
        </w:tc>
        <w:tc>
          <w:tcPr>
            <w:tcW w:w="0" w:type="auto"/>
            <w:noWrap/>
            <w:vAlign w:val="center"/>
          </w:tcPr>
          <w:p>
            <w:pPr>
              <w:pStyle w:val="139"/>
              <w:spacing w:line="240" w:lineRule="auto"/>
              <w:rPr>
                <w:rFonts w:cs="Times New Roman"/>
                <w:sz w:val="16"/>
                <w:szCs w:val="18"/>
              </w:rPr>
            </w:pPr>
            <w:r>
              <w:rPr>
                <w:rFonts w:cs="Times New Roman"/>
                <w:sz w:val="16"/>
                <w:szCs w:val="18"/>
              </w:rPr>
              <w:t>5181</w:t>
            </w:r>
          </w:p>
        </w:tc>
        <w:tc>
          <w:tcPr>
            <w:tcW w:w="0" w:type="auto"/>
            <w:noWrap/>
            <w:vAlign w:val="center"/>
          </w:tcPr>
          <w:p>
            <w:pPr>
              <w:pStyle w:val="139"/>
              <w:spacing w:line="240" w:lineRule="auto"/>
              <w:rPr>
                <w:rFonts w:cs="Times New Roman"/>
                <w:sz w:val="16"/>
                <w:szCs w:val="18"/>
              </w:rPr>
            </w:pPr>
            <w:r>
              <w:rPr>
                <w:rFonts w:cs="Times New Roman"/>
                <w:sz w:val="16"/>
                <w:szCs w:val="18"/>
              </w:rPr>
              <w:t>33%</w:t>
            </w:r>
          </w:p>
        </w:tc>
        <w:tc>
          <w:tcPr>
            <w:tcW w:w="0" w:type="auto"/>
            <w:noWrap/>
            <w:vAlign w:val="center"/>
          </w:tcPr>
          <w:p>
            <w:pPr>
              <w:pStyle w:val="139"/>
              <w:spacing w:line="240" w:lineRule="auto"/>
              <w:rPr>
                <w:rFonts w:cs="Times New Roman"/>
                <w:sz w:val="16"/>
                <w:szCs w:val="18"/>
              </w:rPr>
            </w:pPr>
            <w:r>
              <w:rPr>
                <w:rFonts w:cs="Times New Roman"/>
                <w:sz w:val="16"/>
                <w:szCs w:val="18"/>
              </w:rPr>
              <w:t>1908</w:t>
            </w:r>
          </w:p>
        </w:tc>
        <w:tc>
          <w:tcPr>
            <w:tcW w:w="0" w:type="auto"/>
            <w:noWrap/>
            <w:vAlign w:val="center"/>
          </w:tcPr>
          <w:p>
            <w:pPr>
              <w:pStyle w:val="139"/>
              <w:spacing w:line="240" w:lineRule="auto"/>
              <w:rPr>
                <w:rFonts w:cs="Times New Roman"/>
                <w:sz w:val="16"/>
                <w:szCs w:val="18"/>
              </w:rPr>
            </w:pPr>
            <w:r>
              <w:rPr>
                <w:rFonts w:cs="Times New Roman"/>
                <w:sz w:val="16"/>
                <w:szCs w:val="18"/>
              </w:rPr>
              <w:t>32%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7089</w:t>
            </w:r>
          </w:p>
        </w:tc>
        <w:tc>
          <w:tcPr>
            <w:tcW w:w="0" w:type="auto"/>
            <w:noWrap/>
            <w:vAlign w:val="center"/>
          </w:tcPr>
          <w:p>
            <w:pPr>
              <w:pStyle w:val="139"/>
              <w:spacing w:line="240" w:lineRule="auto"/>
              <w:rPr>
                <w:rFonts w:cs="Times New Roman"/>
                <w:sz w:val="16"/>
                <w:szCs w:val="18"/>
              </w:rPr>
            </w:pPr>
            <w:r>
              <w:rPr>
                <w:rFonts w:cs="Times New Roman"/>
                <w:sz w:val="16"/>
                <w:szCs w:val="18"/>
              </w:rPr>
              <w:t>6201</w:t>
            </w:r>
          </w:p>
        </w:tc>
        <w:tc>
          <w:tcPr>
            <w:tcW w:w="0" w:type="auto"/>
            <w:noWrap/>
            <w:vAlign w:val="center"/>
          </w:tcPr>
          <w:p>
            <w:pPr>
              <w:pStyle w:val="139"/>
              <w:spacing w:line="240" w:lineRule="auto"/>
              <w:rPr>
                <w:rFonts w:cs="Times New Roman"/>
                <w:sz w:val="16"/>
                <w:szCs w:val="18"/>
              </w:rPr>
            </w:pPr>
            <w:r>
              <w:rPr>
                <w:rFonts w:cs="Times New Roman"/>
                <w:sz w:val="16"/>
                <w:szCs w:val="18"/>
              </w:rPr>
              <w:t>29%</w:t>
            </w:r>
          </w:p>
        </w:tc>
        <w:tc>
          <w:tcPr>
            <w:tcW w:w="0" w:type="auto"/>
            <w:noWrap/>
            <w:vAlign w:val="center"/>
          </w:tcPr>
          <w:p>
            <w:pPr>
              <w:pStyle w:val="139"/>
              <w:spacing w:line="240" w:lineRule="auto"/>
              <w:rPr>
                <w:rFonts w:cs="Times New Roman"/>
                <w:sz w:val="16"/>
                <w:szCs w:val="18"/>
              </w:rPr>
            </w:pPr>
            <w:r>
              <w:rPr>
                <w:rFonts w:cs="Times New Roman"/>
                <w:sz w:val="16"/>
                <w:szCs w:val="18"/>
              </w:rPr>
              <w:t>4710</w:t>
            </w:r>
          </w:p>
        </w:tc>
        <w:tc>
          <w:tcPr>
            <w:tcW w:w="0" w:type="auto"/>
            <w:noWrap/>
            <w:vAlign w:val="center"/>
          </w:tcPr>
          <w:p>
            <w:pPr>
              <w:pStyle w:val="139"/>
              <w:spacing w:line="240" w:lineRule="auto"/>
              <w:rPr>
                <w:rFonts w:cs="Times New Roman"/>
                <w:sz w:val="16"/>
                <w:szCs w:val="18"/>
              </w:rPr>
            </w:pPr>
            <w:r>
              <w:rPr>
                <w:rFonts w:cs="Times New Roman"/>
                <w:sz w:val="16"/>
                <w:szCs w:val="18"/>
              </w:rPr>
              <w:t>30%</w:t>
            </w:r>
          </w:p>
        </w:tc>
        <w:tc>
          <w:tcPr>
            <w:tcW w:w="0" w:type="auto"/>
            <w:noWrap/>
            <w:vAlign w:val="center"/>
          </w:tcPr>
          <w:p>
            <w:pPr>
              <w:pStyle w:val="139"/>
              <w:spacing w:line="240" w:lineRule="auto"/>
              <w:rPr>
                <w:rFonts w:cs="Times New Roman"/>
                <w:sz w:val="16"/>
                <w:szCs w:val="18"/>
              </w:rPr>
            </w:pPr>
            <w:r>
              <w:rPr>
                <w:rFonts w:cs="Times New Roman"/>
                <w:sz w:val="16"/>
                <w:szCs w:val="18"/>
              </w:rPr>
              <w:t>1491</w:t>
            </w:r>
          </w:p>
        </w:tc>
        <w:tc>
          <w:tcPr>
            <w:tcW w:w="0" w:type="auto"/>
            <w:noWrap/>
            <w:vAlign w:val="center"/>
          </w:tcPr>
          <w:p>
            <w:pPr>
              <w:pStyle w:val="139"/>
              <w:spacing w:line="240" w:lineRule="auto"/>
              <w:rPr>
                <w:rFonts w:cs="Times New Roman"/>
                <w:sz w:val="16"/>
                <w:szCs w:val="18"/>
              </w:rPr>
            </w:pPr>
            <w:r>
              <w:rPr>
                <w:rFonts w:cs="Times New Roman"/>
                <w:sz w:val="16"/>
                <w:szCs w:val="18"/>
              </w:rPr>
              <w:t>25%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土豆</w:t>
            </w:r>
          </w:p>
        </w:tc>
        <w:tc>
          <w:tcPr>
            <w:tcW w:w="0" w:type="auto"/>
            <w:noWrap/>
            <w:vAlign w:val="center"/>
          </w:tcPr>
          <w:p>
            <w:pPr>
              <w:pStyle w:val="139"/>
              <w:spacing w:line="240" w:lineRule="auto"/>
              <w:rPr>
                <w:rFonts w:cs="Times New Roman"/>
                <w:sz w:val="16"/>
                <w:szCs w:val="18"/>
              </w:rPr>
            </w:pPr>
            <w:r>
              <w:rPr>
                <w:rFonts w:cs="Times New Roman"/>
                <w:sz w:val="16"/>
                <w:szCs w:val="18"/>
              </w:rPr>
              <w:t>1105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628</w:t>
            </w:r>
          </w:p>
        </w:tc>
        <w:tc>
          <w:tcPr>
            <w:tcW w:w="0" w:type="auto"/>
            <w:noWrap/>
            <w:vAlign w:val="center"/>
          </w:tcPr>
          <w:p>
            <w:pPr>
              <w:pStyle w:val="139"/>
              <w:spacing w:line="240" w:lineRule="auto"/>
              <w:rPr>
                <w:rFonts w:cs="Times New Roman"/>
                <w:sz w:val="16"/>
                <w:szCs w:val="18"/>
              </w:rPr>
            </w:pPr>
            <w:r>
              <w:rPr>
                <w:rFonts w:cs="Times New Roman"/>
                <w:sz w:val="16"/>
                <w:szCs w:val="18"/>
              </w:rPr>
              <w:t>4%</w:t>
            </w:r>
          </w:p>
        </w:tc>
        <w:tc>
          <w:tcPr>
            <w:tcW w:w="0" w:type="auto"/>
            <w:noWrap/>
            <w:vAlign w:val="center"/>
          </w:tcPr>
          <w:p>
            <w:pPr>
              <w:pStyle w:val="139"/>
              <w:spacing w:line="240" w:lineRule="auto"/>
              <w:rPr>
                <w:rFonts w:cs="Times New Roman"/>
                <w:sz w:val="16"/>
                <w:szCs w:val="18"/>
              </w:rPr>
            </w:pPr>
            <w:r>
              <w:rPr>
                <w:rFonts w:cs="Times New Roman"/>
                <w:sz w:val="16"/>
                <w:szCs w:val="18"/>
              </w:rPr>
              <w:t>477</w:t>
            </w:r>
          </w:p>
        </w:tc>
        <w:tc>
          <w:tcPr>
            <w:tcW w:w="0" w:type="auto"/>
            <w:noWrap/>
            <w:vAlign w:val="center"/>
          </w:tcPr>
          <w:p>
            <w:pPr>
              <w:pStyle w:val="139"/>
              <w:spacing w:line="240" w:lineRule="auto"/>
              <w:rPr>
                <w:rFonts w:cs="Times New Roman"/>
                <w:sz w:val="16"/>
                <w:szCs w:val="18"/>
              </w:rPr>
            </w:pPr>
            <w:r>
              <w:rPr>
                <w:rFonts w:cs="Times New Roman"/>
                <w:sz w:val="16"/>
                <w:szCs w:val="18"/>
              </w:rPr>
              <w:t>8%</w:t>
            </w:r>
          </w:p>
        </w:tc>
        <w:tc>
          <w:tcPr>
            <w:tcW w:w="0" w:type="auto"/>
            <w:noWrap/>
            <w:vAlign w:val="center"/>
          </w:tcPr>
          <w:p>
            <w:pPr>
              <w:pStyle w:val="139"/>
              <w:spacing w:line="240" w:lineRule="auto"/>
              <w:rPr>
                <w:rFonts w:cs="Times New Roman"/>
                <w:sz w:val="16"/>
                <w:szCs w:val="18"/>
              </w:rPr>
            </w:pPr>
            <w:r>
              <w:rPr>
                <w:rFonts w:cs="Times New Roman"/>
                <w:sz w:val="16"/>
                <w:szCs w:val="18"/>
              </w:rPr>
              <w:t>296</w:t>
            </w:r>
          </w:p>
        </w:tc>
        <w:tc>
          <w:tcPr>
            <w:tcW w:w="0" w:type="auto"/>
            <w:noWrap/>
            <w:vAlign w:val="center"/>
          </w:tcPr>
          <w:p>
            <w:pPr>
              <w:pStyle w:val="139"/>
              <w:spacing w:line="240" w:lineRule="auto"/>
              <w:rPr>
                <w:rFonts w:cs="Times New Roman"/>
                <w:sz w:val="16"/>
                <w:szCs w:val="18"/>
              </w:rPr>
            </w:pPr>
            <w:r>
              <w:rPr>
                <w:rFonts w:cs="Times New Roman"/>
                <w:sz w:val="16"/>
                <w:szCs w:val="18"/>
              </w:rPr>
              <w:t>35%</w:t>
            </w:r>
          </w:p>
        </w:tc>
        <w:tc>
          <w:tcPr>
            <w:tcW w:w="0" w:type="auto"/>
            <w:noWrap/>
            <w:vAlign w:val="center"/>
          </w:tcPr>
          <w:p>
            <w:pPr>
              <w:pStyle w:val="139"/>
              <w:spacing w:line="240" w:lineRule="auto"/>
              <w:rPr>
                <w:rFonts w:cs="Times New Roman"/>
                <w:sz w:val="16"/>
                <w:szCs w:val="18"/>
              </w:rPr>
            </w:pPr>
            <w:r>
              <w:rPr>
                <w:rFonts w:cs="Times New Roman"/>
                <w:sz w:val="16"/>
                <w:szCs w:val="18"/>
              </w:rPr>
              <w:t>1401</w:t>
            </w:r>
          </w:p>
        </w:tc>
        <w:tc>
          <w:tcPr>
            <w:tcW w:w="0" w:type="auto"/>
            <w:noWrap/>
            <w:vAlign w:val="center"/>
          </w:tcPr>
          <w:p>
            <w:pPr>
              <w:pStyle w:val="139"/>
              <w:spacing w:line="240" w:lineRule="auto"/>
              <w:rPr>
                <w:rFonts w:cs="Times New Roman"/>
                <w:sz w:val="16"/>
                <w:szCs w:val="18"/>
              </w:rPr>
            </w:pPr>
            <w:r>
              <w:rPr>
                <w:rFonts w:cs="Times New Roman"/>
                <w:sz w:val="16"/>
                <w:szCs w:val="18"/>
              </w:rPr>
              <w:t>1381</w:t>
            </w:r>
          </w:p>
        </w:tc>
        <w:tc>
          <w:tcPr>
            <w:tcW w:w="0" w:type="auto"/>
            <w:noWrap/>
            <w:vAlign w:val="center"/>
          </w:tcPr>
          <w:p>
            <w:pPr>
              <w:pStyle w:val="139"/>
              <w:spacing w:line="240" w:lineRule="auto"/>
              <w:rPr>
                <w:rFonts w:cs="Times New Roman"/>
                <w:sz w:val="16"/>
                <w:szCs w:val="18"/>
              </w:rPr>
            </w:pPr>
            <w:r>
              <w:rPr>
                <w:rFonts w:cs="Times New Roman"/>
                <w:sz w:val="16"/>
                <w:szCs w:val="18"/>
              </w:rPr>
              <w:t>6%</w:t>
            </w:r>
          </w:p>
        </w:tc>
        <w:tc>
          <w:tcPr>
            <w:tcW w:w="0" w:type="auto"/>
            <w:noWrap/>
            <w:vAlign w:val="center"/>
          </w:tcPr>
          <w:p>
            <w:pPr>
              <w:pStyle w:val="139"/>
              <w:spacing w:line="240" w:lineRule="auto"/>
              <w:rPr>
                <w:rFonts w:cs="Times New Roman"/>
                <w:sz w:val="16"/>
                <w:szCs w:val="18"/>
              </w:rPr>
            </w:pPr>
            <w:r>
              <w:rPr>
                <w:rFonts w:cs="Times New Roman"/>
                <w:sz w:val="16"/>
                <w:szCs w:val="18"/>
              </w:rPr>
              <w:t>785</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596</w:t>
            </w:r>
          </w:p>
        </w:tc>
        <w:tc>
          <w:tcPr>
            <w:tcW w:w="0" w:type="auto"/>
            <w:noWrap/>
            <w:vAlign w:val="center"/>
          </w:tcPr>
          <w:p>
            <w:pPr>
              <w:pStyle w:val="139"/>
              <w:spacing w:line="240" w:lineRule="auto"/>
              <w:rPr>
                <w:rFonts w:cs="Times New Roman"/>
                <w:sz w:val="16"/>
                <w:szCs w:val="18"/>
              </w:rPr>
            </w:pPr>
            <w:r>
              <w:rPr>
                <w:rFonts w:cs="Times New Roman"/>
                <w:sz w:val="16"/>
                <w:szCs w:val="18"/>
              </w:rPr>
              <w:t>10%</w:t>
            </w:r>
          </w:p>
        </w:tc>
        <w:tc>
          <w:tcPr>
            <w:tcW w:w="0" w:type="auto"/>
            <w:noWrap/>
            <w:vAlign w:val="center"/>
          </w:tcPr>
          <w:p>
            <w:pPr>
              <w:pStyle w:val="139"/>
              <w:spacing w:line="240" w:lineRule="auto"/>
              <w:rPr>
                <w:rFonts w:cs="Times New Roman"/>
                <w:sz w:val="16"/>
                <w:szCs w:val="18"/>
              </w:rPr>
            </w:pPr>
            <w:r>
              <w:rPr>
                <w:rFonts w:cs="Times New Roman"/>
                <w:sz w:val="16"/>
                <w:szCs w:val="18"/>
              </w:rPr>
              <w:t>386</w:t>
            </w:r>
          </w:p>
        </w:tc>
        <w:tc>
          <w:tcPr>
            <w:tcW w:w="0" w:type="auto"/>
            <w:noWrap/>
            <w:vAlign w:val="center"/>
          </w:tcPr>
          <w:p>
            <w:pPr>
              <w:pStyle w:val="139"/>
              <w:spacing w:line="240" w:lineRule="auto"/>
              <w:rPr>
                <w:rFonts w:cs="Times New Roman"/>
                <w:sz w:val="16"/>
                <w:szCs w:val="18"/>
              </w:rPr>
            </w:pPr>
            <w:r>
              <w:rPr>
                <w:rFonts w:cs="Times New Roman"/>
                <w:sz w:val="16"/>
                <w:szCs w:val="18"/>
              </w:rPr>
              <w:t>46%</w:t>
            </w:r>
          </w:p>
        </w:tc>
        <w:tc>
          <w:tcPr>
            <w:tcW w:w="0" w:type="auto"/>
            <w:noWrap/>
            <w:vAlign w:val="center"/>
          </w:tcPr>
          <w:p>
            <w:pPr>
              <w:pStyle w:val="139"/>
              <w:spacing w:line="240" w:lineRule="auto"/>
              <w:rPr>
                <w:rFonts w:cs="Times New Roman"/>
                <w:sz w:val="16"/>
                <w:szCs w:val="18"/>
              </w:rPr>
            </w:pPr>
            <w:r>
              <w:rPr>
                <w:rFonts w:cs="Times New Roman"/>
                <w:sz w:val="16"/>
                <w:szCs w:val="18"/>
              </w:rPr>
              <w:t>1767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restart"/>
            <w:noWrap/>
            <w:vAlign w:val="center"/>
          </w:tcPr>
          <w:p>
            <w:pPr>
              <w:pStyle w:val="139"/>
              <w:spacing w:line="240" w:lineRule="auto"/>
              <w:rPr>
                <w:rFonts w:cs="Times New Roman"/>
                <w:sz w:val="16"/>
                <w:szCs w:val="18"/>
              </w:rPr>
            </w:pPr>
            <w:r>
              <w:rPr>
                <w:rFonts w:cs="Times New Roman"/>
                <w:sz w:val="16"/>
                <w:szCs w:val="18"/>
              </w:rPr>
              <w:t>豆类</w:t>
            </w:r>
          </w:p>
        </w:tc>
        <w:tc>
          <w:tcPr>
            <w:tcW w:w="0" w:type="auto"/>
            <w:noWrap/>
            <w:vAlign w:val="center"/>
          </w:tcPr>
          <w:p>
            <w:pPr>
              <w:pStyle w:val="139"/>
              <w:spacing w:line="240" w:lineRule="auto"/>
              <w:rPr>
                <w:rFonts w:cs="Times New Roman"/>
                <w:sz w:val="16"/>
                <w:szCs w:val="18"/>
              </w:rPr>
            </w:pPr>
            <w:r>
              <w:rPr>
                <w:rFonts w:cs="Times New Roman"/>
                <w:sz w:val="16"/>
                <w:szCs w:val="18"/>
              </w:rPr>
              <w:t>豌豆</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胡豆</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3"/>
            <w:noWrap/>
            <w:vAlign w:val="center"/>
          </w:tcPr>
          <w:p>
            <w:pPr>
              <w:pStyle w:val="139"/>
              <w:spacing w:line="240" w:lineRule="auto"/>
              <w:rPr>
                <w:rFonts w:cs="Times New Roman"/>
                <w:sz w:val="16"/>
                <w:szCs w:val="18"/>
              </w:rPr>
            </w:pPr>
            <w:r>
              <w:rPr>
                <w:rFonts w:cs="Times New Roman"/>
                <w:sz w:val="16"/>
                <w:szCs w:val="18"/>
              </w:rPr>
              <w:t>经济作物合计</w:t>
            </w:r>
          </w:p>
        </w:tc>
        <w:tc>
          <w:tcPr>
            <w:tcW w:w="0" w:type="auto"/>
            <w:noWrap/>
            <w:vAlign w:val="center"/>
          </w:tcPr>
          <w:p>
            <w:pPr>
              <w:pStyle w:val="139"/>
              <w:spacing w:line="240" w:lineRule="auto"/>
              <w:rPr>
                <w:rFonts w:cs="Times New Roman"/>
                <w:sz w:val="16"/>
                <w:szCs w:val="18"/>
              </w:rPr>
            </w:pPr>
            <w:r>
              <w:rPr>
                <w:rFonts w:cs="Times New Roman"/>
                <w:sz w:val="16"/>
                <w:szCs w:val="18"/>
              </w:rPr>
              <w:t>12832</w:t>
            </w:r>
          </w:p>
        </w:tc>
        <w:tc>
          <w:tcPr>
            <w:tcW w:w="0" w:type="auto"/>
            <w:noWrap/>
            <w:vAlign w:val="center"/>
          </w:tcPr>
          <w:p>
            <w:pPr>
              <w:pStyle w:val="139"/>
              <w:spacing w:line="240" w:lineRule="auto"/>
              <w:rPr>
                <w:rFonts w:cs="Times New Roman"/>
                <w:sz w:val="16"/>
                <w:szCs w:val="18"/>
              </w:rPr>
            </w:pPr>
            <w:r>
              <w:rPr>
                <w:rFonts w:cs="Times New Roman"/>
                <w:sz w:val="16"/>
                <w:szCs w:val="18"/>
              </w:rPr>
              <w:t>59%</w:t>
            </w:r>
          </w:p>
        </w:tc>
        <w:tc>
          <w:tcPr>
            <w:tcW w:w="0" w:type="auto"/>
            <w:noWrap/>
            <w:vAlign w:val="center"/>
          </w:tcPr>
          <w:p>
            <w:pPr>
              <w:pStyle w:val="139"/>
              <w:spacing w:line="240" w:lineRule="auto"/>
              <w:rPr>
                <w:rFonts w:cs="Times New Roman"/>
                <w:sz w:val="16"/>
                <w:szCs w:val="18"/>
              </w:rPr>
            </w:pPr>
            <w:r>
              <w:rPr>
                <w:rFonts w:cs="Times New Roman"/>
                <w:sz w:val="16"/>
                <w:szCs w:val="18"/>
              </w:rPr>
              <w:t>8479</w:t>
            </w:r>
          </w:p>
        </w:tc>
        <w:tc>
          <w:tcPr>
            <w:tcW w:w="0" w:type="auto"/>
            <w:noWrap/>
            <w:vAlign w:val="center"/>
          </w:tcPr>
          <w:p>
            <w:pPr>
              <w:pStyle w:val="139"/>
              <w:spacing w:line="240" w:lineRule="auto"/>
              <w:rPr>
                <w:rFonts w:cs="Times New Roman"/>
                <w:sz w:val="16"/>
                <w:szCs w:val="18"/>
              </w:rPr>
            </w:pPr>
            <w:r>
              <w:rPr>
                <w:rFonts w:cs="Times New Roman"/>
                <w:sz w:val="16"/>
                <w:szCs w:val="18"/>
              </w:rPr>
              <w:t>31%</w:t>
            </w:r>
          </w:p>
        </w:tc>
        <w:tc>
          <w:tcPr>
            <w:tcW w:w="0" w:type="auto"/>
            <w:noWrap/>
            <w:vAlign w:val="center"/>
          </w:tcPr>
          <w:p>
            <w:pPr>
              <w:pStyle w:val="139"/>
              <w:spacing w:line="240" w:lineRule="auto"/>
              <w:rPr>
                <w:rFonts w:cs="Times New Roman"/>
                <w:sz w:val="16"/>
                <w:szCs w:val="18"/>
              </w:rPr>
            </w:pPr>
            <w:r>
              <w:rPr>
                <w:rFonts w:cs="Times New Roman"/>
                <w:sz w:val="16"/>
                <w:szCs w:val="18"/>
              </w:rPr>
              <w:t>4353</w:t>
            </w:r>
          </w:p>
        </w:tc>
        <w:tc>
          <w:tcPr>
            <w:tcW w:w="0" w:type="auto"/>
            <w:noWrap/>
            <w:vAlign w:val="center"/>
          </w:tcPr>
          <w:p>
            <w:pPr>
              <w:pStyle w:val="139"/>
              <w:spacing w:line="240" w:lineRule="auto"/>
              <w:rPr>
                <w:rFonts w:cs="Times New Roman"/>
                <w:sz w:val="16"/>
                <w:szCs w:val="18"/>
              </w:rPr>
            </w:pPr>
            <w:r>
              <w:rPr>
                <w:rFonts w:cs="Times New Roman"/>
                <w:sz w:val="16"/>
                <w:szCs w:val="18"/>
              </w:rPr>
              <w:t>61%</w:t>
            </w:r>
          </w:p>
        </w:tc>
        <w:tc>
          <w:tcPr>
            <w:tcW w:w="0" w:type="auto"/>
            <w:noWrap/>
            <w:vAlign w:val="center"/>
          </w:tcPr>
          <w:p>
            <w:pPr>
              <w:pStyle w:val="139"/>
              <w:spacing w:line="240" w:lineRule="auto"/>
              <w:rPr>
                <w:rFonts w:cs="Times New Roman"/>
                <w:sz w:val="16"/>
                <w:szCs w:val="18"/>
              </w:rPr>
            </w:pPr>
            <w:r>
              <w:rPr>
                <w:rFonts w:cs="Times New Roman"/>
                <w:sz w:val="16"/>
                <w:szCs w:val="18"/>
              </w:rPr>
              <w:t>838</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13670</w:t>
            </w:r>
          </w:p>
        </w:tc>
        <w:tc>
          <w:tcPr>
            <w:tcW w:w="0" w:type="auto"/>
            <w:noWrap/>
            <w:vAlign w:val="center"/>
          </w:tcPr>
          <w:p>
            <w:pPr>
              <w:pStyle w:val="139"/>
              <w:spacing w:line="240" w:lineRule="auto"/>
              <w:rPr>
                <w:rFonts w:cs="Times New Roman"/>
                <w:sz w:val="16"/>
                <w:szCs w:val="18"/>
              </w:rPr>
            </w:pPr>
            <w:r>
              <w:rPr>
                <w:rFonts w:cs="Times New Roman"/>
                <w:sz w:val="16"/>
                <w:szCs w:val="18"/>
              </w:rPr>
              <w:t>19028</w:t>
            </w:r>
          </w:p>
        </w:tc>
        <w:tc>
          <w:tcPr>
            <w:tcW w:w="0" w:type="auto"/>
            <w:noWrap/>
            <w:vAlign w:val="center"/>
          </w:tcPr>
          <w:p>
            <w:pPr>
              <w:pStyle w:val="139"/>
              <w:spacing w:line="240" w:lineRule="auto"/>
              <w:rPr>
                <w:rFonts w:cs="Times New Roman"/>
                <w:sz w:val="16"/>
                <w:szCs w:val="18"/>
              </w:rPr>
            </w:pPr>
            <w:r>
              <w:rPr>
                <w:rFonts w:cs="Times New Roman"/>
                <w:sz w:val="16"/>
                <w:szCs w:val="18"/>
              </w:rPr>
              <w:t>54%</w:t>
            </w:r>
          </w:p>
        </w:tc>
        <w:tc>
          <w:tcPr>
            <w:tcW w:w="0" w:type="auto"/>
            <w:noWrap/>
            <w:vAlign w:val="center"/>
          </w:tcPr>
          <w:p>
            <w:pPr>
              <w:pStyle w:val="139"/>
              <w:spacing w:line="240" w:lineRule="auto"/>
              <w:rPr>
                <w:rFonts w:cs="Times New Roman"/>
                <w:sz w:val="16"/>
                <w:szCs w:val="18"/>
              </w:rPr>
            </w:pPr>
            <w:r>
              <w:rPr>
                <w:rFonts w:cs="Times New Roman"/>
                <w:sz w:val="16"/>
                <w:szCs w:val="18"/>
              </w:rPr>
              <w:t>13285</w:t>
            </w:r>
          </w:p>
        </w:tc>
        <w:tc>
          <w:tcPr>
            <w:tcW w:w="0" w:type="auto"/>
            <w:noWrap/>
            <w:vAlign w:val="center"/>
          </w:tcPr>
          <w:p>
            <w:pPr>
              <w:pStyle w:val="139"/>
              <w:spacing w:line="240" w:lineRule="auto"/>
              <w:rPr>
                <w:rFonts w:cs="Times New Roman"/>
                <w:sz w:val="16"/>
                <w:szCs w:val="18"/>
              </w:rPr>
            </w:pPr>
            <w:r>
              <w:rPr>
                <w:rFonts w:cs="Times New Roman"/>
                <w:sz w:val="16"/>
                <w:szCs w:val="18"/>
              </w:rPr>
              <w:t>39%</w:t>
            </w:r>
          </w:p>
        </w:tc>
        <w:tc>
          <w:tcPr>
            <w:tcW w:w="0" w:type="auto"/>
            <w:noWrap/>
            <w:vAlign w:val="center"/>
          </w:tcPr>
          <w:p>
            <w:pPr>
              <w:pStyle w:val="139"/>
              <w:spacing w:line="240" w:lineRule="auto"/>
              <w:rPr>
                <w:rFonts w:cs="Times New Roman"/>
                <w:sz w:val="16"/>
                <w:szCs w:val="18"/>
              </w:rPr>
            </w:pPr>
            <w:r>
              <w:rPr>
                <w:rFonts w:cs="Times New Roman"/>
                <w:sz w:val="16"/>
                <w:szCs w:val="18"/>
              </w:rPr>
              <w:t>5743</w:t>
            </w:r>
          </w:p>
        </w:tc>
        <w:tc>
          <w:tcPr>
            <w:tcW w:w="0" w:type="auto"/>
            <w:noWrap/>
            <w:vAlign w:val="center"/>
          </w:tcPr>
          <w:p>
            <w:pPr>
              <w:pStyle w:val="139"/>
              <w:spacing w:line="240" w:lineRule="auto"/>
              <w:rPr>
                <w:rFonts w:cs="Times New Roman"/>
                <w:sz w:val="16"/>
                <w:szCs w:val="18"/>
              </w:rPr>
            </w:pPr>
            <w:r>
              <w:rPr>
                <w:rFonts w:cs="Times New Roman"/>
                <w:sz w:val="16"/>
                <w:szCs w:val="18"/>
              </w:rPr>
              <w:t>78%</w:t>
            </w:r>
          </w:p>
        </w:tc>
        <w:tc>
          <w:tcPr>
            <w:tcW w:w="0" w:type="auto"/>
            <w:noWrap/>
            <w:vAlign w:val="center"/>
          </w:tcPr>
          <w:p>
            <w:pPr>
              <w:pStyle w:val="139"/>
              <w:spacing w:line="240" w:lineRule="auto"/>
              <w:rPr>
                <w:rFonts w:cs="Times New Roman"/>
                <w:sz w:val="16"/>
                <w:szCs w:val="18"/>
              </w:rPr>
            </w:pPr>
            <w:r>
              <w:rPr>
                <w:rFonts w:cs="Times New Roman"/>
                <w:sz w:val="16"/>
                <w:szCs w:val="18"/>
              </w:rPr>
              <w:t>838</w:t>
            </w:r>
          </w:p>
        </w:tc>
        <w:tc>
          <w:tcPr>
            <w:tcW w:w="0" w:type="auto"/>
            <w:noWrap/>
            <w:vAlign w:val="center"/>
          </w:tcPr>
          <w:p>
            <w:pPr>
              <w:pStyle w:val="139"/>
              <w:spacing w:line="240" w:lineRule="auto"/>
              <w:rPr>
                <w:rFonts w:cs="Times New Roman"/>
                <w:sz w:val="16"/>
                <w:szCs w:val="18"/>
              </w:rPr>
            </w:pPr>
            <w:r>
              <w:rPr>
                <w:rFonts w:cs="Times New Roman"/>
                <w:sz w:val="16"/>
                <w:szCs w:val="18"/>
              </w:rPr>
              <w:t>100%</w:t>
            </w:r>
          </w:p>
        </w:tc>
        <w:tc>
          <w:tcPr>
            <w:tcW w:w="0" w:type="auto"/>
            <w:noWrap/>
            <w:vAlign w:val="center"/>
          </w:tcPr>
          <w:p>
            <w:pPr>
              <w:pStyle w:val="139"/>
              <w:spacing w:line="240" w:lineRule="auto"/>
              <w:rPr>
                <w:rFonts w:cs="Times New Roman"/>
                <w:sz w:val="16"/>
                <w:szCs w:val="18"/>
              </w:rPr>
            </w:pPr>
            <w:r>
              <w:rPr>
                <w:rFonts w:cs="Times New Roman"/>
                <w:sz w:val="16"/>
                <w:szCs w:val="18"/>
              </w:rPr>
              <w:t>19866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restart"/>
            <w:vAlign w:val="center"/>
          </w:tcPr>
          <w:p>
            <w:pPr>
              <w:pStyle w:val="139"/>
              <w:spacing w:line="240" w:lineRule="auto"/>
              <w:rPr>
                <w:rFonts w:cs="Times New Roman"/>
                <w:sz w:val="16"/>
                <w:szCs w:val="18"/>
              </w:rPr>
            </w:pPr>
            <w:r>
              <w:rPr>
                <w:rFonts w:cs="Times New Roman"/>
                <w:sz w:val="16"/>
                <w:szCs w:val="18"/>
              </w:rPr>
              <w:t>大春</w:t>
            </w:r>
          </w:p>
          <w:p>
            <w:pPr>
              <w:pStyle w:val="139"/>
              <w:spacing w:line="240" w:lineRule="auto"/>
              <w:rPr>
                <w:rFonts w:cs="Times New Roman"/>
                <w:sz w:val="16"/>
                <w:szCs w:val="18"/>
              </w:rPr>
            </w:pPr>
            <w:r>
              <w:rPr>
                <w:rFonts w:cs="Times New Roman"/>
                <w:sz w:val="16"/>
                <w:szCs w:val="18"/>
              </w:rPr>
              <w:t>经作</w:t>
            </w:r>
          </w:p>
        </w:tc>
        <w:tc>
          <w:tcPr>
            <w:tcW w:w="0" w:type="auto"/>
            <w:noWrap/>
            <w:vAlign w:val="center"/>
          </w:tcPr>
          <w:p>
            <w:pPr>
              <w:pStyle w:val="139"/>
              <w:spacing w:line="240" w:lineRule="auto"/>
              <w:rPr>
                <w:rFonts w:cs="Times New Roman"/>
                <w:sz w:val="16"/>
                <w:szCs w:val="18"/>
              </w:rPr>
            </w:pPr>
            <w:r>
              <w:rPr>
                <w:rFonts w:cs="Times New Roman"/>
                <w:sz w:val="16"/>
                <w:szCs w:val="18"/>
              </w:rPr>
              <w:t>蔬菜</w:t>
            </w:r>
          </w:p>
        </w:tc>
        <w:tc>
          <w:tcPr>
            <w:tcW w:w="0" w:type="auto"/>
            <w:noWrap/>
            <w:vAlign w:val="center"/>
          </w:tcPr>
          <w:p>
            <w:pPr>
              <w:pStyle w:val="139"/>
              <w:spacing w:line="240" w:lineRule="auto"/>
              <w:rPr>
                <w:rFonts w:cs="Times New Roman"/>
                <w:sz w:val="16"/>
                <w:szCs w:val="18"/>
              </w:rPr>
            </w:pPr>
            <w:r>
              <w:rPr>
                <w:rFonts w:cs="Times New Roman"/>
                <w:sz w:val="16"/>
                <w:szCs w:val="18"/>
              </w:rPr>
              <w:t>秋菜</w:t>
            </w:r>
          </w:p>
        </w:tc>
        <w:tc>
          <w:tcPr>
            <w:tcW w:w="0" w:type="auto"/>
            <w:noWrap/>
            <w:vAlign w:val="center"/>
          </w:tcPr>
          <w:p>
            <w:pPr>
              <w:pStyle w:val="139"/>
              <w:spacing w:line="240" w:lineRule="auto"/>
              <w:rPr>
                <w:rFonts w:cs="Times New Roman"/>
                <w:sz w:val="16"/>
                <w:szCs w:val="18"/>
              </w:rPr>
            </w:pPr>
            <w:r>
              <w:rPr>
                <w:rFonts w:cs="Times New Roman"/>
                <w:sz w:val="16"/>
                <w:szCs w:val="18"/>
              </w:rPr>
              <w:t>2151</w:t>
            </w:r>
          </w:p>
        </w:tc>
        <w:tc>
          <w:tcPr>
            <w:tcW w:w="0" w:type="auto"/>
            <w:noWrap/>
            <w:vAlign w:val="center"/>
          </w:tcPr>
          <w:p>
            <w:pPr>
              <w:pStyle w:val="139"/>
              <w:spacing w:line="240" w:lineRule="auto"/>
              <w:rPr>
                <w:rFonts w:cs="Times New Roman"/>
                <w:sz w:val="16"/>
                <w:szCs w:val="18"/>
              </w:rPr>
            </w:pPr>
            <w:r>
              <w:rPr>
                <w:rFonts w:cs="Times New Roman"/>
                <w:sz w:val="16"/>
                <w:szCs w:val="18"/>
              </w:rPr>
              <w:t>10%</w:t>
            </w:r>
          </w:p>
        </w:tc>
        <w:tc>
          <w:tcPr>
            <w:tcW w:w="0" w:type="auto"/>
            <w:noWrap/>
            <w:vAlign w:val="center"/>
          </w:tcPr>
          <w:p>
            <w:pPr>
              <w:pStyle w:val="139"/>
              <w:spacing w:line="240" w:lineRule="auto"/>
              <w:rPr>
                <w:rFonts w:cs="Times New Roman"/>
                <w:sz w:val="16"/>
                <w:szCs w:val="18"/>
              </w:rPr>
            </w:pPr>
            <w:r>
              <w:rPr>
                <w:rFonts w:cs="Times New Roman"/>
                <w:sz w:val="16"/>
                <w:szCs w:val="18"/>
              </w:rPr>
              <w:t>1256</w:t>
            </w:r>
          </w:p>
        </w:tc>
        <w:tc>
          <w:tcPr>
            <w:tcW w:w="0" w:type="auto"/>
            <w:noWrap/>
            <w:vAlign w:val="center"/>
          </w:tcPr>
          <w:p>
            <w:pPr>
              <w:pStyle w:val="139"/>
              <w:spacing w:line="240" w:lineRule="auto"/>
              <w:rPr>
                <w:rFonts w:cs="Times New Roman"/>
                <w:sz w:val="16"/>
                <w:szCs w:val="18"/>
              </w:rPr>
            </w:pPr>
            <w:r>
              <w:rPr>
                <w:rFonts w:cs="Times New Roman"/>
                <w:sz w:val="16"/>
                <w:szCs w:val="18"/>
              </w:rPr>
              <w:t>8%</w:t>
            </w:r>
          </w:p>
        </w:tc>
        <w:tc>
          <w:tcPr>
            <w:tcW w:w="0" w:type="auto"/>
            <w:noWrap/>
            <w:vAlign w:val="center"/>
          </w:tcPr>
          <w:p>
            <w:pPr>
              <w:pStyle w:val="139"/>
              <w:spacing w:line="240" w:lineRule="auto"/>
              <w:rPr>
                <w:rFonts w:cs="Times New Roman"/>
                <w:sz w:val="16"/>
                <w:szCs w:val="18"/>
              </w:rPr>
            </w:pPr>
            <w:r>
              <w:rPr>
                <w:rFonts w:cs="Times New Roman"/>
                <w:sz w:val="16"/>
                <w:szCs w:val="18"/>
              </w:rPr>
              <w:t>894</w:t>
            </w:r>
          </w:p>
        </w:tc>
        <w:tc>
          <w:tcPr>
            <w:tcW w:w="0" w:type="auto"/>
            <w:noWrap/>
            <w:vAlign w:val="center"/>
          </w:tcPr>
          <w:p>
            <w:pPr>
              <w:pStyle w:val="139"/>
              <w:spacing w:line="240" w:lineRule="auto"/>
              <w:rPr>
                <w:rFonts w:cs="Times New Roman"/>
                <w:sz w:val="16"/>
                <w:szCs w:val="18"/>
              </w:rPr>
            </w:pPr>
            <w:r>
              <w:rPr>
                <w:rFonts w:cs="Times New Roman"/>
                <w:sz w:val="16"/>
                <w:szCs w:val="18"/>
              </w:rPr>
              <w:t>15%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2151</w:t>
            </w:r>
          </w:p>
        </w:tc>
        <w:tc>
          <w:tcPr>
            <w:tcW w:w="0" w:type="auto"/>
            <w:noWrap/>
            <w:vAlign w:val="center"/>
          </w:tcPr>
          <w:p>
            <w:pPr>
              <w:pStyle w:val="139"/>
              <w:spacing w:line="240" w:lineRule="auto"/>
              <w:rPr>
                <w:rFonts w:cs="Times New Roman"/>
                <w:sz w:val="16"/>
                <w:szCs w:val="18"/>
              </w:rPr>
            </w:pPr>
            <w:r>
              <w:rPr>
                <w:rFonts w:cs="Times New Roman"/>
                <w:sz w:val="16"/>
                <w:szCs w:val="18"/>
              </w:rPr>
              <w:t>3077</w:t>
            </w:r>
          </w:p>
        </w:tc>
        <w:tc>
          <w:tcPr>
            <w:tcW w:w="0" w:type="auto"/>
            <w:noWrap/>
            <w:vAlign w:val="center"/>
          </w:tcPr>
          <w:p>
            <w:pPr>
              <w:pStyle w:val="139"/>
              <w:spacing w:line="240" w:lineRule="auto"/>
              <w:rPr>
                <w:rFonts w:cs="Times New Roman"/>
                <w:sz w:val="16"/>
                <w:szCs w:val="18"/>
              </w:rPr>
            </w:pPr>
            <w:r>
              <w:rPr>
                <w:rFonts w:cs="Times New Roman"/>
                <w:sz w:val="16"/>
                <w:szCs w:val="18"/>
              </w:rPr>
              <w:t>10%</w:t>
            </w:r>
          </w:p>
        </w:tc>
        <w:tc>
          <w:tcPr>
            <w:tcW w:w="0" w:type="auto"/>
            <w:noWrap/>
            <w:vAlign w:val="center"/>
          </w:tcPr>
          <w:p>
            <w:pPr>
              <w:pStyle w:val="139"/>
              <w:spacing w:line="240" w:lineRule="auto"/>
              <w:rPr>
                <w:rFonts w:cs="Times New Roman"/>
                <w:sz w:val="16"/>
                <w:szCs w:val="18"/>
              </w:rPr>
            </w:pPr>
            <w:r>
              <w:rPr>
                <w:rFonts w:cs="Times New Roman"/>
                <w:sz w:val="16"/>
                <w:szCs w:val="18"/>
              </w:rPr>
              <w:t>1884</w:t>
            </w:r>
          </w:p>
        </w:tc>
        <w:tc>
          <w:tcPr>
            <w:tcW w:w="0" w:type="auto"/>
            <w:noWrap/>
            <w:vAlign w:val="center"/>
          </w:tcPr>
          <w:p>
            <w:pPr>
              <w:pStyle w:val="139"/>
              <w:spacing w:line="240" w:lineRule="auto"/>
              <w:rPr>
                <w:rFonts w:cs="Times New Roman"/>
                <w:sz w:val="16"/>
                <w:szCs w:val="18"/>
              </w:rPr>
            </w:pPr>
            <w:r>
              <w:rPr>
                <w:rFonts w:cs="Times New Roman"/>
                <w:sz w:val="16"/>
                <w:szCs w:val="18"/>
              </w:rPr>
              <w:t>12%</w:t>
            </w:r>
          </w:p>
        </w:tc>
        <w:tc>
          <w:tcPr>
            <w:tcW w:w="0" w:type="auto"/>
            <w:noWrap/>
            <w:vAlign w:val="center"/>
          </w:tcPr>
          <w:p>
            <w:pPr>
              <w:pStyle w:val="139"/>
              <w:spacing w:line="240" w:lineRule="auto"/>
              <w:rPr>
                <w:rFonts w:cs="Times New Roman"/>
                <w:sz w:val="16"/>
                <w:szCs w:val="18"/>
              </w:rPr>
            </w:pPr>
            <w:r>
              <w:rPr>
                <w:rFonts w:cs="Times New Roman"/>
                <w:sz w:val="16"/>
                <w:szCs w:val="18"/>
              </w:rPr>
              <w:t>1193</w:t>
            </w:r>
          </w:p>
        </w:tc>
        <w:tc>
          <w:tcPr>
            <w:tcW w:w="0" w:type="auto"/>
            <w:noWrap/>
            <w:vAlign w:val="center"/>
          </w:tcPr>
          <w:p>
            <w:pPr>
              <w:pStyle w:val="139"/>
              <w:spacing w:line="240" w:lineRule="auto"/>
              <w:rPr>
                <w:rFonts w:cs="Times New Roman"/>
                <w:sz w:val="16"/>
                <w:szCs w:val="18"/>
              </w:rPr>
            </w:pPr>
            <w:r>
              <w:rPr>
                <w:rFonts w:cs="Times New Roman"/>
                <w:sz w:val="16"/>
                <w:szCs w:val="18"/>
              </w:rPr>
              <w:t>20%</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3077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油料</w:t>
            </w:r>
          </w:p>
        </w:tc>
        <w:tc>
          <w:tcPr>
            <w:tcW w:w="0" w:type="auto"/>
            <w:noWrap/>
            <w:vAlign w:val="center"/>
          </w:tcPr>
          <w:p>
            <w:pPr>
              <w:pStyle w:val="139"/>
              <w:spacing w:line="240" w:lineRule="auto"/>
              <w:rPr>
                <w:rFonts w:cs="Times New Roman"/>
                <w:sz w:val="16"/>
                <w:szCs w:val="18"/>
              </w:rPr>
            </w:pPr>
            <w:r>
              <w:rPr>
                <w:rFonts w:cs="Times New Roman"/>
                <w:sz w:val="16"/>
                <w:szCs w:val="18"/>
              </w:rPr>
              <w:t>花生</w:t>
            </w:r>
          </w:p>
        </w:tc>
        <w:tc>
          <w:tcPr>
            <w:tcW w:w="0" w:type="auto"/>
            <w:noWrap/>
            <w:vAlign w:val="center"/>
          </w:tcPr>
          <w:p>
            <w:pPr>
              <w:pStyle w:val="139"/>
              <w:spacing w:line="240" w:lineRule="auto"/>
              <w:rPr>
                <w:rFonts w:cs="Times New Roman"/>
                <w:sz w:val="16"/>
                <w:szCs w:val="18"/>
              </w:rPr>
            </w:pPr>
            <w:r>
              <w:rPr>
                <w:rFonts w:cs="Times New Roman"/>
                <w:sz w:val="16"/>
                <w:szCs w:val="18"/>
              </w:rPr>
              <w:t>612</w:t>
            </w:r>
          </w:p>
        </w:tc>
        <w:tc>
          <w:tcPr>
            <w:tcW w:w="0" w:type="auto"/>
            <w:noWrap/>
            <w:vAlign w:val="center"/>
          </w:tcPr>
          <w:p>
            <w:pPr>
              <w:pStyle w:val="139"/>
              <w:spacing w:line="240" w:lineRule="auto"/>
              <w:rPr>
                <w:rFonts w:cs="Times New Roman"/>
                <w:sz w:val="16"/>
                <w:szCs w:val="18"/>
              </w:rPr>
            </w:pPr>
            <w:r>
              <w:rPr>
                <w:rFonts w:cs="Times New Roman"/>
                <w:sz w:val="16"/>
                <w:szCs w:val="18"/>
              </w:rPr>
              <w:t>3%</w:t>
            </w:r>
          </w:p>
        </w:tc>
        <w:tc>
          <w:tcPr>
            <w:tcW w:w="0" w:type="auto"/>
            <w:noWrap/>
            <w:vAlign w:val="center"/>
          </w:tcPr>
          <w:p>
            <w:pPr>
              <w:pStyle w:val="139"/>
              <w:spacing w:line="240" w:lineRule="auto"/>
              <w:rPr>
                <w:rFonts w:cs="Times New Roman"/>
                <w:sz w:val="16"/>
                <w:szCs w:val="18"/>
              </w:rPr>
            </w:pPr>
            <w:r>
              <w:rPr>
                <w:rFonts w:cs="Times New Roman"/>
                <w:sz w:val="16"/>
                <w:szCs w:val="18"/>
              </w:rPr>
              <w:t>314</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298</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612</w:t>
            </w:r>
          </w:p>
        </w:tc>
        <w:tc>
          <w:tcPr>
            <w:tcW w:w="0" w:type="auto"/>
            <w:noWrap/>
            <w:vAlign w:val="center"/>
          </w:tcPr>
          <w:p>
            <w:pPr>
              <w:pStyle w:val="139"/>
              <w:spacing w:line="240" w:lineRule="auto"/>
              <w:rPr>
                <w:rFonts w:cs="Times New Roman"/>
                <w:sz w:val="16"/>
                <w:szCs w:val="18"/>
              </w:rPr>
            </w:pPr>
            <w:r>
              <w:rPr>
                <w:rFonts w:cs="Times New Roman"/>
                <w:sz w:val="16"/>
                <w:szCs w:val="18"/>
              </w:rPr>
              <w:t>612</w:t>
            </w:r>
          </w:p>
        </w:tc>
        <w:tc>
          <w:tcPr>
            <w:tcW w:w="0" w:type="auto"/>
            <w:noWrap/>
            <w:vAlign w:val="center"/>
          </w:tcPr>
          <w:p>
            <w:pPr>
              <w:pStyle w:val="139"/>
              <w:spacing w:line="240" w:lineRule="auto"/>
              <w:rPr>
                <w:rFonts w:cs="Times New Roman"/>
                <w:sz w:val="16"/>
                <w:szCs w:val="18"/>
              </w:rPr>
            </w:pPr>
            <w:r>
              <w:rPr>
                <w:rFonts w:cs="Times New Roman"/>
                <w:sz w:val="16"/>
                <w:szCs w:val="18"/>
              </w:rPr>
              <w:t>3%</w:t>
            </w:r>
          </w:p>
        </w:tc>
        <w:tc>
          <w:tcPr>
            <w:tcW w:w="0" w:type="auto"/>
            <w:noWrap/>
            <w:vAlign w:val="center"/>
          </w:tcPr>
          <w:p>
            <w:pPr>
              <w:pStyle w:val="139"/>
              <w:spacing w:line="240" w:lineRule="auto"/>
              <w:rPr>
                <w:rFonts w:cs="Times New Roman"/>
                <w:sz w:val="16"/>
                <w:szCs w:val="18"/>
              </w:rPr>
            </w:pPr>
            <w:r>
              <w:rPr>
                <w:rFonts w:cs="Times New Roman"/>
                <w:sz w:val="16"/>
                <w:szCs w:val="18"/>
              </w:rPr>
              <w:t>314</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298</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restart"/>
            <w:vAlign w:val="center"/>
          </w:tcPr>
          <w:p>
            <w:pPr>
              <w:pStyle w:val="139"/>
              <w:spacing w:line="240" w:lineRule="auto"/>
              <w:rPr>
                <w:rFonts w:cs="Times New Roman"/>
                <w:sz w:val="16"/>
                <w:szCs w:val="18"/>
              </w:rPr>
            </w:pPr>
            <w:r>
              <w:rPr>
                <w:rFonts w:cs="Times New Roman"/>
                <w:sz w:val="16"/>
                <w:szCs w:val="18"/>
              </w:rPr>
              <w:t>小春</w:t>
            </w:r>
          </w:p>
          <w:p>
            <w:pPr>
              <w:pStyle w:val="139"/>
              <w:spacing w:line="240" w:lineRule="auto"/>
              <w:rPr>
                <w:rFonts w:cs="Times New Roman"/>
                <w:sz w:val="16"/>
                <w:szCs w:val="18"/>
              </w:rPr>
            </w:pPr>
            <w:r>
              <w:rPr>
                <w:rFonts w:cs="Times New Roman"/>
                <w:sz w:val="16"/>
                <w:szCs w:val="18"/>
              </w:rPr>
              <w:t>经作</w:t>
            </w:r>
          </w:p>
        </w:tc>
        <w:tc>
          <w:tcPr>
            <w:tcW w:w="0" w:type="auto"/>
            <w:noWrap/>
            <w:vAlign w:val="center"/>
          </w:tcPr>
          <w:p>
            <w:pPr>
              <w:pStyle w:val="139"/>
              <w:spacing w:line="240" w:lineRule="auto"/>
              <w:rPr>
                <w:rFonts w:cs="Times New Roman"/>
                <w:sz w:val="16"/>
                <w:szCs w:val="18"/>
              </w:rPr>
            </w:pPr>
            <w:r>
              <w:rPr>
                <w:rFonts w:cs="Times New Roman"/>
                <w:sz w:val="16"/>
                <w:szCs w:val="18"/>
              </w:rPr>
              <w:t>蔬菜</w:t>
            </w:r>
          </w:p>
        </w:tc>
        <w:tc>
          <w:tcPr>
            <w:tcW w:w="0" w:type="auto"/>
            <w:noWrap/>
            <w:vAlign w:val="center"/>
          </w:tcPr>
          <w:p>
            <w:pPr>
              <w:pStyle w:val="139"/>
              <w:spacing w:line="240" w:lineRule="auto"/>
              <w:rPr>
                <w:rFonts w:cs="Times New Roman"/>
                <w:sz w:val="16"/>
                <w:szCs w:val="18"/>
              </w:rPr>
            </w:pPr>
            <w:r>
              <w:rPr>
                <w:rFonts w:cs="Times New Roman"/>
                <w:sz w:val="16"/>
                <w:szCs w:val="18"/>
              </w:rPr>
              <w:t>冬春菜</w:t>
            </w:r>
          </w:p>
        </w:tc>
        <w:tc>
          <w:tcPr>
            <w:tcW w:w="0" w:type="auto"/>
            <w:noWrap/>
            <w:vAlign w:val="center"/>
          </w:tcPr>
          <w:p>
            <w:pPr>
              <w:pStyle w:val="139"/>
              <w:spacing w:line="240" w:lineRule="auto"/>
              <w:rPr>
                <w:rFonts w:cs="Times New Roman"/>
                <w:sz w:val="16"/>
                <w:szCs w:val="18"/>
              </w:rPr>
            </w:pPr>
            <w:r>
              <w:rPr>
                <w:rFonts w:cs="Times New Roman"/>
                <w:sz w:val="16"/>
                <w:szCs w:val="18"/>
              </w:rPr>
              <w:t>2151</w:t>
            </w:r>
          </w:p>
        </w:tc>
        <w:tc>
          <w:tcPr>
            <w:tcW w:w="0" w:type="auto"/>
            <w:noWrap/>
            <w:vAlign w:val="center"/>
          </w:tcPr>
          <w:p>
            <w:pPr>
              <w:pStyle w:val="139"/>
              <w:spacing w:line="240" w:lineRule="auto"/>
              <w:rPr>
                <w:rFonts w:cs="Times New Roman"/>
                <w:sz w:val="16"/>
                <w:szCs w:val="18"/>
              </w:rPr>
            </w:pPr>
            <w:r>
              <w:rPr>
                <w:rFonts w:cs="Times New Roman"/>
                <w:sz w:val="16"/>
                <w:szCs w:val="18"/>
              </w:rPr>
              <w:t>10%</w:t>
            </w:r>
          </w:p>
        </w:tc>
        <w:tc>
          <w:tcPr>
            <w:tcW w:w="0" w:type="auto"/>
            <w:noWrap/>
            <w:vAlign w:val="center"/>
          </w:tcPr>
          <w:p>
            <w:pPr>
              <w:pStyle w:val="139"/>
              <w:spacing w:line="240" w:lineRule="auto"/>
              <w:rPr>
                <w:rFonts w:cs="Times New Roman"/>
                <w:sz w:val="16"/>
                <w:szCs w:val="18"/>
              </w:rPr>
            </w:pPr>
            <w:r>
              <w:rPr>
                <w:rFonts w:cs="Times New Roman"/>
                <w:sz w:val="16"/>
                <w:szCs w:val="18"/>
              </w:rPr>
              <w:t>1256</w:t>
            </w:r>
          </w:p>
        </w:tc>
        <w:tc>
          <w:tcPr>
            <w:tcW w:w="0" w:type="auto"/>
            <w:noWrap/>
            <w:vAlign w:val="center"/>
          </w:tcPr>
          <w:p>
            <w:pPr>
              <w:pStyle w:val="139"/>
              <w:spacing w:line="240" w:lineRule="auto"/>
              <w:rPr>
                <w:rFonts w:cs="Times New Roman"/>
                <w:sz w:val="16"/>
                <w:szCs w:val="18"/>
              </w:rPr>
            </w:pPr>
            <w:r>
              <w:rPr>
                <w:rFonts w:cs="Times New Roman"/>
                <w:sz w:val="16"/>
                <w:szCs w:val="18"/>
              </w:rPr>
              <w:t>8%</w:t>
            </w:r>
          </w:p>
        </w:tc>
        <w:tc>
          <w:tcPr>
            <w:tcW w:w="0" w:type="auto"/>
            <w:noWrap/>
            <w:vAlign w:val="center"/>
          </w:tcPr>
          <w:p>
            <w:pPr>
              <w:pStyle w:val="139"/>
              <w:spacing w:line="240" w:lineRule="auto"/>
              <w:rPr>
                <w:rFonts w:cs="Times New Roman"/>
                <w:sz w:val="16"/>
                <w:szCs w:val="18"/>
              </w:rPr>
            </w:pPr>
            <w:r>
              <w:rPr>
                <w:rFonts w:cs="Times New Roman"/>
                <w:sz w:val="16"/>
                <w:szCs w:val="18"/>
              </w:rPr>
              <w:t>894</w:t>
            </w:r>
          </w:p>
        </w:tc>
        <w:tc>
          <w:tcPr>
            <w:tcW w:w="0" w:type="auto"/>
            <w:noWrap/>
            <w:vAlign w:val="center"/>
          </w:tcPr>
          <w:p>
            <w:pPr>
              <w:pStyle w:val="139"/>
              <w:spacing w:line="240" w:lineRule="auto"/>
              <w:rPr>
                <w:rFonts w:cs="Times New Roman"/>
                <w:sz w:val="16"/>
                <w:szCs w:val="18"/>
              </w:rPr>
            </w:pPr>
            <w:r>
              <w:rPr>
                <w:rFonts w:cs="Times New Roman"/>
                <w:sz w:val="16"/>
                <w:szCs w:val="18"/>
              </w:rPr>
              <w:t>15%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2151</w:t>
            </w:r>
          </w:p>
        </w:tc>
        <w:tc>
          <w:tcPr>
            <w:tcW w:w="0" w:type="auto"/>
            <w:noWrap/>
            <w:vAlign w:val="center"/>
          </w:tcPr>
          <w:p>
            <w:pPr>
              <w:pStyle w:val="139"/>
              <w:spacing w:line="240" w:lineRule="auto"/>
              <w:rPr>
                <w:rFonts w:cs="Times New Roman"/>
                <w:sz w:val="16"/>
                <w:szCs w:val="18"/>
              </w:rPr>
            </w:pPr>
            <w:r>
              <w:rPr>
                <w:rFonts w:cs="Times New Roman"/>
                <w:sz w:val="16"/>
                <w:szCs w:val="18"/>
              </w:rPr>
              <w:t>2779</w:t>
            </w:r>
          </w:p>
        </w:tc>
        <w:tc>
          <w:tcPr>
            <w:tcW w:w="0" w:type="auto"/>
            <w:noWrap/>
            <w:vAlign w:val="center"/>
          </w:tcPr>
          <w:p>
            <w:pPr>
              <w:pStyle w:val="139"/>
              <w:spacing w:line="240" w:lineRule="auto"/>
              <w:rPr>
                <w:rFonts w:cs="Times New Roman"/>
                <w:sz w:val="16"/>
                <w:szCs w:val="18"/>
              </w:rPr>
            </w:pPr>
            <w:r>
              <w:rPr>
                <w:rFonts w:cs="Times New Roman"/>
                <w:sz w:val="16"/>
                <w:szCs w:val="18"/>
              </w:rPr>
              <w:t>13%</w:t>
            </w:r>
          </w:p>
        </w:tc>
        <w:tc>
          <w:tcPr>
            <w:tcW w:w="0" w:type="auto"/>
            <w:noWrap/>
            <w:vAlign w:val="center"/>
          </w:tcPr>
          <w:p>
            <w:pPr>
              <w:pStyle w:val="139"/>
              <w:spacing w:line="240" w:lineRule="auto"/>
              <w:rPr>
                <w:rFonts w:cs="Times New Roman"/>
                <w:sz w:val="16"/>
                <w:szCs w:val="18"/>
              </w:rPr>
            </w:pPr>
            <w:r>
              <w:rPr>
                <w:rFonts w:cs="Times New Roman"/>
                <w:sz w:val="16"/>
                <w:szCs w:val="18"/>
              </w:rPr>
              <w:t>1884</w:t>
            </w:r>
          </w:p>
        </w:tc>
        <w:tc>
          <w:tcPr>
            <w:tcW w:w="0" w:type="auto"/>
            <w:noWrap/>
            <w:vAlign w:val="center"/>
          </w:tcPr>
          <w:p>
            <w:pPr>
              <w:pStyle w:val="139"/>
              <w:spacing w:line="240" w:lineRule="auto"/>
              <w:rPr>
                <w:rFonts w:cs="Times New Roman"/>
                <w:sz w:val="16"/>
                <w:szCs w:val="18"/>
              </w:rPr>
            </w:pPr>
            <w:r>
              <w:rPr>
                <w:rFonts w:cs="Times New Roman"/>
                <w:sz w:val="16"/>
                <w:szCs w:val="18"/>
              </w:rPr>
              <w:t>12%</w:t>
            </w:r>
          </w:p>
        </w:tc>
        <w:tc>
          <w:tcPr>
            <w:tcW w:w="0" w:type="auto"/>
            <w:noWrap/>
            <w:vAlign w:val="center"/>
          </w:tcPr>
          <w:p>
            <w:pPr>
              <w:pStyle w:val="139"/>
              <w:spacing w:line="240" w:lineRule="auto"/>
              <w:rPr>
                <w:rFonts w:cs="Times New Roman"/>
                <w:sz w:val="16"/>
                <w:szCs w:val="18"/>
              </w:rPr>
            </w:pPr>
            <w:r>
              <w:rPr>
                <w:rFonts w:cs="Times New Roman"/>
                <w:sz w:val="16"/>
                <w:szCs w:val="18"/>
              </w:rPr>
              <w:t>894</w:t>
            </w:r>
          </w:p>
        </w:tc>
        <w:tc>
          <w:tcPr>
            <w:tcW w:w="0" w:type="auto"/>
            <w:noWrap/>
            <w:vAlign w:val="center"/>
          </w:tcPr>
          <w:p>
            <w:pPr>
              <w:pStyle w:val="139"/>
              <w:spacing w:line="240" w:lineRule="auto"/>
              <w:rPr>
                <w:rFonts w:cs="Times New Roman"/>
                <w:sz w:val="16"/>
                <w:szCs w:val="18"/>
              </w:rPr>
            </w:pPr>
            <w:r>
              <w:rPr>
                <w:rFonts w:cs="Times New Roman"/>
                <w:sz w:val="16"/>
                <w:szCs w:val="18"/>
              </w:rPr>
              <w:t>15%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油料</w:t>
            </w:r>
          </w:p>
        </w:tc>
        <w:tc>
          <w:tcPr>
            <w:tcW w:w="0" w:type="auto"/>
            <w:noWrap/>
            <w:vAlign w:val="center"/>
          </w:tcPr>
          <w:p>
            <w:pPr>
              <w:pStyle w:val="139"/>
              <w:spacing w:line="240" w:lineRule="auto"/>
              <w:rPr>
                <w:rFonts w:cs="Times New Roman"/>
                <w:sz w:val="16"/>
                <w:szCs w:val="18"/>
              </w:rPr>
            </w:pPr>
            <w:r>
              <w:rPr>
                <w:rFonts w:cs="Times New Roman"/>
                <w:sz w:val="16"/>
                <w:szCs w:val="18"/>
              </w:rPr>
              <w:t>油菜</w:t>
            </w:r>
          </w:p>
        </w:tc>
        <w:tc>
          <w:tcPr>
            <w:tcW w:w="0" w:type="auto"/>
            <w:noWrap/>
            <w:vAlign w:val="center"/>
          </w:tcPr>
          <w:p>
            <w:pPr>
              <w:pStyle w:val="139"/>
              <w:spacing w:line="240" w:lineRule="auto"/>
              <w:rPr>
                <w:rFonts w:cs="Times New Roman"/>
                <w:sz w:val="16"/>
                <w:szCs w:val="18"/>
              </w:rPr>
            </w:pPr>
            <w:r>
              <w:rPr>
                <w:rFonts w:cs="Times New Roman"/>
                <w:sz w:val="16"/>
                <w:szCs w:val="18"/>
              </w:rPr>
              <w:t>6970</w:t>
            </w:r>
          </w:p>
        </w:tc>
        <w:tc>
          <w:tcPr>
            <w:tcW w:w="0" w:type="auto"/>
            <w:noWrap/>
            <w:vAlign w:val="center"/>
          </w:tcPr>
          <w:p>
            <w:pPr>
              <w:pStyle w:val="139"/>
              <w:spacing w:line="240" w:lineRule="auto"/>
              <w:rPr>
                <w:rFonts w:cs="Times New Roman"/>
                <w:sz w:val="16"/>
                <w:szCs w:val="18"/>
              </w:rPr>
            </w:pPr>
            <w:r>
              <w:rPr>
                <w:rFonts w:cs="Times New Roman"/>
                <w:sz w:val="16"/>
                <w:szCs w:val="18"/>
              </w:rPr>
              <w:t>32%</w:t>
            </w:r>
          </w:p>
        </w:tc>
        <w:tc>
          <w:tcPr>
            <w:tcW w:w="0" w:type="auto"/>
            <w:noWrap/>
            <w:vAlign w:val="center"/>
          </w:tcPr>
          <w:p>
            <w:pPr>
              <w:pStyle w:val="139"/>
              <w:spacing w:line="240" w:lineRule="auto"/>
              <w:rPr>
                <w:rFonts w:cs="Times New Roman"/>
                <w:sz w:val="16"/>
                <w:szCs w:val="18"/>
              </w:rPr>
            </w:pPr>
            <w:r>
              <w:rPr>
                <w:rFonts w:cs="Times New Roman"/>
                <w:sz w:val="16"/>
                <w:szCs w:val="18"/>
              </w:rPr>
              <w:t>5181</w:t>
            </w:r>
          </w:p>
        </w:tc>
        <w:tc>
          <w:tcPr>
            <w:tcW w:w="0" w:type="auto"/>
            <w:noWrap/>
            <w:vAlign w:val="center"/>
          </w:tcPr>
          <w:p>
            <w:pPr>
              <w:pStyle w:val="139"/>
              <w:spacing w:line="240" w:lineRule="auto"/>
              <w:rPr>
                <w:rFonts w:cs="Times New Roman"/>
                <w:sz w:val="16"/>
                <w:szCs w:val="18"/>
              </w:rPr>
            </w:pPr>
            <w:r>
              <w:rPr>
                <w:rFonts w:cs="Times New Roman"/>
                <w:sz w:val="16"/>
                <w:szCs w:val="18"/>
              </w:rPr>
              <w:t>33%</w:t>
            </w:r>
          </w:p>
        </w:tc>
        <w:tc>
          <w:tcPr>
            <w:tcW w:w="0" w:type="auto"/>
            <w:noWrap/>
            <w:vAlign w:val="center"/>
          </w:tcPr>
          <w:p>
            <w:pPr>
              <w:pStyle w:val="139"/>
              <w:spacing w:line="240" w:lineRule="auto"/>
              <w:rPr>
                <w:rFonts w:cs="Times New Roman"/>
                <w:sz w:val="16"/>
                <w:szCs w:val="18"/>
              </w:rPr>
            </w:pPr>
            <w:r>
              <w:rPr>
                <w:rFonts w:cs="Times New Roman"/>
                <w:sz w:val="16"/>
                <w:szCs w:val="18"/>
              </w:rPr>
              <w:t>1789</w:t>
            </w:r>
          </w:p>
        </w:tc>
        <w:tc>
          <w:tcPr>
            <w:tcW w:w="0" w:type="auto"/>
            <w:noWrap/>
            <w:vAlign w:val="center"/>
          </w:tcPr>
          <w:p>
            <w:pPr>
              <w:pStyle w:val="139"/>
              <w:spacing w:line="240" w:lineRule="auto"/>
              <w:rPr>
                <w:rFonts w:cs="Times New Roman"/>
                <w:sz w:val="16"/>
                <w:szCs w:val="18"/>
              </w:rPr>
            </w:pPr>
            <w:r>
              <w:rPr>
                <w:rFonts w:cs="Times New Roman"/>
                <w:sz w:val="16"/>
                <w:szCs w:val="18"/>
              </w:rPr>
              <w:t>30%</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6970</w:t>
            </w:r>
          </w:p>
        </w:tc>
        <w:tc>
          <w:tcPr>
            <w:tcW w:w="0" w:type="auto"/>
            <w:noWrap/>
            <w:vAlign w:val="center"/>
          </w:tcPr>
          <w:p>
            <w:pPr>
              <w:pStyle w:val="139"/>
              <w:spacing w:line="240" w:lineRule="auto"/>
              <w:rPr>
                <w:rFonts w:cs="Times New Roman"/>
                <w:sz w:val="16"/>
                <w:szCs w:val="18"/>
              </w:rPr>
            </w:pPr>
            <w:r>
              <w:rPr>
                <w:rFonts w:cs="Times New Roman"/>
                <w:sz w:val="16"/>
                <w:szCs w:val="18"/>
              </w:rPr>
              <w:t>7284</w:t>
            </w:r>
          </w:p>
        </w:tc>
        <w:tc>
          <w:tcPr>
            <w:tcW w:w="0" w:type="auto"/>
            <w:noWrap/>
            <w:vAlign w:val="center"/>
          </w:tcPr>
          <w:p>
            <w:pPr>
              <w:pStyle w:val="139"/>
              <w:spacing w:line="240" w:lineRule="auto"/>
              <w:rPr>
                <w:rFonts w:cs="Times New Roman"/>
                <w:sz w:val="16"/>
                <w:szCs w:val="18"/>
              </w:rPr>
            </w:pPr>
            <w:r>
              <w:rPr>
                <w:rFonts w:cs="Times New Roman"/>
                <w:sz w:val="16"/>
                <w:szCs w:val="18"/>
              </w:rPr>
              <w:t>34%</w:t>
            </w:r>
          </w:p>
        </w:tc>
        <w:tc>
          <w:tcPr>
            <w:tcW w:w="0" w:type="auto"/>
            <w:noWrap/>
            <w:vAlign w:val="center"/>
          </w:tcPr>
          <w:p>
            <w:pPr>
              <w:pStyle w:val="139"/>
              <w:spacing w:line="240" w:lineRule="auto"/>
              <w:rPr>
                <w:rFonts w:cs="Times New Roman"/>
                <w:sz w:val="16"/>
                <w:szCs w:val="18"/>
              </w:rPr>
            </w:pPr>
            <w:r>
              <w:rPr>
                <w:rFonts w:cs="Times New Roman"/>
                <w:sz w:val="16"/>
                <w:szCs w:val="18"/>
              </w:rPr>
              <w:t>5495</w:t>
            </w:r>
          </w:p>
        </w:tc>
        <w:tc>
          <w:tcPr>
            <w:tcW w:w="0" w:type="auto"/>
            <w:noWrap/>
            <w:vAlign w:val="center"/>
          </w:tcPr>
          <w:p>
            <w:pPr>
              <w:pStyle w:val="139"/>
              <w:spacing w:line="240" w:lineRule="auto"/>
              <w:rPr>
                <w:rFonts w:cs="Times New Roman"/>
                <w:sz w:val="16"/>
                <w:szCs w:val="18"/>
              </w:rPr>
            </w:pPr>
            <w:r>
              <w:rPr>
                <w:rFonts w:cs="Times New Roman"/>
                <w:sz w:val="16"/>
                <w:szCs w:val="18"/>
              </w:rPr>
              <w:t>35%</w:t>
            </w:r>
          </w:p>
        </w:tc>
        <w:tc>
          <w:tcPr>
            <w:tcW w:w="0" w:type="auto"/>
            <w:noWrap/>
            <w:vAlign w:val="center"/>
          </w:tcPr>
          <w:p>
            <w:pPr>
              <w:pStyle w:val="139"/>
              <w:spacing w:line="240" w:lineRule="auto"/>
              <w:rPr>
                <w:rFonts w:cs="Times New Roman"/>
                <w:sz w:val="16"/>
                <w:szCs w:val="18"/>
              </w:rPr>
            </w:pPr>
            <w:r>
              <w:rPr>
                <w:rFonts w:cs="Times New Roman"/>
                <w:sz w:val="16"/>
                <w:szCs w:val="18"/>
              </w:rPr>
              <w:t>1789</w:t>
            </w:r>
          </w:p>
        </w:tc>
        <w:tc>
          <w:tcPr>
            <w:tcW w:w="0" w:type="auto"/>
            <w:noWrap/>
            <w:vAlign w:val="center"/>
          </w:tcPr>
          <w:p>
            <w:pPr>
              <w:pStyle w:val="139"/>
              <w:spacing w:line="240" w:lineRule="auto"/>
              <w:rPr>
                <w:rFonts w:cs="Times New Roman"/>
                <w:sz w:val="16"/>
                <w:szCs w:val="18"/>
              </w:rPr>
            </w:pPr>
            <w:r>
              <w:rPr>
                <w:rFonts w:cs="Times New Roman"/>
                <w:sz w:val="16"/>
                <w:szCs w:val="18"/>
              </w:rPr>
              <w:t>30%</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7284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restart"/>
            <w:vAlign w:val="center"/>
          </w:tcPr>
          <w:p>
            <w:pPr>
              <w:pStyle w:val="139"/>
              <w:spacing w:line="240" w:lineRule="auto"/>
              <w:rPr>
                <w:rFonts w:cs="Times New Roman"/>
                <w:sz w:val="16"/>
                <w:szCs w:val="18"/>
              </w:rPr>
            </w:pPr>
            <w:r>
              <w:rPr>
                <w:rFonts w:cs="Times New Roman"/>
                <w:sz w:val="16"/>
                <w:szCs w:val="18"/>
              </w:rPr>
              <w:t>其他</w:t>
            </w:r>
          </w:p>
          <w:p>
            <w:pPr>
              <w:pStyle w:val="139"/>
              <w:spacing w:line="240" w:lineRule="auto"/>
              <w:rPr>
                <w:rFonts w:cs="Times New Roman"/>
                <w:sz w:val="16"/>
                <w:szCs w:val="18"/>
              </w:rPr>
            </w:pPr>
            <w:r>
              <w:rPr>
                <w:rFonts w:cs="Times New Roman"/>
                <w:sz w:val="16"/>
                <w:szCs w:val="18"/>
              </w:rPr>
              <w:t>经济</w:t>
            </w:r>
          </w:p>
          <w:p>
            <w:pPr>
              <w:pStyle w:val="139"/>
              <w:spacing w:line="240" w:lineRule="auto"/>
              <w:rPr>
                <w:rFonts w:cs="Times New Roman"/>
                <w:sz w:val="16"/>
                <w:szCs w:val="18"/>
              </w:rPr>
            </w:pPr>
            <w:r>
              <w:rPr>
                <w:rFonts w:cs="Times New Roman"/>
                <w:sz w:val="16"/>
                <w:szCs w:val="18"/>
              </w:rPr>
              <w:t>作物</w:t>
            </w:r>
          </w:p>
        </w:tc>
        <w:tc>
          <w:tcPr>
            <w:tcW w:w="0" w:type="auto"/>
            <w:vMerge w:val="restart"/>
            <w:noWrap/>
            <w:vAlign w:val="center"/>
          </w:tcPr>
          <w:p>
            <w:pPr>
              <w:pStyle w:val="139"/>
              <w:spacing w:line="240" w:lineRule="auto"/>
              <w:rPr>
                <w:rFonts w:cs="Times New Roman"/>
                <w:sz w:val="16"/>
                <w:szCs w:val="18"/>
              </w:rPr>
            </w:pPr>
            <w:r>
              <w:rPr>
                <w:rFonts w:cs="Times New Roman"/>
                <w:sz w:val="16"/>
                <w:szCs w:val="18"/>
              </w:rPr>
              <w:t>其他</w:t>
            </w:r>
          </w:p>
        </w:tc>
        <w:tc>
          <w:tcPr>
            <w:tcW w:w="0" w:type="auto"/>
            <w:noWrap/>
            <w:vAlign w:val="center"/>
          </w:tcPr>
          <w:p>
            <w:pPr>
              <w:pStyle w:val="139"/>
              <w:spacing w:line="240" w:lineRule="auto"/>
              <w:rPr>
                <w:rFonts w:cs="Times New Roman"/>
                <w:sz w:val="16"/>
                <w:szCs w:val="18"/>
              </w:rPr>
            </w:pPr>
            <w:r>
              <w:rPr>
                <w:rFonts w:cs="Times New Roman"/>
                <w:sz w:val="16"/>
                <w:szCs w:val="18"/>
              </w:rPr>
              <w:t>果树</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592</w:t>
            </w:r>
          </w:p>
        </w:tc>
        <w:tc>
          <w:tcPr>
            <w:tcW w:w="0" w:type="auto"/>
            <w:noWrap/>
            <w:vAlign w:val="center"/>
          </w:tcPr>
          <w:p>
            <w:pPr>
              <w:pStyle w:val="139"/>
              <w:spacing w:line="240" w:lineRule="auto"/>
              <w:rPr>
                <w:rFonts w:cs="Times New Roman"/>
                <w:sz w:val="16"/>
                <w:szCs w:val="18"/>
              </w:rPr>
            </w:pPr>
            <w:r>
              <w:rPr>
                <w:rFonts w:cs="Times New Roman"/>
                <w:sz w:val="16"/>
                <w:szCs w:val="18"/>
              </w:rPr>
              <w:t>71%</w:t>
            </w:r>
          </w:p>
        </w:tc>
        <w:tc>
          <w:tcPr>
            <w:tcW w:w="0" w:type="auto"/>
            <w:noWrap/>
            <w:vAlign w:val="center"/>
          </w:tcPr>
          <w:p>
            <w:pPr>
              <w:pStyle w:val="139"/>
              <w:spacing w:line="240" w:lineRule="auto"/>
              <w:rPr>
                <w:rFonts w:cs="Times New Roman"/>
                <w:sz w:val="16"/>
                <w:szCs w:val="18"/>
              </w:rPr>
            </w:pPr>
            <w:r>
              <w:rPr>
                <w:rFonts w:cs="Times New Roman"/>
                <w:sz w:val="16"/>
                <w:szCs w:val="18"/>
              </w:rPr>
              <w:t>592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772</w:t>
            </w:r>
          </w:p>
        </w:tc>
        <w:tc>
          <w:tcPr>
            <w:tcW w:w="0" w:type="auto"/>
            <w:noWrap/>
            <w:vAlign w:val="center"/>
          </w:tcPr>
          <w:p>
            <w:pPr>
              <w:pStyle w:val="139"/>
              <w:spacing w:line="240" w:lineRule="auto"/>
              <w:rPr>
                <w:rFonts w:cs="Times New Roman"/>
                <w:sz w:val="16"/>
                <w:szCs w:val="18"/>
              </w:rPr>
            </w:pPr>
            <w:r>
              <w:rPr>
                <w:rFonts w:cs="Times New Roman"/>
                <w:sz w:val="16"/>
                <w:szCs w:val="18"/>
              </w:rPr>
              <w:t>92%</w:t>
            </w:r>
          </w:p>
        </w:tc>
        <w:tc>
          <w:tcPr>
            <w:tcW w:w="0" w:type="auto"/>
            <w:noWrap/>
            <w:vAlign w:val="center"/>
          </w:tcPr>
          <w:p>
            <w:pPr>
              <w:pStyle w:val="139"/>
              <w:spacing w:line="240" w:lineRule="auto"/>
              <w:rPr>
                <w:rFonts w:cs="Times New Roman"/>
                <w:sz w:val="16"/>
                <w:szCs w:val="18"/>
              </w:rPr>
            </w:pPr>
            <w:r>
              <w:rPr>
                <w:rFonts w:cs="Times New Roman"/>
                <w:sz w:val="16"/>
                <w:szCs w:val="18"/>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茶叶</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66</w:t>
            </w:r>
          </w:p>
        </w:tc>
        <w:tc>
          <w:tcPr>
            <w:tcW w:w="0" w:type="auto"/>
            <w:noWrap/>
            <w:vAlign w:val="center"/>
          </w:tcPr>
          <w:p>
            <w:pPr>
              <w:pStyle w:val="139"/>
              <w:spacing w:line="240" w:lineRule="auto"/>
              <w:rPr>
                <w:rFonts w:cs="Times New Roman"/>
                <w:sz w:val="16"/>
                <w:szCs w:val="18"/>
              </w:rPr>
            </w:pPr>
            <w:r>
              <w:rPr>
                <w:rFonts w:cs="Times New Roman"/>
                <w:sz w:val="16"/>
                <w:szCs w:val="18"/>
              </w:rPr>
              <w:t>8%</w:t>
            </w:r>
          </w:p>
        </w:tc>
        <w:tc>
          <w:tcPr>
            <w:tcW w:w="0" w:type="auto"/>
            <w:noWrap/>
            <w:vAlign w:val="center"/>
          </w:tcPr>
          <w:p>
            <w:pPr>
              <w:pStyle w:val="139"/>
              <w:spacing w:line="240" w:lineRule="auto"/>
              <w:rPr>
                <w:rFonts w:cs="Times New Roman"/>
                <w:sz w:val="16"/>
                <w:szCs w:val="18"/>
              </w:rPr>
            </w:pPr>
            <w:r>
              <w:rPr>
                <w:rFonts w:cs="Times New Roman"/>
                <w:sz w:val="16"/>
                <w:szCs w:val="18"/>
              </w:rPr>
              <w:t>66</w:t>
            </w:r>
          </w:p>
        </w:tc>
        <w:tc>
          <w:tcPr>
            <w:tcW w:w="0" w:type="auto"/>
            <w:noWrap/>
            <w:vAlign w:val="center"/>
          </w:tcPr>
          <w:p>
            <w:pPr>
              <w:pStyle w:val="139"/>
              <w:spacing w:line="240" w:lineRule="auto"/>
              <w:rPr>
                <w:rFonts w:cs="Times New Roman"/>
                <w:sz w:val="16"/>
                <w:szCs w:val="18"/>
              </w:rPr>
            </w:pPr>
            <w:r>
              <w:rPr>
                <w:rFonts w:cs="Times New Roman"/>
                <w:sz w:val="16"/>
                <w:szCs w:val="18"/>
              </w:rPr>
              <w:t>1980</w:t>
            </w:r>
          </w:p>
        </w:tc>
        <w:tc>
          <w:tcPr>
            <w:tcW w:w="0" w:type="auto"/>
            <w:noWrap/>
            <w:vAlign w:val="center"/>
          </w:tcPr>
          <w:p>
            <w:pPr>
              <w:pStyle w:val="139"/>
              <w:spacing w:line="240" w:lineRule="auto"/>
              <w:rPr>
                <w:rFonts w:cs="Times New Roman"/>
                <w:sz w:val="16"/>
                <w:szCs w:val="18"/>
              </w:rPr>
            </w:pPr>
            <w:r>
              <w:rPr>
                <w:rFonts w:cs="Times New Roman"/>
                <w:sz w:val="16"/>
                <w:szCs w:val="18"/>
              </w:rPr>
              <w:t>9%</w:t>
            </w:r>
          </w:p>
        </w:tc>
        <w:tc>
          <w:tcPr>
            <w:tcW w:w="0" w:type="auto"/>
            <w:noWrap/>
            <w:vAlign w:val="center"/>
          </w:tcPr>
          <w:p>
            <w:pPr>
              <w:pStyle w:val="139"/>
              <w:spacing w:line="240" w:lineRule="auto"/>
              <w:rPr>
                <w:rFonts w:cs="Times New Roman"/>
                <w:sz w:val="16"/>
                <w:szCs w:val="18"/>
              </w:rPr>
            </w:pPr>
            <w:r>
              <w:rPr>
                <w:rFonts w:cs="Times New Roman"/>
                <w:sz w:val="16"/>
                <w:szCs w:val="18"/>
              </w:rPr>
              <w:t>1380</w:t>
            </w:r>
          </w:p>
        </w:tc>
        <w:tc>
          <w:tcPr>
            <w:tcW w:w="0" w:type="auto"/>
            <w:noWrap/>
            <w:vAlign w:val="center"/>
          </w:tcPr>
          <w:p>
            <w:pPr>
              <w:pStyle w:val="139"/>
              <w:spacing w:line="240" w:lineRule="auto"/>
              <w:rPr>
                <w:rFonts w:cs="Times New Roman"/>
                <w:sz w:val="16"/>
                <w:szCs w:val="18"/>
              </w:rPr>
            </w:pPr>
            <w:r>
              <w:rPr>
                <w:rFonts w:cs="Times New Roman"/>
                <w:sz w:val="16"/>
                <w:szCs w:val="18"/>
              </w:rPr>
              <w:t>9%</w:t>
            </w:r>
          </w:p>
        </w:tc>
        <w:tc>
          <w:tcPr>
            <w:tcW w:w="0" w:type="auto"/>
            <w:noWrap/>
            <w:vAlign w:val="center"/>
          </w:tcPr>
          <w:p>
            <w:pPr>
              <w:pStyle w:val="139"/>
              <w:spacing w:line="240" w:lineRule="auto"/>
              <w:rPr>
                <w:rFonts w:cs="Times New Roman"/>
                <w:sz w:val="16"/>
                <w:szCs w:val="18"/>
              </w:rPr>
            </w:pPr>
            <w:r>
              <w:rPr>
                <w:rFonts w:cs="Times New Roman"/>
                <w:sz w:val="16"/>
                <w:szCs w:val="18"/>
              </w:rPr>
              <w:t>600</w:t>
            </w:r>
          </w:p>
        </w:tc>
        <w:tc>
          <w:tcPr>
            <w:tcW w:w="0" w:type="auto"/>
            <w:noWrap/>
            <w:vAlign w:val="center"/>
          </w:tcPr>
          <w:p>
            <w:pPr>
              <w:pStyle w:val="139"/>
              <w:spacing w:line="240" w:lineRule="auto"/>
              <w:rPr>
                <w:rFonts w:cs="Times New Roman"/>
                <w:sz w:val="16"/>
                <w:szCs w:val="18"/>
              </w:rPr>
            </w:pPr>
            <w:r>
              <w:rPr>
                <w:rFonts w:cs="Times New Roman"/>
                <w:sz w:val="16"/>
                <w:szCs w:val="18"/>
              </w:rPr>
              <w:t>10%</w:t>
            </w:r>
          </w:p>
        </w:tc>
        <w:tc>
          <w:tcPr>
            <w:tcW w:w="0" w:type="auto"/>
            <w:noWrap/>
            <w:vAlign w:val="center"/>
          </w:tcPr>
          <w:p>
            <w:pPr>
              <w:pStyle w:val="139"/>
              <w:spacing w:line="240" w:lineRule="auto"/>
              <w:rPr>
                <w:rFonts w:cs="Times New Roman"/>
                <w:sz w:val="16"/>
                <w:szCs w:val="18"/>
              </w:rPr>
            </w:pPr>
            <w:r>
              <w:rPr>
                <w:rFonts w:cs="Times New Roman"/>
                <w:sz w:val="16"/>
                <w:szCs w:val="18"/>
              </w:rPr>
              <w:t>66</w:t>
            </w:r>
          </w:p>
        </w:tc>
        <w:tc>
          <w:tcPr>
            <w:tcW w:w="0" w:type="auto"/>
            <w:noWrap/>
            <w:vAlign w:val="center"/>
          </w:tcPr>
          <w:p>
            <w:pPr>
              <w:pStyle w:val="139"/>
              <w:spacing w:line="240" w:lineRule="auto"/>
              <w:rPr>
                <w:rFonts w:cs="Times New Roman"/>
                <w:sz w:val="16"/>
                <w:szCs w:val="18"/>
              </w:rPr>
            </w:pPr>
            <w:r>
              <w:rPr>
                <w:rFonts w:cs="Times New Roman"/>
                <w:sz w:val="16"/>
                <w:szCs w:val="18"/>
              </w:rPr>
              <w:t>8%</w:t>
            </w:r>
          </w:p>
        </w:tc>
        <w:tc>
          <w:tcPr>
            <w:tcW w:w="0" w:type="auto"/>
            <w:noWrap/>
            <w:vAlign w:val="center"/>
          </w:tcPr>
          <w:p>
            <w:pPr>
              <w:pStyle w:val="139"/>
              <w:spacing w:line="240" w:lineRule="auto"/>
              <w:rPr>
                <w:rFonts w:cs="Times New Roman"/>
                <w:sz w:val="16"/>
                <w:szCs w:val="18"/>
              </w:rPr>
            </w:pPr>
            <w:r>
              <w:rPr>
                <w:rFonts w:cs="Times New Roman"/>
                <w:sz w:val="16"/>
                <w:szCs w:val="18"/>
              </w:rPr>
              <w:t>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药材</w:t>
            </w:r>
          </w:p>
        </w:tc>
        <w:tc>
          <w:tcPr>
            <w:tcW w:w="0" w:type="auto"/>
            <w:noWrap/>
            <w:vAlign w:val="center"/>
          </w:tcPr>
          <w:p>
            <w:pPr>
              <w:pStyle w:val="139"/>
              <w:spacing w:line="240" w:lineRule="auto"/>
              <w:rPr>
                <w:rFonts w:cs="Times New Roman"/>
                <w:sz w:val="16"/>
                <w:szCs w:val="18"/>
              </w:rPr>
            </w:pPr>
            <w:r>
              <w:rPr>
                <w:rFonts w:cs="Times New Roman"/>
                <w:sz w:val="16"/>
                <w:szCs w:val="18"/>
              </w:rPr>
              <w:t>672</w:t>
            </w:r>
          </w:p>
        </w:tc>
        <w:tc>
          <w:tcPr>
            <w:tcW w:w="0" w:type="auto"/>
            <w:noWrap/>
            <w:vAlign w:val="center"/>
          </w:tcPr>
          <w:p>
            <w:pPr>
              <w:pStyle w:val="139"/>
              <w:spacing w:line="240" w:lineRule="auto"/>
              <w:rPr>
                <w:rFonts w:cs="Times New Roman"/>
                <w:sz w:val="16"/>
                <w:szCs w:val="18"/>
              </w:rPr>
            </w:pPr>
            <w:r>
              <w:rPr>
                <w:rFonts w:cs="Times New Roman"/>
                <w:sz w:val="16"/>
                <w:szCs w:val="18"/>
              </w:rPr>
              <w:t>4%</w:t>
            </w:r>
          </w:p>
        </w:tc>
        <w:tc>
          <w:tcPr>
            <w:tcW w:w="0" w:type="auto"/>
            <w:noWrap/>
            <w:vAlign w:val="center"/>
          </w:tcPr>
          <w:p>
            <w:pPr>
              <w:pStyle w:val="139"/>
              <w:spacing w:line="240" w:lineRule="auto"/>
              <w:rPr>
                <w:rFonts w:cs="Times New Roman"/>
                <w:sz w:val="16"/>
                <w:szCs w:val="18"/>
              </w:rPr>
            </w:pPr>
            <w:r>
              <w:rPr>
                <w:rFonts w:cs="Times New Roman"/>
                <w:sz w:val="16"/>
                <w:szCs w:val="18"/>
              </w:rPr>
              <w:t>314</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358</w:t>
            </w:r>
          </w:p>
        </w:tc>
        <w:tc>
          <w:tcPr>
            <w:tcW w:w="0" w:type="auto"/>
            <w:noWrap/>
            <w:vAlign w:val="center"/>
          </w:tcPr>
          <w:p>
            <w:pPr>
              <w:pStyle w:val="139"/>
              <w:spacing w:line="240" w:lineRule="auto"/>
              <w:rPr>
                <w:rFonts w:cs="Times New Roman"/>
                <w:sz w:val="16"/>
                <w:szCs w:val="18"/>
              </w:rPr>
            </w:pPr>
            <w:r>
              <w:rPr>
                <w:rFonts w:cs="Times New Roman"/>
                <w:sz w:val="16"/>
                <w:szCs w:val="18"/>
              </w:rPr>
              <w:t>6%</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672</w:t>
            </w:r>
          </w:p>
        </w:tc>
        <w:tc>
          <w:tcPr>
            <w:tcW w:w="0" w:type="auto"/>
            <w:noWrap/>
            <w:vAlign w:val="center"/>
          </w:tcPr>
          <w:p>
            <w:pPr>
              <w:pStyle w:val="139"/>
              <w:spacing w:line="240" w:lineRule="auto"/>
              <w:rPr>
                <w:rFonts w:cs="Times New Roman"/>
                <w:sz w:val="16"/>
                <w:szCs w:val="18"/>
              </w:rPr>
            </w:pPr>
            <w:r>
              <w:rPr>
                <w:rFonts w:cs="Times New Roman"/>
                <w:sz w:val="16"/>
                <w:szCs w:val="18"/>
              </w:rPr>
              <w:t>3020</w:t>
            </w:r>
          </w:p>
        </w:tc>
        <w:tc>
          <w:tcPr>
            <w:tcW w:w="0" w:type="auto"/>
            <w:noWrap/>
            <w:vAlign w:val="center"/>
          </w:tcPr>
          <w:p>
            <w:pPr>
              <w:pStyle w:val="139"/>
              <w:spacing w:line="240" w:lineRule="auto"/>
              <w:rPr>
                <w:rFonts w:cs="Times New Roman"/>
                <w:sz w:val="16"/>
                <w:szCs w:val="18"/>
              </w:rPr>
            </w:pPr>
            <w:r>
              <w:rPr>
                <w:rFonts w:cs="Times New Roman"/>
                <w:sz w:val="16"/>
                <w:szCs w:val="18"/>
              </w:rPr>
              <w:t>14%</w:t>
            </w:r>
          </w:p>
        </w:tc>
        <w:tc>
          <w:tcPr>
            <w:tcW w:w="0" w:type="auto"/>
            <w:noWrap/>
            <w:vAlign w:val="center"/>
          </w:tcPr>
          <w:p>
            <w:pPr>
              <w:pStyle w:val="139"/>
              <w:spacing w:line="240" w:lineRule="auto"/>
              <w:rPr>
                <w:rFonts w:cs="Times New Roman"/>
                <w:sz w:val="16"/>
                <w:szCs w:val="18"/>
              </w:rPr>
            </w:pPr>
            <w:r>
              <w:rPr>
                <w:rFonts w:cs="Times New Roman"/>
                <w:sz w:val="16"/>
                <w:szCs w:val="18"/>
              </w:rPr>
              <w:t>2170</w:t>
            </w:r>
          </w:p>
        </w:tc>
        <w:tc>
          <w:tcPr>
            <w:tcW w:w="0" w:type="auto"/>
            <w:noWrap/>
            <w:vAlign w:val="center"/>
          </w:tcPr>
          <w:p>
            <w:pPr>
              <w:pStyle w:val="139"/>
              <w:spacing w:line="240" w:lineRule="auto"/>
              <w:rPr>
                <w:rFonts w:cs="Times New Roman"/>
                <w:sz w:val="16"/>
                <w:szCs w:val="18"/>
              </w:rPr>
            </w:pPr>
            <w:r>
              <w:rPr>
                <w:rFonts w:cs="Times New Roman"/>
                <w:sz w:val="16"/>
                <w:szCs w:val="18"/>
              </w:rPr>
              <w:t>5%</w:t>
            </w:r>
          </w:p>
        </w:tc>
        <w:tc>
          <w:tcPr>
            <w:tcW w:w="0" w:type="auto"/>
            <w:noWrap/>
            <w:vAlign w:val="center"/>
          </w:tcPr>
          <w:p>
            <w:pPr>
              <w:pStyle w:val="139"/>
              <w:spacing w:line="240" w:lineRule="auto"/>
              <w:rPr>
                <w:rFonts w:cs="Times New Roman"/>
                <w:sz w:val="16"/>
                <w:szCs w:val="18"/>
              </w:rPr>
            </w:pPr>
            <w:r>
              <w:rPr>
                <w:rFonts w:cs="Times New Roman"/>
                <w:sz w:val="16"/>
                <w:szCs w:val="18"/>
              </w:rPr>
              <w:t>850</w:t>
            </w:r>
          </w:p>
        </w:tc>
        <w:tc>
          <w:tcPr>
            <w:tcW w:w="0" w:type="auto"/>
            <w:noWrap/>
            <w:vAlign w:val="center"/>
          </w:tcPr>
          <w:p>
            <w:pPr>
              <w:pStyle w:val="139"/>
              <w:spacing w:line="240" w:lineRule="auto"/>
              <w:rPr>
                <w:rFonts w:cs="Times New Roman"/>
                <w:sz w:val="16"/>
                <w:szCs w:val="18"/>
              </w:rPr>
            </w:pPr>
            <w:r>
              <w:rPr>
                <w:rFonts w:cs="Times New Roman"/>
                <w:sz w:val="16"/>
                <w:szCs w:val="18"/>
              </w:rPr>
              <w:t>15%</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pPr>
              <w:pStyle w:val="139"/>
              <w:spacing w:line="240" w:lineRule="auto"/>
              <w:rPr>
                <w:rFonts w:cs="Times New Roman"/>
                <w:sz w:val="16"/>
                <w:szCs w:val="18"/>
              </w:rPr>
            </w:pPr>
          </w:p>
        </w:tc>
        <w:tc>
          <w:tcPr>
            <w:tcW w:w="0" w:type="auto"/>
            <w:vMerge w:val="continue"/>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其他</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r>
              <w:rPr>
                <w:rFonts w:cs="Times New Roman"/>
                <w:sz w:val="16"/>
                <w:szCs w:val="18"/>
              </w:rPr>
              <w:t>180</w:t>
            </w:r>
          </w:p>
        </w:tc>
        <w:tc>
          <w:tcPr>
            <w:tcW w:w="0" w:type="auto"/>
            <w:noWrap/>
            <w:vAlign w:val="center"/>
          </w:tcPr>
          <w:p>
            <w:pPr>
              <w:pStyle w:val="139"/>
              <w:spacing w:line="240" w:lineRule="auto"/>
              <w:rPr>
                <w:rFonts w:cs="Times New Roman"/>
                <w:sz w:val="16"/>
                <w:szCs w:val="18"/>
              </w:rPr>
            </w:pPr>
            <w:r>
              <w:rPr>
                <w:rFonts w:cs="Times New Roman"/>
                <w:sz w:val="16"/>
                <w:szCs w:val="18"/>
              </w:rPr>
              <w:t>22%</w:t>
            </w:r>
          </w:p>
        </w:tc>
        <w:tc>
          <w:tcPr>
            <w:tcW w:w="0" w:type="auto"/>
            <w:noWrap/>
            <w:vAlign w:val="center"/>
          </w:tcPr>
          <w:p>
            <w:pPr>
              <w:pStyle w:val="139"/>
              <w:spacing w:line="240" w:lineRule="auto"/>
              <w:rPr>
                <w:rFonts w:cs="Times New Roman"/>
                <w:sz w:val="16"/>
                <w:szCs w:val="18"/>
              </w:rPr>
            </w:pPr>
            <w:r>
              <w:rPr>
                <w:rFonts w:cs="Times New Roman"/>
                <w:sz w:val="16"/>
                <w:szCs w:val="18"/>
              </w:rPr>
              <w:t>456</w:t>
            </w:r>
          </w:p>
        </w:tc>
        <w:tc>
          <w:tcPr>
            <w:tcW w:w="0" w:type="auto"/>
            <w:noWrap/>
            <w:vAlign w:val="center"/>
          </w:tcPr>
          <w:p>
            <w:pPr>
              <w:pStyle w:val="139"/>
              <w:spacing w:line="240" w:lineRule="auto"/>
              <w:rPr>
                <w:rFonts w:cs="Times New Roman"/>
                <w:sz w:val="16"/>
                <w:szCs w:val="18"/>
              </w:rPr>
            </w:pPr>
            <w:r>
              <w:rPr>
                <w:rFonts w:cs="Times New Roman"/>
                <w:sz w:val="16"/>
                <w:szCs w:val="18"/>
              </w:rPr>
              <w:t>276</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157</w:t>
            </w:r>
          </w:p>
        </w:tc>
        <w:tc>
          <w:tcPr>
            <w:tcW w:w="0" w:type="auto"/>
            <w:noWrap/>
            <w:vAlign w:val="center"/>
          </w:tcPr>
          <w:p>
            <w:pPr>
              <w:pStyle w:val="139"/>
              <w:spacing w:line="240" w:lineRule="auto"/>
              <w:rPr>
                <w:rFonts w:cs="Times New Roman"/>
                <w:sz w:val="16"/>
                <w:szCs w:val="18"/>
              </w:rPr>
            </w:pPr>
            <w:r>
              <w:rPr>
                <w:rFonts w:cs="Times New Roman"/>
                <w:sz w:val="16"/>
                <w:szCs w:val="18"/>
              </w:rPr>
              <w:t>1%</w:t>
            </w:r>
          </w:p>
        </w:tc>
        <w:tc>
          <w:tcPr>
            <w:tcW w:w="0" w:type="auto"/>
            <w:noWrap/>
            <w:vAlign w:val="center"/>
          </w:tcPr>
          <w:p>
            <w:pPr>
              <w:pStyle w:val="139"/>
              <w:spacing w:line="240" w:lineRule="auto"/>
              <w:rPr>
                <w:rFonts w:cs="Times New Roman"/>
                <w:sz w:val="16"/>
                <w:szCs w:val="18"/>
              </w:rPr>
            </w:pPr>
            <w:r>
              <w:rPr>
                <w:rFonts w:cs="Times New Roman"/>
                <w:sz w:val="16"/>
                <w:szCs w:val="18"/>
              </w:rPr>
              <w:t>119</w:t>
            </w:r>
          </w:p>
        </w:tc>
        <w:tc>
          <w:tcPr>
            <w:tcW w:w="0" w:type="auto"/>
            <w:noWrap/>
            <w:vAlign w:val="center"/>
          </w:tcPr>
          <w:p>
            <w:pPr>
              <w:pStyle w:val="139"/>
              <w:spacing w:line="240" w:lineRule="auto"/>
              <w:rPr>
                <w:rFonts w:cs="Times New Roman"/>
                <w:sz w:val="16"/>
                <w:szCs w:val="18"/>
              </w:rPr>
            </w:pPr>
            <w:r>
              <w:rPr>
                <w:rFonts w:cs="Times New Roman"/>
                <w:sz w:val="16"/>
                <w:szCs w:val="18"/>
              </w:rPr>
              <w:t>2%</w:t>
            </w: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p>
        </w:tc>
        <w:tc>
          <w:tcPr>
            <w:tcW w:w="0" w:type="auto"/>
            <w:noWrap/>
            <w:vAlign w:val="center"/>
          </w:tcPr>
          <w:p>
            <w:pPr>
              <w:pStyle w:val="139"/>
              <w:spacing w:line="240" w:lineRule="auto"/>
              <w:rPr>
                <w:rFonts w:cs="Times New Roman"/>
                <w:sz w:val="16"/>
                <w:szCs w:val="18"/>
              </w:rPr>
            </w:pPr>
            <w:r>
              <w:rPr>
                <w:rFonts w:cs="Times New Roman"/>
                <w:sz w:val="16"/>
                <w:szCs w:val="1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gridSpan w:val="21"/>
            <w:vAlign w:val="center"/>
          </w:tcPr>
          <w:p>
            <w:pPr>
              <w:pStyle w:val="139"/>
              <w:spacing w:line="240" w:lineRule="auto"/>
              <w:rPr>
                <w:rFonts w:cs="Times New Roman"/>
                <w:sz w:val="16"/>
                <w:szCs w:val="18"/>
              </w:rPr>
            </w:pPr>
            <w:r>
              <w:rPr>
                <w:rFonts w:cs="Times New Roman"/>
                <w:sz w:val="16"/>
                <w:szCs w:val="18"/>
              </w:rPr>
              <w:t>说明：耕地种植茶叶、药材，按照</w:t>
            </w:r>
            <w:r>
              <w:rPr>
                <w:rFonts w:hint="eastAsia" w:cs="Times New Roman"/>
                <w:sz w:val="16"/>
                <w:szCs w:val="18"/>
              </w:rPr>
              <w:t>“</w:t>
            </w:r>
            <w:r>
              <w:rPr>
                <w:rFonts w:cs="Times New Roman"/>
                <w:sz w:val="16"/>
                <w:szCs w:val="18"/>
              </w:rPr>
              <w:t>耕地数量不减少</w:t>
            </w:r>
            <w:r>
              <w:rPr>
                <w:rFonts w:hint="eastAsia" w:cs="Times New Roman"/>
                <w:sz w:val="16"/>
                <w:szCs w:val="18"/>
              </w:rPr>
              <w:t>”</w:t>
            </w:r>
            <w:r>
              <w:rPr>
                <w:rFonts w:cs="Times New Roman"/>
                <w:sz w:val="16"/>
                <w:szCs w:val="18"/>
              </w:rPr>
              <w:t>的要求，统计口径仍为耕地。</w:t>
            </w:r>
          </w:p>
        </w:tc>
      </w:tr>
    </w:tbl>
    <w:p>
      <w:pPr>
        <w:ind w:firstLine="0" w:firstLineChars="0"/>
        <w:contextualSpacing/>
        <w:outlineLvl w:val="3"/>
        <w:rPr>
          <w:b/>
          <w:bCs/>
        </w:rPr>
      </w:pPr>
      <w:r>
        <w:rPr>
          <w:b/>
          <w:bCs/>
        </w:rPr>
        <w:t>2.5.2.3</w:t>
      </w:r>
      <w:r>
        <w:rPr>
          <w:rFonts w:hAnsi="宋体"/>
          <w:b/>
          <w:bCs/>
        </w:rPr>
        <w:t>灌区灌溉制度和定额</w:t>
      </w:r>
    </w:p>
    <w:p>
      <w:pPr>
        <w:pStyle w:val="65"/>
        <w:spacing w:line="360" w:lineRule="auto"/>
        <w:ind w:firstLine="480"/>
        <w:contextualSpacing/>
      </w:pPr>
      <w:r>
        <w:rPr>
          <w:rFonts w:hAnsi="宋体"/>
        </w:rPr>
        <w:t>灌溉定额计算成果见</w:t>
      </w:r>
      <w:r>
        <w:rPr>
          <w:rFonts w:hint="eastAsia" w:hAnsi="宋体"/>
        </w:rPr>
        <w:t>下表</w:t>
      </w:r>
      <w:r>
        <w:rPr>
          <w:rFonts w:hAnsi="宋体"/>
        </w:rPr>
        <w:t>。</w:t>
      </w:r>
    </w:p>
    <w:p>
      <w:pPr>
        <w:ind w:firstLine="0" w:firstLineChars="0"/>
        <w:contextualSpacing/>
        <w:jc w:val="center"/>
        <w:rPr>
          <w:rFonts w:hAnsi="宋体"/>
          <w:b/>
          <w:bCs/>
          <w:sz w:val="21"/>
          <w:szCs w:val="21"/>
        </w:rPr>
      </w:pPr>
      <w:r>
        <w:rPr>
          <w:rFonts w:hAnsi="宋体"/>
          <w:b/>
          <w:bCs/>
          <w:sz w:val="21"/>
          <w:szCs w:val="21"/>
        </w:rPr>
        <w:t>表2.5.2-2  寒溪寺灌区主要代表作物单项定额与相邻工程设计成果对比表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792"/>
        <w:gridCol w:w="1141"/>
        <w:gridCol w:w="1007"/>
        <w:gridCol w:w="1211"/>
        <w:gridCol w:w="1569"/>
        <w:gridCol w:w="1284"/>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vMerge w:val="restart"/>
            <w:shd w:val="clear" w:color="auto" w:fill="FFFFFF"/>
            <w:noWrap/>
            <w:vAlign w:val="center"/>
          </w:tcPr>
          <w:p>
            <w:pPr>
              <w:pStyle w:val="139"/>
              <w:spacing w:line="240" w:lineRule="auto"/>
              <w:rPr>
                <w:rFonts w:cs="Times New Roman"/>
              </w:rPr>
            </w:pPr>
            <w:r>
              <w:rPr>
                <w:rFonts w:cs="Times New Roman"/>
              </w:rPr>
              <w:t>主要</w:t>
            </w:r>
          </w:p>
          <w:p>
            <w:pPr>
              <w:pStyle w:val="139"/>
              <w:spacing w:line="240" w:lineRule="auto"/>
              <w:rPr>
                <w:rFonts w:cs="Times New Roman"/>
              </w:rPr>
            </w:pPr>
            <w:r>
              <w:rPr>
                <w:rFonts w:cs="Times New Roman"/>
              </w:rPr>
              <w:t>作物</w:t>
            </w:r>
          </w:p>
        </w:tc>
        <w:tc>
          <w:tcPr>
            <w:tcW w:w="1284" w:type="pct"/>
            <w:gridSpan w:val="2"/>
            <w:shd w:val="clear" w:color="auto" w:fill="FFFFFF"/>
            <w:vAlign w:val="center"/>
          </w:tcPr>
          <w:p>
            <w:pPr>
              <w:pStyle w:val="139"/>
              <w:spacing w:line="240" w:lineRule="auto"/>
              <w:rPr>
                <w:rFonts w:cs="Times New Roman"/>
              </w:rPr>
            </w:pPr>
            <w:r>
              <w:rPr>
                <w:rFonts w:cs="Times New Roman"/>
              </w:rPr>
              <w:t>寒溪寺初设</w:t>
            </w:r>
          </w:p>
          <w:p>
            <w:pPr>
              <w:pStyle w:val="139"/>
              <w:spacing w:line="240" w:lineRule="auto"/>
              <w:rPr>
                <w:rFonts w:cs="Times New Roman"/>
              </w:rPr>
            </w:pPr>
            <w:r>
              <w:rPr>
                <w:rFonts w:cs="Times New Roman"/>
              </w:rPr>
              <w:t>（1966-2019年系列）</w:t>
            </w:r>
          </w:p>
        </w:tc>
        <w:tc>
          <w:tcPr>
            <w:tcW w:w="1662" w:type="pct"/>
            <w:gridSpan w:val="2"/>
            <w:shd w:val="clear" w:color="auto" w:fill="FFFFFF"/>
            <w:noWrap/>
            <w:vAlign w:val="center"/>
          </w:tcPr>
          <w:p>
            <w:pPr>
              <w:pStyle w:val="139"/>
              <w:spacing w:line="240" w:lineRule="auto"/>
              <w:rPr>
                <w:rFonts w:cs="Times New Roman"/>
              </w:rPr>
            </w:pPr>
            <w:r>
              <w:rPr>
                <w:rFonts w:cs="Times New Roman"/>
              </w:rPr>
              <w:t>天星桥水库初设</w:t>
            </w:r>
          </w:p>
          <w:p>
            <w:pPr>
              <w:pStyle w:val="139"/>
              <w:spacing w:line="240" w:lineRule="auto"/>
              <w:rPr>
                <w:rFonts w:cs="Times New Roman"/>
              </w:rPr>
            </w:pPr>
            <w:r>
              <w:rPr>
                <w:rFonts w:cs="Times New Roman"/>
              </w:rPr>
              <w:t>（1964-2010年系列）</w:t>
            </w:r>
          </w:p>
        </w:tc>
        <w:tc>
          <w:tcPr>
            <w:tcW w:w="1580" w:type="pct"/>
            <w:gridSpan w:val="2"/>
            <w:shd w:val="clear" w:color="auto" w:fill="FFFFFF"/>
            <w:noWrap/>
            <w:vAlign w:val="center"/>
          </w:tcPr>
          <w:p>
            <w:pPr>
              <w:pStyle w:val="139"/>
              <w:spacing w:line="240" w:lineRule="auto"/>
              <w:rPr>
                <w:rFonts w:cs="Times New Roman"/>
              </w:rPr>
            </w:pPr>
            <w:r>
              <w:rPr>
                <w:rFonts w:cs="Times New Roman"/>
              </w:rPr>
              <w:t>青龙嘴水库可研</w:t>
            </w:r>
          </w:p>
          <w:p>
            <w:pPr>
              <w:pStyle w:val="139"/>
              <w:spacing w:line="240" w:lineRule="auto"/>
              <w:rPr>
                <w:rFonts w:cs="Times New Roman"/>
              </w:rPr>
            </w:pPr>
            <w:r>
              <w:rPr>
                <w:rFonts w:cs="Times New Roman"/>
              </w:rPr>
              <w:t>（1964-2010年系列）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vMerge w:val="continue"/>
            <w:shd w:val="clear" w:color="auto" w:fill="FFFFFF"/>
            <w:noWrap/>
            <w:vAlign w:val="center"/>
          </w:tcPr>
          <w:p>
            <w:pPr>
              <w:pStyle w:val="139"/>
              <w:spacing w:line="240" w:lineRule="auto"/>
              <w:rPr>
                <w:rFonts w:cs="Times New Roman"/>
              </w:rPr>
            </w:pPr>
          </w:p>
        </w:tc>
        <w:tc>
          <w:tcPr>
            <w:tcW w:w="682" w:type="pct"/>
            <w:shd w:val="clear" w:color="auto" w:fill="FFFFFF"/>
            <w:noWrap/>
            <w:vAlign w:val="center"/>
          </w:tcPr>
          <w:p>
            <w:pPr>
              <w:pStyle w:val="139"/>
              <w:spacing w:line="240" w:lineRule="auto"/>
              <w:rPr>
                <w:rFonts w:cs="Times New Roman"/>
              </w:rPr>
            </w:pPr>
            <w:r>
              <w:rPr>
                <w:rFonts w:cs="Times New Roman"/>
              </w:rPr>
              <w:t>多年平均</w:t>
            </w:r>
          </w:p>
        </w:tc>
        <w:tc>
          <w:tcPr>
            <w:tcW w:w="602" w:type="pct"/>
            <w:shd w:val="clear" w:color="auto" w:fill="FFFFFF"/>
            <w:noWrap/>
            <w:vAlign w:val="center"/>
          </w:tcPr>
          <w:p>
            <w:pPr>
              <w:pStyle w:val="139"/>
              <w:spacing w:line="240" w:lineRule="auto"/>
              <w:rPr>
                <w:rFonts w:cs="Times New Roman"/>
              </w:rPr>
            </w:pPr>
            <w:r>
              <w:rPr>
                <w:rFonts w:cs="Times New Roman"/>
              </w:rPr>
              <w:t>P=70%</w:t>
            </w:r>
          </w:p>
        </w:tc>
        <w:tc>
          <w:tcPr>
            <w:tcW w:w="724" w:type="pct"/>
            <w:shd w:val="clear" w:color="auto" w:fill="FFFFFF"/>
            <w:noWrap/>
            <w:vAlign w:val="center"/>
          </w:tcPr>
          <w:p>
            <w:pPr>
              <w:pStyle w:val="139"/>
              <w:spacing w:line="240" w:lineRule="auto"/>
              <w:rPr>
                <w:rFonts w:cs="Times New Roman"/>
              </w:rPr>
            </w:pPr>
            <w:r>
              <w:rPr>
                <w:rFonts w:cs="Times New Roman"/>
              </w:rPr>
              <w:t>多年平均</w:t>
            </w:r>
          </w:p>
        </w:tc>
        <w:tc>
          <w:tcPr>
            <w:tcW w:w="938" w:type="pct"/>
            <w:shd w:val="clear" w:color="auto" w:fill="FFFFFF"/>
            <w:noWrap/>
            <w:vAlign w:val="center"/>
          </w:tcPr>
          <w:p>
            <w:pPr>
              <w:pStyle w:val="139"/>
              <w:spacing w:line="240" w:lineRule="auto"/>
              <w:rPr>
                <w:rFonts w:cs="Times New Roman"/>
              </w:rPr>
            </w:pPr>
            <w:r>
              <w:rPr>
                <w:rFonts w:cs="Times New Roman"/>
              </w:rPr>
              <w:t>P=75%</w:t>
            </w:r>
          </w:p>
        </w:tc>
        <w:tc>
          <w:tcPr>
            <w:tcW w:w="768" w:type="pct"/>
            <w:shd w:val="clear" w:color="auto" w:fill="FFFFFF"/>
            <w:noWrap/>
            <w:vAlign w:val="center"/>
          </w:tcPr>
          <w:p>
            <w:pPr>
              <w:pStyle w:val="139"/>
              <w:spacing w:line="240" w:lineRule="auto"/>
              <w:rPr>
                <w:rFonts w:cs="Times New Roman"/>
              </w:rPr>
            </w:pPr>
            <w:r>
              <w:rPr>
                <w:rFonts w:cs="Times New Roman"/>
              </w:rPr>
              <w:t>多年平均</w:t>
            </w:r>
          </w:p>
        </w:tc>
        <w:tc>
          <w:tcPr>
            <w:tcW w:w="812" w:type="pct"/>
            <w:shd w:val="clear" w:color="auto" w:fill="FFFFFF"/>
            <w:noWrap/>
            <w:vAlign w:val="center"/>
          </w:tcPr>
          <w:p>
            <w:pPr>
              <w:pStyle w:val="139"/>
              <w:spacing w:line="240" w:lineRule="auto"/>
              <w:rPr>
                <w:rFonts w:cs="Times New Roman"/>
              </w:rPr>
            </w:pPr>
            <w:r>
              <w:rPr>
                <w:rFonts w:cs="Times New Roman"/>
              </w:rPr>
              <w:t>P=70%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水稻</w:t>
            </w:r>
          </w:p>
        </w:tc>
        <w:tc>
          <w:tcPr>
            <w:tcW w:w="682" w:type="pct"/>
            <w:shd w:val="clear" w:color="auto" w:fill="FFFFFF"/>
            <w:noWrap/>
            <w:vAlign w:val="center"/>
          </w:tcPr>
          <w:p>
            <w:pPr>
              <w:pStyle w:val="139"/>
              <w:spacing w:line="240" w:lineRule="auto"/>
              <w:rPr>
                <w:rFonts w:cs="Times New Roman"/>
              </w:rPr>
            </w:pPr>
            <w:r>
              <w:rPr>
                <w:rFonts w:cs="Times New Roman"/>
              </w:rPr>
              <w:t>194.5</w:t>
            </w:r>
          </w:p>
        </w:tc>
        <w:tc>
          <w:tcPr>
            <w:tcW w:w="602" w:type="pct"/>
            <w:shd w:val="clear" w:color="auto" w:fill="FFFFFF"/>
            <w:noWrap/>
            <w:vAlign w:val="center"/>
          </w:tcPr>
          <w:p>
            <w:pPr>
              <w:pStyle w:val="139"/>
              <w:spacing w:line="240" w:lineRule="auto"/>
              <w:rPr>
                <w:rFonts w:cs="Times New Roman"/>
              </w:rPr>
            </w:pPr>
            <w:r>
              <w:rPr>
                <w:rFonts w:cs="Times New Roman"/>
              </w:rPr>
              <w:t>219.0</w:t>
            </w:r>
          </w:p>
        </w:tc>
        <w:tc>
          <w:tcPr>
            <w:tcW w:w="724" w:type="pct"/>
            <w:shd w:val="clear" w:color="auto" w:fill="FFFFFF"/>
            <w:noWrap/>
            <w:vAlign w:val="center"/>
          </w:tcPr>
          <w:p>
            <w:pPr>
              <w:pStyle w:val="139"/>
              <w:spacing w:line="240" w:lineRule="auto"/>
              <w:rPr>
                <w:rFonts w:cs="Times New Roman"/>
              </w:rPr>
            </w:pPr>
            <w:r>
              <w:rPr>
                <w:rFonts w:cs="Times New Roman"/>
              </w:rPr>
              <w:t>185</w:t>
            </w:r>
          </w:p>
        </w:tc>
        <w:tc>
          <w:tcPr>
            <w:tcW w:w="938" w:type="pct"/>
            <w:shd w:val="clear" w:color="auto" w:fill="FFFFFF"/>
            <w:noWrap/>
            <w:vAlign w:val="center"/>
          </w:tcPr>
          <w:p>
            <w:pPr>
              <w:pStyle w:val="139"/>
              <w:spacing w:line="240" w:lineRule="auto"/>
              <w:rPr>
                <w:rFonts w:cs="Times New Roman"/>
              </w:rPr>
            </w:pPr>
            <w:r>
              <w:rPr>
                <w:rFonts w:cs="Times New Roman"/>
              </w:rPr>
              <w:t>195</w:t>
            </w:r>
          </w:p>
        </w:tc>
        <w:tc>
          <w:tcPr>
            <w:tcW w:w="768" w:type="pct"/>
            <w:shd w:val="clear" w:color="auto" w:fill="FFFFFF"/>
            <w:noWrap/>
            <w:vAlign w:val="center"/>
          </w:tcPr>
          <w:p>
            <w:pPr>
              <w:pStyle w:val="139"/>
              <w:spacing w:line="240" w:lineRule="auto"/>
              <w:rPr>
                <w:rFonts w:cs="Times New Roman"/>
              </w:rPr>
            </w:pPr>
            <w:r>
              <w:rPr>
                <w:rFonts w:cs="Times New Roman"/>
              </w:rPr>
              <w:t>207</w:t>
            </w:r>
          </w:p>
        </w:tc>
        <w:tc>
          <w:tcPr>
            <w:tcW w:w="812" w:type="pct"/>
            <w:shd w:val="clear" w:color="auto" w:fill="FFFFFF"/>
            <w:noWrap/>
            <w:vAlign w:val="center"/>
          </w:tcPr>
          <w:p>
            <w:pPr>
              <w:pStyle w:val="139"/>
              <w:spacing w:line="240" w:lineRule="auto"/>
              <w:rPr>
                <w:rFonts w:cs="Times New Roman"/>
              </w:rPr>
            </w:pPr>
            <w:r>
              <w:rPr>
                <w:rFonts w:cs="Times New Roma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小麦</w:t>
            </w:r>
          </w:p>
        </w:tc>
        <w:tc>
          <w:tcPr>
            <w:tcW w:w="682" w:type="pct"/>
            <w:shd w:val="clear" w:color="auto" w:fill="FFFFFF"/>
            <w:noWrap/>
            <w:vAlign w:val="center"/>
          </w:tcPr>
          <w:p>
            <w:pPr>
              <w:pStyle w:val="139"/>
              <w:spacing w:line="240" w:lineRule="auto"/>
              <w:rPr>
                <w:rFonts w:cs="Times New Roman"/>
              </w:rPr>
            </w:pPr>
            <w:r>
              <w:rPr>
                <w:rFonts w:cs="Times New Roman"/>
              </w:rPr>
              <w:t>44.5</w:t>
            </w:r>
          </w:p>
        </w:tc>
        <w:tc>
          <w:tcPr>
            <w:tcW w:w="602" w:type="pct"/>
            <w:shd w:val="clear" w:color="auto" w:fill="FFFFFF"/>
            <w:noWrap/>
            <w:vAlign w:val="center"/>
          </w:tcPr>
          <w:p>
            <w:pPr>
              <w:pStyle w:val="139"/>
              <w:spacing w:line="240" w:lineRule="auto"/>
              <w:rPr>
                <w:rFonts w:cs="Times New Roman"/>
              </w:rPr>
            </w:pPr>
            <w:r>
              <w:rPr>
                <w:rFonts w:cs="Times New Roman"/>
              </w:rPr>
              <w:t>53.8</w:t>
            </w:r>
          </w:p>
        </w:tc>
        <w:tc>
          <w:tcPr>
            <w:tcW w:w="724" w:type="pct"/>
            <w:shd w:val="clear" w:color="auto" w:fill="FFFFFF"/>
            <w:noWrap/>
            <w:vAlign w:val="center"/>
          </w:tcPr>
          <w:p>
            <w:pPr>
              <w:pStyle w:val="139"/>
              <w:spacing w:line="240" w:lineRule="auto"/>
              <w:rPr>
                <w:rFonts w:cs="Times New Roman"/>
              </w:rPr>
            </w:pPr>
            <w:r>
              <w:rPr>
                <w:rFonts w:cs="Times New Roman"/>
              </w:rPr>
              <w:t>45</w:t>
            </w:r>
          </w:p>
        </w:tc>
        <w:tc>
          <w:tcPr>
            <w:tcW w:w="938" w:type="pct"/>
            <w:shd w:val="clear" w:color="auto" w:fill="FFFFFF"/>
            <w:noWrap/>
            <w:vAlign w:val="center"/>
          </w:tcPr>
          <w:p>
            <w:pPr>
              <w:pStyle w:val="139"/>
              <w:spacing w:line="240" w:lineRule="auto"/>
              <w:rPr>
                <w:rFonts w:cs="Times New Roman"/>
              </w:rPr>
            </w:pPr>
            <w:r>
              <w:rPr>
                <w:rFonts w:cs="Times New Roman"/>
              </w:rPr>
              <w:t>53</w:t>
            </w:r>
          </w:p>
        </w:tc>
        <w:tc>
          <w:tcPr>
            <w:tcW w:w="768" w:type="pct"/>
            <w:shd w:val="clear" w:color="auto" w:fill="FFFFFF"/>
            <w:noWrap/>
            <w:vAlign w:val="center"/>
          </w:tcPr>
          <w:p>
            <w:pPr>
              <w:pStyle w:val="139"/>
              <w:spacing w:line="240" w:lineRule="auto"/>
              <w:rPr>
                <w:rFonts w:cs="Times New Roman"/>
              </w:rPr>
            </w:pPr>
            <w:r>
              <w:rPr>
                <w:rFonts w:cs="Times New Roman"/>
              </w:rPr>
              <w:t>44</w:t>
            </w:r>
          </w:p>
        </w:tc>
        <w:tc>
          <w:tcPr>
            <w:tcW w:w="812" w:type="pct"/>
            <w:shd w:val="clear" w:color="auto" w:fill="FFFFFF"/>
            <w:noWrap/>
            <w:vAlign w:val="center"/>
          </w:tcPr>
          <w:p>
            <w:pPr>
              <w:pStyle w:val="139"/>
              <w:spacing w:line="240" w:lineRule="auto"/>
              <w:rPr>
                <w:rFonts w:cs="Times New Roman"/>
              </w:rPr>
            </w:pPr>
            <w:r>
              <w:rPr>
                <w:rFonts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玉米</w:t>
            </w:r>
          </w:p>
        </w:tc>
        <w:tc>
          <w:tcPr>
            <w:tcW w:w="682" w:type="pct"/>
            <w:shd w:val="clear" w:color="auto" w:fill="FFFFFF"/>
            <w:noWrap/>
            <w:vAlign w:val="center"/>
          </w:tcPr>
          <w:p>
            <w:pPr>
              <w:pStyle w:val="139"/>
              <w:spacing w:line="240" w:lineRule="auto"/>
              <w:rPr>
                <w:rFonts w:cs="Times New Roman"/>
              </w:rPr>
            </w:pPr>
            <w:r>
              <w:rPr>
                <w:rFonts w:cs="Times New Roman"/>
              </w:rPr>
              <w:t>34.0</w:t>
            </w:r>
          </w:p>
        </w:tc>
        <w:tc>
          <w:tcPr>
            <w:tcW w:w="602" w:type="pct"/>
            <w:shd w:val="clear" w:color="auto" w:fill="FFFFFF"/>
            <w:noWrap/>
            <w:vAlign w:val="center"/>
          </w:tcPr>
          <w:p>
            <w:pPr>
              <w:pStyle w:val="139"/>
              <w:spacing w:line="240" w:lineRule="auto"/>
              <w:rPr>
                <w:rFonts w:cs="Times New Roman"/>
              </w:rPr>
            </w:pPr>
            <w:r>
              <w:rPr>
                <w:rFonts w:cs="Times New Roman"/>
              </w:rPr>
              <w:t>45.0</w:t>
            </w:r>
          </w:p>
        </w:tc>
        <w:tc>
          <w:tcPr>
            <w:tcW w:w="724" w:type="pct"/>
            <w:shd w:val="clear" w:color="auto" w:fill="FFFFFF"/>
            <w:noWrap/>
            <w:vAlign w:val="center"/>
          </w:tcPr>
          <w:p>
            <w:pPr>
              <w:pStyle w:val="139"/>
              <w:spacing w:line="240" w:lineRule="auto"/>
              <w:rPr>
                <w:rFonts w:cs="Times New Roman"/>
              </w:rPr>
            </w:pPr>
            <w:r>
              <w:rPr>
                <w:rFonts w:cs="Times New Roman"/>
              </w:rPr>
              <w:t>38</w:t>
            </w:r>
          </w:p>
        </w:tc>
        <w:tc>
          <w:tcPr>
            <w:tcW w:w="938" w:type="pct"/>
            <w:shd w:val="clear" w:color="auto" w:fill="FFFFFF"/>
            <w:noWrap/>
            <w:vAlign w:val="center"/>
          </w:tcPr>
          <w:p>
            <w:pPr>
              <w:pStyle w:val="139"/>
              <w:spacing w:line="240" w:lineRule="auto"/>
              <w:rPr>
                <w:rFonts w:cs="Times New Roman"/>
              </w:rPr>
            </w:pPr>
            <w:r>
              <w:rPr>
                <w:rFonts w:cs="Times New Roman"/>
              </w:rPr>
              <w:t>45</w:t>
            </w:r>
          </w:p>
        </w:tc>
        <w:tc>
          <w:tcPr>
            <w:tcW w:w="768" w:type="pct"/>
            <w:shd w:val="clear" w:color="auto" w:fill="FFFFFF"/>
            <w:noWrap/>
            <w:vAlign w:val="center"/>
          </w:tcPr>
          <w:p>
            <w:pPr>
              <w:pStyle w:val="139"/>
              <w:spacing w:line="240" w:lineRule="auto"/>
              <w:rPr>
                <w:rFonts w:cs="Times New Roman"/>
              </w:rPr>
            </w:pPr>
            <w:r>
              <w:rPr>
                <w:rFonts w:cs="Times New Roman"/>
              </w:rPr>
              <w:t>38</w:t>
            </w:r>
          </w:p>
        </w:tc>
        <w:tc>
          <w:tcPr>
            <w:tcW w:w="812" w:type="pct"/>
            <w:shd w:val="clear" w:color="auto" w:fill="FFFFFF"/>
            <w:noWrap/>
            <w:vAlign w:val="center"/>
          </w:tcPr>
          <w:p>
            <w:pPr>
              <w:pStyle w:val="139"/>
              <w:spacing w:line="240" w:lineRule="auto"/>
              <w:rPr>
                <w:rFonts w:cs="Times New Roman"/>
              </w:rPr>
            </w:pPr>
            <w:r>
              <w:rPr>
                <w:rFonts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油菜</w:t>
            </w:r>
          </w:p>
        </w:tc>
        <w:tc>
          <w:tcPr>
            <w:tcW w:w="682" w:type="pct"/>
            <w:shd w:val="clear" w:color="auto" w:fill="FFFFFF"/>
            <w:noWrap/>
            <w:vAlign w:val="center"/>
          </w:tcPr>
          <w:p>
            <w:pPr>
              <w:pStyle w:val="139"/>
              <w:spacing w:line="240" w:lineRule="auto"/>
              <w:rPr>
                <w:rFonts w:cs="Times New Roman"/>
              </w:rPr>
            </w:pPr>
            <w:r>
              <w:rPr>
                <w:rFonts w:cs="Times New Roman"/>
              </w:rPr>
              <w:t>57.0</w:t>
            </w:r>
          </w:p>
        </w:tc>
        <w:tc>
          <w:tcPr>
            <w:tcW w:w="602" w:type="pct"/>
            <w:shd w:val="clear" w:color="auto" w:fill="FFFFFF"/>
            <w:noWrap/>
            <w:vAlign w:val="center"/>
          </w:tcPr>
          <w:p>
            <w:pPr>
              <w:pStyle w:val="139"/>
              <w:spacing w:line="240" w:lineRule="auto"/>
              <w:rPr>
                <w:rFonts w:cs="Times New Roman"/>
              </w:rPr>
            </w:pPr>
            <w:r>
              <w:rPr>
                <w:rFonts w:cs="Times New Roman"/>
              </w:rPr>
              <w:t>69.4</w:t>
            </w:r>
          </w:p>
        </w:tc>
        <w:tc>
          <w:tcPr>
            <w:tcW w:w="724" w:type="pct"/>
            <w:shd w:val="clear" w:color="auto" w:fill="FFFFFF"/>
            <w:noWrap/>
            <w:vAlign w:val="center"/>
          </w:tcPr>
          <w:p>
            <w:pPr>
              <w:pStyle w:val="139"/>
              <w:spacing w:line="240" w:lineRule="auto"/>
              <w:rPr>
                <w:rFonts w:cs="Times New Roman"/>
              </w:rPr>
            </w:pPr>
            <w:r>
              <w:rPr>
                <w:rFonts w:cs="Times New Roman"/>
              </w:rPr>
              <w:t>57</w:t>
            </w:r>
          </w:p>
        </w:tc>
        <w:tc>
          <w:tcPr>
            <w:tcW w:w="938" w:type="pct"/>
            <w:shd w:val="clear" w:color="auto" w:fill="FFFFFF"/>
            <w:noWrap/>
            <w:vAlign w:val="center"/>
          </w:tcPr>
          <w:p>
            <w:pPr>
              <w:pStyle w:val="139"/>
              <w:spacing w:line="240" w:lineRule="auto"/>
              <w:rPr>
                <w:rFonts w:cs="Times New Roman"/>
              </w:rPr>
            </w:pPr>
            <w:r>
              <w:rPr>
                <w:rFonts w:cs="Times New Roman"/>
              </w:rPr>
              <w:t>67</w:t>
            </w:r>
          </w:p>
        </w:tc>
        <w:tc>
          <w:tcPr>
            <w:tcW w:w="768" w:type="pct"/>
            <w:shd w:val="clear" w:color="auto" w:fill="FFFFFF"/>
            <w:noWrap/>
            <w:vAlign w:val="center"/>
          </w:tcPr>
          <w:p>
            <w:pPr>
              <w:pStyle w:val="139"/>
              <w:spacing w:line="240" w:lineRule="auto"/>
              <w:rPr>
                <w:rFonts w:cs="Times New Roman"/>
              </w:rPr>
            </w:pPr>
            <w:r>
              <w:rPr>
                <w:rFonts w:cs="Times New Roman"/>
              </w:rPr>
              <w:t>57</w:t>
            </w:r>
          </w:p>
        </w:tc>
        <w:tc>
          <w:tcPr>
            <w:tcW w:w="812" w:type="pct"/>
            <w:shd w:val="clear" w:color="auto" w:fill="FFFFFF"/>
            <w:noWrap/>
            <w:vAlign w:val="center"/>
          </w:tcPr>
          <w:p>
            <w:pPr>
              <w:pStyle w:val="139"/>
              <w:spacing w:line="240" w:lineRule="auto"/>
              <w:rPr>
                <w:rFonts w:cs="Times New Roman"/>
              </w:rPr>
            </w:pPr>
            <w:r>
              <w:rPr>
                <w:rFonts w:cs="Times New Roma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花生</w:t>
            </w:r>
          </w:p>
        </w:tc>
        <w:tc>
          <w:tcPr>
            <w:tcW w:w="682" w:type="pct"/>
            <w:shd w:val="clear" w:color="auto" w:fill="FFFFFF"/>
            <w:noWrap/>
            <w:vAlign w:val="center"/>
          </w:tcPr>
          <w:p>
            <w:pPr>
              <w:pStyle w:val="139"/>
              <w:spacing w:line="240" w:lineRule="auto"/>
              <w:rPr>
                <w:rFonts w:cs="Times New Roman"/>
              </w:rPr>
            </w:pPr>
            <w:r>
              <w:rPr>
                <w:rFonts w:cs="Times New Roman"/>
              </w:rPr>
              <w:t>14.8</w:t>
            </w:r>
          </w:p>
        </w:tc>
        <w:tc>
          <w:tcPr>
            <w:tcW w:w="602" w:type="pct"/>
            <w:shd w:val="clear" w:color="auto" w:fill="FFFFFF"/>
            <w:noWrap/>
            <w:vAlign w:val="center"/>
          </w:tcPr>
          <w:p>
            <w:pPr>
              <w:pStyle w:val="139"/>
              <w:spacing w:line="240" w:lineRule="auto"/>
              <w:rPr>
                <w:rFonts w:cs="Times New Roman"/>
              </w:rPr>
            </w:pPr>
            <w:r>
              <w:rPr>
                <w:rFonts w:cs="Times New Roman"/>
              </w:rPr>
              <w:t>26.0</w:t>
            </w:r>
          </w:p>
        </w:tc>
        <w:tc>
          <w:tcPr>
            <w:tcW w:w="724" w:type="pct"/>
            <w:shd w:val="clear" w:color="auto" w:fill="FFFFFF"/>
            <w:noWrap/>
            <w:vAlign w:val="center"/>
          </w:tcPr>
          <w:p>
            <w:pPr>
              <w:pStyle w:val="139"/>
              <w:spacing w:line="240" w:lineRule="auto"/>
              <w:rPr>
                <w:rFonts w:cs="Times New Roman"/>
              </w:rPr>
            </w:pPr>
            <w:r>
              <w:rPr>
                <w:rFonts w:cs="Times New Roman"/>
              </w:rPr>
              <w:t>--</w:t>
            </w:r>
          </w:p>
        </w:tc>
        <w:tc>
          <w:tcPr>
            <w:tcW w:w="938" w:type="pct"/>
            <w:shd w:val="clear" w:color="auto" w:fill="FFFFFF"/>
            <w:noWrap/>
            <w:vAlign w:val="center"/>
          </w:tcPr>
          <w:p>
            <w:pPr>
              <w:pStyle w:val="139"/>
              <w:spacing w:line="240" w:lineRule="auto"/>
              <w:rPr>
                <w:rFonts w:cs="Times New Roman"/>
              </w:rPr>
            </w:pPr>
            <w:r>
              <w:rPr>
                <w:rFonts w:cs="Times New Roman"/>
              </w:rPr>
              <w:t>--</w:t>
            </w:r>
          </w:p>
        </w:tc>
        <w:tc>
          <w:tcPr>
            <w:tcW w:w="768" w:type="pct"/>
            <w:shd w:val="clear" w:color="auto" w:fill="FFFFFF"/>
            <w:noWrap/>
            <w:vAlign w:val="center"/>
          </w:tcPr>
          <w:p>
            <w:pPr>
              <w:pStyle w:val="139"/>
              <w:spacing w:line="240" w:lineRule="auto"/>
              <w:rPr>
                <w:rFonts w:cs="Times New Roman"/>
              </w:rPr>
            </w:pPr>
            <w:r>
              <w:rPr>
                <w:rFonts w:cs="Times New Roman"/>
              </w:rPr>
              <w:t>--</w:t>
            </w:r>
          </w:p>
        </w:tc>
        <w:tc>
          <w:tcPr>
            <w:tcW w:w="812" w:type="pct"/>
            <w:shd w:val="clear" w:color="auto" w:fill="FFFFFF"/>
            <w:noWrap/>
            <w:vAlign w:val="center"/>
          </w:tcPr>
          <w:p>
            <w:pPr>
              <w:pStyle w:val="139"/>
              <w:spacing w:line="240" w:lineRule="auto"/>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土豆</w:t>
            </w:r>
          </w:p>
        </w:tc>
        <w:tc>
          <w:tcPr>
            <w:tcW w:w="682" w:type="pct"/>
            <w:shd w:val="clear" w:color="auto" w:fill="FFFFFF"/>
            <w:noWrap/>
            <w:vAlign w:val="center"/>
          </w:tcPr>
          <w:p>
            <w:pPr>
              <w:pStyle w:val="139"/>
              <w:spacing w:line="240" w:lineRule="auto"/>
              <w:rPr>
                <w:rFonts w:cs="Times New Roman"/>
              </w:rPr>
            </w:pPr>
            <w:r>
              <w:rPr>
                <w:rFonts w:cs="Times New Roman"/>
              </w:rPr>
              <w:t>43.6</w:t>
            </w:r>
          </w:p>
        </w:tc>
        <w:tc>
          <w:tcPr>
            <w:tcW w:w="602" w:type="pct"/>
            <w:shd w:val="clear" w:color="auto" w:fill="FFFFFF"/>
            <w:noWrap/>
            <w:vAlign w:val="center"/>
          </w:tcPr>
          <w:p>
            <w:pPr>
              <w:pStyle w:val="139"/>
              <w:spacing w:line="240" w:lineRule="auto"/>
              <w:rPr>
                <w:rFonts w:cs="Times New Roman"/>
              </w:rPr>
            </w:pPr>
            <w:r>
              <w:rPr>
                <w:rFonts w:cs="Times New Roman"/>
              </w:rPr>
              <w:t>50.0</w:t>
            </w:r>
          </w:p>
        </w:tc>
        <w:tc>
          <w:tcPr>
            <w:tcW w:w="724" w:type="pct"/>
            <w:shd w:val="clear" w:color="auto" w:fill="FFFFFF"/>
            <w:noWrap/>
            <w:vAlign w:val="center"/>
          </w:tcPr>
          <w:p>
            <w:pPr>
              <w:pStyle w:val="139"/>
              <w:spacing w:line="240" w:lineRule="auto"/>
              <w:rPr>
                <w:rFonts w:cs="Times New Roman"/>
              </w:rPr>
            </w:pPr>
            <w:r>
              <w:rPr>
                <w:rFonts w:cs="Times New Roman"/>
              </w:rPr>
              <w:t>--</w:t>
            </w:r>
          </w:p>
        </w:tc>
        <w:tc>
          <w:tcPr>
            <w:tcW w:w="938" w:type="pct"/>
            <w:shd w:val="clear" w:color="auto" w:fill="FFFFFF"/>
            <w:noWrap/>
            <w:vAlign w:val="center"/>
          </w:tcPr>
          <w:p>
            <w:pPr>
              <w:pStyle w:val="139"/>
              <w:spacing w:line="240" w:lineRule="auto"/>
              <w:rPr>
                <w:rFonts w:cs="Times New Roman"/>
              </w:rPr>
            </w:pPr>
            <w:r>
              <w:rPr>
                <w:rFonts w:cs="Times New Roman"/>
              </w:rPr>
              <w:t>--</w:t>
            </w:r>
          </w:p>
        </w:tc>
        <w:tc>
          <w:tcPr>
            <w:tcW w:w="768" w:type="pct"/>
            <w:shd w:val="clear" w:color="auto" w:fill="FFFFFF"/>
            <w:noWrap/>
            <w:vAlign w:val="center"/>
          </w:tcPr>
          <w:p>
            <w:pPr>
              <w:pStyle w:val="139"/>
              <w:spacing w:line="240" w:lineRule="auto"/>
              <w:rPr>
                <w:rFonts w:cs="Times New Roman"/>
              </w:rPr>
            </w:pPr>
            <w:r>
              <w:rPr>
                <w:rFonts w:cs="Times New Roman"/>
              </w:rPr>
              <w:t>--</w:t>
            </w:r>
          </w:p>
        </w:tc>
        <w:tc>
          <w:tcPr>
            <w:tcW w:w="812" w:type="pct"/>
            <w:shd w:val="clear" w:color="auto" w:fill="FFFFFF"/>
            <w:noWrap/>
            <w:vAlign w:val="center"/>
          </w:tcPr>
          <w:p>
            <w:pPr>
              <w:pStyle w:val="139"/>
              <w:spacing w:line="240" w:lineRule="auto"/>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红苕</w:t>
            </w:r>
          </w:p>
        </w:tc>
        <w:tc>
          <w:tcPr>
            <w:tcW w:w="682" w:type="pct"/>
            <w:shd w:val="clear" w:color="auto" w:fill="FFFFFF"/>
            <w:noWrap/>
            <w:vAlign w:val="center"/>
          </w:tcPr>
          <w:p>
            <w:pPr>
              <w:pStyle w:val="139"/>
              <w:spacing w:line="240" w:lineRule="auto"/>
              <w:rPr>
                <w:rFonts w:cs="Times New Roman"/>
              </w:rPr>
            </w:pPr>
            <w:r>
              <w:rPr>
                <w:rFonts w:cs="Times New Roman"/>
              </w:rPr>
              <w:t>39.5</w:t>
            </w:r>
          </w:p>
        </w:tc>
        <w:tc>
          <w:tcPr>
            <w:tcW w:w="602" w:type="pct"/>
            <w:shd w:val="clear" w:color="auto" w:fill="FFFFFF"/>
            <w:noWrap/>
            <w:vAlign w:val="center"/>
          </w:tcPr>
          <w:p>
            <w:pPr>
              <w:pStyle w:val="139"/>
              <w:spacing w:line="240" w:lineRule="auto"/>
              <w:rPr>
                <w:rFonts w:cs="Times New Roman"/>
              </w:rPr>
            </w:pPr>
            <w:r>
              <w:rPr>
                <w:rFonts w:cs="Times New Roman"/>
              </w:rPr>
              <w:t>60.0</w:t>
            </w:r>
          </w:p>
        </w:tc>
        <w:tc>
          <w:tcPr>
            <w:tcW w:w="724" w:type="pct"/>
            <w:shd w:val="clear" w:color="auto" w:fill="FFFFFF"/>
            <w:noWrap/>
            <w:vAlign w:val="center"/>
          </w:tcPr>
          <w:p>
            <w:pPr>
              <w:pStyle w:val="139"/>
              <w:spacing w:line="240" w:lineRule="auto"/>
              <w:rPr>
                <w:rFonts w:cs="Times New Roman"/>
              </w:rPr>
            </w:pPr>
            <w:r>
              <w:rPr>
                <w:rFonts w:cs="Times New Roman"/>
              </w:rPr>
              <w:t>42</w:t>
            </w:r>
          </w:p>
        </w:tc>
        <w:tc>
          <w:tcPr>
            <w:tcW w:w="938" w:type="pct"/>
            <w:shd w:val="clear" w:color="auto" w:fill="FFFFFF"/>
            <w:noWrap/>
            <w:vAlign w:val="center"/>
          </w:tcPr>
          <w:p>
            <w:pPr>
              <w:pStyle w:val="139"/>
              <w:spacing w:line="240" w:lineRule="auto"/>
              <w:rPr>
                <w:rFonts w:cs="Times New Roman"/>
              </w:rPr>
            </w:pPr>
            <w:r>
              <w:rPr>
                <w:rFonts w:cs="Times New Roman"/>
              </w:rPr>
              <w:t>51</w:t>
            </w:r>
          </w:p>
        </w:tc>
        <w:tc>
          <w:tcPr>
            <w:tcW w:w="768" w:type="pct"/>
            <w:shd w:val="clear" w:color="auto" w:fill="FFFFFF"/>
            <w:noWrap/>
            <w:vAlign w:val="center"/>
          </w:tcPr>
          <w:p>
            <w:pPr>
              <w:pStyle w:val="139"/>
              <w:spacing w:line="240" w:lineRule="auto"/>
              <w:rPr>
                <w:rFonts w:cs="Times New Roman"/>
              </w:rPr>
            </w:pPr>
            <w:r>
              <w:rPr>
                <w:rFonts w:cs="Times New Roman"/>
              </w:rPr>
              <w:t>42</w:t>
            </w:r>
          </w:p>
        </w:tc>
        <w:tc>
          <w:tcPr>
            <w:tcW w:w="812" w:type="pct"/>
            <w:shd w:val="clear" w:color="auto" w:fill="FFFFFF"/>
            <w:noWrap/>
            <w:vAlign w:val="center"/>
          </w:tcPr>
          <w:p>
            <w:pPr>
              <w:pStyle w:val="139"/>
              <w:spacing w:line="240" w:lineRule="auto"/>
              <w:rPr>
                <w:rFonts w:cs="Times New Roman"/>
              </w:rPr>
            </w:pPr>
            <w:r>
              <w:rPr>
                <w:rFonts w:cs="Times New Roma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大春蔬菜</w:t>
            </w:r>
          </w:p>
        </w:tc>
        <w:tc>
          <w:tcPr>
            <w:tcW w:w="682" w:type="pct"/>
            <w:shd w:val="clear" w:color="auto" w:fill="FFFFFF"/>
            <w:noWrap/>
            <w:vAlign w:val="center"/>
          </w:tcPr>
          <w:p>
            <w:pPr>
              <w:pStyle w:val="139"/>
              <w:spacing w:line="240" w:lineRule="auto"/>
              <w:rPr>
                <w:rFonts w:cs="Times New Roman"/>
              </w:rPr>
            </w:pPr>
            <w:r>
              <w:rPr>
                <w:rFonts w:cs="Times New Roman"/>
              </w:rPr>
              <w:t>50.5</w:t>
            </w:r>
          </w:p>
        </w:tc>
        <w:tc>
          <w:tcPr>
            <w:tcW w:w="602" w:type="pct"/>
            <w:shd w:val="clear" w:color="auto" w:fill="FFFFFF"/>
            <w:noWrap/>
            <w:vAlign w:val="center"/>
          </w:tcPr>
          <w:p>
            <w:pPr>
              <w:pStyle w:val="139"/>
              <w:spacing w:line="240" w:lineRule="auto"/>
              <w:rPr>
                <w:rFonts w:cs="Times New Roman"/>
              </w:rPr>
            </w:pPr>
            <w:r>
              <w:rPr>
                <w:rFonts w:cs="Times New Roman"/>
              </w:rPr>
              <w:t>85.0</w:t>
            </w:r>
          </w:p>
        </w:tc>
        <w:tc>
          <w:tcPr>
            <w:tcW w:w="724" w:type="pct"/>
            <w:shd w:val="clear" w:color="auto" w:fill="FFFFFF"/>
            <w:noWrap/>
            <w:vAlign w:val="center"/>
          </w:tcPr>
          <w:p>
            <w:pPr>
              <w:pStyle w:val="139"/>
              <w:spacing w:line="240" w:lineRule="auto"/>
              <w:rPr>
                <w:rFonts w:cs="Times New Roman"/>
              </w:rPr>
            </w:pPr>
            <w:r>
              <w:rPr>
                <w:rFonts w:cs="Times New Roman"/>
              </w:rPr>
              <w:t>50</w:t>
            </w:r>
          </w:p>
        </w:tc>
        <w:tc>
          <w:tcPr>
            <w:tcW w:w="938" w:type="pct"/>
            <w:shd w:val="clear" w:color="auto" w:fill="FFFFFF"/>
            <w:noWrap/>
            <w:vAlign w:val="center"/>
          </w:tcPr>
          <w:p>
            <w:pPr>
              <w:pStyle w:val="139"/>
              <w:spacing w:line="240" w:lineRule="auto"/>
              <w:rPr>
                <w:rFonts w:cs="Times New Roman"/>
              </w:rPr>
            </w:pPr>
            <w:r>
              <w:rPr>
                <w:rFonts w:cs="Times New Roman"/>
              </w:rPr>
              <w:t>83</w:t>
            </w:r>
          </w:p>
        </w:tc>
        <w:tc>
          <w:tcPr>
            <w:tcW w:w="768" w:type="pct"/>
            <w:shd w:val="clear" w:color="auto" w:fill="FFFFFF"/>
            <w:noWrap/>
            <w:vAlign w:val="center"/>
          </w:tcPr>
          <w:p>
            <w:pPr>
              <w:pStyle w:val="139"/>
              <w:spacing w:line="240" w:lineRule="auto"/>
              <w:rPr>
                <w:rFonts w:cs="Times New Roman"/>
              </w:rPr>
            </w:pPr>
            <w:r>
              <w:rPr>
                <w:rFonts w:cs="Times New Roman"/>
              </w:rPr>
              <w:t>51</w:t>
            </w:r>
          </w:p>
        </w:tc>
        <w:tc>
          <w:tcPr>
            <w:tcW w:w="812" w:type="pct"/>
            <w:shd w:val="clear" w:color="auto" w:fill="FFFFFF"/>
            <w:noWrap/>
            <w:vAlign w:val="center"/>
          </w:tcPr>
          <w:p>
            <w:pPr>
              <w:pStyle w:val="139"/>
              <w:spacing w:line="240" w:lineRule="auto"/>
              <w:rPr>
                <w:rFonts w:cs="Times New Roman"/>
              </w:rPr>
            </w:pPr>
            <w:r>
              <w:rPr>
                <w:rFonts w:cs="Times New Roma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小春蔬菜</w:t>
            </w:r>
          </w:p>
        </w:tc>
        <w:tc>
          <w:tcPr>
            <w:tcW w:w="682" w:type="pct"/>
            <w:shd w:val="clear" w:color="auto" w:fill="FFFFFF"/>
            <w:noWrap/>
            <w:vAlign w:val="center"/>
          </w:tcPr>
          <w:p>
            <w:pPr>
              <w:pStyle w:val="139"/>
              <w:spacing w:line="240" w:lineRule="auto"/>
              <w:rPr>
                <w:rFonts w:cs="Times New Roman"/>
              </w:rPr>
            </w:pPr>
            <w:r>
              <w:rPr>
                <w:rFonts w:cs="Times New Roman"/>
              </w:rPr>
              <w:t>95.0</w:t>
            </w:r>
          </w:p>
        </w:tc>
        <w:tc>
          <w:tcPr>
            <w:tcW w:w="602" w:type="pct"/>
            <w:shd w:val="clear" w:color="auto" w:fill="FFFFFF"/>
            <w:noWrap/>
            <w:vAlign w:val="center"/>
          </w:tcPr>
          <w:p>
            <w:pPr>
              <w:pStyle w:val="139"/>
              <w:spacing w:line="240" w:lineRule="auto"/>
              <w:rPr>
                <w:rFonts w:cs="Times New Roman"/>
              </w:rPr>
            </w:pPr>
            <w:r>
              <w:rPr>
                <w:rFonts w:cs="Times New Roman"/>
              </w:rPr>
              <w:t>102.0</w:t>
            </w:r>
          </w:p>
        </w:tc>
        <w:tc>
          <w:tcPr>
            <w:tcW w:w="724" w:type="pct"/>
            <w:shd w:val="clear" w:color="auto" w:fill="FFFFFF"/>
            <w:noWrap/>
            <w:vAlign w:val="center"/>
          </w:tcPr>
          <w:p>
            <w:pPr>
              <w:pStyle w:val="139"/>
              <w:spacing w:line="240" w:lineRule="auto"/>
              <w:rPr>
                <w:rFonts w:cs="Times New Roman"/>
              </w:rPr>
            </w:pPr>
            <w:r>
              <w:rPr>
                <w:rFonts w:cs="Times New Roman"/>
              </w:rPr>
              <w:t>97</w:t>
            </w:r>
          </w:p>
        </w:tc>
        <w:tc>
          <w:tcPr>
            <w:tcW w:w="938" w:type="pct"/>
            <w:shd w:val="clear" w:color="auto" w:fill="FFFFFF"/>
            <w:noWrap/>
            <w:vAlign w:val="center"/>
          </w:tcPr>
          <w:p>
            <w:pPr>
              <w:pStyle w:val="139"/>
              <w:spacing w:line="240" w:lineRule="auto"/>
              <w:rPr>
                <w:rFonts w:cs="Times New Roman"/>
              </w:rPr>
            </w:pPr>
            <w:r>
              <w:rPr>
                <w:rFonts w:cs="Times New Roman"/>
              </w:rPr>
              <w:t>102</w:t>
            </w:r>
          </w:p>
        </w:tc>
        <w:tc>
          <w:tcPr>
            <w:tcW w:w="768" w:type="pct"/>
            <w:shd w:val="clear" w:color="auto" w:fill="FFFFFF"/>
            <w:noWrap/>
            <w:vAlign w:val="center"/>
          </w:tcPr>
          <w:p>
            <w:pPr>
              <w:pStyle w:val="139"/>
              <w:spacing w:line="240" w:lineRule="auto"/>
              <w:rPr>
                <w:rFonts w:cs="Times New Roman"/>
              </w:rPr>
            </w:pPr>
            <w:r>
              <w:rPr>
                <w:rFonts w:cs="Times New Roman"/>
              </w:rPr>
              <w:t>97</w:t>
            </w:r>
          </w:p>
        </w:tc>
        <w:tc>
          <w:tcPr>
            <w:tcW w:w="812" w:type="pct"/>
            <w:shd w:val="clear" w:color="auto" w:fill="FFFFFF"/>
            <w:noWrap/>
            <w:vAlign w:val="center"/>
          </w:tcPr>
          <w:p>
            <w:pPr>
              <w:pStyle w:val="139"/>
              <w:spacing w:line="240" w:lineRule="auto"/>
              <w:rPr>
                <w:rFonts w:cs="Times New Roman"/>
              </w:rPr>
            </w:pPr>
            <w:r>
              <w:rPr>
                <w:rFonts w:cs="Times New Roma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柑橘</w:t>
            </w:r>
          </w:p>
        </w:tc>
        <w:tc>
          <w:tcPr>
            <w:tcW w:w="682" w:type="pct"/>
            <w:shd w:val="clear" w:color="auto" w:fill="FFFFFF"/>
            <w:noWrap/>
            <w:vAlign w:val="center"/>
          </w:tcPr>
          <w:p>
            <w:pPr>
              <w:pStyle w:val="139"/>
              <w:spacing w:line="240" w:lineRule="auto"/>
              <w:rPr>
                <w:rFonts w:cs="Times New Roman"/>
              </w:rPr>
            </w:pPr>
            <w:r>
              <w:rPr>
                <w:rFonts w:cs="Times New Roman"/>
              </w:rPr>
              <w:t>72.9</w:t>
            </w:r>
          </w:p>
        </w:tc>
        <w:tc>
          <w:tcPr>
            <w:tcW w:w="602" w:type="pct"/>
            <w:shd w:val="clear" w:color="auto" w:fill="FFFFFF"/>
            <w:noWrap/>
            <w:vAlign w:val="center"/>
          </w:tcPr>
          <w:p>
            <w:pPr>
              <w:pStyle w:val="139"/>
              <w:spacing w:line="240" w:lineRule="auto"/>
              <w:rPr>
                <w:rFonts w:cs="Times New Roman"/>
              </w:rPr>
            </w:pPr>
            <w:r>
              <w:rPr>
                <w:rFonts w:cs="Times New Roman"/>
              </w:rPr>
              <w:t>89.0</w:t>
            </w:r>
          </w:p>
        </w:tc>
        <w:tc>
          <w:tcPr>
            <w:tcW w:w="724" w:type="pct"/>
            <w:shd w:val="clear" w:color="auto" w:fill="FFFFFF"/>
            <w:noWrap/>
            <w:vAlign w:val="center"/>
          </w:tcPr>
          <w:p>
            <w:pPr>
              <w:pStyle w:val="139"/>
              <w:spacing w:line="240" w:lineRule="auto"/>
              <w:rPr>
                <w:rFonts w:cs="Times New Roman"/>
              </w:rPr>
            </w:pPr>
            <w:r>
              <w:rPr>
                <w:rFonts w:cs="Times New Roman"/>
              </w:rPr>
              <w:t>84</w:t>
            </w:r>
          </w:p>
        </w:tc>
        <w:tc>
          <w:tcPr>
            <w:tcW w:w="938" w:type="pct"/>
            <w:shd w:val="clear" w:color="auto" w:fill="FFFFFF"/>
            <w:noWrap/>
            <w:vAlign w:val="center"/>
          </w:tcPr>
          <w:p>
            <w:pPr>
              <w:pStyle w:val="139"/>
              <w:spacing w:line="240" w:lineRule="auto"/>
              <w:rPr>
                <w:rFonts w:cs="Times New Roman"/>
              </w:rPr>
            </w:pPr>
            <w:r>
              <w:rPr>
                <w:rFonts w:cs="Times New Roman"/>
              </w:rPr>
              <w:t>101</w:t>
            </w:r>
          </w:p>
        </w:tc>
        <w:tc>
          <w:tcPr>
            <w:tcW w:w="768" w:type="pct"/>
            <w:shd w:val="clear" w:color="auto" w:fill="FFFFFF"/>
            <w:noWrap/>
            <w:vAlign w:val="center"/>
          </w:tcPr>
          <w:p>
            <w:pPr>
              <w:pStyle w:val="139"/>
              <w:spacing w:line="240" w:lineRule="auto"/>
              <w:rPr>
                <w:rFonts w:cs="Times New Roman"/>
              </w:rPr>
            </w:pPr>
            <w:r>
              <w:rPr>
                <w:rFonts w:cs="Times New Roman"/>
              </w:rPr>
              <w:t>83</w:t>
            </w:r>
          </w:p>
        </w:tc>
        <w:tc>
          <w:tcPr>
            <w:tcW w:w="812" w:type="pct"/>
            <w:shd w:val="clear" w:color="auto" w:fill="FFFFFF"/>
            <w:noWrap/>
            <w:vAlign w:val="center"/>
          </w:tcPr>
          <w:p>
            <w:pPr>
              <w:pStyle w:val="139"/>
              <w:spacing w:line="240" w:lineRule="auto"/>
              <w:rPr>
                <w:rFonts w:cs="Times New Roman"/>
              </w:rPr>
            </w:pPr>
            <w:r>
              <w:rPr>
                <w:rFonts w:cs="Times New Roma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4" w:type="pct"/>
            <w:shd w:val="clear" w:color="auto" w:fill="FFFFFF"/>
            <w:noWrap/>
            <w:vAlign w:val="center"/>
          </w:tcPr>
          <w:p>
            <w:pPr>
              <w:pStyle w:val="139"/>
              <w:spacing w:line="240" w:lineRule="auto"/>
              <w:rPr>
                <w:rFonts w:cs="Times New Roman"/>
              </w:rPr>
            </w:pPr>
            <w:r>
              <w:rPr>
                <w:rFonts w:cs="Times New Roman"/>
              </w:rPr>
              <w:t>茶叶</w:t>
            </w:r>
          </w:p>
        </w:tc>
        <w:tc>
          <w:tcPr>
            <w:tcW w:w="682" w:type="pct"/>
            <w:shd w:val="clear" w:color="auto" w:fill="FFFFFF"/>
            <w:noWrap/>
            <w:vAlign w:val="center"/>
          </w:tcPr>
          <w:p>
            <w:pPr>
              <w:pStyle w:val="139"/>
              <w:spacing w:line="240" w:lineRule="auto"/>
              <w:rPr>
                <w:rFonts w:cs="Times New Roman"/>
              </w:rPr>
            </w:pPr>
            <w:r>
              <w:rPr>
                <w:rFonts w:cs="Times New Roman"/>
              </w:rPr>
              <w:t>114.4</w:t>
            </w:r>
          </w:p>
        </w:tc>
        <w:tc>
          <w:tcPr>
            <w:tcW w:w="602" w:type="pct"/>
            <w:shd w:val="clear" w:color="auto" w:fill="FFFFFF"/>
            <w:noWrap/>
            <w:vAlign w:val="center"/>
          </w:tcPr>
          <w:p>
            <w:pPr>
              <w:pStyle w:val="139"/>
              <w:spacing w:line="240" w:lineRule="auto"/>
              <w:rPr>
                <w:rFonts w:cs="Times New Roman"/>
              </w:rPr>
            </w:pPr>
            <w:r>
              <w:rPr>
                <w:rFonts w:cs="Times New Roman"/>
              </w:rPr>
              <w:t>129.8</w:t>
            </w:r>
          </w:p>
        </w:tc>
        <w:tc>
          <w:tcPr>
            <w:tcW w:w="724" w:type="pct"/>
            <w:shd w:val="clear" w:color="auto" w:fill="FFFFFF"/>
            <w:noWrap/>
            <w:vAlign w:val="center"/>
          </w:tcPr>
          <w:p>
            <w:pPr>
              <w:pStyle w:val="139"/>
              <w:spacing w:line="240" w:lineRule="auto"/>
              <w:rPr>
                <w:rFonts w:cs="Times New Roman"/>
              </w:rPr>
            </w:pPr>
            <w:r>
              <w:rPr>
                <w:rFonts w:cs="Times New Roman"/>
              </w:rPr>
              <w:t>--</w:t>
            </w:r>
          </w:p>
        </w:tc>
        <w:tc>
          <w:tcPr>
            <w:tcW w:w="938" w:type="pct"/>
            <w:shd w:val="clear" w:color="auto" w:fill="FFFFFF"/>
            <w:noWrap/>
            <w:vAlign w:val="center"/>
          </w:tcPr>
          <w:p>
            <w:pPr>
              <w:pStyle w:val="139"/>
              <w:spacing w:line="240" w:lineRule="auto"/>
              <w:rPr>
                <w:rFonts w:cs="Times New Roman"/>
              </w:rPr>
            </w:pPr>
            <w:r>
              <w:rPr>
                <w:rFonts w:cs="Times New Roman"/>
              </w:rPr>
              <w:t>--</w:t>
            </w:r>
          </w:p>
        </w:tc>
        <w:tc>
          <w:tcPr>
            <w:tcW w:w="768" w:type="pct"/>
            <w:shd w:val="clear" w:color="auto" w:fill="FFFFFF"/>
            <w:noWrap/>
            <w:vAlign w:val="center"/>
          </w:tcPr>
          <w:p>
            <w:pPr>
              <w:pStyle w:val="139"/>
              <w:spacing w:line="240" w:lineRule="auto"/>
              <w:rPr>
                <w:rFonts w:cs="Times New Roman"/>
              </w:rPr>
            </w:pPr>
            <w:r>
              <w:rPr>
                <w:rFonts w:cs="Times New Roman"/>
              </w:rPr>
              <w:t>--</w:t>
            </w:r>
          </w:p>
        </w:tc>
        <w:tc>
          <w:tcPr>
            <w:tcW w:w="812" w:type="pct"/>
            <w:shd w:val="clear" w:color="auto" w:fill="FFFFFF"/>
            <w:noWrap/>
            <w:vAlign w:val="center"/>
          </w:tcPr>
          <w:p>
            <w:pPr>
              <w:pStyle w:val="139"/>
              <w:spacing w:line="240" w:lineRule="auto"/>
              <w:rPr>
                <w:rFonts w:cs="Times New Roman"/>
              </w:rPr>
            </w:pPr>
            <w:r>
              <w:rPr>
                <w:rFonts w:cs="Times New Roman"/>
              </w:rPr>
              <w:t>--</w:t>
            </w:r>
          </w:p>
        </w:tc>
      </w:tr>
    </w:tbl>
    <w:p>
      <w:pPr>
        <w:ind w:firstLine="0" w:firstLineChars="0"/>
        <w:contextualSpacing/>
        <w:outlineLvl w:val="3"/>
        <w:rPr>
          <w:rFonts w:hint="eastAsia"/>
          <w:b/>
          <w:bCs/>
        </w:rPr>
      </w:pPr>
      <w:r>
        <w:rPr>
          <w:b/>
          <w:bCs/>
        </w:rPr>
        <w:t>2.5.2.4</w:t>
      </w:r>
      <w:r>
        <w:rPr>
          <w:rFonts w:hint="eastAsia" w:hAnsi="宋体"/>
          <w:b/>
          <w:bCs/>
        </w:rPr>
        <w:t>生态用水</w:t>
      </w:r>
    </w:p>
    <w:p>
      <w:pPr>
        <w:pStyle w:val="65"/>
        <w:spacing w:line="360" w:lineRule="auto"/>
        <w:ind w:firstLine="480"/>
        <w:contextualSpacing/>
        <w:rPr>
          <w:rFonts w:hAnsi="宋体"/>
        </w:rPr>
      </w:pPr>
      <w:r>
        <w:rPr>
          <w:rFonts w:hAnsi="宋体"/>
        </w:rPr>
        <w:t>寒溪寺水库坝线位于化成河支流蔡家河，控制集水面积4.53km2，多年平均流量0.084m3/s，多年平均来水量264.6万m3；谭家河、刘家河补水枢纽分别位于化成河支流两长河上游，控制集水面积分别为5.68km2和3.0km2，多年平均流量分别为0.123m3/s和0.065m3/s，多年平均来水量分别为387.1万m3和204.5万m3。</w:t>
      </w:r>
    </w:p>
    <w:p>
      <w:pPr>
        <w:pStyle w:val="65"/>
        <w:spacing w:line="360" w:lineRule="auto"/>
        <w:ind w:firstLine="480"/>
        <w:contextualSpacing/>
        <w:rPr>
          <w:rFonts w:hAnsi="宋体"/>
        </w:rPr>
      </w:pPr>
      <w:r>
        <w:rPr>
          <w:rFonts w:hAnsi="宋体"/>
        </w:rPr>
        <w:t>寒溪寺水库坝线及补水枢纽所在河流无国家和省级保护鱼类等特种水生生物，枯水时段河道内水生物活动少；下游河道两岸无集中居民点及企事业单位，蔡家河下游取水户已纳入水库供水范围；坝线及补水枢纽下游3.5km～4.0km即为</w:t>
      </w:r>
      <w:r>
        <w:rPr>
          <w:rFonts w:hint="eastAsia" w:hAnsi="宋体"/>
        </w:rPr>
        <w:t>寒溪寺水库</w:t>
      </w:r>
      <w:r>
        <w:rPr>
          <w:rFonts w:hAnsi="宋体"/>
        </w:rPr>
        <w:t>库区。因此下游河道内用水只需满足最小的河道内生态用水量。</w:t>
      </w:r>
    </w:p>
    <w:p>
      <w:pPr>
        <w:pStyle w:val="65"/>
        <w:spacing w:line="360" w:lineRule="auto"/>
        <w:ind w:firstLine="480"/>
        <w:contextualSpacing/>
      </w:pPr>
      <w:r>
        <w:rPr>
          <w:rFonts w:hAnsi="宋体"/>
        </w:rPr>
        <w:t>根据《水利水电工程水资源论证导则》（SL525—2011）和《长江保护修复攻坚战行动计划》要求，</w:t>
      </w:r>
      <w:r>
        <w:t>常年按多年平均流量的10%下泄，水库坝线和两个补水枢纽多年平均下泄生态水量分别为26.6万m</w:t>
      </w:r>
      <w:r>
        <w:rPr>
          <w:vertAlign w:val="superscript"/>
        </w:rPr>
        <w:t>3</w:t>
      </w:r>
      <w:r>
        <w:t>、38.7万m</w:t>
      </w:r>
      <w:r>
        <w:rPr>
          <w:vertAlign w:val="superscript"/>
        </w:rPr>
        <w:t>3</w:t>
      </w:r>
      <w:r>
        <w:t>和20.5万m</w:t>
      </w:r>
      <w:r>
        <w:rPr>
          <w:vertAlign w:val="superscript"/>
        </w:rPr>
        <w:t>3</w:t>
      </w:r>
      <w:r>
        <w:t>，共计85.8万m</w:t>
      </w:r>
      <w:r>
        <w:rPr>
          <w:vertAlign w:val="superscript"/>
        </w:rPr>
        <w:t>3</w:t>
      </w:r>
      <w:r>
        <w:t>，补水枢纽有效补水量为215.7万m</w:t>
      </w:r>
      <w:r>
        <w:rPr>
          <w:vertAlign w:val="superscript"/>
        </w:rPr>
        <w:t>3</w:t>
      </w:r>
      <w:r>
        <w:t>。</w:t>
      </w:r>
    </w:p>
    <w:p>
      <w:pPr>
        <w:pStyle w:val="65"/>
        <w:spacing w:line="360" w:lineRule="auto"/>
        <w:ind w:firstLine="480"/>
        <w:contextualSpacing/>
        <w:rPr>
          <w:rFonts w:hAnsi="宋体"/>
        </w:rPr>
      </w:pPr>
      <w:r>
        <w:rPr>
          <w:rFonts w:hAnsi="宋体"/>
        </w:rPr>
        <w:t>根据水库下泄生态流量的要求，在左岸取水防空洞设2根生态放水管，一备一用；放水管铺设在隧洞底部，采用DN100PE管，长约300m，进口底板高程为667.00m，进口设置DN100滤水网；管道并排沿放空洞底板上部铺设，外包5cm厚C20砼，管道出口设阀门控制方式流量，出水后顺接跌坎。经水力学计算复核，在死水位时，完全可满足0.0084m3/s的生态基流下泄要求。</w:t>
      </w:r>
    </w:p>
    <w:p>
      <w:pPr>
        <w:pStyle w:val="65"/>
        <w:spacing w:line="360" w:lineRule="auto"/>
        <w:ind w:firstLine="480"/>
        <w:contextualSpacing/>
        <w:rPr>
          <w:rFonts w:hAnsi="宋体"/>
        </w:rPr>
      </w:pPr>
      <w:r>
        <w:rPr>
          <w:rFonts w:hAnsi="宋体"/>
        </w:rPr>
        <w:t>为满足谭家河、刘家河两补水枢纽下游生态流量下泄要求，在泄洪冲砂闸闸墩侧墙设置规格为DN200的钢管，进口位于工作闸门前，管身从闸墩侧墙穿过，出口位于工作闸门后，末端采用闸阀控制，闸阀上设流量计和监测仪，保证生态用水的下泄和监测。经水力学计算，工程运行时满足0.0123m3/s和0.0065m3/s的生态基流下泄要求。</w:t>
      </w:r>
    </w:p>
    <w:p>
      <w:pPr>
        <w:ind w:firstLine="0" w:firstLineChars="0"/>
        <w:contextualSpacing/>
        <w:outlineLvl w:val="3"/>
        <w:rPr>
          <w:b/>
          <w:bCs/>
        </w:rPr>
      </w:pPr>
      <w:r>
        <w:rPr>
          <w:b/>
          <w:bCs/>
        </w:rPr>
        <w:t>2.5.2.5</w:t>
      </w:r>
      <w:r>
        <w:rPr>
          <w:rFonts w:hAnsi="宋体"/>
          <w:b/>
          <w:bCs/>
        </w:rPr>
        <w:t>灌区综合需水量</w:t>
      </w:r>
    </w:p>
    <w:p>
      <w:pPr>
        <w:pStyle w:val="65"/>
        <w:spacing w:line="360" w:lineRule="auto"/>
        <w:ind w:firstLine="480"/>
        <w:contextualSpacing/>
        <w:rPr>
          <w:rFonts w:hAnsi="宋体"/>
        </w:rPr>
      </w:pPr>
      <w:r>
        <w:rPr>
          <w:rFonts w:hAnsi="宋体"/>
        </w:rPr>
        <w:t>灌区P=70%保证率的万亩净灌水率0.455m3/s/万亩，考虑塘坝、窖池等水利设施不同程度削峰和渠系输水损失，干渠首设计流量0.92m3/s，何家坪、蒲家碥、桥楼子、杨家坪四条支渠设计流量分别为0.14m3/s～0.18m3/s。</w:t>
      </w:r>
    </w:p>
    <w:p>
      <w:pPr>
        <w:ind w:firstLine="0" w:firstLineChars="0"/>
        <w:contextualSpacing/>
        <w:jc w:val="center"/>
        <w:rPr>
          <w:rFonts w:hAnsi="宋体"/>
          <w:b/>
          <w:bCs/>
          <w:sz w:val="21"/>
          <w:szCs w:val="21"/>
        </w:rPr>
      </w:pPr>
      <w:r>
        <w:rPr>
          <w:rFonts w:hAnsi="宋体"/>
          <w:b/>
          <w:bCs/>
          <w:sz w:val="21"/>
          <w:szCs w:val="21"/>
        </w:rPr>
        <w:t>表4.3.6-1  寒溪寺水库灌区渠系设计流量成果表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128"/>
        <w:gridCol w:w="954"/>
        <w:gridCol w:w="966"/>
        <w:gridCol w:w="1692"/>
        <w:gridCol w:w="1128"/>
        <w:gridCol w:w="761"/>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1" w:type="pct"/>
            <w:gridSpan w:val="4"/>
            <w:noWrap/>
            <w:vAlign w:val="center"/>
          </w:tcPr>
          <w:p>
            <w:pPr>
              <w:pStyle w:val="139"/>
              <w:spacing w:line="240" w:lineRule="auto"/>
              <w:rPr>
                <w:rFonts w:cs="Times New Roman"/>
                <w:szCs w:val="18"/>
              </w:rPr>
            </w:pPr>
            <w:r>
              <w:rPr>
                <w:rFonts w:cs="Times New Roman"/>
                <w:szCs w:val="18"/>
              </w:rPr>
              <w:t>干       渠</w:t>
            </w:r>
          </w:p>
        </w:tc>
        <w:tc>
          <w:tcPr>
            <w:tcW w:w="2549" w:type="pct"/>
            <w:gridSpan w:val="4"/>
            <w:noWrap/>
            <w:vAlign w:val="center"/>
          </w:tcPr>
          <w:p>
            <w:pPr>
              <w:pStyle w:val="139"/>
              <w:spacing w:line="240" w:lineRule="auto"/>
              <w:rPr>
                <w:rFonts w:cs="Times New Roman"/>
                <w:szCs w:val="18"/>
              </w:rPr>
            </w:pPr>
            <w:r>
              <w:rPr>
                <w:rFonts w:cs="Times New Roman"/>
                <w:szCs w:val="18"/>
              </w:rPr>
              <w:t>支         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62" w:type="pct"/>
            <w:vMerge w:val="restart"/>
            <w:noWrap/>
            <w:vAlign w:val="center"/>
          </w:tcPr>
          <w:p>
            <w:pPr>
              <w:pStyle w:val="139"/>
              <w:spacing w:line="240" w:lineRule="auto"/>
              <w:rPr>
                <w:rFonts w:cs="Times New Roman"/>
                <w:szCs w:val="18"/>
              </w:rPr>
            </w:pPr>
            <w:r>
              <w:rPr>
                <w:rFonts w:cs="Times New Roman"/>
                <w:szCs w:val="18"/>
              </w:rPr>
              <w:t>桩  号</w:t>
            </w:r>
          </w:p>
        </w:tc>
        <w:tc>
          <w:tcPr>
            <w:tcW w:w="662" w:type="pct"/>
            <w:vMerge w:val="restart"/>
            <w:vAlign w:val="center"/>
          </w:tcPr>
          <w:p>
            <w:pPr>
              <w:pStyle w:val="139"/>
              <w:spacing w:line="240" w:lineRule="auto"/>
              <w:rPr>
                <w:rFonts w:cs="Times New Roman"/>
                <w:szCs w:val="18"/>
              </w:rPr>
            </w:pPr>
            <w:r>
              <w:rPr>
                <w:rFonts w:cs="Times New Roman"/>
                <w:szCs w:val="18"/>
              </w:rPr>
              <w:t>灌  面</w:t>
            </w:r>
          </w:p>
          <w:p>
            <w:pPr>
              <w:pStyle w:val="139"/>
              <w:spacing w:line="240" w:lineRule="auto"/>
              <w:rPr>
                <w:rFonts w:cs="Times New Roman"/>
                <w:szCs w:val="18"/>
              </w:rPr>
            </w:pPr>
            <w:r>
              <w:rPr>
                <w:rFonts w:cs="Times New Roman"/>
                <w:szCs w:val="18"/>
              </w:rPr>
              <w:t>亩</w:t>
            </w:r>
          </w:p>
        </w:tc>
        <w:tc>
          <w:tcPr>
            <w:tcW w:w="1127" w:type="pct"/>
            <w:gridSpan w:val="2"/>
            <w:noWrap/>
            <w:vAlign w:val="center"/>
          </w:tcPr>
          <w:p>
            <w:pPr>
              <w:pStyle w:val="139"/>
              <w:spacing w:line="240" w:lineRule="auto"/>
              <w:rPr>
                <w:rFonts w:cs="Times New Roman"/>
                <w:szCs w:val="18"/>
              </w:rPr>
            </w:pPr>
            <w:r>
              <w:rPr>
                <w:rFonts w:cs="Times New Roman"/>
                <w:szCs w:val="18"/>
              </w:rPr>
              <w:t>流  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993" w:type="pct"/>
            <w:vMerge w:val="restart"/>
            <w:noWrap/>
            <w:vAlign w:val="center"/>
          </w:tcPr>
          <w:p>
            <w:pPr>
              <w:pStyle w:val="139"/>
              <w:spacing w:line="240" w:lineRule="auto"/>
              <w:rPr>
                <w:rFonts w:cs="Times New Roman"/>
                <w:szCs w:val="18"/>
              </w:rPr>
            </w:pPr>
            <w:r>
              <w:rPr>
                <w:rFonts w:cs="Times New Roman"/>
                <w:szCs w:val="18"/>
              </w:rPr>
              <w:t>名  称</w:t>
            </w:r>
          </w:p>
        </w:tc>
        <w:tc>
          <w:tcPr>
            <w:tcW w:w="662" w:type="pct"/>
            <w:vMerge w:val="restart"/>
            <w:vAlign w:val="center"/>
          </w:tcPr>
          <w:p>
            <w:pPr>
              <w:pStyle w:val="139"/>
              <w:spacing w:line="240" w:lineRule="auto"/>
              <w:rPr>
                <w:rFonts w:cs="Times New Roman"/>
                <w:szCs w:val="18"/>
              </w:rPr>
            </w:pPr>
            <w:r>
              <w:rPr>
                <w:rFonts w:cs="Times New Roman"/>
                <w:szCs w:val="18"/>
              </w:rPr>
              <w:t>灌  面</w:t>
            </w:r>
          </w:p>
          <w:p>
            <w:pPr>
              <w:pStyle w:val="139"/>
              <w:spacing w:line="240" w:lineRule="auto"/>
              <w:rPr>
                <w:rFonts w:cs="Times New Roman"/>
                <w:szCs w:val="18"/>
              </w:rPr>
            </w:pPr>
            <w:r>
              <w:rPr>
                <w:rFonts w:cs="Times New Roman"/>
                <w:szCs w:val="18"/>
              </w:rPr>
              <w:t>亩</w:t>
            </w:r>
          </w:p>
        </w:tc>
        <w:tc>
          <w:tcPr>
            <w:tcW w:w="894" w:type="pct"/>
            <w:gridSpan w:val="2"/>
            <w:noWrap/>
            <w:vAlign w:val="center"/>
          </w:tcPr>
          <w:p>
            <w:pPr>
              <w:pStyle w:val="139"/>
              <w:spacing w:line="240" w:lineRule="auto"/>
              <w:rPr>
                <w:rFonts w:cs="Times New Roman"/>
                <w:szCs w:val="18"/>
              </w:rPr>
            </w:pPr>
            <w:r>
              <w:rPr>
                <w:rFonts w:cs="Times New Roman"/>
                <w:szCs w:val="18"/>
              </w:rPr>
              <w:t>流 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62" w:type="pct"/>
            <w:vMerge w:val="continue"/>
            <w:vAlign w:val="center"/>
          </w:tcPr>
          <w:p>
            <w:pPr>
              <w:pStyle w:val="139"/>
              <w:spacing w:line="240" w:lineRule="auto"/>
              <w:rPr>
                <w:rFonts w:cs="Times New Roman"/>
                <w:szCs w:val="18"/>
              </w:rPr>
            </w:pPr>
          </w:p>
        </w:tc>
        <w:tc>
          <w:tcPr>
            <w:tcW w:w="662" w:type="pct"/>
            <w:vMerge w:val="continue"/>
            <w:vAlign w:val="center"/>
          </w:tcPr>
          <w:p>
            <w:pPr>
              <w:pStyle w:val="139"/>
              <w:spacing w:line="240" w:lineRule="auto"/>
              <w:rPr>
                <w:rFonts w:cs="Times New Roman"/>
                <w:szCs w:val="18"/>
              </w:rPr>
            </w:pPr>
          </w:p>
        </w:tc>
        <w:tc>
          <w:tcPr>
            <w:tcW w:w="560" w:type="pct"/>
            <w:noWrap/>
            <w:vAlign w:val="center"/>
          </w:tcPr>
          <w:p>
            <w:pPr>
              <w:pStyle w:val="139"/>
              <w:spacing w:line="240" w:lineRule="auto"/>
              <w:rPr>
                <w:rFonts w:cs="Times New Roman"/>
                <w:szCs w:val="18"/>
              </w:rPr>
            </w:pPr>
            <w:r>
              <w:rPr>
                <w:rFonts w:cs="Times New Roman"/>
                <w:szCs w:val="18"/>
              </w:rPr>
              <w:t>设计</w:t>
            </w:r>
          </w:p>
        </w:tc>
        <w:tc>
          <w:tcPr>
            <w:tcW w:w="567" w:type="pct"/>
            <w:noWrap/>
            <w:vAlign w:val="center"/>
          </w:tcPr>
          <w:p>
            <w:pPr>
              <w:pStyle w:val="139"/>
              <w:spacing w:line="240" w:lineRule="auto"/>
              <w:rPr>
                <w:rFonts w:cs="Times New Roman"/>
                <w:szCs w:val="18"/>
              </w:rPr>
            </w:pPr>
            <w:r>
              <w:rPr>
                <w:rFonts w:cs="Times New Roman"/>
                <w:szCs w:val="18"/>
              </w:rPr>
              <w:t>加大</w:t>
            </w:r>
          </w:p>
        </w:tc>
        <w:tc>
          <w:tcPr>
            <w:tcW w:w="993" w:type="pct"/>
            <w:vMerge w:val="continue"/>
            <w:vAlign w:val="center"/>
          </w:tcPr>
          <w:p>
            <w:pPr>
              <w:pStyle w:val="139"/>
              <w:spacing w:line="240" w:lineRule="auto"/>
              <w:rPr>
                <w:rFonts w:cs="Times New Roman"/>
                <w:szCs w:val="18"/>
              </w:rPr>
            </w:pPr>
          </w:p>
        </w:tc>
        <w:tc>
          <w:tcPr>
            <w:tcW w:w="662" w:type="pct"/>
            <w:vMerge w:val="continue"/>
            <w:vAlign w:val="center"/>
          </w:tcPr>
          <w:p>
            <w:pPr>
              <w:pStyle w:val="139"/>
              <w:spacing w:line="240" w:lineRule="auto"/>
              <w:rPr>
                <w:rFonts w:cs="Times New Roman"/>
                <w:szCs w:val="18"/>
              </w:rPr>
            </w:pPr>
          </w:p>
        </w:tc>
        <w:tc>
          <w:tcPr>
            <w:tcW w:w="446" w:type="pct"/>
            <w:noWrap/>
            <w:vAlign w:val="center"/>
          </w:tcPr>
          <w:p>
            <w:pPr>
              <w:pStyle w:val="139"/>
              <w:spacing w:line="240" w:lineRule="auto"/>
              <w:rPr>
                <w:rFonts w:cs="Times New Roman"/>
                <w:szCs w:val="18"/>
              </w:rPr>
            </w:pPr>
            <w:r>
              <w:rPr>
                <w:rFonts w:cs="Times New Roman"/>
                <w:szCs w:val="18"/>
              </w:rPr>
              <w:t>设计</w:t>
            </w:r>
          </w:p>
        </w:tc>
        <w:tc>
          <w:tcPr>
            <w:tcW w:w="448" w:type="pct"/>
            <w:noWrap/>
            <w:vAlign w:val="center"/>
          </w:tcPr>
          <w:p>
            <w:pPr>
              <w:pStyle w:val="139"/>
              <w:spacing w:line="240" w:lineRule="auto"/>
              <w:rPr>
                <w:rFonts w:cs="Times New Roman"/>
                <w:szCs w:val="18"/>
              </w:rPr>
            </w:pPr>
            <w:r>
              <w:rPr>
                <w:rFonts w:cs="Times New Roman"/>
                <w:szCs w:val="18"/>
              </w:rPr>
              <w:t>加大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0+000</w:t>
            </w:r>
          </w:p>
        </w:tc>
        <w:tc>
          <w:tcPr>
            <w:tcW w:w="662" w:type="pct"/>
            <w:noWrap/>
            <w:vAlign w:val="center"/>
          </w:tcPr>
          <w:p>
            <w:pPr>
              <w:pStyle w:val="139"/>
              <w:spacing w:line="240" w:lineRule="auto"/>
              <w:rPr>
                <w:rFonts w:cs="Times New Roman"/>
                <w:szCs w:val="18"/>
              </w:rPr>
            </w:pPr>
            <w:r>
              <w:rPr>
                <w:rFonts w:cs="Times New Roman"/>
                <w:szCs w:val="18"/>
              </w:rPr>
              <w:t>22501</w:t>
            </w:r>
          </w:p>
        </w:tc>
        <w:tc>
          <w:tcPr>
            <w:tcW w:w="560" w:type="pct"/>
            <w:noWrap/>
            <w:vAlign w:val="center"/>
          </w:tcPr>
          <w:p>
            <w:pPr>
              <w:pStyle w:val="139"/>
              <w:spacing w:line="240" w:lineRule="auto"/>
              <w:rPr>
                <w:rFonts w:cs="Times New Roman"/>
                <w:szCs w:val="18"/>
              </w:rPr>
            </w:pPr>
            <w:r>
              <w:rPr>
                <w:rFonts w:cs="Times New Roman"/>
                <w:szCs w:val="18"/>
              </w:rPr>
              <w:t>0.92</w:t>
            </w:r>
          </w:p>
        </w:tc>
        <w:tc>
          <w:tcPr>
            <w:tcW w:w="567" w:type="pct"/>
            <w:noWrap/>
            <w:vAlign w:val="center"/>
          </w:tcPr>
          <w:p>
            <w:pPr>
              <w:pStyle w:val="139"/>
              <w:spacing w:line="240" w:lineRule="auto"/>
              <w:rPr>
                <w:rFonts w:cs="Times New Roman"/>
                <w:szCs w:val="18"/>
              </w:rPr>
            </w:pPr>
            <w:r>
              <w:rPr>
                <w:rFonts w:cs="Times New Roman"/>
                <w:szCs w:val="18"/>
              </w:rPr>
              <w:t>1.20</w:t>
            </w:r>
          </w:p>
        </w:tc>
        <w:tc>
          <w:tcPr>
            <w:tcW w:w="993" w:type="pct"/>
            <w:noWrap/>
            <w:vAlign w:val="center"/>
          </w:tcPr>
          <w:p>
            <w:pPr>
              <w:pStyle w:val="139"/>
              <w:spacing w:line="240" w:lineRule="auto"/>
              <w:rPr>
                <w:rFonts w:cs="Times New Roman"/>
                <w:szCs w:val="18"/>
              </w:rPr>
            </w:pPr>
          </w:p>
        </w:tc>
        <w:tc>
          <w:tcPr>
            <w:tcW w:w="662" w:type="pct"/>
            <w:noWrap/>
            <w:vAlign w:val="center"/>
          </w:tcPr>
          <w:p>
            <w:pPr>
              <w:pStyle w:val="139"/>
              <w:spacing w:line="240" w:lineRule="auto"/>
              <w:rPr>
                <w:rFonts w:cs="Times New Roman"/>
                <w:szCs w:val="18"/>
              </w:rPr>
            </w:pPr>
          </w:p>
        </w:tc>
        <w:tc>
          <w:tcPr>
            <w:tcW w:w="446" w:type="pct"/>
            <w:noWrap/>
            <w:vAlign w:val="center"/>
          </w:tcPr>
          <w:p>
            <w:pPr>
              <w:pStyle w:val="139"/>
              <w:spacing w:line="240" w:lineRule="auto"/>
              <w:rPr>
                <w:rFonts w:cs="Times New Roman"/>
                <w:szCs w:val="18"/>
              </w:rPr>
            </w:pPr>
          </w:p>
        </w:tc>
        <w:tc>
          <w:tcPr>
            <w:tcW w:w="448"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0+750</w:t>
            </w:r>
          </w:p>
        </w:tc>
        <w:tc>
          <w:tcPr>
            <w:tcW w:w="662" w:type="pct"/>
            <w:noWrap/>
            <w:vAlign w:val="center"/>
          </w:tcPr>
          <w:p>
            <w:pPr>
              <w:pStyle w:val="139"/>
              <w:spacing w:line="240" w:lineRule="auto"/>
              <w:rPr>
                <w:rFonts w:cs="Times New Roman"/>
                <w:szCs w:val="18"/>
              </w:rPr>
            </w:pPr>
            <w:r>
              <w:rPr>
                <w:rFonts w:cs="Times New Roman"/>
                <w:szCs w:val="18"/>
              </w:rPr>
              <w:t>22501</w:t>
            </w:r>
          </w:p>
        </w:tc>
        <w:tc>
          <w:tcPr>
            <w:tcW w:w="560" w:type="pct"/>
            <w:noWrap/>
            <w:vAlign w:val="center"/>
          </w:tcPr>
          <w:p>
            <w:pPr>
              <w:pStyle w:val="139"/>
              <w:spacing w:line="240" w:lineRule="auto"/>
              <w:rPr>
                <w:rFonts w:cs="Times New Roman"/>
                <w:szCs w:val="18"/>
              </w:rPr>
            </w:pPr>
            <w:r>
              <w:rPr>
                <w:rFonts w:cs="Times New Roman"/>
                <w:szCs w:val="18"/>
              </w:rPr>
              <w:t>0.92</w:t>
            </w:r>
          </w:p>
        </w:tc>
        <w:tc>
          <w:tcPr>
            <w:tcW w:w="567" w:type="pct"/>
            <w:noWrap/>
            <w:vAlign w:val="center"/>
          </w:tcPr>
          <w:p>
            <w:pPr>
              <w:pStyle w:val="139"/>
              <w:spacing w:line="240" w:lineRule="auto"/>
              <w:rPr>
                <w:rFonts w:cs="Times New Roman"/>
                <w:szCs w:val="18"/>
              </w:rPr>
            </w:pPr>
            <w:r>
              <w:rPr>
                <w:rFonts w:cs="Times New Roman"/>
                <w:szCs w:val="18"/>
              </w:rPr>
              <w:t>1.20</w:t>
            </w:r>
          </w:p>
        </w:tc>
        <w:tc>
          <w:tcPr>
            <w:tcW w:w="993" w:type="pct"/>
            <w:noWrap/>
            <w:vAlign w:val="center"/>
          </w:tcPr>
          <w:p>
            <w:pPr>
              <w:pStyle w:val="139"/>
              <w:spacing w:line="240" w:lineRule="auto"/>
              <w:rPr>
                <w:rFonts w:cs="Times New Roman"/>
                <w:szCs w:val="18"/>
              </w:rPr>
            </w:pPr>
            <w:r>
              <w:rPr>
                <w:rFonts w:cs="Times New Roman"/>
                <w:szCs w:val="18"/>
              </w:rPr>
              <w:t>代洛水厂</w:t>
            </w:r>
          </w:p>
        </w:tc>
        <w:tc>
          <w:tcPr>
            <w:tcW w:w="662" w:type="pct"/>
            <w:noWrap/>
            <w:vAlign w:val="center"/>
          </w:tcPr>
          <w:p>
            <w:pPr>
              <w:pStyle w:val="139"/>
              <w:spacing w:line="240" w:lineRule="auto"/>
              <w:rPr>
                <w:rFonts w:cs="Times New Roman"/>
                <w:szCs w:val="18"/>
              </w:rPr>
            </w:pPr>
            <w:r>
              <w:rPr>
                <w:rFonts w:cs="Times New Roman"/>
                <w:szCs w:val="18"/>
              </w:rPr>
              <w:t>-----</w:t>
            </w:r>
          </w:p>
        </w:tc>
        <w:tc>
          <w:tcPr>
            <w:tcW w:w="446" w:type="pct"/>
            <w:noWrap/>
            <w:vAlign w:val="center"/>
          </w:tcPr>
          <w:p>
            <w:pPr>
              <w:pStyle w:val="139"/>
              <w:spacing w:line="240" w:lineRule="auto"/>
              <w:rPr>
                <w:rFonts w:cs="Times New Roman"/>
                <w:szCs w:val="18"/>
              </w:rPr>
            </w:pPr>
            <w:r>
              <w:rPr>
                <w:rFonts w:cs="Times New Roman"/>
                <w:szCs w:val="18"/>
              </w:rPr>
              <w:t>0.044</w:t>
            </w:r>
          </w:p>
        </w:tc>
        <w:tc>
          <w:tcPr>
            <w:tcW w:w="448"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p>
        </w:tc>
        <w:tc>
          <w:tcPr>
            <w:tcW w:w="662" w:type="pct"/>
            <w:noWrap/>
            <w:vAlign w:val="center"/>
          </w:tcPr>
          <w:p>
            <w:pPr>
              <w:pStyle w:val="139"/>
              <w:spacing w:line="240" w:lineRule="auto"/>
              <w:rPr>
                <w:rFonts w:cs="Times New Roman"/>
                <w:szCs w:val="18"/>
              </w:rPr>
            </w:pPr>
          </w:p>
        </w:tc>
        <w:tc>
          <w:tcPr>
            <w:tcW w:w="560" w:type="pct"/>
            <w:noWrap/>
            <w:vAlign w:val="center"/>
          </w:tcPr>
          <w:p>
            <w:pPr>
              <w:pStyle w:val="139"/>
              <w:spacing w:line="240" w:lineRule="auto"/>
              <w:rPr>
                <w:rFonts w:cs="Times New Roman"/>
                <w:szCs w:val="18"/>
              </w:rPr>
            </w:pPr>
          </w:p>
        </w:tc>
        <w:tc>
          <w:tcPr>
            <w:tcW w:w="567" w:type="pct"/>
            <w:noWrap/>
            <w:vAlign w:val="center"/>
          </w:tcPr>
          <w:p>
            <w:pPr>
              <w:pStyle w:val="139"/>
              <w:spacing w:line="240" w:lineRule="auto"/>
              <w:rPr>
                <w:rFonts w:cs="Times New Roman"/>
                <w:szCs w:val="18"/>
              </w:rPr>
            </w:pPr>
          </w:p>
        </w:tc>
        <w:tc>
          <w:tcPr>
            <w:tcW w:w="993" w:type="pct"/>
            <w:noWrap/>
            <w:vAlign w:val="center"/>
          </w:tcPr>
          <w:p>
            <w:pPr>
              <w:pStyle w:val="139"/>
              <w:spacing w:line="240" w:lineRule="auto"/>
              <w:rPr>
                <w:rFonts w:cs="Times New Roman"/>
                <w:szCs w:val="18"/>
              </w:rPr>
            </w:pPr>
            <w:r>
              <w:rPr>
                <w:rFonts w:cs="Times New Roman"/>
                <w:szCs w:val="18"/>
              </w:rPr>
              <w:t>直灌1</w:t>
            </w:r>
          </w:p>
        </w:tc>
        <w:tc>
          <w:tcPr>
            <w:tcW w:w="662" w:type="pct"/>
            <w:noWrap/>
            <w:vAlign w:val="center"/>
          </w:tcPr>
          <w:p>
            <w:pPr>
              <w:pStyle w:val="139"/>
              <w:spacing w:line="240" w:lineRule="auto"/>
              <w:rPr>
                <w:rFonts w:cs="Times New Roman"/>
                <w:szCs w:val="18"/>
              </w:rPr>
            </w:pPr>
            <w:r>
              <w:rPr>
                <w:rFonts w:cs="Times New Roman"/>
                <w:szCs w:val="18"/>
              </w:rPr>
              <w:t>2234</w:t>
            </w:r>
          </w:p>
        </w:tc>
        <w:tc>
          <w:tcPr>
            <w:tcW w:w="446" w:type="pct"/>
            <w:noWrap/>
            <w:vAlign w:val="center"/>
          </w:tcPr>
          <w:p>
            <w:pPr>
              <w:pStyle w:val="139"/>
              <w:spacing w:line="240" w:lineRule="auto"/>
              <w:rPr>
                <w:rFonts w:cs="Times New Roman"/>
                <w:szCs w:val="18"/>
              </w:rPr>
            </w:pPr>
            <w:r>
              <w:rPr>
                <w:rFonts w:cs="Times New Roman"/>
                <w:szCs w:val="18"/>
              </w:rPr>
              <w:t>0.07</w:t>
            </w:r>
          </w:p>
        </w:tc>
        <w:tc>
          <w:tcPr>
            <w:tcW w:w="448"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4+929</w:t>
            </w:r>
          </w:p>
        </w:tc>
        <w:tc>
          <w:tcPr>
            <w:tcW w:w="662" w:type="pct"/>
            <w:noWrap/>
            <w:vAlign w:val="center"/>
          </w:tcPr>
          <w:p>
            <w:pPr>
              <w:pStyle w:val="139"/>
              <w:spacing w:line="240" w:lineRule="auto"/>
              <w:rPr>
                <w:rFonts w:cs="Times New Roman"/>
                <w:szCs w:val="18"/>
              </w:rPr>
            </w:pPr>
            <w:r>
              <w:rPr>
                <w:rFonts w:cs="Times New Roman"/>
                <w:szCs w:val="18"/>
              </w:rPr>
              <w:t>20267</w:t>
            </w:r>
          </w:p>
        </w:tc>
        <w:tc>
          <w:tcPr>
            <w:tcW w:w="560" w:type="pct"/>
            <w:noWrap/>
            <w:vAlign w:val="center"/>
          </w:tcPr>
          <w:p>
            <w:pPr>
              <w:pStyle w:val="139"/>
              <w:spacing w:line="240" w:lineRule="auto"/>
              <w:rPr>
                <w:rFonts w:cs="Times New Roman"/>
                <w:szCs w:val="18"/>
              </w:rPr>
            </w:pPr>
            <w:r>
              <w:rPr>
                <w:rFonts w:cs="Times New Roman"/>
                <w:szCs w:val="18"/>
              </w:rPr>
              <w:t>0.78</w:t>
            </w:r>
          </w:p>
        </w:tc>
        <w:tc>
          <w:tcPr>
            <w:tcW w:w="567" w:type="pct"/>
            <w:noWrap/>
            <w:vAlign w:val="center"/>
          </w:tcPr>
          <w:p>
            <w:pPr>
              <w:pStyle w:val="139"/>
              <w:spacing w:line="240" w:lineRule="auto"/>
              <w:rPr>
                <w:rFonts w:cs="Times New Roman"/>
                <w:szCs w:val="18"/>
              </w:rPr>
            </w:pPr>
            <w:r>
              <w:rPr>
                <w:rFonts w:cs="Times New Roman"/>
                <w:szCs w:val="18"/>
              </w:rPr>
              <w:t>1.01</w:t>
            </w:r>
          </w:p>
        </w:tc>
        <w:tc>
          <w:tcPr>
            <w:tcW w:w="993" w:type="pct"/>
            <w:noWrap/>
            <w:vAlign w:val="center"/>
          </w:tcPr>
          <w:p>
            <w:pPr>
              <w:pStyle w:val="139"/>
              <w:spacing w:line="240" w:lineRule="auto"/>
              <w:rPr>
                <w:rFonts w:cs="Times New Roman"/>
                <w:szCs w:val="18"/>
              </w:rPr>
            </w:pPr>
            <w:r>
              <w:rPr>
                <w:rFonts w:cs="Times New Roman"/>
                <w:szCs w:val="18"/>
              </w:rPr>
              <w:t>何家坪支渠</w:t>
            </w:r>
          </w:p>
        </w:tc>
        <w:tc>
          <w:tcPr>
            <w:tcW w:w="662" w:type="pct"/>
            <w:noWrap/>
            <w:vAlign w:val="center"/>
          </w:tcPr>
          <w:p>
            <w:pPr>
              <w:pStyle w:val="139"/>
              <w:spacing w:line="240" w:lineRule="auto"/>
              <w:rPr>
                <w:rFonts w:cs="Times New Roman"/>
                <w:szCs w:val="18"/>
              </w:rPr>
            </w:pPr>
            <w:r>
              <w:rPr>
                <w:rFonts w:cs="Times New Roman"/>
                <w:szCs w:val="18"/>
              </w:rPr>
              <w:t>5745</w:t>
            </w:r>
          </w:p>
        </w:tc>
        <w:tc>
          <w:tcPr>
            <w:tcW w:w="446" w:type="pct"/>
            <w:noWrap/>
            <w:vAlign w:val="center"/>
          </w:tcPr>
          <w:p>
            <w:pPr>
              <w:pStyle w:val="139"/>
              <w:spacing w:line="240" w:lineRule="auto"/>
              <w:rPr>
                <w:rFonts w:cs="Times New Roman"/>
                <w:szCs w:val="18"/>
              </w:rPr>
            </w:pPr>
            <w:r>
              <w:rPr>
                <w:rFonts w:cs="Times New Roman"/>
                <w:szCs w:val="18"/>
              </w:rPr>
              <w:t>0.18</w:t>
            </w:r>
          </w:p>
        </w:tc>
        <w:tc>
          <w:tcPr>
            <w:tcW w:w="448" w:type="pct"/>
            <w:noWrap/>
            <w:vAlign w:val="center"/>
          </w:tcPr>
          <w:p>
            <w:pPr>
              <w:pStyle w:val="139"/>
              <w:spacing w:line="240" w:lineRule="auto"/>
              <w:rPr>
                <w:rFonts w:cs="Times New Roman"/>
                <w:szCs w:val="18"/>
              </w:rPr>
            </w:pPr>
            <w:r>
              <w:rPr>
                <w:rFonts w:cs="Times New Roman"/>
                <w:szCs w:val="18"/>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5+228</w:t>
            </w:r>
          </w:p>
        </w:tc>
        <w:tc>
          <w:tcPr>
            <w:tcW w:w="662" w:type="pct"/>
            <w:noWrap/>
            <w:vAlign w:val="center"/>
          </w:tcPr>
          <w:p>
            <w:pPr>
              <w:pStyle w:val="139"/>
              <w:spacing w:line="240" w:lineRule="auto"/>
              <w:rPr>
                <w:rFonts w:cs="Times New Roman"/>
                <w:szCs w:val="18"/>
              </w:rPr>
            </w:pPr>
            <w:r>
              <w:rPr>
                <w:rFonts w:cs="Times New Roman"/>
                <w:szCs w:val="18"/>
              </w:rPr>
              <w:t>14522</w:t>
            </w:r>
          </w:p>
        </w:tc>
        <w:tc>
          <w:tcPr>
            <w:tcW w:w="560" w:type="pct"/>
            <w:noWrap/>
            <w:vAlign w:val="center"/>
          </w:tcPr>
          <w:p>
            <w:pPr>
              <w:pStyle w:val="139"/>
              <w:spacing w:line="240" w:lineRule="auto"/>
              <w:rPr>
                <w:rFonts w:cs="Times New Roman"/>
                <w:szCs w:val="18"/>
              </w:rPr>
            </w:pPr>
            <w:r>
              <w:rPr>
                <w:rFonts w:cs="Times New Roman"/>
                <w:szCs w:val="18"/>
              </w:rPr>
              <w:t>0.59</w:t>
            </w:r>
          </w:p>
        </w:tc>
        <w:tc>
          <w:tcPr>
            <w:tcW w:w="567" w:type="pct"/>
            <w:noWrap/>
            <w:vAlign w:val="center"/>
          </w:tcPr>
          <w:p>
            <w:pPr>
              <w:pStyle w:val="139"/>
              <w:spacing w:line="240" w:lineRule="auto"/>
              <w:rPr>
                <w:rFonts w:cs="Times New Roman"/>
                <w:szCs w:val="18"/>
              </w:rPr>
            </w:pPr>
            <w:r>
              <w:rPr>
                <w:rFonts w:cs="Times New Roman"/>
                <w:szCs w:val="18"/>
              </w:rPr>
              <w:t>0.77</w:t>
            </w:r>
          </w:p>
        </w:tc>
        <w:tc>
          <w:tcPr>
            <w:tcW w:w="993" w:type="pct"/>
            <w:noWrap/>
            <w:vAlign w:val="center"/>
          </w:tcPr>
          <w:p>
            <w:pPr>
              <w:pStyle w:val="139"/>
              <w:spacing w:line="240" w:lineRule="auto"/>
              <w:rPr>
                <w:rFonts w:cs="Times New Roman"/>
                <w:szCs w:val="18"/>
              </w:rPr>
            </w:pPr>
            <w:r>
              <w:rPr>
                <w:rFonts w:cs="Times New Roman"/>
                <w:szCs w:val="18"/>
              </w:rPr>
              <w:t>蒲家碥支渠</w:t>
            </w:r>
          </w:p>
        </w:tc>
        <w:tc>
          <w:tcPr>
            <w:tcW w:w="662" w:type="pct"/>
            <w:noWrap/>
            <w:vAlign w:val="center"/>
          </w:tcPr>
          <w:p>
            <w:pPr>
              <w:pStyle w:val="139"/>
              <w:spacing w:line="240" w:lineRule="auto"/>
              <w:rPr>
                <w:rFonts w:cs="Times New Roman"/>
                <w:szCs w:val="18"/>
              </w:rPr>
            </w:pPr>
            <w:r>
              <w:rPr>
                <w:rFonts w:cs="Times New Roman"/>
                <w:szCs w:val="18"/>
              </w:rPr>
              <w:t>5475</w:t>
            </w:r>
          </w:p>
        </w:tc>
        <w:tc>
          <w:tcPr>
            <w:tcW w:w="446" w:type="pct"/>
            <w:noWrap/>
            <w:vAlign w:val="center"/>
          </w:tcPr>
          <w:p>
            <w:pPr>
              <w:pStyle w:val="139"/>
              <w:spacing w:line="240" w:lineRule="auto"/>
              <w:rPr>
                <w:rFonts w:cs="Times New Roman"/>
                <w:szCs w:val="18"/>
              </w:rPr>
            </w:pPr>
            <w:r>
              <w:rPr>
                <w:rFonts w:cs="Times New Roman"/>
                <w:szCs w:val="18"/>
              </w:rPr>
              <w:t>0.18</w:t>
            </w:r>
          </w:p>
        </w:tc>
        <w:tc>
          <w:tcPr>
            <w:tcW w:w="448" w:type="pct"/>
            <w:noWrap/>
            <w:vAlign w:val="center"/>
          </w:tcPr>
          <w:p>
            <w:pPr>
              <w:pStyle w:val="139"/>
              <w:spacing w:line="240" w:lineRule="auto"/>
              <w:rPr>
                <w:rFonts w:cs="Times New Roman"/>
                <w:szCs w:val="18"/>
              </w:rPr>
            </w:pPr>
            <w:r>
              <w:rPr>
                <w:rFonts w:cs="Times New Roman"/>
                <w:szCs w:val="18"/>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p>
        </w:tc>
        <w:tc>
          <w:tcPr>
            <w:tcW w:w="662" w:type="pct"/>
            <w:noWrap/>
            <w:vAlign w:val="center"/>
          </w:tcPr>
          <w:p>
            <w:pPr>
              <w:pStyle w:val="139"/>
              <w:spacing w:line="240" w:lineRule="auto"/>
              <w:rPr>
                <w:rFonts w:cs="Times New Roman"/>
                <w:szCs w:val="18"/>
              </w:rPr>
            </w:pPr>
          </w:p>
        </w:tc>
        <w:tc>
          <w:tcPr>
            <w:tcW w:w="560" w:type="pct"/>
            <w:noWrap/>
            <w:vAlign w:val="center"/>
          </w:tcPr>
          <w:p>
            <w:pPr>
              <w:pStyle w:val="139"/>
              <w:spacing w:line="240" w:lineRule="auto"/>
              <w:rPr>
                <w:rFonts w:cs="Times New Roman"/>
                <w:szCs w:val="18"/>
              </w:rPr>
            </w:pPr>
          </w:p>
        </w:tc>
        <w:tc>
          <w:tcPr>
            <w:tcW w:w="567" w:type="pct"/>
            <w:noWrap/>
            <w:vAlign w:val="center"/>
          </w:tcPr>
          <w:p>
            <w:pPr>
              <w:pStyle w:val="139"/>
              <w:spacing w:line="240" w:lineRule="auto"/>
              <w:rPr>
                <w:rFonts w:cs="Times New Roman"/>
                <w:szCs w:val="18"/>
              </w:rPr>
            </w:pPr>
          </w:p>
        </w:tc>
        <w:tc>
          <w:tcPr>
            <w:tcW w:w="993" w:type="pct"/>
            <w:noWrap/>
            <w:vAlign w:val="center"/>
          </w:tcPr>
          <w:p>
            <w:pPr>
              <w:pStyle w:val="139"/>
              <w:spacing w:line="240" w:lineRule="auto"/>
              <w:rPr>
                <w:rFonts w:cs="Times New Roman"/>
                <w:szCs w:val="18"/>
              </w:rPr>
            </w:pPr>
            <w:r>
              <w:rPr>
                <w:rFonts w:cs="Times New Roman"/>
                <w:szCs w:val="18"/>
              </w:rPr>
              <w:t>直灌2</w:t>
            </w:r>
          </w:p>
        </w:tc>
        <w:tc>
          <w:tcPr>
            <w:tcW w:w="662" w:type="pct"/>
            <w:noWrap/>
            <w:vAlign w:val="center"/>
          </w:tcPr>
          <w:p>
            <w:pPr>
              <w:pStyle w:val="139"/>
              <w:spacing w:line="240" w:lineRule="auto"/>
              <w:rPr>
                <w:rFonts w:cs="Times New Roman"/>
                <w:szCs w:val="18"/>
              </w:rPr>
            </w:pPr>
            <w:r>
              <w:rPr>
                <w:rFonts w:cs="Times New Roman"/>
                <w:szCs w:val="18"/>
              </w:rPr>
              <w:t>2004</w:t>
            </w:r>
          </w:p>
        </w:tc>
        <w:tc>
          <w:tcPr>
            <w:tcW w:w="446" w:type="pct"/>
            <w:noWrap/>
            <w:vAlign w:val="center"/>
          </w:tcPr>
          <w:p>
            <w:pPr>
              <w:pStyle w:val="139"/>
              <w:spacing w:line="240" w:lineRule="auto"/>
              <w:rPr>
                <w:rFonts w:cs="Times New Roman"/>
                <w:szCs w:val="18"/>
              </w:rPr>
            </w:pPr>
            <w:r>
              <w:rPr>
                <w:rFonts w:cs="Times New Roman"/>
                <w:szCs w:val="18"/>
              </w:rPr>
              <w:t>0.08</w:t>
            </w:r>
          </w:p>
        </w:tc>
        <w:tc>
          <w:tcPr>
            <w:tcW w:w="448" w:type="pct"/>
            <w:noWrap/>
            <w:vAlign w:val="center"/>
          </w:tcPr>
          <w:p>
            <w:pPr>
              <w:pStyle w:val="139"/>
              <w:spacing w:line="240" w:lineRule="auto"/>
              <w:rPr>
                <w:rFonts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7+971</w:t>
            </w:r>
          </w:p>
        </w:tc>
        <w:tc>
          <w:tcPr>
            <w:tcW w:w="662" w:type="pct"/>
            <w:noWrap/>
            <w:vAlign w:val="center"/>
          </w:tcPr>
          <w:p>
            <w:pPr>
              <w:pStyle w:val="139"/>
              <w:spacing w:line="240" w:lineRule="auto"/>
              <w:rPr>
                <w:rFonts w:cs="Times New Roman"/>
                <w:szCs w:val="18"/>
              </w:rPr>
            </w:pPr>
            <w:r>
              <w:rPr>
                <w:rFonts w:cs="Times New Roman"/>
                <w:szCs w:val="18"/>
              </w:rPr>
              <w:t>7043</w:t>
            </w:r>
          </w:p>
        </w:tc>
        <w:tc>
          <w:tcPr>
            <w:tcW w:w="560" w:type="pct"/>
            <w:noWrap/>
            <w:vAlign w:val="center"/>
          </w:tcPr>
          <w:p>
            <w:pPr>
              <w:pStyle w:val="139"/>
              <w:spacing w:line="240" w:lineRule="auto"/>
              <w:rPr>
                <w:rFonts w:cs="Times New Roman"/>
                <w:szCs w:val="18"/>
              </w:rPr>
            </w:pPr>
            <w:r>
              <w:rPr>
                <w:rFonts w:cs="Times New Roman"/>
                <w:szCs w:val="18"/>
              </w:rPr>
              <w:t>0.32</w:t>
            </w:r>
          </w:p>
        </w:tc>
        <w:tc>
          <w:tcPr>
            <w:tcW w:w="567" w:type="pct"/>
            <w:noWrap/>
            <w:vAlign w:val="center"/>
          </w:tcPr>
          <w:p>
            <w:pPr>
              <w:pStyle w:val="139"/>
              <w:spacing w:line="240" w:lineRule="auto"/>
              <w:rPr>
                <w:rFonts w:cs="Times New Roman"/>
                <w:szCs w:val="18"/>
              </w:rPr>
            </w:pPr>
            <w:r>
              <w:rPr>
                <w:rFonts w:cs="Times New Roman"/>
                <w:szCs w:val="18"/>
              </w:rPr>
              <w:t>0.42</w:t>
            </w:r>
          </w:p>
        </w:tc>
        <w:tc>
          <w:tcPr>
            <w:tcW w:w="993" w:type="pct"/>
            <w:noWrap/>
            <w:vAlign w:val="center"/>
          </w:tcPr>
          <w:p>
            <w:pPr>
              <w:pStyle w:val="139"/>
              <w:spacing w:line="240" w:lineRule="auto"/>
              <w:rPr>
                <w:rFonts w:cs="Times New Roman"/>
                <w:szCs w:val="18"/>
              </w:rPr>
            </w:pPr>
            <w:r>
              <w:rPr>
                <w:rFonts w:cs="Times New Roman"/>
                <w:szCs w:val="18"/>
              </w:rPr>
              <w:t>桥楼子支渠</w:t>
            </w:r>
          </w:p>
        </w:tc>
        <w:tc>
          <w:tcPr>
            <w:tcW w:w="662" w:type="pct"/>
            <w:noWrap/>
            <w:vAlign w:val="center"/>
          </w:tcPr>
          <w:p>
            <w:pPr>
              <w:pStyle w:val="139"/>
              <w:spacing w:line="240" w:lineRule="auto"/>
              <w:rPr>
                <w:rFonts w:cs="Times New Roman"/>
                <w:szCs w:val="18"/>
              </w:rPr>
            </w:pPr>
            <w:r>
              <w:rPr>
                <w:rFonts w:cs="Times New Roman"/>
                <w:szCs w:val="18"/>
              </w:rPr>
              <w:t>3029</w:t>
            </w:r>
          </w:p>
        </w:tc>
        <w:tc>
          <w:tcPr>
            <w:tcW w:w="446" w:type="pct"/>
            <w:noWrap/>
            <w:vAlign w:val="center"/>
          </w:tcPr>
          <w:p>
            <w:pPr>
              <w:pStyle w:val="139"/>
              <w:spacing w:line="240" w:lineRule="auto"/>
              <w:rPr>
                <w:rFonts w:cs="Times New Roman"/>
                <w:szCs w:val="18"/>
              </w:rPr>
            </w:pPr>
            <w:r>
              <w:rPr>
                <w:rFonts w:cs="Times New Roman"/>
                <w:szCs w:val="18"/>
              </w:rPr>
              <w:t>0.14</w:t>
            </w:r>
          </w:p>
        </w:tc>
        <w:tc>
          <w:tcPr>
            <w:tcW w:w="448" w:type="pct"/>
            <w:noWrap/>
            <w:vAlign w:val="center"/>
          </w:tcPr>
          <w:p>
            <w:pPr>
              <w:pStyle w:val="139"/>
              <w:spacing w:line="240" w:lineRule="auto"/>
              <w:rPr>
                <w:rFonts w:cs="Times New Roman"/>
                <w:szCs w:val="18"/>
              </w:rPr>
            </w:pPr>
            <w:r>
              <w:rPr>
                <w:rFonts w:cs="Times New Roman"/>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p>
        </w:tc>
        <w:tc>
          <w:tcPr>
            <w:tcW w:w="662" w:type="pct"/>
            <w:noWrap/>
            <w:vAlign w:val="center"/>
          </w:tcPr>
          <w:p>
            <w:pPr>
              <w:pStyle w:val="139"/>
              <w:spacing w:line="240" w:lineRule="auto"/>
              <w:rPr>
                <w:rFonts w:cs="Times New Roman"/>
                <w:szCs w:val="18"/>
              </w:rPr>
            </w:pPr>
          </w:p>
        </w:tc>
        <w:tc>
          <w:tcPr>
            <w:tcW w:w="560" w:type="pct"/>
            <w:noWrap/>
            <w:vAlign w:val="center"/>
          </w:tcPr>
          <w:p>
            <w:pPr>
              <w:pStyle w:val="139"/>
              <w:spacing w:line="240" w:lineRule="auto"/>
              <w:rPr>
                <w:rFonts w:cs="Times New Roman"/>
                <w:szCs w:val="18"/>
              </w:rPr>
            </w:pPr>
          </w:p>
        </w:tc>
        <w:tc>
          <w:tcPr>
            <w:tcW w:w="567" w:type="pct"/>
            <w:noWrap/>
            <w:vAlign w:val="center"/>
          </w:tcPr>
          <w:p>
            <w:pPr>
              <w:pStyle w:val="139"/>
              <w:spacing w:line="240" w:lineRule="auto"/>
              <w:rPr>
                <w:rFonts w:cs="Times New Roman"/>
                <w:szCs w:val="18"/>
              </w:rPr>
            </w:pPr>
          </w:p>
        </w:tc>
        <w:tc>
          <w:tcPr>
            <w:tcW w:w="993" w:type="pct"/>
            <w:noWrap/>
            <w:vAlign w:val="center"/>
          </w:tcPr>
          <w:p>
            <w:pPr>
              <w:pStyle w:val="139"/>
              <w:spacing w:line="240" w:lineRule="auto"/>
              <w:rPr>
                <w:rFonts w:cs="Times New Roman"/>
                <w:szCs w:val="18"/>
              </w:rPr>
            </w:pPr>
            <w:r>
              <w:rPr>
                <w:rFonts w:cs="Times New Roman"/>
                <w:szCs w:val="18"/>
              </w:rPr>
              <w:t>杨家坪支渠</w:t>
            </w:r>
          </w:p>
        </w:tc>
        <w:tc>
          <w:tcPr>
            <w:tcW w:w="662" w:type="pct"/>
            <w:noWrap/>
            <w:vAlign w:val="center"/>
          </w:tcPr>
          <w:p>
            <w:pPr>
              <w:pStyle w:val="139"/>
              <w:spacing w:line="240" w:lineRule="auto"/>
              <w:rPr>
                <w:rFonts w:cs="Times New Roman"/>
                <w:szCs w:val="18"/>
              </w:rPr>
            </w:pPr>
            <w:r>
              <w:rPr>
                <w:rFonts w:cs="Times New Roman"/>
                <w:szCs w:val="18"/>
              </w:rPr>
              <w:t>4014</w:t>
            </w:r>
          </w:p>
        </w:tc>
        <w:tc>
          <w:tcPr>
            <w:tcW w:w="446" w:type="pct"/>
            <w:noWrap/>
            <w:vAlign w:val="center"/>
          </w:tcPr>
          <w:p>
            <w:pPr>
              <w:pStyle w:val="139"/>
              <w:spacing w:line="240" w:lineRule="auto"/>
              <w:rPr>
                <w:rFonts w:cs="Times New Roman"/>
                <w:szCs w:val="18"/>
              </w:rPr>
            </w:pPr>
            <w:r>
              <w:rPr>
                <w:rFonts w:cs="Times New Roman"/>
                <w:szCs w:val="18"/>
              </w:rPr>
              <w:t>0.18</w:t>
            </w:r>
          </w:p>
        </w:tc>
        <w:tc>
          <w:tcPr>
            <w:tcW w:w="448" w:type="pct"/>
            <w:noWrap/>
            <w:vAlign w:val="center"/>
          </w:tcPr>
          <w:p>
            <w:pPr>
              <w:pStyle w:val="139"/>
              <w:spacing w:line="240" w:lineRule="auto"/>
              <w:rPr>
                <w:rFonts w:cs="Times New Roman"/>
                <w:szCs w:val="18"/>
              </w:rPr>
            </w:pPr>
            <w:r>
              <w:rPr>
                <w:rFonts w:cs="Times New Roman"/>
                <w:szCs w:val="18"/>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noWrap/>
            <w:vAlign w:val="center"/>
          </w:tcPr>
          <w:p>
            <w:pPr>
              <w:pStyle w:val="139"/>
              <w:spacing w:line="240" w:lineRule="auto"/>
              <w:rPr>
                <w:rFonts w:cs="Times New Roman"/>
                <w:szCs w:val="18"/>
              </w:rPr>
            </w:pPr>
            <w:r>
              <w:rPr>
                <w:rFonts w:cs="Times New Roman"/>
                <w:szCs w:val="18"/>
              </w:rPr>
              <w:t>合计</w:t>
            </w:r>
          </w:p>
        </w:tc>
        <w:tc>
          <w:tcPr>
            <w:tcW w:w="662" w:type="pct"/>
            <w:noWrap/>
            <w:vAlign w:val="center"/>
          </w:tcPr>
          <w:p>
            <w:pPr>
              <w:pStyle w:val="139"/>
              <w:spacing w:line="240" w:lineRule="auto"/>
              <w:rPr>
                <w:rFonts w:cs="Times New Roman"/>
                <w:szCs w:val="18"/>
              </w:rPr>
            </w:pPr>
            <w:r>
              <w:rPr>
                <w:rFonts w:cs="Times New Roman"/>
                <w:szCs w:val="18"/>
              </w:rPr>
              <w:t>22501</w:t>
            </w:r>
          </w:p>
        </w:tc>
        <w:tc>
          <w:tcPr>
            <w:tcW w:w="560" w:type="pct"/>
            <w:noWrap/>
            <w:vAlign w:val="center"/>
          </w:tcPr>
          <w:p>
            <w:pPr>
              <w:pStyle w:val="139"/>
              <w:spacing w:line="240" w:lineRule="auto"/>
              <w:rPr>
                <w:rFonts w:cs="Times New Roman"/>
                <w:szCs w:val="18"/>
              </w:rPr>
            </w:pPr>
          </w:p>
        </w:tc>
        <w:tc>
          <w:tcPr>
            <w:tcW w:w="567" w:type="pct"/>
            <w:noWrap/>
            <w:vAlign w:val="center"/>
          </w:tcPr>
          <w:p>
            <w:pPr>
              <w:pStyle w:val="139"/>
              <w:spacing w:line="240" w:lineRule="auto"/>
              <w:rPr>
                <w:rFonts w:cs="Times New Roman"/>
                <w:szCs w:val="18"/>
              </w:rPr>
            </w:pPr>
          </w:p>
        </w:tc>
        <w:tc>
          <w:tcPr>
            <w:tcW w:w="993" w:type="pct"/>
            <w:noWrap/>
            <w:vAlign w:val="center"/>
          </w:tcPr>
          <w:p>
            <w:pPr>
              <w:pStyle w:val="139"/>
              <w:spacing w:line="240" w:lineRule="auto"/>
              <w:rPr>
                <w:rFonts w:cs="Times New Roman"/>
                <w:szCs w:val="18"/>
              </w:rPr>
            </w:pPr>
          </w:p>
        </w:tc>
        <w:tc>
          <w:tcPr>
            <w:tcW w:w="662" w:type="pct"/>
            <w:noWrap/>
            <w:vAlign w:val="center"/>
          </w:tcPr>
          <w:p>
            <w:pPr>
              <w:pStyle w:val="139"/>
              <w:spacing w:line="240" w:lineRule="auto"/>
              <w:rPr>
                <w:rFonts w:cs="Times New Roman"/>
                <w:szCs w:val="18"/>
              </w:rPr>
            </w:pPr>
            <w:r>
              <w:rPr>
                <w:rFonts w:cs="Times New Roman"/>
                <w:szCs w:val="18"/>
              </w:rPr>
              <w:t>22501</w:t>
            </w:r>
          </w:p>
        </w:tc>
        <w:tc>
          <w:tcPr>
            <w:tcW w:w="446" w:type="pct"/>
            <w:noWrap/>
            <w:vAlign w:val="center"/>
          </w:tcPr>
          <w:p>
            <w:pPr>
              <w:pStyle w:val="139"/>
              <w:spacing w:line="240" w:lineRule="auto"/>
              <w:rPr>
                <w:rFonts w:cs="Times New Roman"/>
                <w:szCs w:val="18"/>
              </w:rPr>
            </w:pPr>
          </w:p>
        </w:tc>
        <w:tc>
          <w:tcPr>
            <w:tcW w:w="448" w:type="pct"/>
            <w:noWrap/>
            <w:vAlign w:val="center"/>
          </w:tcPr>
          <w:p>
            <w:pPr>
              <w:pStyle w:val="139"/>
              <w:spacing w:line="240" w:lineRule="auto"/>
              <w:rPr>
                <w:rFonts w:cs="Times New Roman"/>
                <w:szCs w:val="18"/>
              </w:rPr>
            </w:pPr>
          </w:p>
        </w:tc>
      </w:tr>
    </w:tbl>
    <w:p>
      <w:pPr>
        <w:ind w:firstLine="480"/>
        <w:contextualSpacing/>
      </w:pPr>
    </w:p>
    <w:p>
      <w:pPr>
        <w:pStyle w:val="2"/>
        <w:ind w:firstLine="480"/>
        <w:rPr>
          <w:rFonts w:hint="eastAsia"/>
        </w:rPr>
      </w:pPr>
    </w:p>
    <w:p>
      <w:pPr>
        <w:ind w:firstLine="480"/>
        <w:contextualSpacing/>
        <w:sectPr>
          <w:pgSz w:w="11906" w:h="16838"/>
          <w:pgMar w:top="1440" w:right="1800" w:bottom="1440" w:left="1800" w:header="851" w:footer="992" w:gutter="0"/>
          <w:cols w:space="720" w:num="1"/>
          <w:docGrid w:type="lines" w:linePitch="312" w:charSpace="0"/>
        </w:sectPr>
      </w:pPr>
    </w:p>
    <w:p>
      <w:pPr>
        <w:pStyle w:val="3"/>
        <w:ind w:firstLine="0" w:firstLineChars="0"/>
        <w:contextualSpacing/>
        <w:rPr>
          <w:rFonts w:ascii="Times New Roman" w:hAnsi="Times New Roman"/>
        </w:rPr>
      </w:pPr>
      <w:bookmarkStart w:id="332" w:name="_Toc23142"/>
      <w:bookmarkStart w:id="333" w:name="_Toc13041"/>
      <w:bookmarkStart w:id="334" w:name="_Toc7668"/>
      <w:bookmarkStart w:id="335" w:name="_Toc130753416"/>
      <w:r>
        <w:rPr>
          <w:rFonts w:ascii="Times New Roman" w:hAnsi="Times New Roman"/>
        </w:rPr>
        <w:t>3</w:t>
      </w:r>
      <w:r>
        <w:rPr>
          <w:rFonts w:ascii="Times New Roman" w:hAnsi="宋体"/>
        </w:rPr>
        <w:t>工程分析</w:t>
      </w:r>
      <w:bookmarkEnd w:id="332"/>
      <w:bookmarkEnd w:id="333"/>
      <w:bookmarkEnd w:id="334"/>
      <w:bookmarkEnd w:id="335"/>
    </w:p>
    <w:p>
      <w:pPr>
        <w:pStyle w:val="4"/>
        <w:ind w:firstLine="0" w:firstLineChars="0"/>
        <w:contextualSpacing/>
      </w:pPr>
      <w:bookmarkStart w:id="336" w:name="_Toc41977678"/>
      <w:bookmarkStart w:id="337" w:name="_Toc10682"/>
      <w:bookmarkStart w:id="338" w:name="_Toc25268"/>
      <w:bookmarkStart w:id="339" w:name="_Toc16687"/>
      <w:bookmarkStart w:id="340" w:name="_Toc31907"/>
      <w:bookmarkStart w:id="341" w:name="_Toc130753417"/>
      <w:r>
        <w:t>3.1</w:t>
      </w:r>
      <w:r>
        <w:rPr>
          <w:rFonts w:hAnsi="宋体"/>
        </w:rPr>
        <w:t>工程</w:t>
      </w:r>
      <w:bookmarkEnd w:id="336"/>
      <w:r>
        <w:rPr>
          <w:rFonts w:hAnsi="宋体"/>
        </w:rPr>
        <w:t>与相关政策规划符合性分析</w:t>
      </w:r>
      <w:bookmarkEnd w:id="337"/>
      <w:bookmarkEnd w:id="338"/>
      <w:bookmarkEnd w:id="339"/>
      <w:bookmarkEnd w:id="340"/>
      <w:bookmarkEnd w:id="341"/>
    </w:p>
    <w:p>
      <w:pPr>
        <w:pStyle w:val="5"/>
        <w:ind w:firstLine="0" w:firstLineChars="0"/>
        <w:contextualSpacing/>
        <w:rPr>
          <w:rFonts w:ascii="Times New Roman" w:hAnsi="Times New Roman"/>
        </w:rPr>
      </w:pPr>
      <w:bookmarkStart w:id="342" w:name="_Toc15836"/>
      <w:bookmarkStart w:id="343" w:name="_Toc24465"/>
      <w:bookmarkStart w:id="344" w:name="_Toc12909"/>
      <w:r>
        <w:rPr>
          <w:rFonts w:ascii="Times New Roman" w:hAnsi="Times New Roman"/>
        </w:rPr>
        <w:t>3.1.1</w:t>
      </w:r>
      <w:r>
        <w:rPr>
          <w:rFonts w:ascii="Times New Roman" w:hAnsi="宋体"/>
        </w:rPr>
        <w:t>与国家相关政策的符合性</w:t>
      </w:r>
    </w:p>
    <w:p>
      <w:pPr>
        <w:ind w:firstLine="480"/>
        <w:contextualSpacing/>
      </w:pPr>
      <w:r>
        <w:rPr>
          <w:rFonts w:hAnsi="宋体"/>
        </w:rPr>
        <w:t>《中共中央国务院关于加快水利改革发展的决定》中提出：</w:t>
      </w:r>
      <w:r>
        <w:t>“</w:t>
      </w:r>
      <w:r>
        <w:rPr>
          <w:rFonts w:hAnsi="宋体"/>
        </w:rPr>
        <w:t>力争通过</w:t>
      </w:r>
      <w:r>
        <w:t>5</w:t>
      </w:r>
      <w:r>
        <w:rPr>
          <w:rFonts w:hAnsi="宋体"/>
        </w:rPr>
        <w:t>年到</w:t>
      </w:r>
      <w:r>
        <w:t>10</w:t>
      </w:r>
      <w:r>
        <w:rPr>
          <w:rFonts w:hAnsi="宋体"/>
        </w:rPr>
        <w:t>年努力，从根本上扭转水利建设明显滞后的局面。</w:t>
      </w:r>
      <w:r>
        <w:t>”“</w:t>
      </w:r>
      <w:r>
        <w:rPr>
          <w:rFonts w:hAnsi="宋体"/>
        </w:rPr>
        <w:t>大兴农田水利建设</w:t>
      </w:r>
      <w:r>
        <w:t>......</w:t>
      </w:r>
      <w:r>
        <w:rPr>
          <w:rFonts w:hAnsi="宋体"/>
        </w:rPr>
        <w:t>因地制宜兴建中小型水利设施，支持山丘区小水窖、小水池、小塘坝、小泵站、小水渠等</w:t>
      </w:r>
      <w:r>
        <w:t>‘</w:t>
      </w:r>
      <w:r>
        <w:rPr>
          <w:rFonts w:hAnsi="宋体"/>
        </w:rPr>
        <w:t>五小水利</w:t>
      </w:r>
      <w:r>
        <w:t>’</w:t>
      </w:r>
      <w:r>
        <w:rPr>
          <w:rFonts w:hAnsi="宋体"/>
        </w:rPr>
        <w:t>工程建设</w:t>
      </w:r>
      <w:r>
        <w:t>...”“</w:t>
      </w:r>
      <w:r>
        <w:rPr>
          <w:rFonts w:hAnsi="宋体"/>
        </w:rPr>
        <w:t>尽快建设一批中小型水库、引提水和连通工程，支持农民兴建小微型水利设施，显著提高雨洪资源利用和供水保障能力，基本解决缺水城镇、人口较集中乡村的供水问题......”。根据《产业结构调整指导目录（2019年本）》，“</w:t>
      </w:r>
      <w:r>
        <w:rPr>
          <w:rFonts w:hint="eastAsia" w:hAnsi="宋体"/>
        </w:rPr>
        <w:t>综合利用</w:t>
      </w:r>
      <w:r>
        <w:rPr>
          <w:rFonts w:hAnsi="宋体"/>
        </w:rPr>
        <w:t>水利枢纽工程”、“城乡供水水源工程”</w:t>
      </w:r>
      <w:r>
        <w:rPr>
          <w:rFonts w:hint="eastAsia" w:hAnsi="宋体"/>
        </w:rPr>
        <w:t>、“农村饮水安全工程</w:t>
      </w:r>
      <w:r>
        <w:rPr>
          <w:rFonts w:hAnsi="宋体"/>
        </w:rPr>
        <w:t>”均被列为鼓励类。</w:t>
      </w:r>
    </w:p>
    <w:p>
      <w:pPr>
        <w:pStyle w:val="65"/>
        <w:spacing w:line="360" w:lineRule="auto"/>
        <w:ind w:firstLine="482"/>
        <w:contextualSpacing/>
      </w:pPr>
      <w:r>
        <w:rPr>
          <w:rFonts w:hint="eastAsia" w:hAnsi="宋体"/>
          <w:b/>
          <w:bCs/>
        </w:rPr>
        <w:t>寒溪寺</w:t>
      </w:r>
      <w:r>
        <w:rPr>
          <w:rFonts w:hAnsi="宋体"/>
          <w:b/>
          <w:bCs/>
        </w:rPr>
        <w:t>水库</w:t>
      </w:r>
      <w:r>
        <w:rPr>
          <w:rFonts w:hAnsi="宋体"/>
        </w:rPr>
        <w:t>开发任务是</w:t>
      </w:r>
      <w:r>
        <w:rPr>
          <w:rFonts w:hint="eastAsia" w:hAnsi="宋体"/>
        </w:rPr>
        <w:t>农业灌溉、乡镇和农村人畜供水等综合利用，</w:t>
      </w:r>
      <w:r>
        <w:rPr>
          <w:rFonts w:hAnsi="宋体"/>
        </w:rPr>
        <w:t>符合国家相关政策。</w:t>
      </w:r>
    </w:p>
    <w:p>
      <w:pPr>
        <w:pStyle w:val="5"/>
        <w:ind w:firstLine="0" w:firstLineChars="0"/>
        <w:contextualSpacing/>
        <w:rPr>
          <w:rFonts w:ascii="Times New Roman" w:hAnsi="Times New Roman"/>
          <w:b w:val="0"/>
        </w:rPr>
      </w:pPr>
      <w:r>
        <w:rPr>
          <w:rFonts w:ascii="Times New Roman" w:hAnsi="Times New Roman"/>
        </w:rPr>
        <w:t>3.1.2</w:t>
      </w:r>
      <w:r>
        <w:rPr>
          <w:rFonts w:ascii="Times New Roman" w:hAnsi="宋体"/>
        </w:rPr>
        <w:t>与长江保护法的符合性</w:t>
      </w:r>
    </w:p>
    <w:p>
      <w:pPr>
        <w:pStyle w:val="10"/>
        <w:ind w:firstLine="480"/>
        <w:contextualSpacing/>
      </w:pPr>
      <w:r>
        <w:rPr>
          <w:rFonts w:hAnsi="宋体"/>
        </w:rPr>
        <w:t>《中华人民共和国长江保护法》第二十三条：国家加强对长江流域水能资源开发利用的管理。因国家发展战略和国计民生需要，在长江流域新建大中型水电工程，应当经科学论证，并报国务院或者国务院授权的部门批准。第二十九条：长江流域水资源保护与利用，应当根据流域综合规划，优先满足城乡居民生活用水，保障基本生态用水，并统筹农业、工业用水以及航运等需要。</w:t>
      </w:r>
    </w:p>
    <w:p>
      <w:pPr>
        <w:ind w:firstLine="482"/>
        <w:contextualSpacing/>
      </w:pPr>
      <w:r>
        <w:rPr>
          <w:rFonts w:hint="eastAsia" w:hAnsi="宋体"/>
          <w:b/>
          <w:bCs/>
        </w:rPr>
        <w:t>寒溪寺</w:t>
      </w:r>
      <w:r>
        <w:rPr>
          <w:rFonts w:hAnsi="宋体"/>
          <w:b/>
          <w:bCs/>
        </w:rPr>
        <w:t>水库</w:t>
      </w:r>
      <w:r>
        <w:rPr>
          <w:rFonts w:hAnsi="宋体"/>
        </w:rPr>
        <w:t>开发任务是</w:t>
      </w:r>
      <w:r>
        <w:rPr>
          <w:rFonts w:hint="eastAsia" w:hAnsi="宋体"/>
        </w:rPr>
        <w:t>农业灌溉、乡镇和农村人畜供水等综合利用</w:t>
      </w:r>
      <w:r>
        <w:rPr>
          <w:rFonts w:hAnsi="宋体"/>
        </w:rPr>
        <w:t>，已纳入《</w:t>
      </w:r>
      <w:r>
        <w:rPr>
          <w:rFonts w:hint="eastAsia" w:hAnsi="宋体"/>
        </w:rPr>
        <w:t>巴州区水资源综合规划</w:t>
      </w:r>
      <w:r>
        <w:rPr>
          <w:rFonts w:hAnsi="宋体"/>
        </w:rPr>
        <w:t>》。</w:t>
      </w:r>
      <w:r>
        <w:rPr>
          <w:rFonts w:hint="eastAsia" w:hAnsi="宋体"/>
        </w:rPr>
        <w:t>建设单位</w:t>
      </w:r>
      <w:r>
        <w:rPr>
          <w:rFonts w:hAnsi="宋体"/>
        </w:rPr>
        <w:t>编制</w:t>
      </w:r>
      <w:r>
        <w:rPr>
          <w:rFonts w:hint="eastAsia" w:hAnsi="宋体"/>
        </w:rPr>
        <w:t>的</w:t>
      </w:r>
      <w:r>
        <w:rPr>
          <w:rFonts w:hAnsi="宋体"/>
        </w:rPr>
        <w:t>《</w:t>
      </w:r>
      <w:r>
        <w:rPr>
          <w:rFonts w:hint="eastAsia" w:hAnsi="宋体"/>
        </w:rPr>
        <w:t>四川省巴中市巴州区寒溪寺水库扩建工程</w:t>
      </w:r>
      <w:r>
        <w:rPr>
          <w:rFonts w:hAnsi="宋体"/>
        </w:rPr>
        <w:t>水资源论证报告书》，取水、用水影响分析评价合理，已获得</w:t>
      </w:r>
      <w:r>
        <w:rPr>
          <w:rFonts w:hint="eastAsia" w:hAnsi="宋体"/>
        </w:rPr>
        <w:t>巴中市巴州区水利局</w:t>
      </w:r>
      <w:r>
        <w:rPr>
          <w:rFonts w:hAnsi="宋体"/>
        </w:rPr>
        <w:t>的取水申请批复（</w:t>
      </w:r>
      <w:r>
        <w:rPr>
          <w:rFonts w:hint="eastAsia" w:hAnsi="宋体"/>
        </w:rPr>
        <w:t>巴区</w:t>
      </w:r>
      <w:r>
        <w:rPr>
          <w:rFonts w:hAnsi="宋体"/>
        </w:rPr>
        <w:t>水函〔</w:t>
      </w:r>
      <w:r>
        <w:t>2023〕36</w:t>
      </w:r>
      <w:r>
        <w:rPr>
          <w:rFonts w:hAnsi="宋体"/>
        </w:rPr>
        <w:t>号）。因此，项目符合《中华人民共和国长江保护法》要求。</w:t>
      </w:r>
    </w:p>
    <w:p>
      <w:pPr>
        <w:pStyle w:val="5"/>
        <w:keepNext w:val="0"/>
        <w:keepLines w:val="0"/>
        <w:ind w:firstLine="0" w:firstLineChars="0"/>
        <w:contextualSpacing/>
        <w:rPr>
          <w:rFonts w:ascii="Times New Roman" w:hAnsi="Times New Roman"/>
        </w:rPr>
      </w:pPr>
      <w:r>
        <w:rPr>
          <w:rFonts w:ascii="Times New Roman" w:hAnsi="Times New Roman"/>
        </w:rPr>
        <w:t>3.1.3</w:t>
      </w:r>
      <w:r>
        <w:rPr>
          <w:rFonts w:ascii="Times New Roman" w:hAnsi="宋体"/>
        </w:rPr>
        <w:t>与</w:t>
      </w:r>
      <w:r>
        <w:rPr>
          <w:rFonts w:ascii="Times New Roman" w:hAnsi="Times New Roman"/>
        </w:rPr>
        <w:t>“</w:t>
      </w:r>
      <w:r>
        <w:rPr>
          <w:rFonts w:ascii="Times New Roman" w:hAnsi="宋体"/>
        </w:rPr>
        <w:t>三线一单</w:t>
      </w:r>
      <w:r>
        <w:rPr>
          <w:rFonts w:ascii="Times New Roman" w:hAnsi="Times New Roman"/>
        </w:rPr>
        <w:t>”</w:t>
      </w:r>
      <w:r>
        <w:rPr>
          <w:rFonts w:ascii="Times New Roman" w:hAnsi="宋体"/>
        </w:rPr>
        <w:t>的符合性</w:t>
      </w:r>
    </w:p>
    <w:p>
      <w:pPr>
        <w:ind w:firstLine="0" w:firstLineChars="0"/>
        <w:contextualSpacing/>
        <w:outlineLvl w:val="3"/>
        <w:rPr>
          <w:b/>
          <w:bCs/>
        </w:rPr>
      </w:pPr>
      <w:r>
        <w:rPr>
          <w:b/>
          <w:bCs/>
        </w:rPr>
        <w:t>3.1.3.1</w:t>
      </w:r>
      <w:r>
        <w:rPr>
          <w:rFonts w:hAnsi="宋体"/>
          <w:b/>
          <w:bCs/>
        </w:rPr>
        <w:t>与《四川省人民政府关于落实生态保护红线、环境质量底线、资源利用上线制定生态环境准入清单实施生态环境分区管控的通知》（川府发</w:t>
      </w:r>
      <w:r>
        <w:rPr>
          <w:b/>
          <w:bCs/>
        </w:rPr>
        <w:t>〔2020〕9</w:t>
      </w:r>
      <w:r>
        <w:rPr>
          <w:rFonts w:hAnsi="宋体"/>
          <w:b/>
          <w:bCs/>
        </w:rPr>
        <w:t>号）的符合性分析</w:t>
      </w:r>
    </w:p>
    <w:p>
      <w:pPr>
        <w:pStyle w:val="10"/>
        <w:ind w:firstLine="480"/>
        <w:contextualSpacing/>
      </w:pPr>
      <w:r>
        <w:rPr>
          <w:rFonts w:hAnsi="宋体"/>
        </w:rPr>
        <w:t>本项目与《关于印发</w:t>
      </w:r>
      <w:r>
        <w:t>&lt;“</w:t>
      </w:r>
      <w:r>
        <w:rPr>
          <w:rFonts w:hAnsi="宋体"/>
        </w:rPr>
        <w:t>十三五</w:t>
      </w:r>
      <w:r>
        <w:t>”</w:t>
      </w:r>
      <w:r>
        <w:rPr>
          <w:rFonts w:hAnsi="宋体"/>
        </w:rPr>
        <w:t>环境影响评价改革实施方案</w:t>
      </w:r>
      <w:r>
        <w:t>&gt;</w:t>
      </w:r>
      <w:r>
        <w:rPr>
          <w:rFonts w:hAnsi="宋体"/>
        </w:rPr>
        <w:t>的通知</w:t>
      </w:r>
      <w:r>
        <w:t>&gt;</w:t>
      </w:r>
      <w:r>
        <w:rPr>
          <w:rFonts w:hAnsi="宋体"/>
        </w:rPr>
        <w:t>》（环评</w:t>
      </w:r>
      <w:r>
        <w:t>〔2016〕95</w:t>
      </w:r>
      <w:r>
        <w:rPr>
          <w:rFonts w:hAnsi="宋体"/>
        </w:rPr>
        <w:t>号）文件中</w:t>
      </w:r>
      <w:r>
        <w:t>“</w:t>
      </w:r>
      <w:r>
        <w:rPr>
          <w:rFonts w:hAnsi="宋体"/>
        </w:rPr>
        <w:t>三线一单</w:t>
      </w:r>
      <w:r>
        <w:t>”</w:t>
      </w:r>
      <w:r>
        <w:rPr>
          <w:rFonts w:hAnsi="宋体"/>
        </w:rPr>
        <w:t>及《四川省人民政府关于落实生态保护红线、环境质量底线、资源利用上线制定生态环境准入清单实施生态环境分区管控的通知》（川府发</w:t>
      </w:r>
      <w:r>
        <w:t>〔2020〕9</w:t>
      </w:r>
      <w:r>
        <w:rPr>
          <w:rFonts w:hAnsi="宋体"/>
        </w:rPr>
        <w:t>号）的符合性分析见下表</w:t>
      </w:r>
      <w:r>
        <w:t>3.1.3-1</w:t>
      </w:r>
      <w:r>
        <w:rPr>
          <w:rFonts w:hAnsi="宋体"/>
        </w:rPr>
        <w:t>。</w:t>
      </w:r>
    </w:p>
    <w:p>
      <w:pPr>
        <w:pStyle w:val="10"/>
        <w:keepLines/>
        <w:ind w:firstLine="422"/>
        <w:contextualSpacing/>
        <w:jc w:val="center"/>
        <w:rPr>
          <w:b/>
          <w:sz w:val="21"/>
          <w:szCs w:val="21"/>
        </w:rPr>
      </w:pPr>
      <w:r>
        <w:rPr>
          <w:rFonts w:hAnsi="宋体"/>
          <w:b/>
          <w:sz w:val="21"/>
          <w:szCs w:val="21"/>
        </w:rPr>
        <w:t>表</w:t>
      </w:r>
      <w:r>
        <w:rPr>
          <w:b/>
          <w:sz w:val="21"/>
          <w:szCs w:val="21"/>
        </w:rPr>
        <w:t xml:space="preserve">3.1.3-1  </w:t>
      </w:r>
      <w:r>
        <w:rPr>
          <w:rFonts w:hAnsi="宋体"/>
          <w:b/>
          <w:sz w:val="21"/>
          <w:szCs w:val="21"/>
        </w:rPr>
        <w:t>本项目与</w:t>
      </w:r>
      <w:r>
        <w:rPr>
          <w:b/>
          <w:sz w:val="21"/>
          <w:szCs w:val="21"/>
        </w:rPr>
        <w:t>“</w:t>
      </w:r>
      <w:r>
        <w:rPr>
          <w:rFonts w:hAnsi="宋体"/>
          <w:b/>
          <w:sz w:val="21"/>
          <w:szCs w:val="21"/>
        </w:rPr>
        <w:t>川府发</w:t>
      </w:r>
      <w:r>
        <w:rPr>
          <w:b/>
          <w:sz w:val="21"/>
          <w:szCs w:val="21"/>
        </w:rPr>
        <w:t>〔2020〕9</w:t>
      </w:r>
      <w:r>
        <w:rPr>
          <w:rFonts w:hAnsi="宋体"/>
          <w:b/>
          <w:sz w:val="21"/>
          <w:szCs w:val="21"/>
        </w:rPr>
        <w:t>号</w:t>
      </w:r>
      <w:r>
        <w:rPr>
          <w:b/>
          <w:sz w:val="21"/>
          <w:szCs w:val="21"/>
        </w:rPr>
        <w:t>”</w:t>
      </w:r>
      <w:r>
        <w:rPr>
          <w:rFonts w:hAnsi="宋体"/>
          <w:b/>
          <w:sz w:val="21"/>
          <w:szCs w:val="21"/>
        </w:rPr>
        <w:t>符合性分析表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460"/>
        <w:gridCol w:w="4026"/>
        <w:gridCol w:w="2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pct"/>
            <w:gridSpan w:val="2"/>
            <w:vAlign w:val="center"/>
          </w:tcPr>
          <w:p>
            <w:pPr>
              <w:spacing w:line="240" w:lineRule="auto"/>
              <w:ind w:firstLine="0" w:firstLineChars="0"/>
              <w:contextualSpacing/>
              <w:jc w:val="center"/>
              <w:rPr>
                <w:b/>
                <w:bCs/>
                <w:sz w:val="18"/>
                <w:szCs w:val="18"/>
              </w:rPr>
            </w:pPr>
            <w:r>
              <w:rPr>
                <w:rFonts w:hAnsi="宋体"/>
                <w:b/>
                <w:bCs/>
                <w:sz w:val="18"/>
                <w:szCs w:val="18"/>
              </w:rPr>
              <w:t>内容</w:t>
            </w:r>
          </w:p>
        </w:tc>
        <w:tc>
          <w:tcPr>
            <w:tcW w:w="2362" w:type="pct"/>
            <w:vAlign w:val="center"/>
          </w:tcPr>
          <w:p>
            <w:pPr>
              <w:spacing w:line="240" w:lineRule="auto"/>
              <w:ind w:firstLine="0" w:firstLineChars="0"/>
              <w:contextualSpacing/>
              <w:jc w:val="center"/>
              <w:rPr>
                <w:b/>
                <w:bCs/>
                <w:sz w:val="18"/>
                <w:szCs w:val="18"/>
              </w:rPr>
            </w:pPr>
            <w:r>
              <w:rPr>
                <w:rFonts w:hAnsi="宋体"/>
                <w:b/>
                <w:bCs/>
                <w:sz w:val="18"/>
                <w:szCs w:val="18"/>
              </w:rPr>
              <w:t>具体要求</w:t>
            </w:r>
          </w:p>
        </w:tc>
        <w:tc>
          <w:tcPr>
            <w:tcW w:w="1550" w:type="pct"/>
            <w:vAlign w:val="center"/>
          </w:tcPr>
          <w:p>
            <w:pPr>
              <w:spacing w:line="240" w:lineRule="auto"/>
              <w:ind w:firstLine="0" w:firstLineChars="0"/>
              <w:contextualSpacing/>
              <w:jc w:val="center"/>
              <w:rPr>
                <w:b/>
                <w:bCs/>
                <w:sz w:val="18"/>
                <w:szCs w:val="18"/>
              </w:rPr>
            </w:pPr>
            <w:r>
              <w:rPr>
                <w:rFonts w:hAnsi="宋体"/>
                <w:b/>
                <w:bCs/>
                <w:sz w:val="18"/>
                <w:szCs w:val="18"/>
              </w:rPr>
              <w:t>符合性分析</w:t>
            </w:r>
          </w:p>
        </w:tc>
        <w:tc>
          <w:tcPr>
            <w:tcW w:w="525" w:type="pct"/>
            <w:vAlign w:val="center"/>
          </w:tcPr>
          <w:p>
            <w:pPr>
              <w:spacing w:line="240" w:lineRule="auto"/>
              <w:ind w:firstLine="0" w:firstLineChars="0"/>
              <w:contextualSpacing/>
              <w:jc w:val="center"/>
              <w:rPr>
                <w:b/>
                <w:bCs/>
                <w:sz w:val="18"/>
                <w:szCs w:val="18"/>
              </w:rPr>
            </w:pPr>
            <w:r>
              <w:rPr>
                <w:rFonts w:hAnsi="宋体"/>
                <w:b/>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pct"/>
            <w:gridSpan w:val="2"/>
            <w:vAlign w:val="center"/>
          </w:tcPr>
          <w:p>
            <w:pPr>
              <w:spacing w:line="240" w:lineRule="auto"/>
              <w:ind w:firstLine="0" w:firstLineChars="0"/>
              <w:contextualSpacing/>
              <w:jc w:val="center"/>
              <w:rPr>
                <w:sz w:val="18"/>
                <w:szCs w:val="18"/>
              </w:rPr>
            </w:pPr>
            <w:r>
              <w:rPr>
                <w:rFonts w:hAnsi="宋体"/>
                <w:sz w:val="18"/>
                <w:szCs w:val="18"/>
              </w:rPr>
              <w:t>生态保护红线</w:t>
            </w:r>
          </w:p>
        </w:tc>
        <w:tc>
          <w:tcPr>
            <w:tcW w:w="2362" w:type="pct"/>
            <w:vAlign w:val="center"/>
          </w:tcPr>
          <w:p>
            <w:pPr>
              <w:spacing w:line="240" w:lineRule="auto"/>
              <w:ind w:firstLine="0" w:firstLineChars="0"/>
              <w:contextualSpacing/>
              <w:jc w:val="center"/>
              <w:rPr>
                <w:sz w:val="18"/>
                <w:szCs w:val="18"/>
              </w:rPr>
            </w:pPr>
            <w:r>
              <w:rPr>
                <w:rFonts w:hAnsi="宋体"/>
                <w:sz w:val="18"/>
                <w:szCs w:val="18"/>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0" w:type="pct"/>
            <w:vAlign w:val="center"/>
          </w:tcPr>
          <w:p>
            <w:pPr>
              <w:spacing w:line="240" w:lineRule="auto"/>
              <w:ind w:firstLine="0" w:firstLineChars="0"/>
              <w:contextualSpacing/>
              <w:jc w:val="center"/>
              <w:rPr>
                <w:sz w:val="18"/>
                <w:szCs w:val="18"/>
              </w:rPr>
            </w:pPr>
            <w:r>
              <w:rPr>
                <w:rFonts w:hAnsi="宋体"/>
                <w:sz w:val="18"/>
                <w:szCs w:val="18"/>
              </w:rPr>
              <w:t>本项目项目未占用基本农田、自然保护区、饮用水水源保护区、风景名胜区等生态保护目标，本项目不在四川省生态保护红线范围内，符合生态红线保护要求</w:t>
            </w: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pct"/>
            <w:gridSpan w:val="2"/>
            <w:vAlign w:val="center"/>
          </w:tcPr>
          <w:p>
            <w:pPr>
              <w:spacing w:line="240" w:lineRule="auto"/>
              <w:ind w:firstLine="0" w:firstLineChars="0"/>
              <w:contextualSpacing/>
              <w:jc w:val="center"/>
              <w:rPr>
                <w:sz w:val="18"/>
                <w:szCs w:val="18"/>
              </w:rPr>
            </w:pPr>
            <w:r>
              <w:rPr>
                <w:rFonts w:hAnsi="宋体"/>
                <w:sz w:val="18"/>
                <w:szCs w:val="18"/>
              </w:rPr>
              <w:t>资源利用上线</w:t>
            </w:r>
          </w:p>
        </w:tc>
        <w:tc>
          <w:tcPr>
            <w:tcW w:w="2362" w:type="pct"/>
            <w:vAlign w:val="center"/>
          </w:tcPr>
          <w:p>
            <w:pPr>
              <w:spacing w:line="240" w:lineRule="auto"/>
              <w:ind w:firstLine="0" w:firstLineChars="0"/>
              <w:contextualSpacing/>
              <w:jc w:val="center"/>
              <w:rPr>
                <w:sz w:val="18"/>
                <w:szCs w:val="18"/>
              </w:rPr>
            </w:pPr>
            <w:r>
              <w:rPr>
                <w:rFonts w:hAnsi="宋体"/>
                <w:sz w:val="18"/>
                <w:szCs w:val="18"/>
              </w:rPr>
              <w:t>资源利用上线是各地区能源、水、土地等资源消耗不得突破的</w:t>
            </w:r>
            <w:r>
              <w:rPr>
                <w:sz w:val="18"/>
                <w:szCs w:val="18"/>
              </w:rPr>
              <w:t>“</w:t>
            </w:r>
            <w:r>
              <w:rPr>
                <w:rFonts w:hAnsi="宋体"/>
                <w:sz w:val="18"/>
                <w:szCs w:val="18"/>
              </w:rPr>
              <w:t>天花板</w:t>
            </w:r>
            <w:r>
              <w:rPr>
                <w:sz w:val="18"/>
                <w:szCs w:val="18"/>
              </w:rPr>
              <w:t>”</w:t>
            </w:r>
            <w:r>
              <w:rPr>
                <w:rFonts w:hAnsi="宋体"/>
                <w:sz w:val="18"/>
                <w:szCs w:val="18"/>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w:t>
            </w:r>
          </w:p>
        </w:tc>
        <w:tc>
          <w:tcPr>
            <w:tcW w:w="1550" w:type="pct"/>
            <w:vAlign w:val="center"/>
          </w:tcPr>
          <w:p>
            <w:pPr>
              <w:spacing w:line="240" w:lineRule="auto"/>
              <w:ind w:firstLine="0" w:firstLineChars="0"/>
              <w:contextualSpacing/>
              <w:jc w:val="center"/>
              <w:rPr>
                <w:sz w:val="18"/>
                <w:szCs w:val="18"/>
              </w:rPr>
            </w:pPr>
            <w:r>
              <w:rPr>
                <w:rFonts w:hAnsi="宋体"/>
                <w:sz w:val="18"/>
                <w:szCs w:val="18"/>
              </w:rPr>
              <w:t>本项目工程开发任务为</w:t>
            </w:r>
            <w:r>
              <w:rPr>
                <w:rFonts w:hint="eastAsia" w:hAnsi="宋体"/>
                <w:sz w:val="18"/>
                <w:szCs w:val="18"/>
              </w:rPr>
              <w:t>农业灌溉、乡镇和农村人畜供水等综合利用</w:t>
            </w:r>
            <w:r>
              <w:rPr>
                <w:rFonts w:hAnsi="宋体"/>
                <w:sz w:val="18"/>
                <w:szCs w:val="18"/>
              </w:rPr>
              <w:t>。</w:t>
            </w: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pct"/>
            <w:gridSpan w:val="2"/>
            <w:vAlign w:val="center"/>
          </w:tcPr>
          <w:p>
            <w:pPr>
              <w:spacing w:line="240" w:lineRule="auto"/>
              <w:ind w:firstLine="0" w:firstLineChars="0"/>
              <w:contextualSpacing/>
              <w:jc w:val="center"/>
              <w:rPr>
                <w:sz w:val="18"/>
                <w:szCs w:val="18"/>
              </w:rPr>
            </w:pPr>
            <w:r>
              <w:rPr>
                <w:rFonts w:hAnsi="宋体"/>
                <w:sz w:val="18"/>
                <w:szCs w:val="18"/>
              </w:rPr>
              <w:t>环境质量底线</w:t>
            </w:r>
          </w:p>
        </w:tc>
        <w:tc>
          <w:tcPr>
            <w:tcW w:w="2362" w:type="pct"/>
            <w:vAlign w:val="center"/>
          </w:tcPr>
          <w:p>
            <w:pPr>
              <w:spacing w:line="240" w:lineRule="auto"/>
              <w:ind w:firstLine="0" w:firstLineChars="0"/>
              <w:contextualSpacing/>
              <w:jc w:val="center"/>
              <w:rPr>
                <w:sz w:val="18"/>
                <w:szCs w:val="18"/>
              </w:rPr>
            </w:pPr>
            <w:r>
              <w:rPr>
                <w:rFonts w:hAnsi="宋体"/>
                <w:sz w:val="18"/>
                <w:szCs w:val="18"/>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1550" w:type="pct"/>
            <w:vAlign w:val="center"/>
          </w:tcPr>
          <w:p>
            <w:pPr>
              <w:spacing w:line="240" w:lineRule="auto"/>
              <w:ind w:firstLine="0" w:firstLineChars="0"/>
              <w:contextualSpacing/>
              <w:jc w:val="center"/>
              <w:rPr>
                <w:sz w:val="18"/>
                <w:szCs w:val="18"/>
              </w:rPr>
            </w:pPr>
            <w:r>
              <w:rPr>
                <w:rFonts w:hAnsi="宋体"/>
                <w:sz w:val="18"/>
                <w:szCs w:val="18"/>
              </w:rPr>
              <w:t>本项目所在地环境空气质量、地表水环境质量、声环境质量满足相应的标准要求。同时本项目产生废水、废气及噪声经采取相应措施处理后，对区</w:t>
            </w:r>
          </w:p>
          <w:p>
            <w:pPr>
              <w:spacing w:line="240" w:lineRule="auto"/>
              <w:ind w:firstLine="0" w:firstLineChars="0"/>
              <w:contextualSpacing/>
              <w:jc w:val="center"/>
              <w:rPr>
                <w:sz w:val="18"/>
                <w:szCs w:val="18"/>
              </w:rPr>
            </w:pPr>
            <w:r>
              <w:rPr>
                <w:rFonts w:hAnsi="宋体"/>
                <w:sz w:val="18"/>
                <w:szCs w:val="18"/>
              </w:rPr>
              <w:t>域环境影响较小</w:t>
            </w: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pct"/>
            <w:gridSpan w:val="2"/>
            <w:vAlign w:val="center"/>
          </w:tcPr>
          <w:p>
            <w:pPr>
              <w:spacing w:line="240" w:lineRule="auto"/>
              <w:ind w:firstLine="0" w:firstLineChars="0"/>
              <w:contextualSpacing/>
              <w:jc w:val="center"/>
              <w:rPr>
                <w:sz w:val="18"/>
                <w:szCs w:val="18"/>
              </w:rPr>
            </w:pPr>
            <w:r>
              <w:rPr>
                <w:rFonts w:hAnsi="宋体"/>
                <w:sz w:val="18"/>
                <w:szCs w:val="18"/>
              </w:rPr>
              <w:t>负面清单</w:t>
            </w:r>
          </w:p>
        </w:tc>
        <w:tc>
          <w:tcPr>
            <w:tcW w:w="2362" w:type="pct"/>
            <w:vAlign w:val="center"/>
          </w:tcPr>
          <w:p>
            <w:pPr>
              <w:spacing w:line="240" w:lineRule="auto"/>
              <w:ind w:firstLine="0" w:firstLineChars="0"/>
              <w:contextualSpacing/>
              <w:jc w:val="center"/>
              <w:rPr>
                <w:sz w:val="18"/>
                <w:szCs w:val="18"/>
              </w:rPr>
            </w:pPr>
            <w:r>
              <w:rPr>
                <w:rFonts w:hAnsi="宋体"/>
                <w:sz w:val="18"/>
                <w:szCs w:val="18"/>
              </w:rPr>
              <w:t>《四川省国家重点生态功能区产业准入负面清单（第一批、第二批）》、《四川省长江经济带发展负面清单》</w:t>
            </w:r>
          </w:p>
        </w:tc>
        <w:tc>
          <w:tcPr>
            <w:tcW w:w="1550" w:type="pct"/>
            <w:vAlign w:val="center"/>
          </w:tcPr>
          <w:p>
            <w:pPr>
              <w:spacing w:line="240" w:lineRule="auto"/>
              <w:ind w:firstLine="0" w:firstLineChars="0"/>
              <w:contextualSpacing/>
              <w:jc w:val="center"/>
              <w:rPr>
                <w:sz w:val="18"/>
                <w:szCs w:val="18"/>
              </w:rPr>
            </w:pPr>
            <w:r>
              <w:rPr>
                <w:rFonts w:hAnsi="宋体"/>
                <w:sz w:val="18"/>
                <w:szCs w:val="18"/>
              </w:rPr>
              <w:t>本项目不在《四川省国家重点生态功能区产业准入负面清单（第一批、第二批）》、《四川省长江经济带发展负面清单》内</w:t>
            </w: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3" w:type="pct"/>
            <w:vMerge w:val="restart"/>
            <w:vAlign w:val="center"/>
          </w:tcPr>
          <w:p>
            <w:pPr>
              <w:spacing w:line="240" w:lineRule="auto"/>
              <w:ind w:firstLine="0" w:firstLineChars="0"/>
              <w:contextualSpacing/>
              <w:jc w:val="center"/>
              <w:rPr>
                <w:sz w:val="18"/>
                <w:szCs w:val="18"/>
              </w:rPr>
            </w:pPr>
            <w:r>
              <w:rPr>
                <w:rFonts w:hAnsi="宋体"/>
                <w:sz w:val="18"/>
                <w:szCs w:val="18"/>
              </w:rPr>
              <w:t>环境管控要求</w:t>
            </w:r>
          </w:p>
        </w:tc>
        <w:tc>
          <w:tcPr>
            <w:tcW w:w="270" w:type="pct"/>
            <w:vAlign w:val="center"/>
          </w:tcPr>
          <w:p>
            <w:pPr>
              <w:spacing w:line="240" w:lineRule="auto"/>
              <w:ind w:firstLine="0" w:firstLineChars="0"/>
              <w:contextualSpacing/>
              <w:jc w:val="center"/>
              <w:rPr>
                <w:sz w:val="18"/>
                <w:szCs w:val="18"/>
              </w:rPr>
            </w:pPr>
            <w:r>
              <w:rPr>
                <w:rFonts w:hAnsi="宋体"/>
                <w:sz w:val="18"/>
                <w:szCs w:val="18"/>
              </w:rPr>
              <w:t>重点管控单元</w:t>
            </w:r>
          </w:p>
        </w:tc>
        <w:tc>
          <w:tcPr>
            <w:tcW w:w="2362" w:type="pct"/>
            <w:vAlign w:val="center"/>
          </w:tcPr>
          <w:p>
            <w:pPr>
              <w:spacing w:line="240" w:lineRule="auto"/>
              <w:ind w:firstLine="0" w:firstLineChars="0"/>
              <w:contextualSpacing/>
              <w:jc w:val="center"/>
              <w:rPr>
                <w:sz w:val="18"/>
                <w:szCs w:val="18"/>
              </w:rPr>
            </w:pPr>
            <w:r>
              <w:rPr>
                <w:rFonts w:hAnsi="宋体"/>
                <w:sz w:val="18"/>
                <w:szCs w:val="18"/>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1550" w:type="pct"/>
            <w:vAlign w:val="center"/>
          </w:tcPr>
          <w:p>
            <w:pPr>
              <w:spacing w:line="240" w:lineRule="auto"/>
              <w:ind w:firstLine="0" w:firstLineChars="0"/>
              <w:contextualSpacing/>
              <w:jc w:val="center"/>
              <w:rPr>
                <w:sz w:val="18"/>
                <w:szCs w:val="18"/>
              </w:rPr>
            </w:pP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3" w:type="pct"/>
            <w:vMerge w:val="continue"/>
            <w:vAlign w:val="center"/>
          </w:tcPr>
          <w:p>
            <w:pPr>
              <w:spacing w:line="240" w:lineRule="auto"/>
              <w:ind w:firstLine="0" w:firstLineChars="0"/>
              <w:contextualSpacing/>
              <w:jc w:val="center"/>
              <w:rPr>
                <w:sz w:val="18"/>
                <w:szCs w:val="18"/>
              </w:rPr>
            </w:pPr>
          </w:p>
        </w:tc>
        <w:tc>
          <w:tcPr>
            <w:tcW w:w="270" w:type="pct"/>
            <w:vAlign w:val="center"/>
          </w:tcPr>
          <w:p>
            <w:pPr>
              <w:spacing w:line="240" w:lineRule="auto"/>
              <w:ind w:firstLine="0" w:firstLineChars="0"/>
              <w:contextualSpacing/>
              <w:jc w:val="center"/>
              <w:rPr>
                <w:sz w:val="18"/>
                <w:szCs w:val="18"/>
              </w:rPr>
            </w:pPr>
            <w:r>
              <w:rPr>
                <w:rFonts w:hAnsi="宋体"/>
                <w:sz w:val="18"/>
                <w:szCs w:val="18"/>
              </w:rPr>
              <w:t>川南经济区</w:t>
            </w:r>
          </w:p>
        </w:tc>
        <w:tc>
          <w:tcPr>
            <w:tcW w:w="2362" w:type="pct"/>
            <w:vAlign w:val="center"/>
          </w:tcPr>
          <w:p>
            <w:pPr>
              <w:spacing w:line="240" w:lineRule="auto"/>
              <w:ind w:firstLine="0" w:firstLineChars="0"/>
              <w:contextualSpacing/>
              <w:jc w:val="center"/>
              <w:rPr>
                <w:sz w:val="18"/>
                <w:szCs w:val="18"/>
              </w:rPr>
            </w:pPr>
            <w:r>
              <w:rPr>
                <w:rFonts w:hAnsi="宋体"/>
                <w:sz w:val="18"/>
                <w:szCs w:val="18"/>
              </w:rPr>
              <w:t>优化沿江、临城产业布局，明确岸线</w:t>
            </w:r>
            <w:r>
              <w:rPr>
                <w:sz w:val="18"/>
                <w:szCs w:val="18"/>
              </w:rPr>
              <w:t>1</w:t>
            </w:r>
            <w:r>
              <w:rPr>
                <w:rFonts w:hAnsi="宋体"/>
                <w:sz w:val="18"/>
                <w:szCs w:val="18"/>
              </w:rPr>
              <w:t>公里范围内现有化工等高环境风险企业的管控要求。促进轻工、化工等传统产业提档升级，严控大气污染物排放。对区域发展产业提出高于全省平均水平的环境准入要求，对白酒产业和页岩气开发提出高水平的环境管控要求。岷江、沱江流域执行《四川省岷江、沱江流域水污染物排放标准》。针对内江、自贡等缺水区域，提高水资源利用效率，对高耗水项目提出最严格的水资源准入要求</w:t>
            </w:r>
          </w:p>
        </w:tc>
        <w:tc>
          <w:tcPr>
            <w:tcW w:w="1550" w:type="pct"/>
            <w:vAlign w:val="center"/>
          </w:tcPr>
          <w:p>
            <w:pPr>
              <w:spacing w:line="240" w:lineRule="auto"/>
              <w:ind w:firstLine="0" w:firstLineChars="0"/>
              <w:contextualSpacing/>
              <w:jc w:val="center"/>
              <w:rPr>
                <w:sz w:val="18"/>
                <w:szCs w:val="18"/>
              </w:rPr>
            </w:pPr>
            <w:r>
              <w:rPr>
                <w:rFonts w:hAnsi="宋体"/>
                <w:sz w:val="18"/>
                <w:szCs w:val="18"/>
              </w:rPr>
              <w:t>本项目不属于化工、轻工、白酒、页岩气开发等行业。</w:t>
            </w:r>
          </w:p>
        </w:tc>
        <w:tc>
          <w:tcPr>
            <w:tcW w:w="525" w:type="pct"/>
            <w:vAlign w:val="center"/>
          </w:tcPr>
          <w:p>
            <w:pPr>
              <w:spacing w:line="240" w:lineRule="auto"/>
              <w:ind w:firstLine="0" w:firstLineChars="0"/>
              <w:contextualSpacing/>
              <w:jc w:val="center"/>
              <w:rPr>
                <w:sz w:val="18"/>
                <w:szCs w:val="18"/>
              </w:rPr>
            </w:pPr>
            <w:r>
              <w:rPr>
                <w:rFonts w:hAnsi="宋体"/>
                <w:sz w:val="18"/>
                <w:szCs w:val="18"/>
              </w:rPr>
              <w:t>符合</w:t>
            </w:r>
          </w:p>
        </w:tc>
      </w:tr>
    </w:tbl>
    <w:p>
      <w:pPr>
        <w:ind w:firstLine="0" w:firstLineChars="0"/>
        <w:contextualSpacing/>
        <w:outlineLvl w:val="3"/>
        <w:rPr>
          <w:b/>
          <w:bCs/>
        </w:rPr>
      </w:pPr>
      <w:r>
        <w:rPr>
          <w:b/>
          <w:bCs/>
        </w:rPr>
        <w:t>3.1.3.2</w:t>
      </w:r>
      <w:r>
        <w:rPr>
          <w:rFonts w:hAnsi="宋体"/>
          <w:b/>
          <w:bCs/>
        </w:rPr>
        <w:t>与</w:t>
      </w:r>
      <w:r>
        <w:rPr>
          <w:rFonts w:hint="eastAsia" w:hAnsi="宋体"/>
          <w:b/>
          <w:bCs/>
        </w:rPr>
        <w:t>巴中市</w:t>
      </w:r>
      <w:r>
        <w:rPr>
          <w:b/>
          <w:bCs/>
        </w:rPr>
        <w:t>“</w:t>
      </w:r>
      <w:r>
        <w:rPr>
          <w:rFonts w:hAnsi="宋体"/>
          <w:b/>
          <w:bCs/>
        </w:rPr>
        <w:t>三线一单</w:t>
      </w:r>
      <w:r>
        <w:rPr>
          <w:b/>
          <w:bCs/>
        </w:rPr>
        <w:t>”</w:t>
      </w:r>
      <w:r>
        <w:rPr>
          <w:rFonts w:hAnsi="宋体"/>
          <w:b/>
          <w:bCs/>
        </w:rPr>
        <w:t>的符合性</w:t>
      </w:r>
    </w:p>
    <w:p>
      <w:pPr>
        <w:pStyle w:val="10"/>
        <w:ind w:firstLine="480"/>
        <w:contextualSpacing/>
      </w:pPr>
      <w:r>
        <w:rPr>
          <w:rFonts w:hAnsi="宋体"/>
        </w:rPr>
        <w:t>（</w:t>
      </w:r>
      <w:r>
        <w:t>1</w:t>
      </w:r>
      <w:r>
        <w:rPr>
          <w:rFonts w:hAnsi="宋体"/>
        </w:rPr>
        <w:t>）生态保护红线</w:t>
      </w:r>
    </w:p>
    <w:p>
      <w:pPr>
        <w:pStyle w:val="10"/>
        <w:ind w:firstLine="480"/>
        <w:contextualSpacing/>
      </w:pPr>
      <w:r>
        <w:rPr>
          <w:rFonts w:hint="eastAsia" w:hAnsi="宋体"/>
        </w:rPr>
        <w:t>根据巴中市人民政府2021 年6 月28 日印发的《关于实施“三线一单”生态环境分区管控的通知》（巴府发〔2021〕5 号），项目所在地涉及的管控单元与四川政务网“三线一单”数据分析系统相同；项目涉及优先保护单元和城镇重点管控单元两个管控单元。</w:t>
      </w:r>
    </w:p>
    <w:p>
      <w:pPr>
        <w:ind w:firstLine="0" w:firstLineChars="0"/>
        <w:contextualSpacing/>
        <w:jc w:val="center"/>
        <w:rPr>
          <w:lang w:val="zh-CN"/>
        </w:rPr>
      </w:pPr>
      <w:r>
        <w:drawing>
          <wp:inline distT="0" distB="0" distL="0" distR="0">
            <wp:extent cx="5312410" cy="3767455"/>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12410" cy="3767455"/>
                    </a:xfrm>
                    <a:prstGeom prst="rect">
                      <a:avLst/>
                    </a:prstGeom>
                    <a:noFill/>
                    <a:ln>
                      <a:noFill/>
                    </a:ln>
                  </pic:spPr>
                </pic:pic>
              </a:graphicData>
            </a:graphic>
          </wp:inline>
        </w:drawing>
      </w:r>
    </w:p>
    <w:p>
      <w:pPr>
        <w:pStyle w:val="11"/>
        <w:contextualSpacing/>
        <w:rPr>
          <w:rFonts w:ascii="Times New Roman" w:hAnsi="Times New Roman" w:cs="Times New Roman"/>
        </w:rPr>
      </w:pPr>
      <w:r>
        <w:rPr>
          <w:rFonts w:ascii="Times New Roman" w:hAnsi="宋体" w:cs="Times New Roman"/>
        </w:rPr>
        <w:t>图</w:t>
      </w:r>
      <w:r>
        <w:rPr>
          <w:rFonts w:ascii="Times New Roman" w:hAnsi="Times New Roman" w:cs="Times New Roman"/>
        </w:rPr>
        <w:t xml:space="preserve">3.1.3-1  </w:t>
      </w:r>
      <w:r>
        <w:rPr>
          <w:rFonts w:hint="eastAsia" w:ascii="Times New Roman" w:hAnsi="宋体" w:cs="Times New Roman"/>
        </w:rPr>
        <w:t>巴中市环境管控单元图</w:t>
      </w:r>
    </w:p>
    <w:p>
      <w:pPr>
        <w:ind w:firstLine="0" w:firstLineChars="0"/>
        <w:contextualSpacing/>
        <w:jc w:val="center"/>
        <w:rPr>
          <w:rFonts w:hAnsi="宋体"/>
          <w:kern w:val="24"/>
          <w:szCs w:val="22"/>
        </w:rPr>
      </w:pPr>
      <w:r>
        <w:drawing>
          <wp:inline distT="0" distB="0" distL="0" distR="0">
            <wp:extent cx="5246370" cy="342392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46370" cy="3423920"/>
                    </a:xfrm>
                    <a:prstGeom prst="rect">
                      <a:avLst/>
                    </a:prstGeom>
                    <a:noFill/>
                    <a:ln>
                      <a:noFill/>
                    </a:ln>
                  </pic:spPr>
                </pic:pic>
              </a:graphicData>
            </a:graphic>
          </wp:inline>
        </w:drawing>
      </w:r>
    </w:p>
    <w:p>
      <w:pPr>
        <w:pStyle w:val="11"/>
        <w:ind w:firstLine="480"/>
        <w:contextualSpacing/>
        <w:rPr>
          <w:rFonts w:ascii="Times New Roman" w:hAnsi="Times New Roman" w:cs="Times New Roman"/>
        </w:rPr>
      </w:pPr>
      <w:r>
        <w:rPr>
          <w:rFonts w:ascii="Times New Roman" w:hAnsi="宋体" w:cs="Times New Roman"/>
        </w:rPr>
        <w:t>图</w:t>
      </w:r>
      <w:r>
        <w:rPr>
          <w:rFonts w:ascii="Times New Roman" w:hAnsi="Times New Roman" w:cs="Times New Roman"/>
        </w:rPr>
        <w:t xml:space="preserve">3.1.3-1  </w:t>
      </w:r>
      <w:r>
        <w:rPr>
          <w:rFonts w:hint="eastAsia" w:ascii="Times New Roman" w:hAnsi="宋体" w:cs="Times New Roman"/>
        </w:rPr>
        <w:t>巴中市生态红线图</w:t>
      </w:r>
    </w:p>
    <w:p>
      <w:pPr>
        <w:pStyle w:val="10"/>
        <w:ind w:firstLine="480"/>
        <w:contextualSpacing/>
        <w:rPr>
          <w:rFonts w:hint="eastAsia" w:hAnsi="宋体"/>
        </w:rPr>
      </w:pPr>
      <w:r>
        <w:rPr>
          <w:rFonts w:hint="eastAsia" w:hAnsi="宋体"/>
        </w:rPr>
        <w:t>根据巴中市生态保护红线图可知，本项目不在生态保护红线范围内。</w:t>
      </w:r>
    </w:p>
    <w:p>
      <w:pPr>
        <w:pStyle w:val="10"/>
        <w:ind w:firstLine="480"/>
        <w:contextualSpacing/>
        <w:rPr>
          <w:rFonts w:hAnsi="宋体"/>
        </w:rPr>
      </w:pPr>
      <w:r>
        <w:rPr>
          <w:rFonts w:hint="eastAsia" w:hAnsi="宋体"/>
        </w:rPr>
        <w:t>本项目与巴中市人民政府印发的《关于实施“三线一单”生态环境分区管控的通知》（巴府发〔2021〕5号）文件的符合性分析见下表。</w:t>
      </w:r>
    </w:p>
    <w:p>
      <w:pPr>
        <w:ind w:firstLine="482"/>
        <w:jc w:val="center"/>
        <w:rPr>
          <w:rFonts w:eastAsia="黑体"/>
          <w:b/>
          <w:szCs w:val="21"/>
        </w:rPr>
      </w:pPr>
      <w:r>
        <w:rPr>
          <w:rFonts w:eastAsia="黑体"/>
          <w:b/>
          <w:szCs w:val="21"/>
        </w:rPr>
        <w:t>表3.1.3-2  管控要求分析表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2"/>
        <w:gridCol w:w="4771"/>
        <w:gridCol w:w="2512"/>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0" w:type="pct"/>
            <w:shd w:val="clear" w:color="auto" w:fill="FFFFFF"/>
            <w:vAlign w:val="center"/>
          </w:tcPr>
          <w:p>
            <w:pPr>
              <w:pStyle w:val="151"/>
              <w:ind w:firstLine="0" w:firstLineChars="0"/>
              <w:jc w:val="center"/>
              <w:rPr>
                <w:b/>
                <w:bCs/>
                <w:sz w:val="20"/>
                <w:szCs w:val="20"/>
              </w:rPr>
            </w:pPr>
            <w:r>
              <w:rPr>
                <w:rFonts w:hint="eastAsia"/>
                <w:b/>
                <w:bCs/>
                <w:sz w:val="20"/>
                <w:szCs w:val="20"/>
              </w:rPr>
              <w:t>管控单元</w:t>
            </w:r>
          </w:p>
        </w:tc>
        <w:tc>
          <w:tcPr>
            <w:tcW w:w="2853" w:type="pct"/>
            <w:shd w:val="clear" w:color="auto" w:fill="FFFFFF"/>
            <w:vAlign w:val="center"/>
          </w:tcPr>
          <w:p>
            <w:pPr>
              <w:pStyle w:val="151"/>
              <w:ind w:firstLine="0" w:firstLineChars="0"/>
              <w:jc w:val="center"/>
              <w:rPr>
                <w:b/>
                <w:bCs/>
                <w:sz w:val="20"/>
                <w:szCs w:val="20"/>
              </w:rPr>
            </w:pPr>
            <w:r>
              <w:rPr>
                <w:b/>
                <w:bCs/>
                <w:sz w:val="20"/>
                <w:szCs w:val="20"/>
              </w:rPr>
              <w:t>生态环境管控要求</w:t>
            </w:r>
          </w:p>
        </w:tc>
        <w:tc>
          <w:tcPr>
            <w:tcW w:w="1502" w:type="pct"/>
            <w:shd w:val="clear" w:color="auto" w:fill="FFFFFF"/>
            <w:vAlign w:val="center"/>
          </w:tcPr>
          <w:p>
            <w:pPr>
              <w:pStyle w:val="151"/>
              <w:ind w:firstLine="0" w:firstLineChars="0"/>
              <w:jc w:val="center"/>
              <w:rPr>
                <w:b/>
                <w:bCs/>
                <w:sz w:val="20"/>
                <w:szCs w:val="20"/>
              </w:rPr>
            </w:pPr>
            <w:r>
              <w:rPr>
                <w:b/>
                <w:bCs/>
                <w:sz w:val="20"/>
                <w:szCs w:val="20"/>
              </w:rPr>
              <w:t>本项目</w:t>
            </w:r>
          </w:p>
        </w:tc>
        <w:tc>
          <w:tcPr>
            <w:tcW w:w="345" w:type="pct"/>
            <w:shd w:val="clear" w:color="auto" w:fill="FFFFFF"/>
            <w:vAlign w:val="center"/>
          </w:tcPr>
          <w:p>
            <w:pPr>
              <w:pStyle w:val="151"/>
              <w:ind w:firstLine="0" w:firstLineChars="0"/>
              <w:jc w:val="center"/>
              <w:rPr>
                <w:b/>
                <w:bCs/>
                <w:sz w:val="20"/>
                <w:szCs w:val="20"/>
              </w:rPr>
            </w:pPr>
            <w:r>
              <w:rPr>
                <w:b/>
                <w:bCs/>
                <w:sz w:val="20"/>
                <w:szCs w:val="2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9" w:hRule="atLeast"/>
          <w:jc w:val="center"/>
        </w:trPr>
        <w:tc>
          <w:tcPr>
            <w:tcW w:w="300" w:type="pct"/>
            <w:vAlign w:val="center"/>
          </w:tcPr>
          <w:p>
            <w:pPr>
              <w:spacing w:line="240" w:lineRule="auto"/>
              <w:ind w:firstLine="0" w:firstLineChars="0"/>
              <w:contextualSpacing/>
              <w:jc w:val="center"/>
              <w:rPr>
                <w:rFonts w:hAnsi="宋体"/>
                <w:sz w:val="18"/>
                <w:szCs w:val="18"/>
              </w:rPr>
            </w:pPr>
            <w:r>
              <w:rPr>
                <w:rFonts w:hAnsi="宋体"/>
                <w:sz w:val="18"/>
                <w:szCs w:val="18"/>
              </w:rPr>
              <w:t>优先保护单元</w:t>
            </w:r>
          </w:p>
        </w:tc>
        <w:tc>
          <w:tcPr>
            <w:tcW w:w="2853" w:type="pct"/>
            <w:vAlign w:val="center"/>
          </w:tcPr>
          <w:p>
            <w:pPr>
              <w:spacing w:line="240" w:lineRule="auto"/>
              <w:ind w:firstLine="0" w:firstLineChars="0"/>
              <w:contextualSpacing/>
              <w:rPr>
                <w:rFonts w:hAnsi="宋体"/>
                <w:sz w:val="18"/>
                <w:szCs w:val="18"/>
              </w:rPr>
            </w:pPr>
            <w:r>
              <w:rPr>
                <w:rFonts w:hAnsi="宋体"/>
                <w:sz w:val="18"/>
                <w:szCs w:val="18"/>
              </w:rPr>
              <w:t>优先保护单元中，应以生态环境保护优先为原则，严格执行相关法律、法规要求，严守生态环境质量底线，确保生态环境功能不降低。</w:t>
            </w:r>
          </w:p>
        </w:tc>
        <w:tc>
          <w:tcPr>
            <w:tcW w:w="1502" w:type="pct"/>
            <w:vAlign w:val="center"/>
          </w:tcPr>
          <w:p>
            <w:pPr>
              <w:spacing w:line="240" w:lineRule="auto"/>
              <w:ind w:firstLine="0" w:firstLineChars="0"/>
              <w:contextualSpacing/>
              <w:rPr>
                <w:rFonts w:hAnsi="宋体"/>
                <w:sz w:val="18"/>
                <w:szCs w:val="18"/>
              </w:rPr>
            </w:pPr>
            <w:r>
              <w:rPr>
                <w:rFonts w:hint="eastAsia" w:hAnsi="宋体"/>
                <w:sz w:val="18"/>
                <w:szCs w:val="18"/>
              </w:rPr>
              <w:t>本项目位于优先保护单元内，项目的建设是强化寒溪寺水库蓄水和供水功能，直接有助于取水功能的完善。项目的建设符合相关法律法规要求，不会导致生态环境功能降低。</w:t>
            </w:r>
          </w:p>
        </w:tc>
        <w:tc>
          <w:tcPr>
            <w:tcW w:w="345" w:type="pct"/>
            <w:vAlign w:val="center"/>
          </w:tcPr>
          <w:p>
            <w:pPr>
              <w:spacing w:line="240" w:lineRule="auto"/>
              <w:ind w:firstLine="0" w:firstLineChars="0"/>
              <w:contextualSpacing/>
              <w:jc w:val="center"/>
              <w:rPr>
                <w:rFonts w:hAnsi="宋体"/>
                <w:sz w:val="18"/>
                <w:szCs w:val="18"/>
              </w:rPr>
            </w:pPr>
            <w:r>
              <w:rPr>
                <w:rFonts w:hint="eastAsia"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8" w:hRule="atLeast"/>
          <w:jc w:val="center"/>
        </w:trPr>
        <w:tc>
          <w:tcPr>
            <w:tcW w:w="300" w:type="pct"/>
            <w:vAlign w:val="center"/>
          </w:tcPr>
          <w:p>
            <w:pPr>
              <w:spacing w:line="240" w:lineRule="auto"/>
              <w:ind w:firstLine="0" w:firstLineChars="0"/>
              <w:contextualSpacing/>
              <w:jc w:val="center"/>
              <w:rPr>
                <w:rFonts w:hAnsi="宋体"/>
                <w:sz w:val="18"/>
                <w:szCs w:val="18"/>
              </w:rPr>
            </w:pPr>
            <w:r>
              <w:rPr>
                <w:rFonts w:hAnsi="宋体"/>
                <w:sz w:val="18"/>
                <w:szCs w:val="18"/>
              </w:rPr>
              <w:t>重点管控单元</w:t>
            </w:r>
          </w:p>
        </w:tc>
        <w:tc>
          <w:tcPr>
            <w:tcW w:w="2853" w:type="pct"/>
            <w:vAlign w:val="center"/>
          </w:tcPr>
          <w:p>
            <w:pPr>
              <w:spacing w:line="240" w:lineRule="auto"/>
              <w:ind w:firstLine="0" w:firstLineChars="0"/>
              <w:contextualSpacing/>
              <w:rPr>
                <w:rFonts w:hAnsi="宋体"/>
                <w:sz w:val="18"/>
                <w:szCs w:val="18"/>
              </w:rPr>
            </w:pPr>
            <w:r>
              <w:rPr>
                <w:rFonts w:hAnsi="宋体"/>
                <w:sz w:val="18"/>
                <w:szCs w:val="18"/>
              </w:rPr>
              <w:t>重点管控单元中，应针对性地加强污染物排放控制和环境风 险防控，解决生态环境质量不达标、生态环境风险突出等问 题，制定差别化的生态环境准入要求。对环境质量不达标区 域，提出污染物削减比例要求；对环境质量达标区域，提出 允许排放量建议指标。</w:t>
            </w:r>
          </w:p>
        </w:tc>
        <w:tc>
          <w:tcPr>
            <w:tcW w:w="1502" w:type="pct"/>
            <w:vAlign w:val="center"/>
          </w:tcPr>
          <w:p>
            <w:pPr>
              <w:spacing w:line="240" w:lineRule="auto"/>
              <w:ind w:firstLine="0" w:firstLineChars="0"/>
              <w:contextualSpacing/>
              <w:rPr>
                <w:rFonts w:hAnsi="宋体"/>
                <w:sz w:val="18"/>
                <w:szCs w:val="18"/>
              </w:rPr>
            </w:pPr>
            <w:r>
              <w:rPr>
                <w:rFonts w:hint="eastAsia" w:hAnsi="宋体"/>
                <w:sz w:val="18"/>
                <w:szCs w:val="18"/>
              </w:rPr>
              <w:t>本项目不在重点管控单元内，属于非污染型项目，产生的污染主要在施工期。</w:t>
            </w:r>
          </w:p>
        </w:tc>
        <w:tc>
          <w:tcPr>
            <w:tcW w:w="345" w:type="pct"/>
            <w:vAlign w:val="center"/>
          </w:tcPr>
          <w:p>
            <w:pPr>
              <w:spacing w:line="240" w:lineRule="auto"/>
              <w:ind w:firstLine="0" w:firstLineChars="0"/>
              <w:contextualSpacing/>
              <w:jc w:val="center"/>
              <w:rPr>
                <w:rFonts w:hAnsi="宋体"/>
                <w:sz w:val="18"/>
                <w:szCs w:val="18"/>
              </w:rPr>
            </w:pPr>
            <w:r>
              <w:rPr>
                <w:rFonts w:hint="eastAsia"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300" w:type="pct"/>
            <w:vAlign w:val="center"/>
          </w:tcPr>
          <w:p>
            <w:pPr>
              <w:spacing w:line="240" w:lineRule="auto"/>
              <w:ind w:firstLine="0" w:firstLineChars="0"/>
              <w:contextualSpacing/>
              <w:jc w:val="center"/>
              <w:rPr>
                <w:rFonts w:hAnsi="宋体"/>
                <w:sz w:val="18"/>
                <w:szCs w:val="18"/>
              </w:rPr>
            </w:pPr>
            <w:r>
              <w:rPr>
                <w:rFonts w:hAnsi="宋体"/>
                <w:sz w:val="18"/>
                <w:szCs w:val="18"/>
              </w:rPr>
              <w:t>一般管控单元</w:t>
            </w:r>
          </w:p>
        </w:tc>
        <w:tc>
          <w:tcPr>
            <w:tcW w:w="2853" w:type="pct"/>
            <w:vAlign w:val="center"/>
          </w:tcPr>
          <w:p>
            <w:pPr>
              <w:spacing w:line="240" w:lineRule="auto"/>
              <w:ind w:firstLine="0" w:firstLineChars="0"/>
              <w:contextualSpacing/>
              <w:rPr>
                <w:rFonts w:hAnsi="宋体"/>
                <w:sz w:val="18"/>
                <w:szCs w:val="18"/>
              </w:rPr>
            </w:pPr>
            <w:r>
              <w:rPr>
                <w:rFonts w:hAnsi="宋体"/>
                <w:sz w:val="18"/>
                <w:szCs w:val="18"/>
              </w:rPr>
              <w:t>一般管控单元中，执行区域生态环境保护的基本要求，重点 加强农业、生活等领域污染治理。</w:t>
            </w:r>
          </w:p>
        </w:tc>
        <w:tc>
          <w:tcPr>
            <w:tcW w:w="1502" w:type="pct"/>
            <w:vAlign w:val="center"/>
          </w:tcPr>
          <w:p>
            <w:pPr>
              <w:spacing w:line="240" w:lineRule="auto"/>
              <w:ind w:firstLine="0" w:firstLineChars="0"/>
              <w:contextualSpacing/>
              <w:rPr>
                <w:rFonts w:hAnsi="宋体"/>
                <w:sz w:val="18"/>
                <w:szCs w:val="18"/>
              </w:rPr>
            </w:pPr>
            <w:r>
              <w:rPr>
                <w:rFonts w:hint="eastAsia" w:hAnsi="宋体"/>
                <w:sz w:val="18"/>
                <w:szCs w:val="18"/>
              </w:rPr>
              <w:t>项目不在一般管控单位内。</w:t>
            </w:r>
          </w:p>
        </w:tc>
        <w:tc>
          <w:tcPr>
            <w:tcW w:w="345" w:type="pct"/>
            <w:vAlign w:val="center"/>
          </w:tcPr>
          <w:p>
            <w:pPr>
              <w:spacing w:line="240" w:lineRule="auto"/>
              <w:ind w:firstLine="0" w:firstLineChars="0"/>
              <w:contextualSpacing/>
              <w:jc w:val="center"/>
              <w:rPr>
                <w:rFonts w:hAnsi="宋体"/>
                <w:sz w:val="18"/>
                <w:szCs w:val="18"/>
              </w:rPr>
            </w:pPr>
            <w:r>
              <w:rPr>
                <w:rFonts w:hint="eastAsia"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2" w:hRule="atLeast"/>
          <w:jc w:val="center"/>
        </w:trPr>
        <w:tc>
          <w:tcPr>
            <w:tcW w:w="300" w:type="pct"/>
            <w:vAlign w:val="center"/>
          </w:tcPr>
          <w:p>
            <w:pPr>
              <w:spacing w:line="240" w:lineRule="auto"/>
              <w:ind w:firstLine="0" w:firstLineChars="0"/>
              <w:contextualSpacing/>
              <w:jc w:val="center"/>
              <w:rPr>
                <w:rFonts w:hAnsi="宋体"/>
                <w:sz w:val="18"/>
                <w:szCs w:val="18"/>
              </w:rPr>
            </w:pPr>
            <w:r>
              <w:rPr>
                <w:rFonts w:hint="eastAsia" w:hAnsi="宋体"/>
                <w:sz w:val="18"/>
                <w:szCs w:val="18"/>
              </w:rPr>
              <w:t>巴中市</w:t>
            </w:r>
          </w:p>
        </w:tc>
        <w:tc>
          <w:tcPr>
            <w:tcW w:w="2853" w:type="pct"/>
            <w:vAlign w:val="center"/>
          </w:tcPr>
          <w:p>
            <w:pPr>
              <w:spacing w:line="240" w:lineRule="auto"/>
              <w:ind w:firstLine="0" w:firstLineChars="0"/>
              <w:contextualSpacing/>
              <w:rPr>
                <w:rFonts w:hAnsi="宋体"/>
                <w:sz w:val="18"/>
                <w:szCs w:val="18"/>
              </w:rPr>
            </w:pPr>
            <w:r>
              <w:rPr>
                <w:rFonts w:hAnsi="宋体"/>
                <w:sz w:val="18"/>
                <w:szCs w:val="18"/>
              </w:rPr>
              <w:t>1.培育和引入产业必须符合国家产业政策，严控新建、扩建“两高”项目， 强化企业环境管理；</w:t>
            </w:r>
          </w:p>
          <w:p>
            <w:pPr>
              <w:spacing w:line="240" w:lineRule="auto"/>
              <w:ind w:firstLine="0" w:firstLineChars="0"/>
              <w:contextualSpacing/>
              <w:rPr>
                <w:rFonts w:hAnsi="宋体"/>
                <w:sz w:val="18"/>
                <w:szCs w:val="18"/>
              </w:rPr>
            </w:pPr>
            <w:r>
              <w:rPr>
                <w:rFonts w:hAnsi="宋体"/>
                <w:sz w:val="18"/>
                <w:szCs w:val="18"/>
              </w:rPr>
              <w:t>2.强化水、大气、土壤等污染源头管控，深化环境污染治理，完善污染治理基础设施，巩固提升环境质量；</w:t>
            </w:r>
          </w:p>
          <w:p>
            <w:pPr>
              <w:spacing w:line="240" w:lineRule="auto"/>
              <w:ind w:firstLine="0" w:firstLineChars="0"/>
              <w:contextualSpacing/>
              <w:rPr>
                <w:rFonts w:hAnsi="宋体"/>
                <w:sz w:val="18"/>
                <w:szCs w:val="18"/>
              </w:rPr>
            </w:pPr>
            <w:r>
              <w:rPr>
                <w:rFonts w:hAnsi="宋体"/>
                <w:sz w:val="18"/>
                <w:szCs w:val="18"/>
              </w:rPr>
              <w:t>3.合理控制并优化生态环境敏感区内的旅游开发建设活动，合理开发利用 水利资源，大力发展生态康养旅游产业。严格落实自然保护地、生态保护红线、集中式饮用水水源保护区等管控要求；</w:t>
            </w:r>
          </w:p>
          <w:p>
            <w:pPr>
              <w:spacing w:line="240" w:lineRule="auto"/>
              <w:ind w:firstLine="0" w:firstLineChars="0"/>
              <w:contextualSpacing/>
              <w:rPr>
                <w:rFonts w:hAnsi="宋体"/>
                <w:sz w:val="18"/>
                <w:szCs w:val="18"/>
              </w:rPr>
            </w:pPr>
            <w:r>
              <w:rPr>
                <w:rFonts w:hAnsi="宋体"/>
                <w:sz w:val="18"/>
                <w:szCs w:val="18"/>
              </w:rPr>
              <w:t>4.加强农村环境综合治理，积极发展生态农业和有机农业，严格控制化肥、农药、农膜使用量，合理布局畜禽养殖，持续推进畜禽粪污综合利用；</w:t>
            </w:r>
          </w:p>
          <w:p>
            <w:pPr>
              <w:spacing w:line="240" w:lineRule="auto"/>
              <w:ind w:firstLine="0" w:firstLineChars="0"/>
              <w:contextualSpacing/>
              <w:rPr>
                <w:rFonts w:hAnsi="宋体"/>
                <w:sz w:val="18"/>
                <w:szCs w:val="18"/>
              </w:rPr>
            </w:pPr>
            <w:r>
              <w:rPr>
                <w:rFonts w:hAnsi="宋体"/>
                <w:sz w:val="18"/>
                <w:szCs w:val="18"/>
              </w:rPr>
              <w:t>5.加强城乡集中式饮用水水源保护，确保饮用水水源安全；</w:t>
            </w:r>
          </w:p>
          <w:p>
            <w:pPr>
              <w:spacing w:line="240" w:lineRule="auto"/>
              <w:ind w:firstLine="0" w:firstLineChars="0"/>
              <w:contextualSpacing/>
              <w:rPr>
                <w:rFonts w:hAnsi="宋体"/>
                <w:sz w:val="18"/>
                <w:szCs w:val="18"/>
              </w:rPr>
            </w:pPr>
            <w:r>
              <w:rPr>
                <w:rFonts w:hAnsi="宋体"/>
                <w:sz w:val="18"/>
                <w:szCs w:val="18"/>
              </w:rPr>
              <w:t>6.加强与相邻省、市的环境风险联防联控。</w:t>
            </w:r>
          </w:p>
        </w:tc>
        <w:tc>
          <w:tcPr>
            <w:tcW w:w="1502" w:type="pct"/>
            <w:vAlign w:val="center"/>
          </w:tcPr>
          <w:p>
            <w:pPr>
              <w:spacing w:line="240" w:lineRule="auto"/>
              <w:ind w:firstLine="0" w:firstLineChars="0"/>
              <w:contextualSpacing/>
              <w:rPr>
                <w:rFonts w:hAnsi="宋体"/>
                <w:sz w:val="18"/>
                <w:szCs w:val="18"/>
              </w:rPr>
            </w:pPr>
            <w:r>
              <w:rPr>
                <w:rFonts w:hint="eastAsia" w:hAnsi="宋体"/>
                <w:sz w:val="18"/>
                <w:szCs w:val="18"/>
              </w:rPr>
              <w:t>1.项目不属于两高项目；</w:t>
            </w:r>
          </w:p>
          <w:p>
            <w:pPr>
              <w:spacing w:line="240" w:lineRule="auto"/>
              <w:ind w:firstLine="0" w:firstLineChars="0"/>
              <w:contextualSpacing/>
              <w:rPr>
                <w:rFonts w:hAnsi="宋体"/>
                <w:sz w:val="18"/>
                <w:szCs w:val="18"/>
              </w:rPr>
            </w:pPr>
            <w:r>
              <w:rPr>
                <w:rFonts w:hint="eastAsia" w:hAnsi="宋体"/>
                <w:sz w:val="18"/>
                <w:szCs w:val="18"/>
              </w:rPr>
              <w:t>2</w:t>
            </w:r>
            <w:r>
              <w:rPr>
                <w:rFonts w:hAnsi="宋体"/>
                <w:sz w:val="18"/>
                <w:szCs w:val="18"/>
              </w:rPr>
              <w:t>.</w:t>
            </w:r>
            <w:r>
              <w:rPr>
                <w:rFonts w:hint="eastAsia" w:hAnsi="宋体"/>
                <w:sz w:val="18"/>
                <w:szCs w:val="18"/>
              </w:rPr>
              <w:t>项目属于非污染类项目，施工期采取相应的环境保护措施；</w:t>
            </w:r>
          </w:p>
          <w:p>
            <w:pPr>
              <w:spacing w:line="240" w:lineRule="auto"/>
              <w:ind w:firstLine="0" w:firstLineChars="0"/>
              <w:contextualSpacing/>
              <w:rPr>
                <w:rFonts w:hAnsi="宋体"/>
                <w:sz w:val="18"/>
                <w:szCs w:val="18"/>
              </w:rPr>
            </w:pPr>
            <w:r>
              <w:rPr>
                <w:rFonts w:hint="eastAsia" w:hAnsi="宋体"/>
                <w:sz w:val="18"/>
                <w:szCs w:val="18"/>
              </w:rPr>
              <w:t>3</w:t>
            </w:r>
            <w:r>
              <w:rPr>
                <w:rFonts w:hAnsi="宋体"/>
                <w:sz w:val="18"/>
                <w:szCs w:val="18"/>
              </w:rPr>
              <w:t>.</w:t>
            </w:r>
            <w:r>
              <w:rPr>
                <w:rFonts w:hint="eastAsia" w:hAnsi="宋体"/>
                <w:sz w:val="18"/>
                <w:szCs w:val="18"/>
              </w:rPr>
              <w:t>项目的建设有助于完善取水功能；</w:t>
            </w:r>
          </w:p>
          <w:p>
            <w:pPr>
              <w:spacing w:line="240" w:lineRule="auto"/>
              <w:ind w:firstLine="0" w:firstLineChars="0"/>
              <w:contextualSpacing/>
              <w:rPr>
                <w:rFonts w:hAnsi="宋体"/>
                <w:sz w:val="18"/>
                <w:szCs w:val="18"/>
              </w:rPr>
            </w:pPr>
            <w:r>
              <w:rPr>
                <w:rFonts w:hint="eastAsia" w:hAnsi="宋体"/>
                <w:sz w:val="18"/>
                <w:szCs w:val="18"/>
              </w:rPr>
              <w:t>4</w:t>
            </w:r>
            <w:r>
              <w:rPr>
                <w:rFonts w:hAnsi="宋体"/>
                <w:sz w:val="18"/>
                <w:szCs w:val="18"/>
              </w:rPr>
              <w:t>.</w:t>
            </w:r>
            <w:r>
              <w:rPr>
                <w:rFonts w:hint="eastAsia" w:hAnsi="宋体"/>
                <w:sz w:val="18"/>
                <w:szCs w:val="18"/>
              </w:rPr>
              <w:t>不涉及；</w:t>
            </w:r>
          </w:p>
          <w:p>
            <w:pPr>
              <w:spacing w:line="240" w:lineRule="auto"/>
              <w:ind w:firstLine="0" w:firstLineChars="0"/>
              <w:contextualSpacing/>
              <w:rPr>
                <w:rFonts w:hAnsi="宋体"/>
                <w:sz w:val="18"/>
                <w:szCs w:val="18"/>
              </w:rPr>
            </w:pPr>
            <w:r>
              <w:rPr>
                <w:rFonts w:hint="eastAsia" w:hAnsi="宋体"/>
                <w:sz w:val="18"/>
                <w:szCs w:val="18"/>
              </w:rPr>
              <w:t>5</w:t>
            </w:r>
            <w:r>
              <w:rPr>
                <w:rFonts w:hAnsi="宋体"/>
                <w:sz w:val="18"/>
                <w:szCs w:val="18"/>
              </w:rPr>
              <w:t>.</w:t>
            </w:r>
            <w:r>
              <w:rPr>
                <w:rFonts w:hint="eastAsia" w:hAnsi="宋体"/>
                <w:sz w:val="18"/>
                <w:szCs w:val="18"/>
              </w:rPr>
              <w:t>项目的建设有助于完善寒溪寺的取水功能；</w:t>
            </w:r>
          </w:p>
          <w:p>
            <w:pPr>
              <w:spacing w:line="240" w:lineRule="auto"/>
              <w:ind w:firstLine="0" w:firstLineChars="0"/>
              <w:contextualSpacing/>
              <w:rPr>
                <w:rFonts w:hint="eastAsia"/>
              </w:rPr>
            </w:pPr>
            <w:r>
              <w:rPr>
                <w:rFonts w:hint="eastAsia" w:hAnsi="宋体"/>
                <w:sz w:val="18"/>
                <w:szCs w:val="18"/>
              </w:rPr>
              <w:t>6</w:t>
            </w:r>
            <w:r>
              <w:rPr>
                <w:rFonts w:hAnsi="宋体"/>
                <w:sz w:val="18"/>
                <w:szCs w:val="18"/>
              </w:rPr>
              <w:t>.</w:t>
            </w:r>
            <w:r>
              <w:rPr>
                <w:rFonts w:hint="eastAsia" w:hAnsi="宋体"/>
                <w:sz w:val="18"/>
                <w:szCs w:val="18"/>
              </w:rPr>
              <w:t>不涉及。</w:t>
            </w:r>
          </w:p>
        </w:tc>
        <w:tc>
          <w:tcPr>
            <w:tcW w:w="345" w:type="pct"/>
            <w:vAlign w:val="center"/>
          </w:tcPr>
          <w:p>
            <w:pPr>
              <w:spacing w:line="240" w:lineRule="auto"/>
              <w:ind w:firstLine="0" w:firstLineChars="0"/>
              <w:contextualSpacing/>
              <w:jc w:val="center"/>
              <w:rPr>
                <w:rFonts w:hAnsi="宋体"/>
                <w:sz w:val="18"/>
                <w:szCs w:val="18"/>
              </w:rPr>
            </w:pPr>
            <w:r>
              <w:rPr>
                <w:rFonts w:hint="eastAsia" w:hAnsi="宋体"/>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2" w:hRule="atLeast"/>
          <w:jc w:val="center"/>
        </w:trPr>
        <w:tc>
          <w:tcPr>
            <w:tcW w:w="300" w:type="pct"/>
            <w:vAlign w:val="center"/>
          </w:tcPr>
          <w:p>
            <w:pPr>
              <w:spacing w:line="240" w:lineRule="auto"/>
              <w:ind w:firstLine="0" w:firstLineChars="0"/>
              <w:contextualSpacing/>
              <w:jc w:val="center"/>
              <w:rPr>
                <w:rFonts w:hAnsi="宋体"/>
                <w:sz w:val="18"/>
                <w:szCs w:val="18"/>
              </w:rPr>
            </w:pPr>
            <w:r>
              <w:rPr>
                <w:rFonts w:hint="eastAsia" w:hAnsi="宋体"/>
                <w:sz w:val="18"/>
                <w:szCs w:val="18"/>
              </w:rPr>
              <w:t>巴中区</w:t>
            </w:r>
          </w:p>
        </w:tc>
        <w:tc>
          <w:tcPr>
            <w:tcW w:w="2853" w:type="pct"/>
            <w:vAlign w:val="center"/>
          </w:tcPr>
          <w:p>
            <w:pPr>
              <w:spacing w:line="240" w:lineRule="auto"/>
              <w:ind w:firstLine="0" w:firstLineChars="0"/>
              <w:contextualSpacing/>
              <w:rPr>
                <w:rFonts w:hAnsi="宋体"/>
                <w:sz w:val="18"/>
                <w:szCs w:val="18"/>
              </w:rPr>
            </w:pPr>
            <w:r>
              <w:rPr>
                <w:rFonts w:hAnsi="宋体"/>
                <w:sz w:val="18"/>
                <w:szCs w:val="18"/>
              </w:rPr>
              <w:t>1.加强流域水污染防治，推进流域水生态环境修复与治理；</w:t>
            </w:r>
          </w:p>
          <w:p>
            <w:pPr>
              <w:spacing w:line="240" w:lineRule="auto"/>
              <w:ind w:firstLine="0" w:firstLineChars="0"/>
              <w:contextualSpacing/>
              <w:rPr>
                <w:rFonts w:hAnsi="宋体"/>
                <w:sz w:val="18"/>
                <w:szCs w:val="18"/>
              </w:rPr>
            </w:pPr>
            <w:r>
              <w:rPr>
                <w:rFonts w:hAnsi="宋体"/>
                <w:sz w:val="18"/>
                <w:szCs w:val="18"/>
              </w:rPr>
              <w:t>2.加强工业园区内和园区外企业污染排放监管，推进“散乱污”企业整治；</w:t>
            </w:r>
          </w:p>
          <w:p>
            <w:pPr>
              <w:spacing w:line="240" w:lineRule="auto"/>
              <w:ind w:firstLine="0" w:firstLineChars="0"/>
              <w:contextualSpacing/>
              <w:rPr>
                <w:rFonts w:hAnsi="宋体"/>
                <w:sz w:val="18"/>
                <w:szCs w:val="18"/>
              </w:rPr>
            </w:pPr>
            <w:r>
              <w:rPr>
                <w:rFonts w:hAnsi="宋体"/>
                <w:sz w:val="18"/>
                <w:szCs w:val="18"/>
              </w:rPr>
              <w:t>3.强化扬尘源、燃烧源和移动源等大气污染防治；</w:t>
            </w:r>
          </w:p>
          <w:p>
            <w:pPr>
              <w:spacing w:line="240" w:lineRule="auto"/>
              <w:ind w:firstLine="0" w:firstLineChars="0"/>
              <w:contextualSpacing/>
              <w:rPr>
                <w:rFonts w:hAnsi="宋体"/>
                <w:sz w:val="18"/>
                <w:szCs w:val="18"/>
              </w:rPr>
            </w:pPr>
            <w:r>
              <w:rPr>
                <w:rFonts w:hAnsi="宋体"/>
                <w:sz w:val="18"/>
                <w:szCs w:val="18"/>
              </w:rPr>
              <w:t>4.强化建筑垃圾、生活垃圾、餐厨垃圾综合利用和无害化处置及危险废物 环境风险管控；</w:t>
            </w:r>
          </w:p>
          <w:p>
            <w:pPr>
              <w:spacing w:line="240" w:lineRule="auto"/>
              <w:ind w:firstLine="0" w:firstLineChars="0"/>
              <w:contextualSpacing/>
              <w:rPr>
                <w:rFonts w:hAnsi="宋体"/>
                <w:sz w:val="18"/>
                <w:szCs w:val="18"/>
              </w:rPr>
            </w:pPr>
            <w:r>
              <w:rPr>
                <w:rFonts w:hAnsi="宋体"/>
                <w:sz w:val="18"/>
                <w:szCs w:val="18"/>
              </w:rPr>
              <w:t>5.加强城市精细化管理，提升市民对环境的幸福感、获得感。</w:t>
            </w:r>
          </w:p>
        </w:tc>
        <w:tc>
          <w:tcPr>
            <w:tcW w:w="1502" w:type="pct"/>
            <w:vAlign w:val="center"/>
          </w:tcPr>
          <w:p>
            <w:pPr>
              <w:spacing w:line="240" w:lineRule="auto"/>
              <w:ind w:firstLine="0" w:firstLineChars="0"/>
              <w:contextualSpacing/>
              <w:rPr>
                <w:rFonts w:hAnsi="宋体"/>
                <w:sz w:val="18"/>
                <w:szCs w:val="18"/>
              </w:rPr>
            </w:pPr>
            <w:r>
              <w:rPr>
                <w:rFonts w:hint="eastAsia" w:hAnsi="宋体"/>
                <w:sz w:val="18"/>
                <w:szCs w:val="18"/>
              </w:rPr>
              <w:t>本项目的建设是强化水库蓄水和供水功能，直接有助于取水功能的完善。项目施工过程中严格按照要求采取扬尘防治措施，固废均妥善处置。项目的实施能够改善巴州区及化成镇的安全隐患，提升市民对环境的幸福感。</w:t>
            </w:r>
          </w:p>
        </w:tc>
        <w:tc>
          <w:tcPr>
            <w:tcW w:w="345" w:type="pct"/>
            <w:vAlign w:val="center"/>
          </w:tcPr>
          <w:p>
            <w:pPr>
              <w:spacing w:line="240" w:lineRule="auto"/>
              <w:ind w:firstLine="0" w:firstLineChars="0"/>
              <w:contextualSpacing/>
              <w:jc w:val="center"/>
              <w:rPr>
                <w:rFonts w:hAnsi="宋体"/>
                <w:sz w:val="18"/>
                <w:szCs w:val="18"/>
              </w:rPr>
            </w:pPr>
            <w:r>
              <w:rPr>
                <w:rFonts w:hint="eastAsia" w:hAnsi="宋体"/>
                <w:sz w:val="18"/>
                <w:szCs w:val="18"/>
              </w:rPr>
              <w:t>符合</w:t>
            </w:r>
          </w:p>
        </w:tc>
      </w:tr>
    </w:tbl>
    <w:p>
      <w:pPr>
        <w:pStyle w:val="138"/>
        <w:ind w:firstLine="480"/>
        <w:rPr>
          <w:rFonts w:hint="eastAsia"/>
        </w:rPr>
      </w:pPr>
      <w:r>
        <w:rPr>
          <w:rFonts w:hint="eastAsia"/>
        </w:rPr>
        <w:t>综上，项目的建设符合巴中市“三线一单”的相关管控要求。</w:t>
      </w:r>
    </w:p>
    <w:p>
      <w:pPr>
        <w:ind w:firstLine="0" w:firstLineChars="0"/>
        <w:contextualSpacing/>
        <w:outlineLvl w:val="3"/>
        <w:rPr>
          <w:b/>
          <w:bCs/>
        </w:rPr>
      </w:pPr>
      <w:r>
        <w:rPr>
          <w:b/>
          <w:bCs/>
        </w:rPr>
        <w:t>3.1.3.3与</w:t>
      </w:r>
      <w:r>
        <w:rPr>
          <w:rFonts w:hint="eastAsia"/>
          <w:b/>
          <w:bCs/>
        </w:rPr>
        <w:t>四川政务服务网上“三线一单”符合性分析查询结果</w:t>
      </w:r>
      <w:r>
        <w:rPr>
          <w:b/>
          <w:bCs/>
        </w:rPr>
        <w:t>分析</w:t>
      </w:r>
    </w:p>
    <w:p>
      <w:pPr>
        <w:pStyle w:val="138"/>
        <w:ind w:firstLine="480"/>
        <w:rPr>
          <w:rFonts w:hint="eastAsia"/>
        </w:rPr>
      </w:pPr>
      <w:r>
        <w:rPr>
          <w:rFonts w:hint="eastAsia"/>
        </w:rPr>
        <w:t>根据查阅四川省政务服务网“三线一单数据分析系”，项目位于巴中市巴州区环境综合管控单元优先保护单元（管控单元名称：恩阳河中华鳖国家级水产种质资源保护区、巴河大佛寺水源地、巴中市寒溪寺水库集中式饮用水水源保护区，管控单元编号：ZH51190210001）</w:t>
      </w:r>
    </w:p>
    <w:p>
      <w:pPr>
        <w:pStyle w:val="138"/>
        <w:ind w:firstLine="480"/>
      </w:pPr>
      <w:r>
        <w:rPr>
          <w:rFonts w:hint="eastAsia"/>
        </w:rPr>
        <w:t>项目与管控单元相对位置如下图所示：（图中▼表示项目位置）</w:t>
      </w:r>
    </w:p>
    <w:p>
      <w:pPr>
        <w:ind w:firstLine="0" w:firstLineChars="0"/>
        <w:contextualSpacing/>
        <w:jc w:val="center"/>
      </w:pPr>
      <w:r>
        <w:rPr>
          <w:rFonts w:ascii="Helvetica" w:hAnsi="Helvetica" w:cs="Helvetica"/>
          <w:sz w:val="28"/>
          <w:szCs w:val="28"/>
        </w:rPr>
        <w:drawing>
          <wp:inline distT="0" distB="0" distL="0" distR="0">
            <wp:extent cx="5270500" cy="316801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0500" cy="3168015"/>
                    </a:xfrm>
                    <a:prstGeom prst="rect">
                      <a:avLst/>
                    </a:prstGeom>
                    <a:noFill/>
                    <a:ln>
                      <a:noFill/>
                    </a:ln>
                  </pic:spPr>
                </pic:pic>
              </a:graphicData>
            </a:graphic>
          </wp:inline>
        </w:drawing>
      </w:r>
    </w:p>
    <w:p>
      <w:pPr>
        <w:ind w:firstLine="0" w:firstLineChars="0"/>
        <w:contextualSpacing/>
        <w:jc w:val="center"/>
      </w:pPr>
      <w:r>
        <w:drawing>
          <wp:inline distT="0" distB="0" distL="0" distR="0">
            <wp:extent cx="5276850" cy="392176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6850" cy="3921760"/>
                    </a:xfrm>
                    <a:prstGeom prst="rect">
                      <a:avLst/>
                    </a:prstGeom>
                    <a:noFill/>
                    <a:ln>
                      <a:noFill/>
                    </a:ln>
                  </pic:spPr>
                </pic:pic>
              </a:graphicData>
            </a:graphic>
          </wp:inline>
        </w:drawing>
      </w:r>
    </w:p>
    <w:p>
      <w:pPr>
        <w:ind w:firstLine="482"/>
        <w:jc w:val="center"/>
        <w:rPr>
          <w:rFonts w:eastAsia="黑体"/>
          <w:b/>
          <w:szCs w:val="21"/>
        </w:rPr>
      </w:pPr>
      <w:r>
        <w:rPr>
          <w:rFonts w:eastAsia="黑体"/>
          <w:b/>
          <w:szCs w:val="21"/>
        </w:rPr>
        <w:t>图3.1.3</w:t>
      </w:r>
      <w:r>
        <w:rPr>
          <w:rFonts w:hint="eastAsia" w:eastAsia="黑体"/>
          <w:b/>
          <w:szCs w:val="21"/>
        </w:rPr>
        <w:t>-1</w:t>
      </w:r>
      <w:r>
        <w:rPr>
          <w:rFonts w:eastAsia="黑体"/>
          <w:b/>
          <w:szCs w:val="21"/>
        </w:rPr>
        <w:t>四川政务服务网上“三线一单”符合性分析查询结果</w:t>
      </w:r>
    </w:p>
    <w:p>
      <w:pPr>
        <w:ind w:firstLine="482"/>
        <w:jc w:val="center"/>
        <w:rPr>
          <w:rFonts w:eastAsia="黑体"/>
          <w:b/>
          <w:szCs w:val="21"/>
        </w:rPr>
      </w:pPr>
      <w:r>
        <w:rPr>
          <w:rFonts w:hint="eastAsia" w:eastAsia="黑体"/>
          <w:b/>
          <w:szCs w:val="21"/>
        </w:rPr>
        <w:t>表</w:t>
      </w:r>
      <w:r>
        <w:rPr>
          <w:rFonts w:eastAsia="黑体"/>
          <w:b/>
          <w:szCs w:val="21"/>
        </w:rPr>
        <w:t>3.1.3</w:t>
      </w:r>
      <w:r>
        <w:rPr>
          <w:rFonts w:hint="eastAsia" w:eastAsia="黑体"/>
          <w:b/>
          <w:szCs w:val="21"/>
        </w:rPr>
        <w:t>-1本项目涉及的环境管控单元表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936"/>
        <w:gridCol w:w="1249"/>
        <w:gridCol w:w="747"/>
        <w:gridCol w:w="1379"/>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07"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环境管控单元编码</w:t>
            </w:r>
          </w:p>
        </w:tc>
        <w:tc>
          <w:tcPr>
            <w:tcW w:w="1136"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环境管控单元名称</w:t>
            </w:r>
          </w:p>
        </w:tc>
        <w:tc>
          <w:tcPr>
            <w:tcW w:w="733"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所属市（州）</w:t>
            </w:r>
          </w:p>
        </w:tc>
        <w:tc>
          <w:tcPr>
            <w:tcW w:w="438"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所属区县</w:t>
            </w:r>
          </w:p>
        </w:tc>
        <w:tc>
          <w:tcPr>
            <w:tcW w:w="809"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准入清单类型</w:t>
            </w:r>
          </w:p>
        </w:tc>
        <w:tc>
          <w:tcPr>
            <w:tcW w:w="877" w:type="pct"/>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0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ZH51190210001</w:t>
            </w:r>
          </w:p>
        </w:tc>
        <w:tc>
          <w:tcPr>
            <w:tcW w:w="1136"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恩阳河中华鳖国家级水产种质资源保护区、巴河大佛寺水源地、巴中市寒溪寺水库集中式饮用水水源保护区</w:t>
            </w:r>
          </w:p>
        </w:tc>
        <w:tc>
          <w:tcPr>
            <w:tcW w:w="733"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巴中市</w:t>
            </w:r>
          </w:p>
        </w:tc>
        <w:tc>
          <w:tcPr>
            <w:tcW w:w="438"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w:t>
            </w:r>
          </w:p>
        </w:tc>
        <w:tc>
          <w:tcPr>
            <w:tcW w:w="809"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环境管控单元</w:t>
            </w:r>
          </w:p>
        </w:tc>
        <w:tc>
          <w:tcPr>
            <w:tcW w:w="87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环境综合管控单元优先保护单元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0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YS5119021130001</w:t>
            </w:r>
          </w:p>
        </w:tc>
        <w:tc>
          <w:tcPr>
            <w:tcW w:w="1136"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生态优先保护区（一般生态空间）1</w:t>
            </w:r>
          </w:p>
        </w:tc>
        <w:tc>
          <w:tcPr>
            <w:tcW w:w="733"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巴中市</w:t>
            </w:r>
          </w:p>
        </w:tc>
        <w:tc>
          <w:tcPr>
            <w:tcW w:w="438"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w:t>
            </w:r>
          </w:p>
        </w:tc>
        <w:tc>
          <w:tcPr>
            <w:tcW w:w="809"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生态空间分区</w:t>
            </w:r>
          </w:p>
        </w:tc>
        <w:tc>
          <w:tcPr>
            <w:tcW w:w="87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生态空间分区一般生态空间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0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YS5119021210002</w:t>
            </w:r>
          </w:p>
        </w:tc>
        <w:tc>
          <w:tcPr>
            <w:tcW w:w="1136"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巴州区水环境优先保护区2</w:t>
            </w:r>
          </w:p>
        </w:tc>
        <w:tc>
          <w:tcPr>
            <w:tcW w:w="733"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巴中市</w:t>
            </w:r>
          </w:p>
        </w:tc>
        <w:tc>
          <w:tcPr>
            <w:tcW w:w="438"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w:t>
            </w:r>
          </w:p>
        </w:tc>
        <w:tc>
          <w:tcPr>
            <w:tcW w:w="809"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水环境管控分区</w:t>
            </w:r>
          </w:p>
        </w:tc>
        <w:tc>
          <w:tcPr>
            <w:tcW w:w="87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水环境优先保护区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0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YS5119022320001</w:t>
            </w:r>
          </w:p>
        </w:tc>
        <w:tc>
          <w:tcPr>
            <w:tcW w:w="1136"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巴州区大气环境布局敏感重点管控区</w:t>
            </w:r>
          </w:p>
        </w:tc>
        <w:tc>
          <w:tcPr>
            <w:tcW w:w="733"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巴中市</w:t>
            </w:r>
          </w:p>
        </w:tc>
        <w:tc>
          <w:tcPr>
            <w:tcW w:w="438"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巴州区</w:t>
            </w:r>
          </w:p>
        </w:tc>
        <w:tc>
          <w:tcPr>
            <w:tcW w:w="809"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大气环境管控分区</w:t>
            </w:r>
          </w:p>
        </w:tc>
        <w:tc>
          <w:tcPr>
            <w:tcW w:w="877" w:type="pct"/>
            <w:vAlign w:val="center"/>
          </w:tcPr>
          <w:p>
            <w:pPr>
              <w:pStyle w:val="152"/>
              <w:widowControl/>
              <w:spacing w:line="240" w:lineRule="auto"/>
              <w:ind w:firstLine="0" w:firstLineChars="0"/>
              <w:jc w:val="center"/>
              <w:rPr>
                <w:rFonts w:ascii="宋体" w:hAnsi="宋体" w:eastAsia="宋体"/>
                <w:sz w:val="20"/>
                <w:szCs w:val="20"/>
                <w:lang w:val="en-US" w:eastAsia="zh-CN"/>
              </w:rPr>
            </w:pPr>
            <w:r>
              <w:rPr>
                <w:rFonts w:hint="eastAsia" w:ascii="宋体" w:hAnsi="宋体" w:eastAsia="宋体"/>
                <w:sz w:val="20"/>
                <w:szCs w:val="20"/>
                <w:lang w:val="en-US" w:eastAsia="zh-CN"/>
              </w:rPr>
              <w:t>大气环境布局敏感重点管控区</w:t>
            </w:r>
          </w:p>
        </w:tc>
      </w:tr>
    </w:tbl>
    <w:p>
      <w:pPr>
        <w:pStyle w:val="138"/>
        <w:ind w:firstLine="480"/>
      </w:pPr>
      <w:r>
        <w:rPr>
          <w:rFonts w:hint="eastAsia"/>
        </w:rPr>
        <w:t>结合四川省生态环境厅“三线一单”符合性分析系统导出的《四川省“三线一单”符合性分析报告》与《长江经济带战略环境评价四川省巴中市“三线一单”生态环境分区管控优化完善研究报告》，按照四川省生态办公室关于印发《产业园区规划环评“三线一单”符合性分析技术要点（试行）》和《项目环评“三线一单”符合性分析技术要点（试行）》的通知（川环办函[2021]469 号）的相关要求，本项目与生态环境准入清单的符合性分析见下表。</w:t>
      </w:r>
    </w:p>
    <w:p>
      <w:pPr>
        <w:pStyle w:val="138"/>
        <w:ind w:firstLine="480"/>
        <w:sectPr>
          <w:footerReference r:id="rId17" w:type="default"/>
          <w:pgSz w:w="11906" w:h="16838"/>
          <w:pgMar w:top="1440" w:right="1800" w:bottom="1440" w:left="1800" w:header="851" w:footer="992" w:gutter="0"/>
          <w:cols w:space="720" w:num="1"/>
          <w:docGrid w:type="lines" w:linePitch="312" w:charSpace="0"/>
        </w:sectPr>
      </w:pPr>
    </w:p>
    <w:p>
      <w:pPr>
        <w:ind w:firstLine="482"/>
        <w:jc w:val="center"/>
        <w:rPr>
          <w:rFonts w:eastAsia="黑体"/>
          <w:b/>
          <w:szCs w:val="21"/>
        </w:rPr>
      </w:pPr>
      <w:r>
        <w:rPr>
          <w:rFonts w:hint="eastAsia" w:eastAsia="黑体"/>
          <w:b/>
          <w:szCs w:val="21"/>
        </w:rPr>
        <w:t>表</w:t>
      </w:r>
      <w:r>
        <w:rPr>
          <w:rFonts w:eastAsia="黑体"/>
          <w:b/>
          <w:szCs w:val="21"/>
        </w:rPr>
        <w:t>3.1.3</w:t>
      </w:r>
      <w:r>
        <w:rPr>
          <w:rFonts w:hint="eastAsia" w:eastAsia="黑体"/>
          <w:b/>
          <w:szCs w:val="21"/>
        </w:rPr>
        <w:t>-</w:t>
      </w:r>
      <w:r>
        <w:rPr>
          <w:rFonts w:eastAsia="黑体"/>
          <w:b/>
          <w:szCs w:val="21"/>
        </w:rPr>
        <w:t>4</w:t>
      </w:r>
      <w:r>
        <w:rPr>
          <w:rFonts w:hint="eastAsia" w:eastAsia="黑体"/>
          <w:b/>
          <w:szCs w:val="21"/>
        </w:rPr>
        <w:t>生态环境准入清单符合性分析</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2354"/>
        <w:gridCol w:w="653"/>
        <w:gridCol w:w="6392"/>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widowControl/>
              <w:spacing w:line="240" w:lineRule="auto"/>
              <w:ind w:firstLine="0" w:firstLineChars="0"/>
              <w:jc w:val="center"/>
              <w:rPr>
                <w:rFonts w:ascii="宋体" w:hAnsi="宋体" w:cs="宋体"/>
                <w:b/>
                <w:bCs/>
                <w:color w:val="000000"/>
                <w:kern w:val="0"/>
                <w:sz w:val="15"/>
                <w:szCs w:val="15"/>
              </w:rPr>
            </w:pPr>
            <w:r>
              <w:rPr>
                <w:rFonts w:hint="eastAsia" w:ascii="宋体" w:hAnsi="宋体" w:cs="宋体"/>
                <w:b/>
                <w:bCs/>
                <w:color w:val="000000"/>
                <w:kern w:val="0"/>
                <w:sz w:val="15"/>
                <w:szCs w:val="15"/>
              </w:rPr>
              <w:t>环境管控</w:t>
            </w:r>
          </w:p>
          <w:p>
            <w:pPr>
              <w:widowControl/>
              <w:spacing w:line="240" w:lineRule="auto"/>
              <w:ind w:firstLine="0" w:firstLineChars="0"/>
              <w:jc w:val="center"/>
              <w:rPr>
                <w:rFonts w:ascii="宋体" w:hAnsi="宋体" w:cs="宋体"/>
                <w:b/>
                <w:bCs/>
                <w:color w:val="000000"/>
                <w:kern w:val="0"/>
                <w:sz w:val="15"/>
                <w:szCs w:val="15"/>
              </w:rPr>
            </w:pPr>
            <w:r>
              <w:rPr>
                <w:rFonts w:hint="eastAsia" w:ascii="宋体" w:hAnsi="宋体" w:cs="宋体"/>
                <w:b/>
                <w:bCs/>
                <w:color w:val="000000"/>
                <w:kern w:val="0"/>
                <w:sz w:val="15"/>
                <w:szCs w:val="15"/>
              </w:rPr>
              <w:t>单元编码</w:t>
            </w:r>
          </w:p>
        </w:tc>
        <w:tc>
          <w:tcPr>
            <w:tcW w:w="0" w:type="auto"/>
            <w:vAlign w:val="center"/>
          </w:tcPr>
          <w:p>
            <w:pPr>
              <w:widowControl/>
              <w:spacing w:line="240" w:lineRule="auto"/>
              <w:ind w:firstLine="0" w:firstLineChars="0"/>
              <w:jc w:val="center"/>
              <w:rPr>
                <w:rFonts w:ascii="宋体" w:hAnsi="宋体" w:cs="宋体"/>
                <w:b/>
                <w:bCs/>
                <w:color w:val="000000"/>
                <w:kern w:val="0"/>
                <w:sz w:val="15"/>
                <w:szCs w:val="15"/>
              </w:rPr>
            </w:pPr>
            <w:r>
              <w:rPr>
                <w:rFonts w:hint="eastAsia" w:ascii="宋体" w:hAnsi="宋体" w:cs="宋体"/>
                <w:b/>
                <w:bCs/>
                <w:color w:val="000000"/>
                <w:kern w:val="0"/>
                <w:sz w:val="15"/>
                <w:szCs w:val="15"/>
              </w:rPr>
              <w:t>环境管控单元名称</w:t>
            </w:r>
          </w:p>
        </w:tc>
        <w:tc>
          <w:tcPr>
            <w:tcW w:w="0" w:type="auto"/>
            <w:vAlign w:val="center"/>
          </w:tcPr>
          <w:p>
            <w:pPr>
              <w:widowControl/>
              <w:spacing w:line="240" w:lineRule="auto"/>
              <w:ind w:firstLine="0" w:firstLineChars="0"/>
              <w:jc w:val="center"/>
              <w:rPr>
                <w:rFonts w:ascii="宋体" w:hAnsi="宋体" w:cs="宋体"/>
                <w:b/>
                <w:bCs/>
                <w:color w:val="000000"/>
                <w:kern w:val="0"/>
                <w:sz w:val="15"/>
                <w:szCs w:val="15"/>
              </w:rPr>
            </w:pPr>
            <w:r>
              <w:rPr>
                <w:rFonts w:hint="eastAsia" w:ascii="宋体" w:hAnsi="宋体" w:cs="宋体"/>
                <w:b/>
                <w:bCs/>
                <w:color w:val="000000"/>
                <w:kern w:val="0"/>
                <w:sz w:val="15"/>
                <w:szCs w:val="15"/>
              </w:rPr>
              <w:t>管控类别</w:t>
            </w:r>
          </w:p>
        </w:tc>
        <w:tc>
          <w:tcPr>
            <w:tcW w:w="6392" w:type="dxa"/>
            <w:vAlign w:val="center"/>
          </w:tcPr>
          <w:p>
            <w:pPr>
              <w:widowControl/>
              <w:spacing w:line="240" w:lineRule="auto"/>
              <w:ind w:firstLine="0" w:firstLineChars="0"/>
              <w:jc w:val="center"/>
              <w:rPr>
                <w:rFonts w:ascii="宋体" w:hAnsi="宋体" w:cs="宋体"/>
                <w:b/>
                <w:bCs/>
                <w:color w:val="000000"/>
                <w:kern w:val="0"/>
                <w:sz w:val="15"/>
                <w:szCs w:val="15"/>
              </w:rPr>
            </w:pPr>
            <w:r>
              <w:rPr>
                <w:rFonts w:hint="eastAsia" w:ascii="宋体" w:hAnsi="宋体" w:cs="宋体"/>
                <w:b/>
                <w:bCs/>
                <w:color w:val="000000"/>
                <w:kern w:val="0"/>
                <w:sz w:val="15"/>
                <w:szCs w:val="15"/>
              </w:rPr>
              <w:t>单元特性管控要求</w:t>
            </w:r>
          </w:p>
        </w:tc>
        <w:tc>
          <w:tcPr>
            <w:tcW w:w="3434" w:type="dxa"/>
            <w:vAlign w:val="center"/>
          </w:tcPr>
          <w:p>
            <w:pPr>
              <w:widowControl/>
              <w:spacing w:line="240" w:lineRule="auto"/>
              <w:ind w:firstLine="0" w:firstLineChars="0"/>
              <w:jc w:val="center"/>
              <w:rPr>
                <w:rFonts w:hint="eastAsia" w:ascii="宋体" w:hAnsi="宋体" w:eastAsia="仿宋" w:cs="宋体"/>
                <w:b/>
                <w:bCs/>
                <w:color w:val="000000"/>
                <w:kern w:val="0"/>
                <w:sz w:val="15"/>
                <w:szCs w:val="15"/>
                <w:lang w:val="en-US" w:eastAsia="zh-CN" w:bidi="ar-SA"/>
              </w:rPr>
            </w:pPr>
            <w:r>
              <w:rPr>
                <w:rFonts w:hint="eastAsia" w:ascii="宋体" w:hAnsi="宋体" w:cs="宋体"/>
                <w:b/>
                <w:bCs/>
                <w:color w:val="000000"/>
                <w:kern w:val="0"/>
                <w:sz w:val="15"/>
                <w:szCs w:val="15"/>
              </w:rPr>
              <w:t>本项目情况分析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ZH51190</w:t>
            </w:r>
          </w:p>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210001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恩阳河中华鳖国家级水产种质资源保护区、巴河大佛寺水源地、巴中市寒溪寺水库集中式饮用水水源保护区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空间布局约束</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禁止开发建设活动的要求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执行优先保护单元总体管控要求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限制开发建设活动的要求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1）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2）其他执行优先保护单元总体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允许开发建设活动的要求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执行优先保护单元总体管控要求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不符合空间布局要求活动的退出要求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执行优先保护单元总体管控要求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其他空间布局约束要求</w:t>
            </w:r>
          </w:p>
        </w:tc>
        <w:tc>
          <w:tcPr>
            <w:tcW w:w="3434" w:type="dxa"/>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bidi="ar-SA"/>
              </w:rPr>
              <w:t>项目不属于</w:t>
            </w:r>
            <w:r>
              <w:rPr>
                <w:rFonts w:hint="eastAsia" w:ascii="宋体" w:hAnsi="宋体" w:eastAsia="宋体"/>
                <w:sz w:val="15"/>
                <w:szCs w:val="15"/>
                <w:lang w:val="en-US" w:eastAsia="zh-CN"/>
              </w:rPr>
              <w:t>恩阳河中华鳖国家级水产种质资源保护区、巴河大佛寺水源地，属于寒溪寺水库饮用水水源保护区中的准保护区。</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rPr>
              <w:t>项目为非污染类项目，施工期项目产生的废物均妥善处置，不会排入地表水环境。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ZH51190210001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恩阳河中华鳖国家级水产种质资源保护区、巴河大佛寺水源地、巴中市寒溪寺水库集中式饮用水水源保护区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污染物排放管控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现有源提标升级改造</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新增源等量或倍量替代</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新增源排放标准限值</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污染物排放绩效水平准入要求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其他污染物排放管控要求</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rPr>
              <w:t>项目为非污染类项目，施工期项目产生的废物均妥善处置，不会排入地表水环境。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ZH51190210001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恩阳河中华鳖国家级水产种质资源保护区、巴河大佛寺水源地、巴中市寒溪寺水库集中式饮用水水源保护区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环境风险防控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严格管控类农用地管控要求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安全利用类农用地管控要求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污染地块管控要求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园区环境风险防控要求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企业环境风险防控要求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其他环境风险防控要求</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rPr>
              <w:t>项目为非污染类项目，施工期项目产生的废物均妥善处置，不会排入地表水环境。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ZH51190210001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恩阳河中华鳖国家级水产种质资源保护区、巴河大佛寺水源地、巴中市寒溪寺水库集中式饮用水水源保护区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资源开发效率要求</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水资源利用效率要求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地下水开采要求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能源利用效率要求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其他资源利用效率要求</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项目建成后水量利用率超7</w:t>
            </w:r>
            <w:r>
              <w:rPr>
                <w:rFonts w:ascii="宋体" w:hAnsi="宋体" w:eastAsia="宋体"/>
                <w:sz w:val="15"/>
                <w:szCs w:val="15"/>
                <w:lang w:val="en-US" w:eastAsia="zh-CN" w:bidi="ar-SA"/>
              </w:rPr>
              <w:t>5</w:t>
            </w: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YS5119021130001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生态优先保护区（一般生态空间）1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空间布局约束</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禁止开发建设活动的要求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禁止在水产种质资源保护区内从事围湖造田、围海造地或围填海工程禁止在水产种质资源保护区内新建排污口</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限制开发建设活动的要求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在水产种质资源保护区附近新建、改建、扩建排污口，应当保证保护区水体不受污染-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允许开发建设活动的要求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不符合空间布局要求活动的退出要求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不符合要求和规划、造成污染或破坏的设施，应限期治理或退出</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其他空间布局约束要求</w:t>
            </w:r>
          </w:p>
        </w:tc>
        <w:tc>
          <w:tcPr>
            <w:tcW w:w="3434" w:type="dxa"/>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bidi="ar-SA"/>
              </w:rPr>
              <w:t>项目不属于</w:t>
            </w:r>
            <w:r>
              <w:rPr>
                <w:rFonts w:hint="eastAsia" w:ascii="宋体" w:hAnsi="宋体" w:eastAsia="宋体"/>
                <w:sz w:val="15"/>
                <w:szCs w:val="15"/>
                <w:lang w:val="en-US" w:eastAsia="zh-CN"/>
              </w:rPr>
              <w:t>恩阳河中华鳖国家级水产种质资源保护区。</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项目为非污染类项目，不新设排污口。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YS5119021130001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生态优先保护区（一般生态空间）1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污染物排放管控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YS5119021130001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生态优先保护区（一般生态空间）1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环境风险防控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YS5119021130001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生态优先保护区（一般生态空间）1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资源开发效率要求</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YS5119021210002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巴州区水环境优先保护区2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空间布局约束</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禁止开发建设活动的要求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《中华人民共和国水污染防治法》、《四川省饮用水水源保护管理条例》等法规政策中明令禁止的开发建设活动一律禁止</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限制开发建设活动的要求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《中华人民共和国水污染防治法》、《四川省饮用水水源保护管理条例》等法规政策中明确限制开发建设的活动，法律无明确规定的，以饮用水水源保护为核心，慎重布局</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允许开发建设活动的要求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以饮用水水源保护为目的，开展区域污染治理的项目允许布局，确保饮用水水源水质稳中趋好</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不符合空间布局要求活动的退出要求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按照《中华人民共和国水污染防治法》、《四川省饮用水水源保护管理条例》等法规要求，清退不符合空间布局要求活动</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其他空间布局约束要求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禁止运输危险化学品，确实无法避让的强化防护设施及运输管控</w:t>
            </w:r>
          </w:p>
        </w:tc>
        <w:tc>
          <w:tcPr>
            <w:tcW w:w="3434" w:type="dxa"/>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项目为非污染类项目，施工期项目产生的废物均妥善处置，不会排入地表水环境。</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项目不涉及危险化学品。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YS5119021210002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巴州区水环境优先保护区2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污染物排放管控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城镇污水污染控制措施要求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工业废水污染控制措施要求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农业面源水污染控制措施要求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船舶港口水污染控制措施要求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饮用水水源和其它特殊水体保护要求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以饮用水水源水质保护为核心，强化其他污染源治理</w:t>
            </w:r>
          </w:p>
        </w:tc>
        <w:tc>
          <w:tcPr>
            <w:tcW w:w="3434" w:type="dxa"/>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项目为非污染类项目，施工期项目产生的废物均妥善处置，不会排入地表水环境。</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YS5119021210002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巴州区水环境优先保护区2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环境风险防控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严格控制水域开发利用，加强湿地保护与恢复和自然保护区建设，维护生物多样性。增强水源涵养、水土保持，加强植被保护和恢复，强化水源涵养能力。</w:t>
            </w:r>
          </w:p>
        </w:tc>
        <w:tc>
          <w:tcPr>
            <w:tcW w:w="3434" w:type="dxa"/>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项目为非污染类项目，施工期项目产生的废物均妥善处置，不会排入地表水环境。</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YS5119021210002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巴州区水环境优先保护区2</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资源开发效率要求</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YS5119022320001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巴州区大气环境布局敏感重点管控区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空间布局约束</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禁止开发建设活动的要求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限制开发建设活动的要求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允许开发建设活动的要求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不符合空间布局要求活动的退出要求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其他空间布局约束要求</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YS5119022320001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巴州区大气环境布局敏感重点管控区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污染物排放管控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大气环境质量执行标准</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《环境空气质量标准》（GB3095-2012）：二级</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区域大气污染物削减/替代要求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对新建排放二氧化硫、氮氧化物和挥发性有机物的项目实施现役源等量削减量替代。</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燃煤和其他能源大气污染控制要求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工业废气污染控制要求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机动车船大气污染控制要求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加强城市交通管理。优化城市功能和布局规划，调整城区路网结构。通过错峰上下班、调整停车费、智能交通管理和服务等手段，提高机动车通行效率。实施公交优先战略，加快公共交通一体化发展，大幅提高公共交通出行分担率，建立公众出行信息服务平台。加快步行和自行车交通系统建设，改善居民步行、自行车出行条件，倡导绿色出行。新建或改扩建的城市主干道、次干道，设置步行道和自行车道，城市支路和居住区道路设置步行道。鼓励燃油机动车驾驶人在不影响道路通行且需停车三分钟以上的情况下熄灭发动机。</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扬尘污染控制要求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强化施工扬尘监管。严格执行《四川省建筑工程扬尘污染防治技术导则（试行）》、《四川省施工场地扬尘排放标准》（DB51/2682-2035）、《巴中市扬尘污染防治条例》相关要求。建立和完善扬尘污染防治长效机制，以新区开发建设和旧城改造区域为重点，实施建设工地扬尘精细化管理。推进绿色文明施工，严格落实施工现场扬尘治理“六必须、六不准”的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农业生产经营活动大气污染控制要求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重点行业企业专项治理要求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推进重点行业污染治理升级改造。强化工业企业无组织排放管控，推动实施水泥行业超低排放改造。开展砖瓦行业及燃煤锅炉无组织排放排查，建立管理台账，对物料（含废渣）运输、装卸、储存、转移和工艺过程等无组织排放实施有效治理。</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其他大气污染物排放管控要求</w:t>
            </w:r>
          </w:p>
          <w:p>
            <w:pPr>
              <w:pStyle w:val="153"/>
              <w:widowControl/>
              <w:shd w:val="clear" w:color="auto" w:fill="FFFFFF"/>
              <w:spacing w:line="240" w:lineRule="auto"/>
              <w:ind w:firstLine="0" w:firstLineChars="0"/>
              <w:jc w:val="left"/>
              <w:rPr>
                <w:rFonts w:hint="eastAsia" w:ascii="宋体" w:hAnsi="宋体" w:eastAsia="宋体"/>
                <w:sz w:val="15"/>
                <w:szCs w:val="15"/>
                <w:lang w:val="en-US" w:eastAsia="zh-CN"/>
              </w:rPr>
            </w:pPr>
            <w:r>
              <w:rPr>
                <w:rFonts w:hint="eastAsia" w:ascii="宋体" w:hAnsi="宋体" w:eastAsia="宋体"/>
                <w:sz w:val="15"/>
                <w:szCs w:val="15"/>
                <w:lang w:val="en-US" w:eastAsia="zh-CN"/>
              </w:rPr>
              <w:t>减少工业化、城镇化对大气环境的影响，严格执行国家、省、市下达的相关大气污染防治要求。</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本项目为非污染型项目。项目产生的废气主要为施工期产生的扬尘，施工期严格执行扬尘防治相关要求，采取了相应的防治措施。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YS5119022320001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巴州区大气环境布局敏感重点管控区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环境风险防控</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YS5119022320001</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巴州区大气环境布局敏感重点管控区</w:t>
            </w:r>
          </w:p>
        </w:tc>
        <w:tc>
          <w:tcPr>
            <w:tcW w:w="0" w:type="auto"/>
            <w:vAlign w:val="center"/>
          </w:tcPr>
          <w:p>
            <w:pPr>
              <w:pStyle w:val="153"/>
              <w:widowControl/>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资源开发效率要求</w:t>
            </w:r>
          </w:p>
        </w:tc>
        <w:tc>
          <w:tcPr>
            <w:tcW w:w="6392" w:type="dxa"/>
            <w:vAlign w:val="center"/>
          </w:tcPr>
          <w:p>
            <w:pPr>
              <w:pStyle w:val="153"/>
              <w:widowControl/>
              <w:shd w:val="clear" w:color="auto" w:fill="FFFFFF"/>
              <w:spacing w:line="240" w:lineRule="auto"/>
              <w:ind w:firstLine="0" w:firstLineChars="0"/>
              <w:jc w:val="left"/>
              <w:rPr>
                <w:rFonts w:ascii="宋体" w:hAnsi="宋体" w:eastAsia="宋体"/>
                <w:sz w:val="15"/>
                <w:szCs w:val="15"/>
                <w:lang w:val="en-US" w:eastAsia="zh-CN"/>
              </w:rPr>
            </w:pPr>
            <w:r>
              <w:rPr>
                <w:rFonts w:hint="eastAsia" w:ascii="宋体" w:hAnsi="宋体" w:eastAsia="宋体"/>
                <w:sz w:val="15"/>
                <w:szCs w:val="15"/>
                <w:lang w:val="en-US" w:eastAsia="zh-CN"/>
              </w:rPr>
              <w:t>/</w:t>
            </w:r>
          </w:p>
        </w:tc>
        <w:tc>
          <w:tcPr>
            <w:tcW w:w="3434" w:type="dxa"/>
          </w:tcPr>
          <w:p>
            <w:pPr>
              <w:pStyle w:val="153"/>
              <w:widowControl/>
              <w:shd w:val="clear" w:color="auto" w:fill="FFFFFF"/>
              <w:spacing w:line="240" w:lineRule="auto"/>
              <w:ind w:firstLine="0" w:firstLineChars="0"/>
              <w:jc w:val="left"/>
              <w:rPr>
                <w:rFonts w:hint="eastAsia" w:ascii="宋体" w:hAnsi="宋体" w:eastAsia="宋体"/>
                <w:sz w:val="15"/>
                <w:szCs w:val="15"/>
                <w:lang w:val="en-US" w:eastAsia="zh-CN" w:bidi="ar-SA"/>
              </w:rPr>
            </w:pPr>
            <w:r>
              <w:rPr>
                <w:rFonts w:hint="eastAsia" w:ascii="宋体" w:hAnsi="宋体" w:eastAsia="宋体"/>
                <w:sz w:val="15"/>
                <w:szCs w:val="15"/>
                <w:lang w:val="en-US" w:eastAsia="zh-CN" w:bidi="ar-SA"/>
              </w:rPr>
              <w:t>/</w:t>
            </w:r>
          </w:p>
        </w:tc>
      </w:tr>
    </w:tbl>
    <w:p>
      <w:pPr>
        <w:pStyle w:val="2"/>
        <w:ind w:firstLine="480"/>
      </w:pPr>
    </w:p>
    <w:p>
      <w:pPr>
        <w:pStyle w:val="2"/>
        <w:ind w:firstLine="480"/>
        <w:sectPr>
          <w:pgSz w:w="16838" w:h="11906" w:orient="landscape"/>
          <w:pgMar w:top="1800" w:right="1440" w:bottom="1800" w:left="1440" w:header="851" w:footer="992" w:gutter="0"/>
          <w:cols w:space="720" w:num="1"/>
          <w:docGrid w:type="lines" w:linePitch="326" w:charSpace="0"/>
        </w:sectPr>
      </w:pPr>
    </w:p>
    <w:p>
      <w:pPr>
        <w:pStyle w:val="138"/>
        <w:ind w:firstLine="480"/>
      </w:pPr>
      <w:r>
        <w:t>综上所述，项目的建设符合生态环境管控单元的总体管控要求，符合</w:t>
      </w:r>
      <w:r>
        <w:rPr>
          <w:rFonts w:hint="eastAsia"/>
        </w:rPr>
        <w:t>要素</w:t>
      </w:r>
      <w:r>
        <w:t>重点管控单元的总体管控要求，不涉及生态红线，不突破环境质量底线和资源利用上线，不属于环境保护准入负面清单内容</w:t>
      </w:r>
      <w:r>
        <w:rPr>
          <w:rFonts w:hint="eastAsia"/>
        </w:rPr>
        <w:t>。</w:t>
      </w:r>
    </w:p>
    <w:bookmarkEnd w:id="342"/>
    <w:bookmarkEnd w:id="343"/>
    <w:bookmarkEnd w:id="344"/>
    <w:p>
      <w:pPr>
        <w:pStyle w:val="5"/>
        <w:ind w:firstLine="0" w:firstLineChars="0"/>
        <w:contextualSpacing/>
        <w:rPr>
          <w:rFonts w:ascii="Times New Roman" w:hAnsi="Times New Roman"/>
        </w:rPr>
      </w:pPr>
      <w:bookmarkStart w:id="345" w:name="_Toc19143"/>
      <w:bookmarkStart w:id="346" w:name="_Toc20163"/>
      <w:bookmarkStart w:id="347" w:name="_Toc2960"/>
      <w:r>
        <w:rPr>
          <w:rFonts w:ascii="Times New Roman" w:hAnsi="Times New Roman"/>
        </w:rPr>
        <w:t>3.1.4</w:t>
      </w:r>
      <w:r>
        <w:rPr>
          <w:rFonts w:ascii="Times New Roman" w:hAnsi="宋体"/>
        </w:rPr>
        <w:t>与水资源配置</w:t>
      </w:r>
      <w:r>
        <w:rPr>
          <w:rFonts w:ascii="Times New Roman" w:hAnsi="Times New Roman"/>
        </w:rPr>
        <w:t>“</w:t>
      </w:r>
      <w:r>
        <w:rPr>
          <w:rFonts w:ascii="Times New Roman" w:hAnsi="宋体"/>
        </w:rPr>
        <w:t>三先三后</w:t>
      </w:r>
      <w:r>
        <w:rPr>
          <w:rFonts w:ascii="Times New Roman" w:hAnsi="Times New Roman"/>
        </w:rPr>
        <w:t>”</w:t>
      </w:r>
      <w:r>
        <w:rPr>
          <w:rFonts w:ascii="Times New Roman" w:hAnsi="宋体"/>
        </w:rPr>
        <w:t>原则符合性分析</w:t>
      </w:r>
    </w:p>
    <w:p>
      <w:pPr>
        <w:widowControl/>
        <w:ind w:firstLine="480"/>
        <w:contextualSpacing/>
        <w:jc w:val="left"/>
      </w:pPr>
      <w:r>
        <w:rPr>
          <w:rFonts w:hint="eastAsia" w:hAnsi="宋体"/>
          <w:kern w:val="0"/>
        </w:rPr>
        <w:t>寒溪寺</w:t>
      </w:r>
      <w:r>
        <w:rPr>
          <w:rFonts w:hAnsi="宋体"/>
          <w:kern w:val="0"/>
        </w:rPr>
        <w:t>水库工程在前期规划设计工作中，全面贯彻落实</w:t>
      </w:r>
      <w:r>
        <w:rPr>
          <w:rFonts w:hAnsi="宋体"/>
        </w:rPr>
        <w:t>引调水工程遵守</w:t>
      </w:r>
      <w:r>
        <w:rPr>
          <w:kern w:val="0"/>
        </w:rPr>
        <w:t>“</w:t>
      </w:r>
      <w:r>
        <w:rPr>
          <w:rFonts w:hAnsi="宋体"/>
          <w:kern w:val="0"/>
        </w:rPr>
        <w:t>先节水后调水，先治污后通水，先环保后用水</w:t>
      </w:r>
      <w:r>
        <w:rPr>
          <w:kern w:val="0"/>
        </w:rPr>
        <w:t>”</w:t>
      </w:r>
      <w:r>
        <w:rPr>
          <w:rFonts w:hAnsi="宋体"/>
          <w:kern w:val="0"/>
        </w:rPr>
        <w:t>的原则和最严格水资源管理制度，统筹考虑工程引水与节水、治污、生态环境保护的关系。</w:t>
      </w:r>
    </w:p>
    <w:p>
      <w:pPr>
        <w:ind w:firstLine="0" w:firstLineChars="0"/>
        <w:contextualSpacing/>
        <w:outlineLvl w:val="3"/>
        <w:rPr>
          <w:b/>
          <w:bCs/>
        </w:rPr>
      </w:pPr>
      <w:r>
        <w:rPr>
          <w:b/>
          <w:bCs/>
        </w:rPr>
        <w:t>3.1.4.1</w:t>
      </w:r>
      <w:r>
        <w:rPr>
          <w:rFonts w:hAnsi="宋体"/>
          <w:b/>
          <w:bCs/>
        </w:rPr>
        <w:t>先节水后调水</w:t>
      </w:r>
    </w:p>
    <w:p>
      <w:pPr>
        <w:ind w:firstLine="480"/>
        <w:contextualSpacing/>
      </w:pPr>
      <w:r>
        <w:rPr>
          <w:rFonts w:hAnsi="宋体"/>
        </w:rPr>
        <w:t>根据《巴中市巴州区寒溪寺水库扩建工程水资源论证报告》，针对本工程提出的节水措施包括：</w:t>
      </w:r>
    </w:p>
    <w:p>
      <w:pPr>
        <w:ind w:firstLine="480"/>
        <w:contextualSpacing/>
      </w:pPr>
      <w:r>
        <w:rPr>
          <w:rFonts w:hAnsi="宋体"/>
        </w:rPr>
        <w:t>（</w:t>
      </w:r>
      <w:r>
        <w:t>1</w:t>
      </w:r>
      <w:r>
        <w:rPr>
          <w:rFonts w:hAnsi="宋体"/>
        </w:rPr>
        <w:t>）城乡生活综合用水</w:t>
      </w:r>
    </w:p>
    <w:p>
      <w:pPr>
        <w:ind w:firstLine="480"/>
        <w:contextualSpacing/>
      </w:pPr>
      <w:r>
        <w:rPr>
          <w:rFonts w:hAnsi="宋体"/>
          <w:kern w:val="0"/>
        </w:rPr>
        <w:t>在城镇居民和企业中宣传节约用水、</w:t>
      </w:r>
      <w:r>
        <w:rPr>
          <w:rFonts w:hAnsi="宋体"/>
          <w:bCs/>
        </w:rPr>
        <w:t>增强节水</w:t>
      </w:r>
      <w:r>
        <w:rPr>
          <w:rFonts w:hAnsi="宋体"/>
          <w:kern w:val="0"/>
        </w:rPr>
        <w:t>意识，提高人们对节约使用水资源的重视程度，</w:t>
      </w:r>
      <w:r>
        <w:rPr>
          <w:rFonts w:hAnsi="宋体"/>
        </w:rPr>
        <w:t>普及</w:t>
      </w:r>
      <w:r>
        <w:rPr>
          <w:rFonts w:hAnsi="宋体"/>
          <w:kern w:val="0"/>
        </w:rPr>
        <w:t>节水器具，釆用先进的节水工艺和设备，更新改造城市供水管网，以减少水资源在供水过程中损失，</w:t>
      </w:r>
      <w:r>
        <w:rPr>
          <w:rFonts w:hAnsi="宋体"/>
        </w:rPr>
        <w:t>加强再生水利用，通过逐步</w:t>
      </w:r>
      <w:r>
        <w:rPr>
          <w:rFonts w:hAnsi="宋体"/>
          <w:bCs/>
        </w:rPr>
        <w:t>降低管网漏损率</w:t>
      </w:r>
      <w:r>
        <w:rPr>
          <w:rFonts w:hAnsi="宋体"/>
        </w:rPr>
        <w:t>来达到节约用水的目的。</w:t>
      </w:r>
    </w:p>
    <w:p>
      <w:pPr>
        <w:ind w:firstLine="480"/>
        <w:contextualSpacing/>
      </w:pPr>
      <w:r>
        <w:rPr>
          <w:rFonts w:hAnsi="宋体"/>
        </w:rPr>
        <w:t>（</w:t>
      </w:r>
      <w:r>
        <w:t>2</w:t>
      </w:r>
      <w:r>
        <w:rPr>
          <w:rFonts w:hAnsi="宋体"/>
        </w:rPr>
        <w:t>）农业畜牧业用水</w:t>
      </w:r>
    </w:p>
    <w:p>
      <w:pPr>
        <w:ind w:firstLine="480"/>
        <w:contextualSpacing/>
      </w:pPr>
      <w:r>
        <w:rPr>
          <w:rFonts w:hAnsi="宋体"/>
        </w:rPr>
        <w:t>继续开展灌区内中小型灌区续建配套与节水改造，完善灌排设施体系，提高输配水效率，着力解决农田灌溉</w:t>
      </w:r>
      <w:r>
        <w:t>“</w:t>
      </w:r>
      <w:r>
        <w:rPr>
          <w:rFonts w:hAnsi="宋体"/>
        </w:rPr>
        <w:t>最后一公里</w:t>
      </w:r>
      <w:r>
        <w:t>”</w:t>
      </w:r>
      <w:r>
        <w:rPr>
          <w:rFonts w:hAnsi="宋体"/>
        </w:rPr>
        <w:t>问题。推广现代农业技术：因地制宜发展低压管道输水、喷灌、滴灌、微灌等高效节水灌溉技术。加强农业用水管理：逐步推行农业用水总量控制与定额管理，加强计划用水和需求管理。以高效、节水为原则，以水定作物，合理安排作物的种植结构以及灌溉规模，限制和压缩高耗水、低产出作物的种植面积。</w:t>
      </w:r>
    </w:p>
    <w:p>
      <w:pPr>
        <w:ind w:firstLine="480"/>
        <w:contextualSpacing/>
        <w:rPr>
          <w:kern w:val="0"/>
        </w:rPr>
      </w:pPr>
      <w:r>
        <w:rPr>
          <w:rFonts w:hAnsi="宋体"/>
        </w:rPr>
        <w:t>（</w:t>
      </w:r>
      <w:r>
        <w:t>3</w:t>
      </w:r>
      <w:r>
        <w:rPr>
          <w:rFonts w:hAnsi="宋体"/>
        </w:rPr>
        <w:t>）</w:t>
      </w:r>
      <w:r>
        <w:rPr>
          <w:rFonts w:hAnsi="宋体"/>
          <w:kern w:val="0"/>
        </w:rPr>
        <w:t>工业节水措施</w:t>
      </w:r>
    </w:p>
    <w:p>
      <w:pPr>
        <w:ind w:firstLine="480"/>
        <w:contextualSpacing/>
      </w:pPr>
      <w:r>
        <w:rPr>
          <w:rFonts w:hAnsi="宋体"/>
        </w:rPr>
        <w:t>加强设施设备节水改造，对污水处理设施、输水管道、取水设备等进行节水改造。推进工业节水示范园区建设，选取有节水经验和一定节水成效的企业进行工业节水示范企业建设，以企业设备改造，技术升级，废水回收利用等为载体，大力推广工业节水新技术、新工艺和新设备，形成一批废水利用率高、发展循环经济的示范企业。</w:t>
      </w:r>
    </w:p>
    <w:p>
      <w:pPr>
        <w:ind w:firstLine="480"/>
        <w:contextualSpacing/>
      </w:pPr>
      <w:r>
        <w:rPr>
          <w:rFonts w:hAnsi="宋体"/>
        </w:rPr>
        <w:t>（</w:t>
      </w:r>
      <w:r>
        <w:t>4</w:t>
      </w:r>
      <w:r>
        <w:rPr>
          <w:rFonts w:hAnsi="宋体"/>
        </w:rPr>
        <w:t>）水库运行调度</w:t>
      </w:r>
    </w:p>
    <w:p>
      <w:pPr>
        <w:ind w:firstLine="480"/>
        <w:contextualSpacing/>
      </w:pPr>
      <w:r>
        <w:rPr>
          <w:rFonts w:hAnsi="宋体"/>
        </w:rPr>
        <w:t>水库本身除水面蒸发外耗水量极小，水库的节水措施主要就是合理调度，处理好工程用水过程和水量平衡问题，提高水资源利用率：采取一定的工程措施，通过选择合理的输水管道、输水路线及其他</w:t>
      </w:r>
      <w:r>
        <w:rPr>
          <w:rFonts w:hAnsi="宋体"/>
          <w:bCs/>
        </w:rPr>
        <w:t>工程措施减少渗漏水量</w:t>
      </w:r>
      <w:r>
        <w:rPr>
          <w:rFonts w:hAnsi="宋体"/>
        </w:rPr>
        <w:t>，从而使相同水量发挥更大效益；水库建成后，通过非工程措施，对水库的合理调度（包括洪水调度），</w:t>
      </w:r>
      <w:r>
        <w:rPr>
          <w:rFonts w:hAnsi="宋体"/>
          <w:bCs/>
        </w:rPr>
        <w:t>合理调配供水、灌溉及环境用水，提高水资源利用率</w:t>
      </w:r>
      <w:r>
        <w:rPr>
          <w:rFonts w:hAnsi="宋体"/>
        </w:rPr>
        <w:t>。</w:t>
      </w:r>
    </w:p>
    <w:p>
      <w:pPr>
        <w:ind w:firstLine="480"/>
        <w:contextualSpacing/>
      </w:pPr>
      <w:r>
        <w:rPr>
          <w:rFonts w:hAnsi="宋体"/>
        </w:rPr>
        <w:t>采取上述措施，提高用水效率，符合先节水后调水的原则。</w:t>
      </w:r>
    </w:p>
    <w:p>
      <w:pPr>
        <w:ind w:firstLine="0" w:firstLineChars="0"/>
        <w:contextualSpacing/>
        <w:outlineLvl w:val="3"/>
        <w:rPr>
          <w:b/>
          <w:bCs/>
        </w:rPr>
      </w:pPr>
      <w:r>
        <w:rPr>
          <w:b/>
          <w:bCs/>
        </w:rPr>
        <w:t>3.1.4.2</w:t>
      </w:r>
      <w:r>
        <w:rPr>
          <w:rFonts w:hAnsi="宋体"/>
          <w:b/>
          <w:bCs/>
        </w:rPr>
        <w:t>先治污后通水</w:t>
      </w:r>
    </w:p>
    <w:p>
      <w:pPr>
        <w:ind w:firstLine="480"/>
        <w:contextualSpacing/>
        <w:rPr>
          <w:rFonts w:hAnsi="宋体"/>
          <w:bCs/>
        </w:rPr>
      </w:pPr>
      <w:r>
        <w:rPr>
          <w:rFonts w:hint="eastAsia" w:hAnsi="宋体"/>
        </w:rPr>
        <w:t>巴州区</w:t>
      </w:r>
      <w:r>
        <w:rPr>
          <w:rFonts w:hAnsi="宋体"/>
        </w:rPr>
        <w:t>水资源综合规划报告提出</w:t>
      </w:r>
      <w:r>
        <w:rPr>
          <w:rFonts w:hint="eastAsia" w:hAnsi="宋体"/>
        </w:rPr>
        <w:t>完善水功能区管理</w:t>
      </w:r>
      <w:r>
        <w:rPr>
          <w:rFonts w:hAnsi="宋体"/>
          <w:bCs/>
        </w:rPr>
        <w:t>、</w:t>
      </w:r>
      <w:r>
        <w:rPr>
          <w:rFonts w:hint="eastAsia" w:hAnsi="宋体"/>
          <w:bCs/>
        </w:rPr>
        <w:t>完善入河排污口监督管理、加强饮用水水源地保护、入河排污口规范化建设、工业污染防治、城镇污水处理设施及管网建设、农村农业污染防治、加快推广中水回用技术，提高废污水利用率、加强生态保护建设，做好水体保持工作、体改水资源保护意识等措施和要求。</w:t>
      </w:r>
    </w:p>
    <w:p>
      <w:pPr>
        <w:ind w:firstLine="480"/>
        <w:contextualSpacing/>
        <w:rPr>
          <w:rFonts w:hint="eastAsia" w:hAnsi="宋体"/>
        </w:rPr>
      </w:pPr>
      <w:r>
        <w:rPr>
          <w:rFonts w:hint="eastAsia" w:hAnsi="宋体"/>
        </w:rPr>
        <w:t>规划提出，到</w:t>
      </w:r>
      <w:r>
        <w:rPr>
          <w:rFonts w:hAnsi="宋体"/>
        </w:rPr>
        <w:t>2030</w:t>
      </w:r>
      <w:r>
        <w:rPr>
          <w:rFonts w:hint="eastAsia" w:hAnsi="宋体"/>
        </w:rPr>
        <w:t>年，巴州区渠江及其主要支流水质改善显著，并力争满足水质保护目标；现状水质达标河段保持现有水平，达到相应水功能区水质保护目标要求；城镇集中式饮用水源地水质全部达标，农村集中式饮用水源地水质基本达标。具体规划目标为：重要水功能区水质达标率</w:t>
      </w:r>
      <w:r>
        <w:rPr>
          <w:rFonts w:hAnsi="宋体"/>
        </w:rPr>
        <w:t>100%</w:t>
      </w:r>
      <w:r>
        <w:rPr>
          <w:rFonts w:hint="eastAsia" w:hAnsi="宋体"/>
        </w:rPr>
        <w:t>；城镇集中式饮用水源地水质达标率</w:t>
      </w:r>
      <w:r>
        <w:rPr>
          <w:rFonts w:hAnsi="宋体"/>
        </w:rPr>
        <w:t>100%</w:t>
      </w:r>
      <w:r>
        <w:rPr>
          <w:rFonts w:hint="eastAsia" w:hAnsi="宋体"/>
        </w:rPr>
        <w:t>，农村集中式饮用水源地水质达标率</w:t>
      </w:r>
      <w:r>
        <w:rPr>
          <w:rFonts w:hAnsi="宋体"/>
        </w:rPr>
        <w:t>85%</w:t>
      </w:r>
      <w:r>
        <w:rPr>
          <w:rFonts w:hint="eastAsia" w:hAnsi="宋体"/>
        </w:rPr>
        <w:t>；工业废水排放达标率达到</w:t>
      </w:r>
      <w:r>
        <w:rPr>
          <w:rFonts w:hAnsi="宋体"/>
        </w:rPr>
        <w:t>100%</w:t>
      </w:r>
      <w:r>
        <w:rPr>
          <w:rFonts w:hint="eastAsia" w:hAnsi="宋体"/>
        </w:rPr>
        <w:t>；中心城区污水处理率达</w:t>
      </w:r>
      <w:r>
        <w:rPr>
          <w:rFonts w:hAnsi="宋体"/>
        </w:rPr>
        <w:t>95%</w:t>
      </w:r>
      <w:r>
        <w:rPr>
          <w:rFonts w:hint="eastAsia" w:hAnsi="宋体"/>
        </w:rPr>
        <w:t>，其它乡镇处理率达</w:t>
      </w:r>
      <w:r>
        <w:rPr>
          <w:rFonts w:hAnsi="宋体"/>
        </w:rPr>
        <w:t>85%</w:t>
      </w:r>
      <w:r>
        <w:rPr>
          <w:rFonts w:hint="eastAsia" w:hAnsi="宋体"/>
        </w:rPr>
        <w:t>。</w:t>
      </w:r>
    </w:p>
    <w:p>
      <w:pPr>
        <w:ind w:firstLine="480"/>
        <w:contextualSpacing/>
        <w:rPr>
          <w:rFonts w:hAnsi="宋体"/>
        </w:rPr>
      </w:pPr>
      <w:r>
        <w:rPr>
          <w:rFonts w:hAnsi="宋体"/>
        </w:rPr>
        <w:t>因此，在本工程蓄水前，全面落实地方和水库水污染防治规划提出的各项措施，项目符合先治污后通水原则。</w:t>
      </w:r>
    </w:p>
    <w:p>
      <w:pPr>
        <w:ind w:firstLine="0" w:firstLineChars="0"/>
        <w:contextualSpacing/>
        <w:outlineLvl w:val="3"/>
        <w:rPr>
          <w:b/>
          <w:bCs/>
        </w:rPr>
      </w:pPr>
      <w:r>
        <w:rPr>
          <w:b/>
          <w:bCs/>
        </w:rPr>
        <w:t>3.1.4.3</w:t>
      </w:r>
      <w:r>
        <w:rPr>
          <w:rFonts w:hAnsi="宋体"/>
          <w:b/>
          <w:bCs/>
        </w:rPr>
        <w:t>先环保后用水</w:t>
      </w:r>
    </w:p>
    <w:p>
      <w:pPr>
        <w:ind w:firstLine="480"/>
        <w:contextualSpacing/>
        <w:rPr>
          <w:snapToGrid w:val="0"/>
          <w:kern w:val="0"/>
        </w:rPr>
      </w:pPr>
      <w:r>
        <w:rPr>
          <w:rFonts w:hAnsi="宋体"/>
          <w:snapToGrid w:val="0"/>
        </w:rPr>
        <w:t>水库工程实施后，通过向灌区内供水，可一定程度反补灌区内现状水利设施挤占的生态用水，改善各蓄水工程下游河道的生态环</w:t>
      </w:r>
      <w:r>
        <w:rPr>
          <w:rFonts w:hAnsi="宋体"/>
          <w:snapToGrid w:val="0"/>
          <w:kern w:val="0"/>
        </w:rPr>
        <w:t>境。</w:t>
      </w:r>
    </w:p>
    <w:p>
      <w:pPr>
        <w:ind w:firstLine="480"/>
        <w:contextualSpacing/>
        <w:rPr>
          <w:snapToGrid w:val="0"/>
          <w:kern w:val="0"/>
        </w:rPr>
      </w:pPr>
      <w:r>
        <w:rPr>
          <w:rFonts w:hAnsi="宋体"/>
          <w:snapToGrid w:val="0"/>
          <w:kern w:val="0"/>
        </w:rPr>
        <w:t>因此，水库工程实施后，</w:t>
      </w:r>
      <w:r>
        <w:rPr>
          <w:rFonts w:hint="eastAsia" w:hAnsi="宋体"/>
          <w:snapToGrid w:val="0"/>
          <w:kern w:val="0"/>
        </w:rPr>
        <w:t>蔡家河</w:t>
      </w:r>
      <w:r>
        <w:rPr>
          <w:rFonts w:hAnsi="宋体"/>
          <w:snapToGrid w:val="0"/>
          <w:kern w:val="0"/>
        </w:rPr>
        <w:t>流域水资源利用率有所提高，区域内的灌溉供水得到保障，既可满足流域自身社会经济发展需要，又有利于维护流域生态环境及用水需求。因此，</w:t>
      </w:r>
      <w:r>
        <w:rPr>
          <w:rFonts w:hAnsi="宋体"/>
        </w:rPr>
        <w:t>项目符合先环保后用水原则。</w:t>
      </w:r>
    </w:p>
    <w:p>
      <w:pPr>
        <w:pStyle w:val="2"/>
        <w:spacing w:before="0"/>
        <w:ind w:left="0" w:firstLine="482"/>
        <w:contextualSpacing/>
        <w:rPr>
          <w:rFonts w:ascii="Times New Roman"/>
          <w:b/>
          <w:bCs/>
        </w:rPr>
      </w:pPr>
      <w:r>
        <w:rPr>
          <w:rFonts w:ascii="Times New Roman"/>
          <w:b/>
          <w:bCs/>
        </w:rPr>
        <w:t>综上所述，项目建设符合水资源配置</w:t>
      </w:r>
      <w:r>
        <w:rPr>
          <w:rFonts w:ascii="Times New Roman" w:hAnsi="Times New Roman"/>
          <w:b/>
          <w:bCs/>
        </w:rPr>
        <w:t>“</w:t>
      </w:r>
      <w:r>
        <w:rPr>
          <w:rFonts w:ascii="Times New Roman"/>
          <w:b/>
          <w:bCs/>
        </w:rPr>
        <w:t>三先三后</w:t>
      </w:r>
      <w:r>
        <w:rPr>
          <w:rFonts w:ascii="Times New Roman" w:hAnsi="Times New Roman"/>
          <w:b/>
          <w:bCs/>
        </w:rPr>
        <w:t>”</w:t>
      </w:r>
      <w:r>
        <w:rPr>
          <w:rFonts w:ascii="Times New Roman"/>
          <w:b/>
          <w:bCs/>
        </w:rPr>
        <w:t>原则。</w:t>
      </w:r>
    </w:p>
    <w:p>
      <w:pPr>
        <w:pStyle w:val="5"/>
        <w:ind w:firstLine="0" w:firstLineChars="0"/>
        <w:contextualSpacing/>
        <w:rPr>
          <w:rFonts w:ascii="Times New Roman" w:hAnsi="Times New Roman"/>
        </w:rPr>
      </w:pPr>
      <w:r>
        <w:rPr>
          <w:rFonts w:ascii="Times New Roman" w:hAnsi="Times New Roman"/>
        </w:rPr>
        <w:t>3.1.5与</w:t>
      </w:r>
      <w:r>
        <w:rPr>
          <w:rFonts w:hint="eastAsia" w:ascii="Times New Roman" w:hAnsi="Times New Roman"/>
        </w:rPr>
        <w:t>寒溪寺水库饮用水水源保护区</w:t>
      </w:r>
      <w:r>
        <w:rPr>
          <w:rFonts w:ascii="Times New Roman" w:hAnsi="Times New Roman"/>
        </w:rPr>
        <w:t>的符合性分析</w:t>
      </w:r>
    </w:p>
    <w:p>
      <w:pPr>
        <w:ind w:firstLine="482"/>
        <w:contextualSpacing/>
        <w:rPr>
          <w:kern w:val="0"/>
        </w:rPr>
      </w:pPr>
      <w:r>
        <w:rPr>
          <w:b/>
          <w:bCs/>
          <w:kern w:val="0"/>
        </w:rPr>
        <w:t>1</w:t>
      </w:r>
      <w:r>
        <w:rPr>
          <w:kern w:val="0"/>
        </w:rPr>
        <w:t>、饮用水源保护区范围</w:t>
      </w:r>
    </w:p>
    <w:p>
      <w:pPr>
        <w:ind w:firstLine="480"/>
        <w:contextualSpacing/>
        <w:rPr>
          <w:kern w:val="0"/>
        </w:rPr>
      </w:pPr>
      <w:r>
        <w:rPr>
          <w:kern w:val="0"/>
        </w:rPr>
        <w:t>根据《四川省人民政府关于同意划定巴中市</w:t>
      </w:r>
      <w:r>
        <w:rPr>
          <w:rFonts w:hint="eastAsia"/>
          <w:kern w:val="0"/>
        </w:rPr>
        <w:t>寒溪寺水库</w:t>
      </w:r>
      <w:r>
        <w:rPr>
          <w:kern w:val="0"/>
        </w:rPr>
        <w:t>集中式饮用水水源保护区、调整渠县县城集中式饮用水水源保护区和撤销蒲江县蒲江河右干渠饮用水水源保护区的批复》（川府函〔2015〕78号），同意划定巴中市</w:t>
      </w:r>
      <w:r>
        <w:rPr>
          <w:rFonts w:hint="eastAsia"/>
          <w:kern w:val="0"/>
        </w:rPr>
        <w:t>寒溪寺水库</w:t>
      </w:r>
      <w:r>
        <w:rPr>
          <w:kern w:val="0"/>
        </w:rPr>
        <w:t>集中式饮用水水源保护区。</w:t>
      </w:r>
    </w:p>
    <w:p>
      <w:pPr>
        <w:ind w:firstLine="480"/>
        <w:contextualSpacing/>
        <w:rPr>
          <w:kern w:val="0"/>
        </w:rPr>
      </w:pPr>
      <w:r>
        <w:rPr>
          <w:rFonts w:hint="eastAsia" w:ascii="宋体" w:hAnsi="宋体" w:cs="宋体"/>
          <w:kern w:val="0"/>
        </w:rPr>
        <w:t>①</w:t>
      </w:r>
      <w:r>
        <w:rPr>
          <w:kern w:val="0"/>
        </w:rPr>
        <w:t>取水口：</w:t>
      </w:r>
      <w:r>
        <w:rPr>
          <w:rFonts w:hint="eastAsia"/>
          <w:kern w:val="0"/>
        </w:rPr>
        <w:t>寒溪寺水库</w:t>
      </w:r>
      <w:r>
        <w:rPr>
          <w:kern w:val="0"/>
        </w:rPr>
        <w:t>何家湾隧道入口（东经106°52′40"，北纬31°54′27"）。</w:t>
      </w:r>
    </w:p>
    <w:p>
      <w:pPr>
        <w:ind w:firstLine="480"/>
        <w:contextualSpacing/>
        <w:rPr>
          <w:kern w:val="0"/>
        </w:rPr>
      </w:pPr>
      <w:r>
        <w:rPr>
          <w:rFonts w:hint="eastAsia" w:ascii="宋体" w:hAnsi="宋体" w:cs="宋体"/>
          <w:kern w:val="0"/>
        </w:rPr>
        <w:t>②</w:t>
      </w:r>
      <w:r>
        <w:rPr>
          <w:kern w:val="0"/>
        </w:rPr>
        <w:t>划定后的一级保护区为：取水口向库心侧延伸1000 米以及取水口上游（含入库支沟）的全部水域；一级保护区水域库岸线正常水位（海拔405.8 米）向上纵深200米、入库支沟两岸纵深50 米范围内的陆域（其中化成老场镇段以规划环湖道路为界）。</w:t>
      </w:r>
    </w:p>
    <w:p>
      <w:pPr>
        <w:ind w:firstLine="480"/>
        <w:contextualSpacing/>
        <w:rPr>
          <w:kern w:val="0"/>
        </w:rPr>
      </w:pPr>
      <w:r>
        <w:rPr>
          <w:rFonts w:hint="eastAsia" w:ascii="宋体" w:hAnsi="宋体" w:cs="宋体"/>
          <w:kern w:val="0"/>
        </w:rPr>
        <w:t>③</w:t>
      </w:r>
      <w:r>
        <w:rPr>
          <w:kern w:val="0"/>
        </w:rPr>
        <w:t>划定后的二级保护区为：</w:t>
      </w:r>
      <w:r>
        <w:rPr>
          <w:rFonts w:hint="eastAsia"/>
          <w:kern w:val="0"/>
        </w:rPr>
        <w:t>寒溪寺水库</w:t>
      </w:r>
      <w:r>
        <w:rPr>
          <w:kern w:val="0"/>
        </w:rPr>
        <w:t>库区一级保护区外的全部水域；除一级保护区外，</w:t>
      </w:r>
      <w:r>
        <w:rPr>
          <w:rFonts w:hint="eastAsia"/>
          <w:kern w:val="0"/>
        </w:rPr>
        <w:t>寒溪寺水库</w:t>
      </w:r>
      <w:r>
        <w:rPr>
          <w:kern w:val="0"/>
        </w:rPr>
        <w:t>东面水库大坝、东侧分水岭，南面枣清路和化成老场镇规划环湖道路，蔡家河、牛心河、吴家河、七一河和长滩河入库口分别上溯3000 米处所围成的全部陆域。</w:t>
      </w:r>
    </w:p>
    <w:p>
      <w:pPr>
        <w:ind w:firstLine="480"/>
        <w:contextualSpacing/>
        <w:rPr>
          <w:kern w:val="0"/>
        </w:rPr>
      </w:pPr>
      <w:r>
        <w:rPr>
          <w:rFonts w:hint="eastAsia" w:ascii="宋体" w:hAnsi="宋体" w:cs="宋体"/>
          <w:kern w:val="0"/>
        </w:rPr>
        <w:t>④</w:t>
      </w:r>
      <w:r>
        <w:rPr>
          <w:kern w:val="0"/>
        </w:rPr>
        <w:t>划定后的准保护区为：</w:t>
      </w:r>
      <w:r>
        <w:rPr>
          <w:rFonts w:hint="eastAsia"/>
          <w:kern w:val="0"/>
        </w:rPr>
        <w:t>寒溪寺水库</w:t>
      </w:r>
      <w:r>
        <w:rPr>
          <w:kern w:val="0"/>
        </w:rPr>
        <w:t>流域范围内一、二级保护区以外的全部水域和陆域</w:t>
      </w:r>
    </w:p>
    <w:p>
      <w:pPr>
        <w:ind w:firstLine="0" w:firstLineChars="0"/>
        <w:contextualSpacing/>
        <w:jc w:val="center"/>
        <w:rPr>
          <w:b/>
          <w:bCs/>
        </w:rPr>
      </w:pPr>
      <w:r>
        <mc:AlternateContent>
          <mc:Choice Requires="wps">
            <w:drawing>
              <wp:anchor distT="0" distB="0" distL="114300" distR="114300" simplePos="0" relativeHeight="251664384" behindDoc="0" locked="0" layoutInCell="1" allowOverlap="1">
                <wp:simplePos x="0" y="0"/>
                <wp:positionH relativeFrom="column">
                  <wp:posOffset>2785110</wp:posOffset>
                </wp:positionH>
                <wp:positionV relativeFrom="paragraph">
                  <wp:posOffset>612140</wp:posOffset>
                </wp:positionV>
                <wp:extent cx="652145" cy="262255"/>
                <wp:effectExtent l="1775460" t="12065" r="10795" b="354330"/>
                <wp:wrapNone/>
                <wp:docPr id="23" name="自选图形 114"/>
                <wp:cNvGraphicFramePr/>
                <a:graphic xmlns:a="http://schemas.openxmlformats.org/drawingml/2006/main">
                  <a:graphicData uri="http://schemas.microsoft.com/office/word/2010/wordprocessingShape">
                    <wps:wsp>
                      <wps:cNvSpPr>
                        <a:spLocks noChangeArrowheads="1"/>
                      </wps:cNvSpPr>
                      <wps:spPr bwMode="auto">
                        <a:xfrm>
                          <a:off x="0" y="0"/>
                          <a:ext cx="652145" cy="262255"/>
                        </a:xfrm>
                        <a:prstGeom prst="wedgeRectCallout">
                          <a:avLst>
                            <a:gd name="adj1" fmla="val -320398"/>
                            <a:gd name="adj2" fmla="val 159199"/>
                          </a:avLst>
                        </a:prstGeom>
                        <a:solidFill>
                          <a:srgbClr val="FFFFFF"/>
                        </a:solidFill>
                        <a:ln w="9525">
                          <a:solidFill>
                            <a:srgbClr val="000000"/>
                          </a:solidFill>
                          <a:miter lim="800000"/>
                        </a:ln>
                      </wps:spPr>
                      <wps:txbx>
                        <w:txbxContent>
                          <w:p>
                            <w:pPr>
                              <w:spacing w:line="240" w:lineRule="auto"/>
                              <w:ind w:firstLine="0" w:firstLineChars="0"/>
                              <w:rPr>
                                <w:rFonts w:hint="eastAsia"/>
                              </w:rP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自选图形 114" o:spid="_x0000_s1026" o:spt="61" type="#_x0000_t61" style="position:absolute;left:0pt;margin-left:219.3pt;margin-top:48.2pt;height:20.65pt;width:51.35pt;z-index:251664384;mso-width-relative:page;mso-height-relative:page;" fillcolor="#FFFFFF" filled="t" stroked="t" coordsize="21600,21600" o:gfxdata="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HEJ3tcAAAAKAQAADwAAAAAAAAABACAAAAAiAAAAZHJzL2Rvd25y&#10;ZXYueG1sUEsBAhQAFAAAAAgAh07iQK/N3+NxAgAA4gQAAA4AAAAAAAAAAQAgAAAAJgEAAGRycy9l&#10;Mm9Eb2MueG1sUEsFBgAAAAAGAAYAWQEAAAkGAAAAAA==&#10;" adj="-58406,45187">
                <v:fill on="t" focussize="0,0"/>
                <v:stroke color="#000000" miterlimit="8" joinstyle="miter"/>
                <v:imagedata o:title=""/>
                <o:lock v:ext="edit" aspectratio="f"/>
                <v:textbox>
                  <w:txbxContent>
                    <w:p>
                      <w:pPr>
                        <w:spacing w:line="240" w:lineRule="auto"/>
                        <w:ind w:firstLine="0" w:firstLineChars="0"/>
                        <w:rPr>
                          <w:rFonts w:hint="eastAsia"/>
                        </w:rPr>
                      </w:pPr>
                      <w:r>
                        <w:rPr>
                          <w:rFonts w:hint="eastAsia"/>
                        </w:rPr>
                        <w:t>本项目</w:t>
                      </w:r>
                    </w:p>
                  </w:txbxContent>
                </v:textbox>
              </v:shape>
            </w:pict>
          </mc:Fallback>
        </mc:AlternateContent>
      </w:r>
      <w:r>
        <w:drawing>
          <wp:inline distT="0" distB="0" distL="0" distR="0">
            <wp:extent cx="5275580" cy="35369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5580" cy="3536950"/>
                    </a:xfrm>
                    <a:prstGeom prst="rect">
                      <a:avLst/>
                    </a:prstGeom>
                    <a:noFill/>
                    <a:ln>
                      <a:noFill/>
                    </a:ln>
                  </pic:spPr>
                </pic:pic>
              </a:graphicData>
            </a:graphic>
          </wp:inline>
        </w:drawing>
      </w:r>
    </w:p>
    <w:p>
      <w:pPr>
        <w:ind w:firstLine="0" w:firstLineChars="0"/>
        <w:contextualSpacing/>
        <w:jc w:val="center"/>
        <w:rPr>
          <w:rFonts w:hAnsi="宋体"/>
          <w:b/>
          <w:bCs/>
          <w:sz w:val="21"/>
          <w:szCs w:val="21"/>
        </w:rPr>
      </w:pPr>
      <w:r>
        <w:rPr>
          <w:rFonts w:hint="eastAsia" w:hAnsi="宋体"/>
          <w:b/>
          <w:bCs/>
          <w:sz w:val="21"/>
          <w:szCs w:val="21"/>
        </w:rPr>
        <w:t>图3</w:t>
      </w:r>
      <w:r>
        <w:rPr>
          <w:rFonts w:hAnsi="宋体"/>
          <w:b/>
          <w:bCs/>
          <w:sz w:val="21"/>
          <w:szCs w:val="21"/>
        </w:rPr>
        <w:t xml:space="preserve">.1.5-1 </w:t>
      </w:r>
      <w:r>
        <w:rPr>
          <w:rFonts w:hint="eastAsia" w:hAnsi="宋体"/>
          <w:b/>
          <w:bCs/>
          <w:sz w:val="21"/>
          <w:szCs w:val="21"/>
        </w:rPr>
        <w:t>本项目与巴中市寒溪寺水库集中式饮用水水源保护区位置关系图</w:t>
      </w:r>
    </w:p>
    <w:p>
      <w:pPr>
        <w:ind w:firstLine="480"/>
        <w:contextualSpacing/>
        <w:rPr>
          <w:kern w:val="0"/>
        </w:rPr>
      </w:pPr>
      <w:r>
        <w:rPr>
          <w:kern w:val="0"/>
        </w:rPr>
        <w:t>2</w:t>
      </w:r>
      <w:r>
        <w:rPr>
          <w:rFonts w:hint="eastAsia"/>
          <w:kern w:val="0"/>
        </w:rPr>
        <w:t>、与《四川省饮用水水源保护管理条例》、《巴中市城市饮用水水源保护条例》的符合性分析</w:t>
      </w:r>
    </w:p>
    <w:p>
      <w:pPr>
        <w:ind w:firstLine="480"/>
        <w:contextualSpacing/>
        <w:rPr>
          <w:rFonts w:hint="eastAsia"/>
        </w:rPr>
      </w:pPr>
      <w:r>
        <w:rPr>
          <w:rFonts w:hint="eastAsia"/>
        </w:rPr>
        <w:t>本项目位于寒溪寺水库饮用水水源准保护区内。</w:t>
      </w:r>
    </w:p>
    <w:p>
      <w:pPr>
        <w:ind w:firstLine="480"/>
        <w:contextualSpacing/>
        <w:rPr>
          <w:kern w:val="0"/>
        </w:rPr>
      </w:pPr>
      <w:r>
        <w:rPr>
          <w:rFonts w:hint="eastAsia"/>
          <w:kern w:val="0"/>
        </w:rPr>
        <w:t>根据《四川省饮用水水源保护管理条例》中准保护区相关规定：“①禁止新建、扩建对水体污染严重的建设项目；改建建设项目，不得增加排污量；禁止向水体排放油类、酸液、碱液或者有毒废液；禁止在水体清洗装贮过油类或者有毒污染物的车辆和容器；禁止向水体排放、倾倒废水、含病原体的污水、放射性固体废物；禁止向水体排放、倾倒工业废渣、城镇垃圾和医疗垃圾等其他废弃物；禁止将含有汞、镉、砷、铬、铅、氰化物、黄磷等的可溶性剧毒废渣向水体排放、倾倒或者直接埋入地下；禁止船舶向水体倾倒垃圾或者排放含油污水、生活污水；禁止设置易溶性、有毒有害废弃物和危险废物的暂存和转运场所；禁止设置生活垃圾和工业固体废物的处置场所，生活垃圾转运站和工业固体废物暂存场所应当设置防护设施；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禁止进行可能严重影响饮用水水源水质的矿产勘查、开采等活动；禁止非更新性、非抚育性采伐和破坏饮用水水源涵养林、护岸林和其他植被。</w:t>
      </w:r>
    </w:p>
    <w:p>
      <w:pPr>
        <w:ind w:firstLine="480"/>
        <w:contextualSpacing/>
        <w:rPr>
          <w:kern w:val="0"/>
        </w:rPr>
      </w:pPr>
      <w:r>
        <w:rPr>
          <w:rFonts w:hint="eastAsia"/>
          <w:kern w:val="0"/>
        </w:rPr>
        <w:t>本项目为非污染型项目；不属于对水体污染严重的建设项目。不设排污口，不会向水体排放任何废水。不设置生活垃圾和工业固体废物的处置场所；不设置生活垃圾转运站；临时堆土场及弃土场均设有相应的防护设施。不涉及危险化学品，不会采伐和破坏饮用水水源涵养林、护岸林和其他植被。符合相关要求。</w:t>
      </w:r>
    </w:p>
    <w:bookmarkEnd w:id="345"/>
    <w:bookmarkEnd w:id="346"/>
    <w:bookmarkEnd w:id="347"/>
    <w:p>
      <w:pPr>
        <w:pStyle w:val="5"/>
        <w:ind w:firstLine="0" w:firstLineChars="0"/>
        <w:contextualSpacing/>
        <w:rPr>
          <w:rFonts w:ascii="Times New Roman" w:hAnsi="Times New Roman"/>
        </w:rPr>
      </w:pPr>
      <w:bookmarkStart w:id="348" w:name="_Toc32145"/>
      <w:bookmarkStart w:id="349" w:name="_Toc5702"/>
      <w:bookmarkStart w:id="350" w:name="_Toc29518"/>
      <w:r>
        <w:rPr>
          <w:rFonts w:ascii="Times New Roman" w:hAnsi="Times New Roman"/>
        </w:rPr>
        <w:t>3.1.6</w:t>
      </w:r>
      <w:r>
        <w:rPr>
          <w:rFonts w:ascii="Times New Roman" w:hAnsi="宋体"/>
        </w:rPr>
        <w:t>与国家和地区相关规划协调性分析</w:t>
      </w:r>
      <w:bookmarkEnd w:id="348"/>
      <w:bookmarkEnd w:id="349"/>
      <w:bookmarkEnd w:id="350"/>
    </w:p>
    <w:p>
      <w:pPr>
        <w:ind w:firstLine="0" w:firstLineChars="0"/>
        <w:contextualSpacing/>
        <w:outlineLvl w:val="3"/>
        <w:rPr>
          <w:b/>
          <w:bCs/>
        </w:rPr>
      </w:pPr>
      <w:r>
        <w:rPr>
          <w:b/>
          <w:bCs/>
        </w:rPr>
        <w:t>3.1.6.1</w:t>
      </w:r>
      <w:r>
        <w:rPr>
          <w:rFonts w:hAnsi="宋体"/>
          <w:b/>
          <w:bCs/>
        </w:rPr>
        <w:t>与国家</w:t>
      </w:r>
      <w:r>
        <w:rPr>
          <w:b/>
          <w:bCs/>
        </w:rPr>
        <w:t>“</w:t>
      </w:r>
      <w:r>
        <w:rPr>
          <w:rFonts w:hAnsi="宋体"/>
          <w:b/>
          <w:bCs/>
        </w:rPr>
        <w:t>十四五</w:t>
      </w:r>
      <w:r>
        <w:rPr>
          <w:b/>
          <w:bCs/>
        </w:rPr>
        <w:t>”</w:t>
      </w:r>
      <w:r>
        <w:rPr>
          <w:rFonts w:hAnsi="宋体"/>
          <w:b/>
          <w:bCs/>
        </w:rPr>
        <w:t>规划纲要的符合性</w:t>
      </w:r>
    </w:p>
    <w:p>
      <w:pPr>
        <w:ind w:firstLine="480"/>
        <w:contextualSpacing/>
      </w:pPr>
      <w:r>
        <w:rPr>
          <w:rFonts w:hAnsi="宋体"/>
        </w:rPr>
        <w:t>《中华人民共和国国民经济和社会发展第十四个五年规划和</w:t>
      </w:r>
      <w:r>
        <w:t>2035</w:t>
      </w:r>
      <w:r>
        <w:rPr>
          <w:rFonts w:hAnsi="宋体"/>
        </w:rPr>
        <w:t>年远景目标纲要》提出</w:t>
      </w:r>
      <w:r>
        <w:t>“</w:t>
      </w:r>
      <w:r>
        <w:rPr>
          <w:rFonts w:hAnsi="宋体"/>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r>
        <w:t>”</w:t>
      </w:r>
    </w:p>
    <w:p>
      <w:pPr>
        <w:ind w:firstLine="482"/>
        <w:contextualSpacing/>
      </w:pPr>
      <w:r>
        <w:rPr>
          <w:rFonts w:hAnsi="宋体"/>
          <w:b/>
          <w:bCs/>
        </w:rPr>
        <w:t>寒溪寺水库工程</w:t>
      </w:r>
      <w:r>
        <w:rPr>
          <w:rFonts w:hAnsi="宋体"/>
        </w:rPr>
        <w:t>是</w:t>
      </w:r>
      <w:r>
        <w:rPr>
          <w:rFonts w:hint="eastAsia" w:hAnsi="宋体"/>
        </w:rPr>
        <w:t>巴中市</w:t>
      </w:r>
      <w:r>
        <w:rPr>
          <w:rFonts w:hAnsi="宋体"/>
        </w:rPr>
        <w:t>重点水利工程，科学开展本工程建设对提高下游供水保证率、完善用水保障网具有重要作用。工程建设的同时已考虑下泄生态流量，用于保障下游河道生态用水要求。可见，本工程建设符合我国</w:t>
      </w:r>
      <w:r>
        <w:t>“</w:t>
      </w:r>
      <w:r>
        <w:rPr>
          <w:rFonts w:hAnsi="宋体"/>
        </w:rPr>
        <w:t>十四五</w:t>
      </w:r>
      <w:r>
        <w:t>”</w:t>
      </w:r>
      <w:r>
        <w:rPr>
          <w:rFonts w:hAnsi="宋体"/>
        </w:rPr>
        <w:t>国民经济和社会发展规划纲要。</w:t>
      </w:r>
    </w:p>
    <w:p>
      <w:pPr>
        <w:ind w:firstLine="0" w:firstLineChars="0"/>
        <w:contextualSpacing/>
        <w:outlineLvl w:val="3"/>
        <w:rPr>
          <w:b/>
          <w:bCs/>
        </w:rPr>
      </w:pPr>
      <w:r>
        <w:rPr>
          <w:b/>
          <w:bCs/>
        </w:rPr>
        <w:t>3.1.6.2</w:t>
      </w:r>
      <w:r>
        <w:rPr>
          <w:rFonts w:hAnsi="宋体"/>
          <w:b/>
          <w:bCs/>
        </w:rPr>
        <w:t>与四川省</w:t>
      </w:r>
      <w:r>
        <w:rPr>
          <w:b/>
          <w:bCs/>
        </w:rPr>
        <w:t>“</w:t>
      </w:r>
      <w:r>
        <w:rPr>
          <w:rFonts w:hAnsi="宋体"/>
          <w:b/>
          <w:bCs/>
        </w:rPr>
        <w:t>十四五</w:t>
      </w:r>
      <w:r>
        <w:rPr>
          <w:b/>
          <w:bCs/>
        </w:rPr>
        <w:t>”</w:t>
      </w:r>
      <w:r>
        <w:rPr>
          <w:rFonts w:hAnsi="宋体"/>
          <w:b/>
          <w:bCs/>
        </w:rPr>
        <w:t>规划纲要的符合性</w:t>
      </w:r>
    </w:p>
    <w:p>
      <w:pPr>
        <w:ind w:firstLine="480"/>
        <w:contextualSpacing/>
      </w:pPr>
      <w:r>
        <w:rPr>
          <w:rFonts w:hAnsi="宋体"/>
        </w:rPr>
        <w:t>根据《</w:t>
      </w:r>
      <w:r>
        <w:rPr>
          <w:rFonts w:hAnsi="宋体"/>
          <w:shd w:val="clear" w:color="auto" w:fill="FFFFFF"/>
        </w:rPr>
        <w:t>四川省国民经济和社会发展第十四个五年规划和二〇三五年远景目标纲要</w:t>
      </w:r>
      <w:r>
        <w:rPr>
          <w:rFonts w:hAnsi="宋体"/>
        </w:rPr>
        <w:t>》</w:t>
      </w:r>
      <w:r>
        <w:rPr>
          <w:rFonts w:hAnsi="宋体"/>
          <w:shd w:val="clear" w:color="auto" w:fill="FFFFFF"/>
        </w:rPr>
        <w:t>（</w:t>
      </w:r>
      <w:r>
        <w:rPr>
          <w:shd w:val="clear" w:color="auto" w:fill="FFFFFF"/>
        </w:rPr>
        <w:t>2021</w:t>
      </w:r>
      <w:r>
        <w:rPr>
          <w:rFonts w:hAnsi="宋体"/>
          <w:shd w:val="clear" w:color="auto" w:fill="FFFFFF"/>
        </w:rPr>
        <w:t>年</w:t>
      </w:r>
      <w:r>
        <w:rPr>
          <w:shd w:val="clear" w:color="auto" w:fill="FFFFFF"/>
        </w:rPr>
        <w:t>2</w:t>
      </w:r>
      <w:r>
        <w:rPr>
          <w:rFonts w:hAnsi="宋体"/>
          <w:shd w:val="clear" w:color="auto" w:fill="FFFFFF"/>
        </w:rPr>
        <w:t>月</w:t>
      </w:r>
      <w:r>
        <w:rPr>
          <w:shd w:val="clear" w:color="auto" w:fill="FFFFFF"/>
        </w:rPr>
        <w:t>2</w:t>
      </w:r>
      <w:r>
        <w:rPr>
          <w:rFonts w:hAnsi="宋体"/>
          <w:shd w:val="clear" w:color="auto" w:fill="FFFFFF"/>
        </w:rPr>
        <w:t>日四川省第十三届人民代表大会第四次会议批准）：</w:t>
      </w:r>
      <w:r>
        <w:rPr>
          <w:shd w:val="clear" w:color="auto" w:fill="FFFFFF"/>
        </w:rPr>
        <w:t>“</w:t>
      </w:r>
      <w:r>
        <w:rPr>
          <w:rFonts w:hAnsi="宋体"/>
        </w:rPr>
        <w:t>第三十三章加强水利基础设施建设，第一节完善现代水利基础设施生态网络：深入推进</w:t>
      </w:r>
      <w:r>
        <w:t>“</w:t>
      </w:r>
      <w:r>
        <w:rPr>
          <w:rFonts w:hAnsi="宋体"/>
        </w:rPr>
        <w:t>再造都江堰</w:t>
      </w:r>
      <w:r>
        <w:t>”</w:t>
      </w:r>
      <w:r>
        <w:rPr>
          <w:rFonts w:hAnsi="宋体"/>
        </w:rPr>
        <w:t>水利大提升行动，构建水安全保障体系。完善</w:t>
      </w:r>
      <w:r>
        <w:t>“</w:t>
      </w:r>
      <w:r>
        <w:rPr>
          <w:rFonts w:hAnsi="宋体"/>
        </w:rPr>
        <w:t>五横六纵</w:t>
      </w:r>
      <w:r>
        <w:t>”</w:t>
      </w:r>
      <w:r>
        <w:rPr>
          <w:rFonts w:hAnsi="宋体"/>
        </w:rPr>
        <w:t>引水补水生态水网，建成蓬溪船山灌区等项目，加快推进向家坝灌区一期、大桥水库灌区二期、亭子口灌区一期等工程建设，争取开工毗河供水二期，深化论证引大济岷、长征渠引水等项目。稳步推进重点水源工程建设，建成李家岩水库等重大工程，加强城市应急备用水源、农村供水和中小型水源工程建设。加快已成灌区续建配套与现代化改造，健全完善灌排工程体系。</w:t>
      </w:r>
      <w:r>
        <w:t>”</w:t>
      </w:r>
    </w:p>
    <w:p>
      <w:pPr>
        <w:ind w:firstLine="480"/>
        <w:contextualSpacing/>
      </w:pPr>
      <w:r>
        <w:rPr>
          <w:rFonts w:hAnsi="宋体"/>
        </w:rPr>
        <w:t>本工程属于</w:t>
      </w:r>
      <w:r>
        <w:rPr>
          <w:rFonts w:hint="eastAsia" w:hAnsi="宋体"/>
        </w:rPr>
        <w:t>小型</w:t>
      </w:r>
      <w:r>
        <w:rPr>
          <w:rFonts w:hAnsi="宋体"/>
        </w:rPr>
        <w:t>水利工程，工程建设符合四川省</w:t>
      </w:r>
      <w:r>
        <w:t>“</w:t>
      </w:r>
      <w:r>
        <w:rPr>
          <w:rFonts w:hAnsi="宋体"/>
        </w:rPr>
        <w:t>十四五</w:t>
      </w:r>
      <w:r>
        <w:t>”</w:t>
      </w:r>
      <w:r>
        <w:rPr>
          <w:rFonts w:hAnsi="宋体"/>
        </w:rPr>
        <w:t>规划纲要。</w:t>
      </w:r>
    </w:p>
    <w:p>
      <w:pPr>
        <w:ind w:firstLine="0" w:firstLineChars="0"/>
        <w:contextualSpacing/>
        <w:outlineLvl w:val="3"/>
        <w:rPr>
          <w:b/>
          <w:bCs/>
        </w:rPr>
      </w:pPr>
      <w:r>
        <w:rPr>
          <w:b/>
          <w:bCs/>
        </w:rPr>
        <w:t>3.1.6.3</w:t>
      </w:r>
      <w:r>
        <w:rPr>
          <w:rFonts w:hAnsi="宋体"/>
          <w:b/>
          <w:bCs/>
        </w:rPr>
        <w:t>与</w:t>
      </w:r>
      <w:r>
        <w:rPr>
          <w:rFonts w:hint="eastAsia" w:hAnsi="宋体"/>
          <w:b/>
          <w:bCs/>
        </w:rPr>
        <w:t>巴中</w:t>
      </w:r>
      <w:r>
        <w:rPr>
          <w:rFonts w:hAnsi="宋体"/>
          <w:b/>
          <w:bCs/>
        </w:rPr>
        <w:t>市</w:t>
      </w:r>
      <w:r>
        <w:rPr>
          <w:b/>
          <w:bCs/>
        </w:rPr>
        <w:t>“</w:t>
      </w:r>
      <w:r>
        <w:rPr>
          <w:rFonts w:hAnsi="宋体"/>
          <w:b/>
          <w:bCs/>
        </w:rPr>
        <w:t>十四五</w:t>
      </w:r>
      <w:r>
        <w:rPr>
          <w:b/>
          <w:bCs/>
        </w:rPr>
        <w:t>”</w:t>
      </w:r>
      <w:r>
        <w:rPr>
          <w:rFonts w:hAnsi="宋体"/>
          <w:b/>
          <w:bCs/>
        </w:rPr>
        <w:t>规划纲要的符合性</w:t>
      </w:r>
    </w:p>
    <w:p>
      <w:pPr>
        <w:ind w:firstLine="480"/>
        <w:contextualSpacing/>
      </w:pPr>
      <w:r>
        <w:rPr>
          <w:rFonts w:hAnsi="宋体"/>
        </w:rPr>
        <w:t>《</w:t>
      </w:r>
      <w:r>
        <w:rPr>
          <w:rFonts w:hint="eastAsia" w:hAnsi="宋体"/>
        </w:rPr>
        <w:t>巴中</w:t>
      </w:r>
      <w:r>
        <w:rPr>
          <w:rFonts w:hAnsi="宋体"/>
        </w:rPr>
        <w:t>市国民经济和社会发展第十四个五年规划和二</w:t>
      </w:r>
      <w:r>
        <w:rPr>
          <w:rFonts w:hint="eastAsia"/>
        </w:rPr>
        <w:t>〇</w:t>
      </w:r>
      <w:r>
        <w:rPr>
          <w:rFonts w:hAnsi="宋体"/>
        </w:rPr>
        <w:t>三五年远景目标纲要》提出：</w:t>
      </w:r>
      <w:r>
        <w:t>“</w:t>
      </w:r>
      <w:r>
        <w:rPr>
          <w:rFonts w:hint="eastAsia" w:hAnsi="宋体"/>
        </w:rPr>
        <w:t>加快7座供水中型水库建设。开工建设青龙嘴、官房沟水库，加快双河、谭家河、干沟河、案家沟、望京水库等中型水库前期工作。全面建成湾潭河等中型水库，发挥工程效益。开工汇田河、建成仓库湾等小型抗旱供水水源工程。加快龙洞沟水库灌区、流里河水库灌区等中型灌区续建配套与节 水改造。提升农村供水保障水平，着力解决农村供水水源不稳定问题，推进建设一批规模化农村供水工程、建设改造一批规范化小型供水工程、更新改造一批老旧供水工程和管网，强化水源水质保护和农村供水工程管护。</w:t>
      </w:r>
      <w:r>
        <w:t>”</w:t>
      </w:r>
    </w:p>
    <w:p>
      <w:pPr>
        <w:ind w:firstLine="480"/>
        <w:contextualSpacing/>
      </w:pPr>
      <w:r>
        <w:rPr>
          <w:rFonts w:hAnsi="宋体"/>
        </w:rPr>
        <w:t>寒溪寺水库工程符合</w:t>
      </w:r>
      <w:r>
        <w:rPr>
          <w:rFonts w:hint="eastAsia" w:hAnsi="宋体"/>
        </w:rPr>
        <w:t>巴中</w:t>
      </w:r>
      <w:r>
        <w:rPr>
          <w:rFonts w:hAnsi="宋体"/>
        </w:rPr>
        <w:t>市十四五规划纲要。</w:t>
      </w:r>
    </w:p>
    <w:p>
      <w:pPr>
        <w:pStyle w:val="5"/>
        <w:ind w:firstLine="0" w:firstLineChars="0"/>
        <w:contextualSpacing/>
        <w:rPr>
          <w:rFonts w:ascii="Times New Roman" w:hAnsi="Times New Roman"/>
        </w:rPr>
      </w:pPr>
      <w:bookmarkStart w:id="351" w:name="_Toc28707"/>
      <w:bookmarkStart w:id="352" w:name="_Toc24439"/>
      <w:bookmarkStart w:id="353" w:name="_Toc2388"/>
      <w:r>
        <w:rPr>
          <w:rFonts w:ascii="Times New Roman" w:hAnsi="Times New Roman"/>
        </w:rPr>
        <w:t>3.1.7</w:t>
      </w:r>
      <w:r>
        <w:rPr>
          <w:rFonts w:ascii="Times New Roman" w:hAnsi="宋体"/>
        </w:rPr>
        <w:t>与规划环评的符合性分析</w:t>
      </w:r>
      <w:bookmarkEnd w:id="351"/>
      <w:bookmarkEnd w:id="352"/>
      <w:bookmarkEnd w:id="353"/>
    </w:p>
    <w:p>
      <w:pPr>
        <w:ind w:firstLine="480"/>
        <w:contextualSpacing/>
      </w:pPr>
      <w:r>
        <w:rPr>
          <w:rFonts w:hAnsi="宋体"/>
        </w:rPr>
        <w:t>《西南五省（自治区、直辖市）重点水源工程近期建设规划报告》已开展了规划环境影响评价工作。其规划环境影响报告及审查意见（环审</w:t>
      </w:r>
      <w:r>
        <w:t>〔2011〕201</w:t>
      </w:r>
      <w:r>
        <w:rPr>
          <w:rFonts w:hAnsi="宋体"/>
        </w:rPr>
        <w:t>号）对规划优化调整和实施过程中的要求包括：</w:t>
      </w:r>
      <w:r>
        <w:t>1</w:t>
      </w:r>
      <w:r>
        <w:rPr>
          <w:rFonts w:hAnsi="宋体"/>
        </w:rPr>
        <w:t>）对涉及国家、省级自然保护区核心区、缓冲区的，以及自然保护区</w:t>
      </w:r>
      <w:r>
        <w:t>“</w:t>
      </w:r>
      <w:r>
        <w:rPr>
          <w:rFonts w:hAnsi="宋体"/>
        </w:rPr>
        <w:t>三区</w:t>
      </w:r>
      <w:r>
        <w:t>”</w:t>
      </w:r>
      <w:r>
        <w:rPr>
          <w:rFonts w:hAnsi="宋体"/>
        </w:rPr>
        <w:t>划分不明确的工程应重新选址或暂缓实施；</w:t>
      </w:r>
      <w:r>
        <w:t>2</w:t>
      </w:r>
      <w:r>
        <w:rPr>
          <w:rFonts w:hAnsi="宋体"/>
        </w:rPr>
        <w:t>）对涉及国家、省级自然保护区实验区、风景名胜区、地质公园、森林公园的工程应优化选址，避免对环境敏感区造成不利影响；</w:t>
      </w:r>
      <w:r>
        <w:t>3</w:t>
      </w:r>
      <w:r>
        <w:rPr>
          <w:rFonts w:hAnsi="宋体"/>
        </w:rPr>
        <w:t>）对水质不达标河段、重金属污染综合防治重点区域、水资源开发利用率较高区域、生态环境用水需求高等环境敏感区域的水源工程，应深入论证工程实施的环境合理性和可行性；</w:t>
      </w:r>
      <w:r>
        <w:t>4</w:t>
      </w:r>
      <w:r>
        <w:rPr>
          <w:rFonts w:hAnsi="宋体"/>
        </w:rPr>
        <w:t>）加强流域综合管理，建立可持续的水库调度方式，协调上、下游，河流与湖泊等水体生态环境需水关系，在不同时间、空间尺度上满足河流基本生态流量；</w:t>
      </w:r>
      <w:r>
        <w:t>5</w:t>
      </w:r>
      <w:r>
        <w:rPr>
          <w:rFonts w:hAnsi="宋体"/>
        </w:rPr>
        <w:t>）在缺水区域，提出优先发展低耗水产业和节水农业，从源头减少水资源消耗。</w:t>
      </w:r>
    </w:p>
    <w:p>
      <w:pPr>
        <w:ind w:firstLine="480"/>
        <w:contextualSpacing/>
      </w:pPr>
      <w:r>
        <w:rPr>
          <w:rFonts w:hAnsi="宋体"/>
        </w:rPr>
        <w:t>从寒溪寺水库本阶段设计成果分析，本工程不涉及国家、省级自然保护区、风景名胜区、地质公园、森林公园等环境敏感区；工程枢纽区所在蔡家河河段水质良好，水资源的数量和质量均有保证；工程在设计中已考虑坝址下游减水河段的生态环境用水需求以及流域内供需水的平衡；工程控灌区在灌溉制度设计上已考虑了节水农业的要求。</w:t>
      </w:r>
    </w:p>
    <w:p>
      <w:pPr>
        <w:ind w:firstLine="480"/>
        <w:contextualSpacing/>
      </w:pPr>
      <w:r>
        <w:rPr>
          <w:rFonts w:hAnsi="宋体"/>
        </w:rPr>
        <w:t>根据已批复的《西南五省（自治区、直辖市）重点水源工程近期建设规划环境影响报告书》（批复见附件），其主要结论如下：</w:t>
      </w:r>
    </w:p>
    <w:p>
      <w:pPr>
        <w:ind w:firstLine="480"/>
        <w:contextualSpacing/>
      </w:pPr>
      <w:r>
        <w:rPr>
          <w:rFonts w:hAnsi="宋体"/>
        </w:rPr>
        <w:t>《西南五省（区、市）水源工程建设规划》深入贯彻落实科学发展观，以促进西南五省（区、市）经济社会可持续发展与改善生态环境为根本目标、统筹安排，以保证生活用水、改善生产和生态用水为目的，把改善生态环境和提高农民收入水平结合起来，显著提高水利对经济社会发展的支撑力，对实现西南地区经济社会又好又快发展具有重要的推动作用。</w:t>
      </w:r>
    </w:p>
    <w:p>
      <w:pPr>
        <w:ind w:firstLine="480"/>
        <w:contextualSpacing/>
      </w:pPr>
      <w:r>
        <w:rPr>
          <w:rFonts w:hAnsi="宋体"/>
        </w:rPr>
        <w:t>水源工程建设规划实施过程和实施后，将对实施作业及影响区域的水环境、生态环境、环境敏感区和社会环境造成一定不利影响，特别是水源工程建设规划蓄水工程造成的水库淹没、水资源调配和平衡，水利工程挡水建筑物造成河道阻隔和鱼类生境破碎化，以及水源工程建设规划对环境敏感区功能分区、完整性和保护价值造成一定影响；但是，按照国家法律法规规定和本报告提出的环境保护措施，特别是在优化调整水源工程建设规划项目、经过行政主管部门同意的条件下，水源工程建设规划造成的不利影响可以得到避免和有效减缓，其环境的影响范围和程度是可以接受的。从生态和环境保护角度看，四川省重点水源工程近期建设规划中型项目基本不存在制约性环境因素。</w:t>
      </w:r>
    </w:p>
    <w:p>
      <w:pPr>
        <w:ind w:firstLine="480"/>
        <w:contextualSpacing/>
      </w:pPr>
      <w:r>
        <w:rPr>
          <w:rFonts w:hAnsi="宋体"/>
        </w:rPr>
        <w:t>规划环评对下阶段环境影响评价的要求：规划所包含的近期建设项目，在开展环境影响评价时，应重点分析与重要环境敏感目标的区位关系和对其产生的环境影响，充分论证水源工程选址和建设的环境合理性和可行性，制定切实可行的环境保护措施。</w:t>
      </w:r>
    </w:p>
    <w:p>
      <w:pPr>
        <w:ind w:firstLine="480"/>
        <w:contextualSpacing/>
      </w:pPr>
      <w:r>
        <w:rPr>
          <w:rFonts w:hAnsi="宋体"/>
        </w:rPr>
        <w:t>寒溪寺水库工程建设不涉及自然保护区、风景名胜区等敏感点。因此，寒溪寺水库建设符合西南五省（自治区、直辖市）重点水源工程近期建设规划</w:t>
      </w:r>
      <w:r>
        <w:rPr>
          <w:rFonts w:hint="eastAsia" w:hAnsi="宋体"/>
        </w:rPr>
        <w:t>要求</w:t>
      </w:r>
      <w:r>
        <w:rPr>
          <w:rFonts w:hAnsi="宋体"/>
        </w:rPr>
        <w:t>的。</w:t>
      </w:r>
    </w:p>
    <w:p>
      <w:pPr>
        <w:pStyle w:val="5"/>
        <w:ind w:firstLine="0" w:firstLineChars="0"/>
        <w:contextualSpacing/>
        <w:rPr>
          <w:rFonts w:ascii="Times New Roman" w:hAnsi="Times New Roman"/>
        </w:rPr>
      </w:pPr>
      <w:bookmarkStart w:id="354" w:name="_Toc18076"/>
      <w:bookmarkStart w:id="355" w:name="_Toc11622"/>
      <w:bookmarkStart w:id="356" w:name="_Toc10877"/>
      <w:r>
        <w:rPr>
          <w:rFonts w:ascii="Times New Roman" w:hAnsi="Times New Roman"/>
        </w:rPr>
        <w:t>3.1.</w:t>
      </w:r>
      <w:bookmarkEnd w:id="354"/>
      <w:bookmarkEnd w:id="355"/>
      <w:bookmarkEnd w:id="356"/>
      <w:r>
        <w:rPr>
          <w:rFonts w:ascii="Times New Roman" w:hAnsi="Times New Roman"/>
        </w:rPr>
        <w:t>8与《</w:t>
      </w:r>
      <w:r>
        <w:rPr>
          <w:rFonts w:hint="eastAsia" w:ascii="Times New Roman" w:hAnsi="Times New Roman"/>
        </w:rPr>
        <w:t>巴中市“十四五”水生态环境保护规划</w:t>
      </w:r>
      <w:r>
        <w:rPr>
          <w:rFonts w:ascii="Times New Roman" w:hAnsi="Times New Roman"/>
        </w:rPr>
        <w:t>》的符合性</w:t>
      </w:r>
    </w:p>
    <w:p>
      <w:pPr>
        <w:ind w:firstLine="480"/>
        <w:contextualSpacing/>
        <w:rPr>
          <w:rFonts w:hAnsi="宋体"/>
        </w:rPr>
      </w:pPr>
      <w:r>
        <w:rPr>
          <w:rFonts w:hAnsi="宋体"/>
        </w:rPr>
        <w:t>《</w:t>
      </w:r>
      <w:r>
        <w:rPr>
          <w:rFonts w:hint="eastAsia" w:hAnsi="宋体"/>
        </w:rPr>
        <w:t>巴中市“十四五”水生态环境保护规划</w:t>
      </w:r>
      <w:r>
        <w:rPr>
          <w:rFonts w:hAnsi="宋体"/>
        </w:rPr>
        <w:t>》的主要目标为：</w:t>
      </w:r>
    </w:p>
    <w:p>
      <w:pPr>
        <w:ind w:firstLine="480"/>
        <w:contextualSpacing/>
      </w:pPr>
      <w:r>
        <w:t>“十四五”时期，围绕“美丽巴中”的发展愿景，推动“三市两地一枢纽”建设，巴中市水环境质量得到提升，水生态系统服务功能显著增强，河流生态流量保障系统基本建立，水生态环境风险防范能力显著增强，水生态环境管理制度逐步完善，水资源、水生态和水环境统筹推进格局基本形成。</w:t>
      </w:r>
    </w:p>
    <w:p>
      <w:pPr>
        <w:ind w:firstLine="480"/>
        <w:contextualSpacing/>
      </w:pPr>
      <w:r>
        <w:t>水环境质量持续改善。到2025年，巴中市地表水国控、省控断面达到或优于Ⅲ类水质比例和重要江河湖泊水功能区水质达标率达100%；县城及以上集中式饮用水水源地达到或优于Ⅲ类 水质比例达100%，乡镇集中式饮用水水源地水质达到或优于Ⅲ类水质比例达98%以上；巴河干流及主要支流水质稳定保持在优良水平，确保“一江清水出巴中”。</w:t>
      </w:r>
    </w:p>
    <w:p>
      <w:pPr>
        <w:ind w:firstLine="480"/>
        <w:contextualSpacing/>
      </w:pPr>
      <w:r>
        <w:t>水资源保障程度显著提高。到2025年，巴中市水资源得到有效保护和合理利用，生态流量得到有效保障。巴河、通江河 和蹬子河上的 5 个站点生态流量稳定达到要求。</w:t>
      </w:r>
    </w:p>
    <w:p>
      <w:pPr>
        <w:ind w:firstLine="480"/>
        <w:contextualSpacing/>
      </w:pPr>
      <w:r>
        <w:t>水生态系统更加稳定。水源涵养区、河湖生态缓冲带等水 生态空间保护修复初见成效，水生生物多样性稳步恢复，河流和重要湖库湿地生态系统稳定性和生态服务功能逐步提升。</w:t>
      </w:r>
    </w:p>
    <w:p>
      <w:pPr>
        <w:ind w:firstLine="480"/>
        <w:contextualSpacing/>
        <w:rPr>
          <w:rFonts w:hAnsi="宋体"/>
        </w:rPr>
      </w:pPr>
      <w:r>
        <w:t>渠江上游生态安全屏障更加稳固。到2025年，力争成功创建国家生态文明建设示范市，美丽巴中建设目标取得重要进 展，进一步筑牢渠江上游生态安全屏障。到2035年，巴中市重点河流、湖库基本建成美丽河湖，渠江上游重要生态屏障更加稳固，建设美丽巴中的水生态环境目标基 本实现，充分满足人民对优美水生态环境需要</w:t>
      </w:r>
      <w:r>
        <w:rPr>
          <w:rFonts w:hint="eastAsia"/>
        </w:rPr>
        <w:t>。</w:t>
      </w:r>
    </w:p>
    <w:p>
      <w:pPr>
        <w:ind w:firstLine="480"/>
        <w:contextualSpacing/>
      </w:pPr>
      <w:r>
        <w:rPr>
          <w:rFonts w:hAnsi="宋体"/>
        </w:rPr>
        <w:t>寒溪寺水库工程建设将在一定程度上对水环境、大气环境等造成影响，但可通过采取相应的水环境及大气环境保护措施予以减免和减缓，在严格执行废污水防治及库区水环境保护措施的前提下，不会造成蔡家河水质恶化。在集中安置点建设严格落实生活垃圾和污水处理措施的前提下，对促进所在区域农村环境综合整治有利。因此，本工程建设在严格执行相关环保要求后与</w:t>
      </w:r>
      <w:r>
        <w:rPr>
          <w:rFonts w:hint="eastAsia" w:hAnsi="宋体"/>
        </w:rPr>
        <w:t>《巴中市“十四五”水生态环境保护规划》</w:t>
      </w:r>
      <w:r>
        <w:rPr>
          <w:rFonts w:hAnsi="宋体"/>
        </w:rPr>
        <w:t>相符。</w:t>
      </w:r>
    </w:p>
    <w:p>
      <w:pPr>
        <w:pStyle w:val="5"/>
        <w:ind w:firstLine="0" w:firstLineChars="0"/>
        <w:contextualSpacing/>
        <w:rPr>
          <w:rFonts w:ascii="Times New Roman" w:hAnsi="Times New Roman"/>
        </w:rPr>
      </w:pPr>
      <w:r>
        <w:rPr>
          <w:rFonts w:ascii="Times New Roman" w:hAnsi="Times New Roman"/>
        </w:rPr>
        <w:t>3.1.9</w:t>
      </w:r>
      <w:r>
        <w:rPr>
          <w:rFonts w:ascii="Times New Roman" w:hAnsi="宋体"/>
        </w:rPr>
        <w:t>与水污染防治要求的符合性分析</w:t>
      </w:r>
    </w:p>
    <w:p>
      <w:pPr>
        <w:ind w:firstLine="480"/>
        <w:contextualSpacing/>
      </w:pPr>
      <w:r>
        <w:rPr>
          <w:rFonts w:hAnsi="宋体"/>
        </w:rPr>
        <w:t>《国务院关于印发水污染防治行动计划的通知》（国发</w:t>
      </w:r>
      <w:r>
        <w:t>〔2015〕17</w:t>
      </w:r>
      <w:r>
        <w:rPr>
          <w:rFonts w:hAnsi="宋体"/>
        </w:rPr>
        <w:t>号）中提出</w:t>
      </w:r>
      <w:r>
        <w:t>“</w:t>
      </w:r>
      <w:r>
        <w:rPr>
          <w:rFonts w:hAnsi="宋体"/>
        </w:rPr>
        <w:t>优化空间布局。合理确定发展布局、结构和规模。充分考虑水资源、水环境承载能力，以水定城、以水定地、以水定人、以水定产。</w:t>
      </w:r>
      <w:r>
        <w:t>”</w:t>
      </w:r>
    </w:p>
    <w:p>
      <w:pPr>
        <w:ind w:firstLine="480"/>
        <w:contextualSpacing/>
      </w:pPr>
      <w:r>
        <w:rPr>
          <w:rFonts w:hAnsi="宋体"/>
        </w:rPr>
        <w:t>本工程充分考虑蔡家河流域水资源和区域社会经济发展特点，通过建设寒溪寺水库工程，保障区域社会经济发展用水要求。在进行需水预测时充分考虑节约用水措施的落实和提高用水效率，优先使用既有供水设施水量，并统筹考虑下游生态需水量，优化水资源配置方案，最大程度地维护蔡家河下游生态系统的结构和功能，符合</w:t>
      </w:r>
      <w:r>
        <w:t>“</w:t>
      </w:r>
      <w:r>
        <w:rPr>
          <w:rFonts w:hAnsi="宋体"/>
        </w:rPr>
        <w:t>水十条</w:t>
      </w:r>
      <w:r>
        <w:t>”</w:t>
      </w:r>
      <w:r>
        <w:rPr>
          <w:rFonts w:hAnsi="宋体"/>
        </w:rPr>
        <w:t>的要求。</w:t>
      </w:r>
    </w:p>
    <w:p>
      <w:pPr>
        <w:ind w:firstLine="480"/>
        <w:contextualSpacing/>
      </w:pPr>
      <w:r>
        <w:rPr>
          <w:rFonts w:hAnsi="宋体"/>
        </w:rPr>
        <w:t>因此，本工程的建设符合新时期治水战略，符合</w:t>
      </w:r>
      <w:r>
        <w:t>“</w:t>
      </w:r>
      <w:r>
        <w:rPr>
          <w:rFonts w:hAnsi="宋体"/>
        </w:rPr>
        <w:t>水十条</w:t>
      </w:r>
      <w:r>
        <w:t>”</w:t>
      </w:r>
      <w:r>
        <w:rPr>
          <w:rFonts w:hAnsi="宋体"/>
        </w:rPr>
        <w:t>的相关要求。</w:t>
      </w:r>
    </w:p>
    <w:p>
      <w:pPr>
        <w:pStyle w:val="4"/>
        <w:ind w:firstLine="0" w:firstLineChars="0"/>
        <w:contextualSpacing/>
      </w:pPr>
      <w:bookmarkStart w:id="357" w:name="_Toc3178"/>
      <w:bookmarkStart w:id="358" w:name="_Toc32403"/>
      <w:bookmarkStart w:id="359" w:name="_Toc742"/>
      <w:bookmarkStart w:id="360" w:name="_Toc24131"/>
      <w:bookmarkStart w:id="361" w:name="_Toc41977679"/>
      <w:bookmarkStart w:id="362" w:name="_Toc130753418"/>
      <w:r>
        <w:t>3.2</w:t>
      </w:r>
      <w:r>
        <w:rPr>
          <w:rFonts w:hAnsi="宋体"/>
        </w:rPr>
        <w:t>工程总体布置合理性分析</w:t>
      </w:r>
      <w:bookmarkEnd w:id="357"/>
      <w:bookmarkEnd w:id="358"/>
      <w:bookmarkEnd w:id="359"/>
      <w:bookmarkEnd w:id="360"/>
      <w:bookmarkEnd w:id="361"/>
      <w:bookmarkEnd w:id="362"/>
    </w:p>
    <w:p>
      <w:pPr>
        <w:pStyle w:val="5"/>
        <w:ind w:firstLine="0" w:firstLineChars="0"/>
        <w:contextualSpacing/>
        <w:rPr>
          <w:rFonts w:ascii="Times New Roman" w:hAnsi="Times New Roman"/>
        </w:rPr>
      </w:pPr>
      <w:bookmarkStart w:id="363" w:name="_Toc19890"/>
      <w:bookmarkStart w:id="364" w:name="_Toc21435"/>
      <w:bookmarkStart w:id="365" w:name="_Toc32317"/>
      <w:r>
        <w:rPr>
          <w:rFonts w:ascii="Times New Roman" w:hAnsi="Times New Roman"/>
        </w:rPr>
        <w:t>3.2.1坝址及供水线路选择环境合理性</w:t>
      </w:r>
      <w:bookmarkEnd w:id="363"/>
      <w:bookmarkEnd w:id="364"/>
      <w:bookmarkEnd w:id="365"/>
    </w:p>
    <w:p>
      <w:pPr>
        <w:ind w:firstLine="0" w:firstLineChars="0"/>
        <w:contextualSpacing/>
        <w:outlineLvl w:val="3"/>
        <w:rPr>
          <w:b/>
          <w:bCs/>
        </w:rPr>
      </w:pPr>
      <w:r>
        <w:rPr>
          <w:b/>
          <w:bCs/>
        </w:rPr>
        <w:t>3.2.2.1坝址比选环境合理性</w:t>
      </w:r>
    </w:p>
    <w:p>
      <w:pPr>
        <w:ind w:firstLine="480"/>
        <w:contextualSpacing/>
        <w:rPr>
          <w:rFonts w:hint="eastAsia"/>
        </w:rPr>
      </w:pPr>
      <w:r>
        <w:rPr>
          <w:rFonts w:hint="eastAsia"/>
        </w:rPr>
        <w:t>初设阶段根据现场地形、地质及建筑物布置确定上、下两条坝线进行比较选择。</w:t>
      </w:r>
    </w:p>
    <w:p>
      <w:pPr>
        <w:ind w:firstLine="480"/>
        <w:contextualSpacing/>
        <w:rPr>
          <w:rFonts w:hint="eastAsia"/>
        </w:rPr>
      </w:pPr>
      <w:r>
        <w:rPr>
          <w:rFonts w:hint="eastAsia"/>
        </w:rPr>
        <w:t>上坝址位于原寒溪寺水库坝址处，两岸地形基本对称，受库容和地形条件限制，坝轴线可选择的范围较小，仅150m左右。本阶段拟定了两条坝线进行比选，上坝线为原可研阶段推荐的上坝址位轴线，即原寒溪寺水库坝址处，下坝线布置在距上坝线下游100m处。再往下游，河床变宽变陡，两岸耕地及居住的村民较多，工程投资显著增加，因此，再往下游选择坝线不合适。</w:t>
      </w:r>
    </w:p>
    <w:p>
      <w:pPr>
        <w:ind w:firstLine="480"/>
        <w:contextualSpacing/>
      </w:pPr>
      <w:r>
        <w:rPr>
          <w:rFonts w:hint="eastAsia"/>
        </w:rPr>
        <w:t>坝轴线上游已建老坝体为粘土斜墙堆石坝，坝顶高程668.30m，坝顶宽约6m，顺河向长215m，由含碎石粉质粘土防渗体、堆石体、排水棱体三部分组成。老坝体主要由大坝填筑的含碎石粉质粘土构成，具中等压缩性、抗剪指标低的特征，整体含水量偏高。经地质勘探及试验表明，原老坝体填筑质量较差，扩建坝体不能在其上加高，根据老坝体土体特征及位置，可作为扩建坝体的上游施工围堰使用。</w:t>
      </w:r>
    </w:p>
    <w:p>
      <w:pPr>
        <w:pStyle w:val="65"/>
        <w:spacing w:line="360" w:lineRule="auto"/>
        <w:ind w:firstLine="0" w:firstLineChars="0"/>
        <w:contextualSpacing/>
        <w:jc w:val="center"/>
      </w:pPr>
      <w:r>
        <w:rPr>
          <w:szCs w:val="22"/>
        </w:rPr>
        <w:drawing>
          <wp:inline distT="0" distB="0" distL="0" distR="0">
            <wp:extent cx="4947920" cy="4117340"/>
            <wp:effectExtent l="0" t="0" r="0" b="0"/>
            <wp:docPr id="11" name="图片 32" descr="F:\蒋洪周qt\寒溪寺水库初设\初设\初设审查意见\5-1-2.上下比较坝线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F:\蒋洪周qt\寒溪寺水库初设\初设\初设审查意见\5-1-2.上下比较坝线_1.jpg"/>
                    <pic:cNvPicPr>
                      <a:picLocks noChangeAspect="1" noChangeArrowheads="1"/>
                    </pic:cNvPicPr>
                  </pic:nvPicPr>
                  <pic:blipFill>
                    <a:blip r:embed="rId44" cstate="print">
                      <a:extLst>
                        <a:ext uri="{28A0092B-C50C-407E-A947-70E740481C1C}">
                          <a14:useLocalDpi xmlns:a14="http://schemas.microsoft.com/office/drawing/2010/main" val="0"/>
                        </a:ext>
                      </a:extLst>
                    </a:blip>
                    <a:srcRect l="12766" t="17014" r="12930" b="26266"/>
                    <a:stretch>
                      <a:fillRect/>
                    </a:stretch>
                  </pic:blipFill>
                  <pic:spPr>
                    <a:xfrm>
                      <a:off x="0" y="0"/>
                      <a:ext cx="4947920" cy="4117340"/>
                    </a:xfrm>
                    <a:prstGeom prst="rect">
                      <a:avLst/>
                    </a:prstGeom>
                    <a:noFill/>
                    <a:ln>
                      <a:noFill/>
                    </a:ln>
                  </pic:spPr>
                </pic:pic>
              </a:graphicData>
            </a:graphic>
          </wp:inline>
        </w:drawing>
      </w:r>
    </w:p>
    <w:p>
      <w:pPr>
        <w:pStyle w:val="65"/>
        <w:spacing w:line="360" w:lineRule="auto"/>
        <w:ind w:firstLine="422"/>
        <w:contextualSpacing/>
        <w:jc w:val="center"/>
        <w:rPr>
          <w:b/>
          <w:bCs/>
          <w:sz w:val="21"/>
          <w:szCs w:val="21"/>
        </w:rPr>
      </w:pPr>
      <w:r>
        <w:rPr>
          <w:rFonts w:hint="eastAsia"/>
          <w:b/>
          <w:bCs/>
          <w:sz w:val="21"/>
          <w:szCs w:val="21"/>
        </w:rPr>
        <w:t>图</w:t>
      </w:r>
      <w:r>
        <w:rPr>
          <w:b/>
          <w:bCs/>
          <w:sz w:val="21"/>
          <w:szCs w:val="21"/>
        </w:rPr>
        <w:t>3.2</w:t>
      </w:r>
      <w:r>
        <w:rPr>
          <w:rFonts w:hint="eastAsia"/>
          <w:b/>
          <w:bCs/>
          <w:sz w:val="21"/>
          <w:szCs w:val="21"/>
        </w:rPr>
        <w:t>.</w:t>
      </w:r>
      <w:r>
        <w:rPr>
          <w:b/>
          <w:bCs/>
          <w:sz w:val="21"/>
          <w:szCs w:val="21"/>
        </w:rPr>
        <w:t>1</w:t>
      </w:r>
      <w:r>
        <w:rPr>
          <w:rFonts w:hint="eastAsia"/>
          <w:b/>
          <w:bCs/>
          <w:sz w:val="21"/>
          <w:szCs w:val="21"/>
        </w:rPr>
        <w:t>-1</w:t>
      </w:r>
      <w:r>
        <w:rPr>
          <w:b/>
          <w:bCs/>
          <w:sz w:val="21"/>
          <w:szCs w:val="21"/>
        </w:rPr>
        <w:t xml:space="preserve">    寒溪寺水库大坝上、下坝线相对位置图</w:t>
      </w:r>
    </w:p>
    <w:p>
      <w:pPr>
        <w:ind w:firstLine="480"/>
        <w:contextualSpacing/>
      </w:pPr>
      <w:r>
        <w:t>2个坝址方案环境比选成果见表。</w:t>
      </w:r>
    </w:p>
    <w:p>
      <w:pPr>
        <w:pStyle w:val="65"/>
        <w:spacing w:line="360" w:lineRule="auto"/>
        <w:ind w:firstLine="422"/>
        <w:contextualSpacing/>
        <w:jc w:val="center"/>
        <w:rPr>
          <w:b/>
          <w:bCs/>
          <w:sz w:val="21"/>
          <w:szCs w:val="21"/>
        </w:rPr>
      </w:pPr>
      <w:r>
        <w:rPr>
          <w:b/>
          <w:bCs/>
          <w:sz w:val="21"/>
          <w:szCs w:val="21"/>
        </w:rPr>
        <w:t>表3.2.2-2  不同坝址环境影响比较成果表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9"/>
        <w:gridCol w:w="1701"/>
        <w:gridCol w:w="414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8" w:type="pct"/>
            <w:gridSpan w:val="2"/>
            <w:vMerge w:val="restart"/>
            <w:vAlign w:val="center"/>
          </w:tcPr>
          <w:p>
            <w:pPr>
              <w:pStyle w:val="139"/>
              <w:spacing w:line="240" w:lineRule="auto"/>
              <w:rPr>
                <w:rFonts w:cs="Times New Roman"/>
                <w:lang w:eastAsia="en-US"/>
              </w:rPr>
            </w:pPr>
            <w:r>
              <w:rPr>
                <w:rFonts w:cs="Times New Roman"/>
                <w:lang w:eastAsia="en-US"/>
              </w:rPr>
              <w:t>项目</w:t>
            </w:r>
          </w:p>
        </w:tc>
        <w:tc>
          <w:tcPr>
            <w:tcW w:w="3292" w:type="pct"/>
            <w:gridSpan w:val="2"/>
            <w:vAlign w:val="center"/>
          </w:tcPr>
          <w:p>
            <w:pPr>
              <w:pStyle w:val="139"/>
              <w:spacing w:line="240" w:lineRule="auto"/>
              <w:rPr>
                <w:rFonts w:cs="Times New Roman"/>
                <w:lang w:eastAsia="en-US"/>
              </w:rPr>
            </w:pPr>
            <w:r>
              <w:rPr>
                <w:rFonts w:cs="Times New Roman"/>
                <w:lang w:eastAsia="en-US"/>
              </w:rPr>
              <w:t>坝</w:t>
            </w:r>
            <w:r>
              <w:rPr>
                <w:rFonts w:cs="Times New Roman"/>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8" w:type="pct"/>
            <w:gridSpan w:val="2"/>
            <w:vMerge w:val="continue"/>
            <w:vAlign w:val="center"/>
          </w:tcPr>
          <w:p>
            <w:pPr>
              <w:pStyle w:val="139"/>
              <w:spacing w:line="240" w:lineRule="auto"/>
              <w:rPr>
                <w:rFonts w:cs="Times New Roman"/>
                <w:lang w:eastAsia="en-US"/>
              </w:rPr>
            </w:pPr>
          </w:p>
        </w:tc>
        <w:tc>
          <w:tcPr>
            <w:tcW w:w="2489" w:type="pct"/>
            <w:vAlign w:val="center"/>
          </w:tcPr>
          <w:p>
            <w:pPr>
              <w:pStyle w:val="139"/>
              <w:spacing w:line="240" w:lineRule="auto"/>
              <w:rPr>
                <w:rFonts w:cs="Times New Roman"/>
                <w:lang w:eastAsia="en-US"/>
              </w:rPr>
            </w:pPr>
            <w:r>
              <w:rPr>
                <w:rFonts w:cs="Times New Roman"/>
                <w:lang w:eastAsia="en-US"/>
              </w:rPr>
              <w:t>两个坝</w:t>
            </w:r>
            <w:r>
              <w:rPr>
                <w:rFonts w:cs="Times New Roman"/>
              </w:rPr>
              <w:t>线</w:t>
            </w:r>
            <w:r>
              <w:rPr>
                <w:rFonts w:cs="Times New Roman"/>
                <w:lang w:eastAsia="en-US"/>
              </w:rPr>
              <w:t>比较</w:t>
            </w:r>
          </w:p>
        </w:tc>
        <w:tc>
          <w:tcPr>
            <w:tcW w:w="803" w:type="pct"/>
            <w:vAlign w:val="center"/>
          </w:tcPr>
          <w:p>
            <w:pPr>
              <w:pStyle w:val="139"/>
              <w:spacing w:line="240" w:lineRule="auto"/>
              <w:rPr>
                <w:rFonts w:cs="Times New Roman"/>
                <w:lang w:eastAsia="en-US"/>
              </w:rPr>
            </w:pPr>
            <w:r>
              <w:rPr>
                <w:rFonts w:cs="Times New Roman"/>
                <w:lang w:eastAsia="en-US"/>
              </w:rPr>
              <w:t>比较结果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restart"/>
            <w:vAlign w:val="center"/>
          </w:tcPr>
          <w:p>
            <w:pPr>
              <w:pStyle w:val="139"/>
              <w:spacing w:line="240" w:lineRule="auto"/>
              <w:rPr>
                <w:rFonts w:cs="Times New Roman"/>
                <w:lang w:eastAsia="en-US"/>
              </w:rPr>
            </w:pPr>
            <w:r>
              <w:rPr>
                <w:rFonts w:cs="Times New Roman"/>
                <w:lang w:eastAsia="en-US"/>
              </w:rPr>
              <w:t>建坝条件</w:t>
            </w:r>
          </w:p>
        </w:tc>
        <w:tc>
          <w:tcPr>
            <w:tcW w:w="1023" w:type="pct"/>
            <w:vAlign w:val="center"/>
          </w:tcPr>
          <w:p>
            <w:pPr>
              <w:pStyle w:val="139"/>
              <w:spacing w:line="240" w:lineRule="auto"/>
              <w:rPr>
                <w:rFonts w:cs="Times New Roman"/>
                <w:lang w:eastAsia="en-US"/>
              </w:rPr>
            </w:pPr>
            <w:r>
              <w:rPr>
                <w:rFonts w:cs="Times New Roman"/>
                <w:lang w:eastAsia="en-US"/>
              </w:rPr>
              <w:t>地形</w:t>
            </w:r>
          </w:p>
        </w:tc>
        <w:tc>
          <w:tcPr>
            <w:tcW w:w="2489" w:type="pct"/>
            <w:vAlign w:val="center"/>
          </w:tcPr>
          <w:p>
            <w:pPr>
              <w:pStyle w:val="139"/>
              <w:spacing w:line="240" w:lineRule="auto"/>
              <w:rPr>
                <w:rFonts w:cs="Times New Roman"/>
              </w:rPr>
            </w:pPr>
            <w:r>
              <w:rPr>
                <w:rFonts w:hint="eastAsia" w:cs="Times New Roman"/>
              </w:rPr>
              <w:t>“</w:t>
            </w:r>
            <w:r>
              <w:rPr>
                <w:rFonts w:cs="Times New Roman"/>
              </w:rPr>
              <w:t>V</w:t>
            </w:r>
            <w:r>
              <w:rPr>
                <w:rFonts w:hint="eastAsia" w:cs="Times New Roman"/>
              </w:rPr>
              <w:t>”</w:t>
            </w:r>
            <w:r>
              <w:rPr>
                <w:rFonts w:cs="Times New Roman"/>
              </w:rPr>
              <w:t>型谷，地形坡度25～45°之间</w:t>
            </w:r>
          </w:p>
        </w:tc>
        <w:tc>
          <w:tcPr>
            <w:tcW w:w="803" w:type="pct"/>
            <w:vAlign w:val="center"/>
          </w:tcPr>
          <w:p>
            <w:pPr>
              <w:pStyle w:val="139"/>
              <w:spacing w:line="240" w:lineRule="auto"/>
              <w:rPr>
                <w:rFonts w:cs="Times New Roman"/>
              </w:rPr>
            </w:pPr>
            <w:r>
              <w:rPr>
                <w:rFonts w:cs="Times New Roman"/>
              </w:rPr>
              <w:t>上坝线较优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continue"/>
            <w:vAlign w:val="center"/>
          </w:tcPr>
          <w:p>
            <w:pPr>
              <w:pStyle w:val="139"/>
              <w:spacing w:line="240" w:lineRule="auto"/>
              <w:rPr>
                <w:rFonts w:cs="Times New Roman"/>
                <w:lang w:eastAsia="en-US"/>
              </w:rPr>
            </w:pPr>
          </w:p>
        </w:tc>
        <w:tc>
          <w:tcPr>
            <w:tcW w:w="1023" w:type="pct"/>
            <w:vAlign w:val="center"/>
          </w:tcPr>
          <w:p>
            <w:pPr>
              <w:pStyle w:val="139"/>
              <w:spacing w:line="240" w:lineRule="auto"/>
              <w:rPr>
                <w:rFonts w:cs="Times New Roman"/>
                <w:lang w:eastAsia="en-US"/>
              </w:rPr>
            </w:pPr>
            <w:r>
              <w:rPr>
                <w:rFonts w:cs="Times New Roman"/>
                <w:lang w:eastAsia="en-US"/>
              </w:rPr>
              <w:t>工程地质</w:t>
            </w:r>
          </w:p>
        </w:tc>
        <w:tc>
          <w:tcPr>
            <w:tcW w:w="2489" w:type="pct"/>
            <w:vAlign w:val="center"/>
          </w:tcPr>
          <w:p>
            <w:pPr>
              <w:pStyle w:val="139"/>
              <w:spacing w:line="240" w:lineRule="auto"/>
              <w:rPr>
                <w:rFonts w:cs="Times New Roman"/>
              </w:rPr>
            </w:pPr>
            <w:r>
              <w:rPr>
                <w:rFonts w:cs="Times New Roman"/>
              </w:rPr>
              <w:t>坝基岩体均为砂岩、粉砂质泥岩互层，覆盖层厚度及帷幕灌浆深度上坝线较优</w:t>
            </w:r>
          </w:p>
        </w:tc>
        <w:tc>
          <w:tcPr>
            <w:tcW w:w="803" w:type="pct"/>
            <w:vAlign w:val="center"/>
          </w:tcPr>
          <w:p>
            <w:pPr>
              <w:pStyle w:val="139"/>
              <w:spacing w:line="240" w:lineRule="auto"/>
              <w:rPr>
                <w:rFonts w:cs="Times New Roman"/>
              </w:rPr>
            </w:pPr>
            <w:r>
              <w:rPr>
                <w:rFonts w:cs="Times New Roman"/>
              </w:rPr>
              <w:t>上坝线较优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restart"/>
            <w:vAlign w:val="center"/>
          </w:tcPr>
          <w:p>
            <w:pPr>
              <w:pStyle w:val="139"/>
              <w:spacing w:line="240" w:lineRule="auto"/>
              <w:rPr>
                <w:rFonts w:cs="Times New Roman"/>
                <w:lang w:eastAsia="en-US"/>
              </w:rPr>
            </w:pPr>
            <w:r>
              <w:rPr>
                <w:rFonts w:cs="Times New Roman"/>
                <w:lang w:eastAsia="en-US"/>
              </w:rPr>
              <w:t>枢纽布置条件</w:t>
            </w:r>
          </w:p>
        </w:tc>
        <w:tc>
          <w:tcPr>
            <w:tcW w:w="1023" w:type="pct"/>
            <w:vAlign w:val="center"/>
          </w:tcPr>
          <w:p>
            <w:pPr>
              <w:pStyle w:val="139"/>
              <w:spacing w:line="240" w:lineRule="auto"/>
              <w:rPr>
                <w:rFonts w:cs="Times New Roman"/>
                <w:lang w:eastAsia="en-US"/>
              </w:rPr>
            </w:pPr>
            <w:r>
              <w:rPr>
                <w:rFonts w:cs="Times New Roman"/>
                <w:lang w:eastAsia="en-US"/>
              </w:rPr>
              <w:t>大坝</w:t>
            </w:r>
          </w:p>
        </w:tc>
        <w:tc>
          <w:tcPr>
            <w:tcW w:w="2489" w:type="pct"/>
            <w:vAlign w:val="center"/>
          </w:tcPr>
          <w:p>
            <w:pPr>
              <w:pStyle w:val="139"/>
              <w:spacing w:line="240" w:lineRule="auto"/>
              <w:rPr>
                <w:rFonts w:cs="Times New Roman"/>
              </w:rPr>
            </w:pPr>
            <w:r>
              <w:rPr>
                <w:rFonts w:cs="Times New Roman"/>
              </w:rPr>
              <w:t>下坝线坝高大，轴线偏长，填筑量偏大</w:t>
            </w:r>
          </w:p>
        </w:tc>
        <w:tc>
          <w:tcPr>
            <w:tcW w:w="803" w:type="pct"/>
            <w:vMerge w:val="restart"/>
            <w:vAlign w:val="center"/>
          </w:tcPr>
          <w:p>
            <w:pPr>
              <w:pStyle w:val="139"/>
              <w:spacing w:line="240" w:lineRule="auto"/>
              <w:rPr>
                <w:rFonts w:cs="Times New Roman"/>
              </w:rPr>
            </w:pPr>
          </w:p>
          <w:p>
            <w:pPr>
              <w:pStyle w:val="139"/>
              <w:spacing w:line="240" w:lineRule="auto"/>
              <w:rPr>
                <w:rFonts w:cs="Times New Roman"/>
              </w:rPr>
            </w:pPr>
          </w:p>
          <w:p>
            <w:pPr>
              <w:pStyle w:val="139"/>
              <w:spacing w:line="240" w:lineRule="auto"/>
              <w:rPr>
                <w:rFonts w:cs="Times New Roman"/>
                <w:lang w:eastAsia="en-US"/>
              </w:rPr>
            </w:pPr>
            <w:r>
              <w:rPr>
                <w:rFonts w:cs="Times New Roman"/>
                <w:lang w:eastAsia="en-US"/>
              </w:rPr>
              <w:t>上坝</w:t>
            </w:r>
            <w:r>
              <w:rPr>
                <w:rFonts w:cs="Times New Roman"/>
              </w:rPr>
              <w:t>线</w:t>
            </w:r>
            <w:r>
              <w:rPr>
                <w:rFonts w:cs="Times New Roman"/>
                <w:lang w:eastAsia="en-US"/>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continue"/>
            <w:vAlign w:val="center"/>
          </w:tcPr>
          <w:p>
            <w:pPr>
              <w:pStyle w:val="139"/>
              <w:spacing w:line="240" w:lineRule="auto"/>
              <w:rPr>
                <w:rFonts w:cs="Times New Roman"/>
                <w:lang w:eastAsia="en-US"/>
              </w:rPr>
            </w:pPr>
          </w:p>
        </w:tc>
        <w:tc>
          <w:tcPr>
            <w:tcW w:w="1023" w:type="pct"/>
            <w:vAlign w:val="center"/>
          </w:tcPr>
          <w:p>
            <w:pPr>
              <w:pStyle w:val="139"/>
              <w:spacing w:line="240" w:lineRule="auto"/>
              <w:rPr>
                <w:rFonts w:cs="Times New Roman"/>
                <w:lang w:eastAsia="en-US"/>
              </w:rPr>
            </w:pPr>
            <w:r>
              <w:rPr>
                <w:rFonts w:cs="Times New Roman"/>
                <w:lang w:eastAsia="en-US"/>
              </w:rPr>
              <w:t>溢洪道</w:t>
            </w:r>
          </w:p>
        </w:tc>
        <w:tc>
          <w:tcPr>
            <w:tcW w:w="2489" w:type="pct"/>
            <w:vAlign w:val="center"/>
          </w:tcPr>
          <w:p>
            <w:pPr>
              <w:pStyle w:val="139"/>
              <w:spacing w:line="240" w:lineRule="auto"/>
              <w:rPr>
                <w:rFonts w:cs="Times New Roman"/>
              </w:rPr>
            </w:pPr>
            <w:r>
              <w:rPr>
                <w:rFonts w:cs="Times New Roman"/>
              </w:rPr>
              <w:t>下坝线溢洪道较长</w:t>
            </w:r>
          </w:p>
        </w:tc>
        <w:tc>
          <w:tcPr>
            <w:tcW w:w="803" w:type="pct"/>
            <w:vMerge w:val="continue"/>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continue"/>
            <w:vAlign w:val="center"/>
          </w:tcPr>
          <w:p>
            <w:pPr>
              <w:pStyle w:val="139"/>
              <w:spacing w:line="240" w:lineRule="auto"/>
              <w:rPr>
                <w:rFonts w:cs="Times New Roman"/>
              </w:rPr>
            </w:pPr>
          </w:p>
        </w:tc>
        <w:tc>
          <w:tcPr>
            <w:tcW w:w="1023" w:type="pct"/>
            <w:vAlign w:val="center"/>
          </w:tcPr>
          <w:p>
            <w:pPr>
              <w:pStyle w:val="139"/>
              <w:spacing w:line="240" w:lineRule="auto"/>
              <w:rPr>
                <w:rFonts w:cs="Times New Roman"/>
              </w:rPr>
            </w:pPr>
            <w:r>
              <w:rPr>
                <w:rFonts w:cs="Times New Roman"/>
              </w:rPr>
              <w:t>取水放空隧洞</w:t>
            </w:r>
          </w:p>
        </w:tc>
        <w:tc>
          <w:tcPr>
            <w:tcW w:w="2489" w:type="pct"/>
            <w:vAlign w:val="center"/>
          </w:tcPr>
          <w:p>
            <w:pPr>
              <w:pStyle w:val="139"/>
              <w:spacing w:line="240" w:lineRule="auto"/>
              <w:rPr>
                <w:rFonts w:cs="Times New Roman"/>
              </w:rPr>
            </w:pPr>
            <w:r>
              <w:rPr>
                <w:rFonts w:cs="Times New Roman"/>
              </w:rPr>
              <w:t>上坝线可利用已成隧洞，下坝线需新建</w:t>
            </w:r>
          </w:p>
        </w:tc>
        <w:tc>
          <w:tcPr>
            <w:tcW w:w="803" w:type="pct"/>
            <w:vMerge w:val="continue"/>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vMerge w:val="continue"/>
            <w:vAlign w:val="center"/>
          </w:tcPr>
          <w:p>
            <w:pPr>
              <w:pStyle w:val="139"/>
              <w:spacing w:line="240" w:lineRule="auto"/>
              <w:rPr>
                <w:rFonts w:cs="Times New Roman"/>
              </w:rPr>
            </w:pPr>
          </w:p>
        </w:tc>
        <w:tc>
          <w:tcPr>
            <w:tcW w:w="1023" w:type="pct"/>
            <w:vAlign w:val="center"/>
          </w:tcPr>
          <w:p>
            <w:pPr>
              <w:pStyle w:val="139"/>
              <w:spacing w:line="240" w:lineRule="auto"/>
              <w:rPr>
                <w:rFonts w:cs="Times New Roman"/>
                <w:lang w:eastAsia="en-US"/>
              </w:rPr>
            </w:pPr>
            <w:r>
              <w:rPr>
                <w:rFonts w:cs="Times New Roman"/>
                <w:lang w:eastAsia="en-US"/>
              </w:rPr>
              <w:t>工程部分投资</w:t>
            </w:r>
          </w:p>
        </w:tc>
        <w:tc>
          <w:tcPr>
            <w:tcW w:w="2489" w:type="pct"/>
            <w:vAlign w:val="center"/>
          </w:tcPr>
          <w:p>
            <w:pPr>
              <w:pStyle w:val="139"/>
              <w:spacing w:line="240" w:lineRule="auto"/>
              <w:rPr>
                <w:rFonts w:cs="Times New Roman"/>
              </w:rPr>
            </w:pPr>
            <w:r>
              <w:rPr>
                <w:rFonts w:cs="Times New Roman"/>
              </w:rPr>
              <w:t>上坝线工程部分投资较下坝线少</w:t>
            </w:r>
            <w:r>
              <w:rPr>
                <w:rFonts w:hint="eastAsia" w:cs="Times New Roman"/>
              </w:rPr>
              <w:t>1128.24</w:t>
            </w:r>
            <w:r>
              <w:rPr>
                <w:rFonts w:cs="Times New Roman"/>
              </w:rPr>
              <w:t>万元</w:t>
            </w:r>
          </w:p>
        </w:tc>
        <w:tc>
          <w:tcPr>
            <w:tcW w:w="803" w:type="pct"/>
            <w:vMerge w:val="continue"/>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8" w:type="pct"/>
            <w:gridSpan w:val="2"/>
            <w:vAlign w:val="center"/>
          </w:tcPr>
          <w:p>
            <w:pPr>
              <w:pStyle w:val="139"/>
              <w:spacing w:line="240" w:lineRule="auto"/>
              <w:rPr>
                <w:rFonts w:cs="Times New Roman"/>
                <w:lang w:eastAsia="en-US"/>
              </w:rPr>
            </w:pPr>
            <w:r>
              <w:rPr>
                <w:rFonts w:cs="Times New Roman"/>
                <w:lang w:eastAsia="en-US"/>
              </w:rPr>
              <w:t>施工条件</w:t>
            </w:r>
          </w:p>
        </w:tc>
        <w:tc>
          <w:tcPr>
            <w:tcW w:w="2489" w:type="pct"/>
            <w:vAlign w:val="center"/>
          </w:tcPr>
          <w:p>
            <w:pPr>
              <w:pStyle w:val="139"/>
              <w:spacing w:line="240" w:lineRule="auto"/>
              <w:rPr>
                <w:rFonts w:cs="Times New Roman"/>
              </w:rPr>
            </w:pPr>
            <w:r>
              <w:rPr>
                <w:rFonts w:cs="Times New Roman"/>
              </w:rPr>
              <w:t>施工布置、交通、工期相当；下坝线围堰工程量稍大；下坝线距石渣料场稍远</w:t>
            </w:r>
          </w:p>
        </w:tc>
        <w:tc>
          <w:tcPr>
            <w:tcW w:w="803" w:type="pct"/>
            <w:vAlign w:val="center"/>
          </w:tcPr>
          <w:p>
            <w:pPr>
              <w:pStyle w:val="139"/>
              <w:spacing w:line="240" w:lineRule="auto"/>
              <w:rPr>
                <w:rFonts w:cs="Times New Roman"/>
                <w:lang w:eastAsia="en-US"/>
              </w:rPr>
            </w:pPr>
            <w:r>
              <w:rPr>
                <w:rFonts w:cs="Times New Roman"/>
                <w:lang w:eastAsia="en-US"/>
              </w:rPr>
              <w:t>上坝址略优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8" w:type="pct"/>
            <w:gridSpan w:val="2"/>
            <w:vAlign w:val="center"/>
          </w:tcPr>
          <w:p>
            <w:pPr>
              <w:pStyle w:val="139"/>
              <w:spacing w:line="240" w:lineRule="auto"/>
              <w:rPr>
                <w:rFonts w:cs="Times New Roman"/>
                <w:lang w:eastAsia="en-US"/>
              </w:rPr>
            </w:pPr>
            <w:r>
              <w:rPr>
                <w:rFonts w:cs="Times New Roman"/>
                <w:lang w:eastAsia="en-US"/>
              </w:rPr>
              <w:t>移民征地及补偿</w:t>
            </w:r>
          </w:p>
        </w:tc>
        <w:tc>
          <w:tcPr>
            <w:tcW w:w="2489" w:type="pct"/>
            <w:vAlign w:val="center"/>
          </w:tcPr>
          <w:p>
            <w:pPr>
              <w:pStyle w:val="139"/>
              <w:spacing w:line="240" w:lineRule="auto"/>
              <w:rPr>
                <w:rFonts w:cs="Times New Roman"/>
              </w:rPr>
            </w:pPr>
            <w:r>
              <w:rPr>
                <w:rFonts w:cs="Times New Roman"/>
              </w:rPr>
              <w:t>上坝线移民部分投资较下坝线少</w:t>
            </w:r>
            <w:r>
              <w:rPr>
                <w:rFonts w:hint="eastAsia" w:cs="Times New Roman"/>
              </w:rPr>
              <w:t>57.3</w:t>
            </w:r>
            <w:r>
              <w:rPr>
                <w:rFonts w:cs="Times New Roman"/>
              </w:rPr>
              <w:t>万元</w:t>
            </w:r>
          </w:p>
        </w:tc>
        <w:tc>
          <w:tcPr>
            <w:tcW w:w="803" w:type="pct"/>
            <w:vAlign w:val="center"/>
          </w:tcPr>
          <w:p>
            <w:pPr>
              <w:pStyle w:val="139"/>
              <w:spacing w:line="240" w:lineRule="auto"/>
              <w:rPr>
                <w:rFonts w:cs="Times New Roman"/>
                <w:lang w:eastAsia="en-US"/>
              </w:rPr>
            </w:pPr>
            <w:r>
              <w:rPr>
                <w:rFonts w:cs="Times New Roman"/>
                <w:lang w:eastAsia="en-US"/>
              </w:rPr>
              <w:t>上坝</w:t>
            </w:r>
            <w:r>
              <w:rPr>
                <w:rFonts w:cs="Times New Roman"/>
              </w:rPr>
              <w:t>线较</w:t>
            </w:r>
            <w:r>
              <w:rPr>
                <w:rFonts w:cs="Times New Roman"/>
                <w:lang w:eastAsia="en-US"/>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8" w:type="pct"/>
            <w:gridSpan w:val="2"/>
            <w:vAlign w:val="center"/>
          </w:tcPr>
          <w:p>
            <w:pPr>
              <w:pStyle w:val="139"/>
              <w:spacing w:line="240" w:lineRule="auto"/>
              <w:rPr>
                <w:rFonts w:cs="Times New Roman"/>
                <w:lang w:eastAsia="en-US"/>
              </w:rPr>
            </w:pPr>
            <w:r>
              <w:rPr>
                <w:rFonts w:cs="Times New Roman"/>
                <w:lang w:eastAsia="en-US"/>
              </w:rPr>
              <w:t>枢纽+移民总投资</w:t>
            </w:r>
          </w:p>
        </w:tc>
        <w:tc>
          <w:tcPr>
            <w:tcW w:w="2489" w:type="pct"/>
            <w:vAlign w:val="center"/>
          </w:tcPr>
          <w:p>
            <w:pPr>
              <w:pStyle w:val="139"/>
              <w:spacing w:line="240" w:lineRule="auto"/>
              <w:rPr>
                <w:rFonts w:cs="Times New Roman"/>
              </w:rPr>
            </w:pPr>
            <w:r>
              <w:rPr>
                <w:rFonts w:cs="Times New Roman"/>
              </w:rPr>
              <w:t>上坝线总投资较下坝线少</w:t>
            </w:r>
            <w:r>
              <w:rPr>
                <w:rFonts w:hint="eastAsia" w:cs="Times New Roman"/>
              </w:rPr>
              <w:t>1185.54</w:t>
            </w:r>
            <w:r>
              <w:rPr>
                <w:rFonts w:cs="Times New Roman"/>
              </w:rPr>
              <w:t>万元</w:t>
            </w:r>
          </w:p>
        </w:tc>
        <w:tc>
          <w:tcPr>
            <w:tcW w:w="803" w:type="pct"/>
            <w:vAlign w:val="center"/>
          </w:tcPr>
          <w:p>
            <w:pPr>
              <w:pStyle w:val="139"/>
              <w:spacing w:line="240" w:lineRule="auto"/>
              <w:rPr>
                <w:rFonts w:cs="Times New Roman"/>
                <w:lang w:eastAsia="en-US"/>
              </w:rPr>
            </w:pPr>
            <w:r>
              <w:rPr>
                <w:rFonts w:cs="Times New Roman"/>
                <w:lang w:eastAsia="en-US"/>
              </w:rPr>
              <w:t>上坝</w:t>
            </w:r>
            <w:r>
              <w:rPr>
                <w:rFonts w:cs="Times New Roman"/>
              </w:rPr>
              <w:t>线</w:t>
            </w:r>
            <w:r>
              <w:rPr>
                <w:rFonts w:cs="Times New Roman"/>
                <w:lang w:eastAsia="en-US"/>
              </w:rPr>
              <w:t>优</w:t>
            </w:r>
          </w:p>
        </w:tc>
      </w:tr>
    </w:tbl>
    <w:p>
      <w:pPr>
        <w:ind w:firstLine="480"/>
        <w:contextualSpacing/>
      </w:pPr>
      <w:r>
        <w:rPr>
          <w:rFonts w:hint="eastAsia"/>
        </w:rPr>
        <w:t>经综合分析比较，上、下坝线均具备建坝条件，从地形地质条件、枢纽布置及投资比较，上坝线优于下坝线，故综合考虑，本阶段推荐上坝线。</w:t>
      </w:r>
    </w:p>
    <w:p>
      <w:pPr>
        <w:ind w:firstLine="0" w:firstLineChars="0"/>
        <w:contextualSpacing/>
        <w:outlineLvl w:val="3"/>
        <w:rPr>
          <w:b/>
          <w:bCs/>
        </w:rPr>
      </w:pPr>
      <w:r>
        <w:rPr>
          <w:b/>
          <w:bCs/>
        </w:rPr>
        <w:t>3.2.2.2供水线路及方式选择环境合理性</w:t>
      </w:r>
    </w:p>
    <w:p>
      <w:pPr>
        <w:ind w:firstLine="480"/>
        <w:contextualSpacing/>
        <w:rPr>
          <w:rFonts w:hint="eastAsia"/>
        </w:rPr>
      </w:pPr>
      <w:r>
        <w:rPr>
          <w:rFonts w:hint="eastAsia"/>
        </w:rPr>
        <w:t>根据灌区分布，走向大致由北向南，由左岸取水隧洞出口后沿蔡家河左岸行至陈家山，建渡槽跨至右岸，右岸取水洞连接渠于渡槽出口处汇入干渠，之后干渠南行过岳家坡、尖佛山、何家塝、冯家梁，到达原凌云乡代洛山，建隧洞穿山进入石门乡，之后继续南行止于登高寨。渠线基本沿山腰布置，多为傍山渠道。</w:t>
      </w:r>
    </w:p>
    <w:p>
      <w:pPr>
        <w:ind w:firstLine="480"/>
        <w:contextualSpacing/>
        <w:rPr>
          <w:rFonts w:hint="eastAsia"/>
        </w:rPr>
      </w:pPr>
      <w:r>
        <w:rPr>
          <w:rFonts w:hint="eastAsia"/>
        </w:rPr>
        <w:t>整个干渠线路较短且单一，干渠渠线仅有局部线路可进行选择。干渠在岳家坡与何家塝之间有三条线路方案，方案一穿隧洞直线前行，方案二沿蔡家河右岸山腰而行，方案三蔡家河右岸山腰后穿隧洞而行。三条线路均具备建渠条件，本阶段对三个方案进行技术经济比较。</w:t>
      </w:r>
    </w:p>
    <w:p>
      <w:pPr>
        <w:ind w:firstLine="480"/>
        <w:contextualSpacing/>
        <w:rPr>
          <w:rFonts w:hint="eastAsia"/>
        </w:rPr>
      </w:pPr>
      <w:r>
        <w:rPr>
          <w:rFonts w:hint="eastAsia"/>
        </w:rPr>
        <w:t>1）方案一：隧洞方案（推荐方案）</w:t>
      </w:r>
    </w:p>
    <w:p>
      <w:pPr>
        <w:ind w:firstLine="480"/>
        <w:contextualSpacing/>
        <w:rPr>
          <w:rFonts w:hint="eastAsia"/>
        </w:rPr>
      </w:pPr>
      <w:r>
        <w:rPr>
          <w:rFonts w:hint="eastAsia"/>
        </w:rPr>
        <w:t>干渠经左岸取水洞出口取水，在坝下游过陈家山渡槽后，沿蔡家河右岸傍山而行，在岳家坡转入尖佛山隧洞。该方案隧洞长1324m。</w:t>
      </w:r>
    </w:p>
    <w:p>
      <w:pPr>
        <w:ind w:firstLine="480"/>
        <w:contextualSpacing/>
        <w:rPr>
          <w:rFonts w:hint="eastAsia"/>
        </w:rPr>
      </w:pPr>
      <w:r>
        <w:rPr>
          <w:rFonts w:hint="eastAsia"/>
        </w:rPr>
        <w:t>2）方案二：管线方案</w:t>
      </w:r>
    </w:p>
    <w:p>
      <w:pPr>
        <w:ind w:firstLine="480"/>
        <w:contextualSpacing/>
        <w:rPr>
          <w:rFonts w:hint="eastAsia"/>
        </w:rPr>
      </w:pPr>
      <w:r>
        <w:rPr>
          <w:rFonts w:hint="eastAsia"/>
        </w:rPr>
        <w:t>干渠经左岸取水洞取水，在坝下游过陈家山渡槽后，沿蔡家河右岸傍山而行，经原凌云乡白岩河，到方案一的尖佛山隧洞出口。该方案均为暗管，全长2520m，管线多经陡坡。</w:t>
      </w:r>
    </w:p>
    <w:p>
      <w:pPr>
        <w:ind w:firstLine="480"/>
        <w:contextualSpacing/>
        <w:rPr>
          <w:rFonts w:hint="eastAsia"/>
        </w:rPr>
      </w:pPr>
      <w:r>
        <w:rPr>
          <w:rFonts w:hint="eastAsia"/>
        </w:rPr>
        <w:t>3）方案三：管线+隧洞方案</w:t>
      </w:r>
    </w:p>
    <w:p>
      <w:pPr>
        <w:ind w:firstLine="480"/>
        <w:contextualSpacing/>
      </w:pPr>
      <w:r>
        <w:rPr>
          <w:rFonts w:hint="eastAsia"/>
        </w:rPr>
        <w:t>干渠经左岸取水洞取水，在坝下游过陈家山渡槽后，采用管线沿蔡家河右岸傍山而行，行至张家岩后采用隧洞穿尖佛山，至尖佛山隧洞出口。该方案前段为暗管，长度为960m；后段为隧洞，长度为910m。该方案全长1870m。</w:t>
      </w:r>
    </w:p>
    <w:p>
      <w:pPr>
        <w:pStyle w:val="65"/>
        <w:spacing w:line="360" w:lineRule="auto"/>
        <w:ind w:firstLine="480"/>
        <w:contextualSpacing/>
        <w:jc w:val="center"/>
      </w:pPr>
      <w:r>
        <w:rPr>
          <w:szCs w:val="22"/>
        </w:rPr>
        <w:drawing>
          <wp:inline distT="0" distB="0" distL="0" distR="0">
            <wp:extent cx="3352800" cy="4650105"/>
            <wp:effectExtent l="0" t="0" r="0" b="0"/>
            <wp:docPr id="10" name="图片 33" descr="F:\蒋洪周qt\寒溪寺水库初设\初设\初设审查意见\暗渠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F:\蒋洪周qt\寒溪寺水库初设\初设\初设审查意见\暗渠方案.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352800" cy="4650105"/>
                    </a:xfrm>
                    <a:prstGeom prst="rect">
                      <a:avLst/>
                    </a:prstGeom>
                    <a:noFill/>
                    <a:ln>
                      <a:noFill/>
                    </a:ln>
                  </pic:spPr>
                </pic:pic>
              </a:graphicData>
            </a:graphic>
          </wp:inline>
        </w:drawing>
      </w:r>
    </w:p>
    <w:p>
      <w:pPr>
        <w:pStyle w:val="65"/>
        <w:spacing w:line="360" w:lineRule="auto"/>
        <w:ind w:firstLine="422"/>
        <w:contextualSpacing/>
        <w:jc w:val="center"/>
        <w:rPr>
          <w:b/>
          <w:bCs/>
          <w:sz w:val="21"/>
          <w:szCs w:val="21"/>
        </w:rPr>
      </w:pPr>
      <w:r>
        <w:rPr>
          <w:b/>
          <w:bCs/>
          <w:sz w:val="21"/>
          <w:szCs w:val="21"/>
        </w:rPr>
        <w:t>图5</w:t>
      </w:r>
      <w:r>
        <w:rPr>
          <w:rFonts w:hint="eastAsia"/>
          <w:b/>
          <w:bCs/>
          <w:sz w:val="21"/>
          <w:szCs w:val="21"/>
        </w:rPr>
        <w:t>.3.3</w:t>
      </w:r>
      <w:r>
        <w:rPr>
          <w:b/>
          <w:bCs/>
          <w:sz w:val="21"/>
          <w:szCs w:val="21"/>
        </w:rPr>
        <w:t>-</w:t>
      </w:r>
      <w:r>
        <w:rPr>
          <w:rFonts w:hint="eastAsia"/>
          <w:b/>
          <w:bCs/>
          <w:sz w:val="21"/>
          <w:szCs w:val="21"/>
        </w:rPr>
        <w:t>1</w:t>
      </w:r>
      <w:r>
        <w:rPr>
          <w:b/>
          <w:bCs/>
          <w:sz w:val="21"/>
          <w:szCs w:val="21"/>
        </w:rPr>
        <w:t xml:space="preserve">  干渠局部线路比选示意图</w:t>
      </w:r>
    </w:p>
    <w:p>
      <w:pPr>
        <w:ind w:firstLine="480"/>
        <w:contextualSpacing/>
      </w:pPr>
      <w:r>
        <w:t>对各方案统计工程量、占地及投资，详见</w:t>
      </w:r>
      <w:r>
        <w:rPr>
          <w:rFonts w:hint="eastAsia"/>
        </w:rPr>
        <w:t>下表</w:t>
      </w:r>
      <w:r>
        <w:t>。</w:t>
      </w:r>
    </w:p>
    <w:p>
      <w:pPr>
        <w:pStyle w:val="65"/>
        <w:spacing w:line="360" w:lineRule="auto"/>
        <w:ind w:firstLine="422"/>
        <w:contextualSpacing/>
        <w:jc w:val="center"/>
        <w:rPr>
          <w:b/>
          <w:bCs/>
          <w:sz w:val="21"/>
          <w:szCs w:val="21"/>
        </w:rPr>
      </w:pPr>
      <w:r>
        <w:rPr>
          <w:b/>
          <w:bCs/>
          <w:sz w:val="21"/>
          <w:szCs w:val="21"/>
        </w:rPr>
        <w:t>表5.3.3-1  干渠局部线路方案比较表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0"/>
        <w:gridCol w:w="798"/>
        <w:gridCol w:w="1129"/>
        <w:gridCol w:w="1198"/>
        <w:gridCol w:w="1196"/>
        <w:gridCol w:w="1198"/>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项</w:t>
            </w:r>
            <w:r>
              <w:rPr>
                <w:rFonts w:cs="Times New Roman"/>
                <w:szCs w:val="18"/>
                <w:lang w:eastAsia="en-US"/>
              </w:rPr>
              <w:tab/>
            </w:r>
            <w:r>
              <w:rPr>
                <w:rFonts w:cs="Times New Roman"/>
                <w:szCs w:val="18"/>
                <w:lang w:eastAsia="en-US"/>
              </w:rPr>
              <w:t>目</w:t>
            </w:r>
          </w:p>
        </w:tc>
        <w:tc>
          <w:tcPr>
            <w:tcW w:w="480" w:type="pct"/>
            <w:vAlign w:val="center"/>
          </w:tcPr>
          <w:p>
            <w:pPr>
              <w:pStyle w:val="139"/>
              <w:spacing w:line="240" w:lineRule="auto"/>
              <w:rPr>
                <w:rFonts w:cs="Times New Roman"/>
                <w:szCs w:val="18"/>
                <w:lang w:eastAsia="en-US"/>
              </w:rPr>
            </w:pPr>
            <w:r>
              <w:rPr>
                <w:rFonts w:cs="Times New Roman"/>
                <w:szCs w:val="18"/>
                <w:lang w:eastAsia="en-US"/>
              </w:rPr>
              <w:t>单位</w:t>
            </w:r>
          </w:p>
        </w:tc>
        <w:tc>
          <w:tcPr>
            <w:tcW w:w="679" w:type="pct"/>
            <w:vAlign w:val="center"/>
          </w:tcPr>
          <w:p>
            <w:pPr>
              <w:pStyle w:val="139"/>
              <w:spacing w:line="240" w:lineRule="auto"/>
              <w:rPr>
                <w:rFonts w:cs="Times New Roman"/>
                <w:szCs w:val="18"/>
              </w:rPr>
            </w:pPr>
            <w:r>
              <w:rPr>
                <w:rFonts w:cs="Times New Roman"/>
                <w:szCs w:val="18"/>
                <w:lang w:eastAsia="en-US"/>
              </w:rPr>
              <w:t>方案一</w:t>
            </w:r>
          </w:p>
          <w:p>
            <w:pPr>
              <w:pStyle w:val="139"/>
              <w:spacing w:line="240" w:lineRule="auto"/>
              <w:rPr>
                <w:rFonts w:cs="Times New Roman"/>
                <w:szCs w:val="18"/>
                <w:lang w:eastAsia="en-US"/>
              </w:rPr>
            </w:pPr>
            <w:r>
              <w:rPr>
                <w:rFonts w:cs="Times New Roman"/>
                <w:szCs w:val="18"/>
                <w:lang w:eastAsia="en-US"/>
              </w:rPr>
              <w:t>（隧洞）</w:t>
            </w:r>
          </w:p>
        </w:tc>
        <w:tc>
          <w:tcPr>
            <w:tcW w:w="720" w:type="pct"/>
            <w:vAlign w:val="center"/>
          </w:tcPr>
          <w:p>
            <w:pPr>
              <w:pStyle w:val="139"/>
              <w:spacing w:line="240" w:lineRule="auto"/>
              <w:rPr>
                <w:rFonts w:cs="Times New Roman"/>
                <w:szCs w:val="18"/>
              </w:rPr>
            </w:pPr>
            <w:r>
              <w:rPr>
                <w:rFonts w:cs="Times New Roman"/>
                <w:szCs w:val="18"/>
                <w:lang w:eastAsia="en-US"/>
              </w:rPr>
              <w:t>方案二</w:t>
            </w:r>
          </w:p>
          <w:p>
            <w:pPr>
              <w:pStyle w:val="139"/>
              <w:spacing w:line="240" w:lineRule="auto"/>
              <w:rPr>
                <w:rFonts w:cs="Times New Roman"/>
                <w:szCs w:val="18"/>
                <w:lang w:eastAsia="en-US"/>
              </w:rPr>
            </w:pPr>
            <w:r>
              <w:rPr>
                <w:rFonts w:cs="Times New Roman"/>
                <w:szCs w:val="18"/>
                <w:lang w:eastAsia="en-US"/>
              </w:rPr>
              <w:t>（</w:t>
            </w:r>
            <w:r>
              <w:rPr>
                <w:rFonts w:cs="Times New Roman"/>
                <w:szCs w:val="18"/>
              </w:rPr>
              <w:t>管线</w:t>
            </w:r>
            <w:r>
              <w:rPr>
                <w:rFonts w:cs="Times New Roman"/>
                <w:szCs w:val="18"/>
                <w:lang w:eastAsia="en-US"/>
              </w:rPr>
              <w:t>）</w:t>
            </w:r>
          </w:p>
        </w:tc>
        <w:tc>
          <w:tcPr>
            <w:tcW w:w="719" w:type="pct"/>
            <w:vAlign w:val="center"/>
          </w:tcPr>
          <w:p>
            <w:pPr>
              <w:pStyle w:val="139"/>
              <w:spacing w:line="240" w:lineRule="auto"/>
              <w:rPr>
                <w:rFonts w:cs="Times New Roman"/>
                <w:szCs w:val="18"/>
              </w:rPr>
            </w:pPr>
            <w:r>
              <w:rPr>
                <w:rFonts w:cs="Times New Roman"/>
                <w:szCs w:val="18"/>
              </w:rPr>
              <w:t>方案三</w:t>
            </w:r>
          </w:p>
          <w:p>
            <w:pPr>
              <w:pStyle w:val="139"/>
              <w:spacing w:line="240" w:lineRule="auto"/>
              <w:rPr>
                <w:rFonts w:cs="Times New Roman"/>
                <w:szCs w:val="18"/>
              </w:rPr>
            </w:pPr>
            <w:r>
              <w:rPr>
                <w:rFonts w:cs="Times New Roman"/>
                <w:szCs w:val="18"/>
              </w:rPr>
              <w:t>（管线+隧洞）</w:t>
            </w:r>
          </w:p>
        </w:tc>
        <w:tc>
          <w:tcPr>
            <w:tcW w:w="720" w:type="pct"/>
            <w:vAlign w:val="center"/>
          </w:tcPr>
          <w:p>
            <w:pPr>
              <w:pStyle w:val="139"/>
              <w:spacing w:line="240" w:lineRule="auto"/>
              <w:rPr>
                <w:rFonts w:cs="Times New Roman"/>
                <w:szCs w:val="18"/>
                <w:lang w:eastAsia="en-US"/>
              </w:rPr>
            </w:pPr>
            <w:r>
              <w:rPr>
                <w:rFonts w:cs="Times New Roman"/>
                <w:szCs w:val="18"/>
                <w:lang w:eastAsia="en-US"/>
              </w:rPr>
              <w:t>方案一方案二</w:t>
            </w:r>
          </w:p>
        </w:tc>
        <w:tc>
          <w:tcPr>
            <w:tcW w:w="738" w:type="pct"/>
            <w:vAlign w:val="center"/>
          </w:tcPr>
          <w:p>
            <w:pPr>
              <w:pStyle w:val="139"/>
              <w:spacing w:line="240" w:lineRule="auto"/>
              <w:rPr>
                <w:rFonts w:cs="Times New Roman"/>
                <w:szCs w:val="18"/>
              </w:rPr>
            </w:pPr>
            <w:r>
              <w:rPr>
                <w:rFonts w:cs="Times New Roman"/>
                <w:szCs w:val="18"/>
                <w:lang w:eastAsia="en-US"/>
              </w:rPr>
              <w:t>方案一方案</w:t>
            </w:r>
            <w:r>
              <w:rPr>
                <w:rFonts w:cs="Times New Roman"/>
                <w:szCs w:val="18"/>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1、渠道总长</w:t>
            </w:r>
          </w:p>
        </w:tc>
        <w:tc>
          <w:tcPr>
            <w:tcW w:w="480" w:type="pct"/>
            <w:vAlign w:val="center"/>
          </w:tcPr>
          <w:p>
            <w:pPr>
              <w:pStyle w:val="139"/>
              <w:spacing w:line="240" w:lineRule="auto"/>
              <w:rPr>
                <w:rFonts w:cs="Times New Roman"/>
                <w:szCs w:val="18"/>
                <w:lang w:eastAsia="en-US"/>
              </w:rPr>
            </w:pPr>
            <w:r>
              <w:rPr>
                <w:rFonts w:cs="Times New Roman"/>
                <w:szCs w:val="18"/>
                <w:lang w:eastAsia="en-US"/>
              </w:rPr>
              <w:t>m</w:t>
            </w:r>
          </w:p>
        </w:tc>
        <w:tc>
          <w:tcPr>
            <w:tcW w:w="679" w:type="pct"/>
            <w:vAlign w:val="center"/>
          </w:tcPr>
          <w:p>
            <w:pPr>
              <w:pStyle w:val="139"/>
              <w:spacing w:line="240" w:lineRule="auto"/>
              <w:rPr>
                <w:rFonts w:cs="Times New Roman"/>
                <w:szCs w:val="18"/>
                <w:lang w:eastAsia="en-US"/>
              </w:rPr>
            </w:pPr>
            <w:r>
              <w:rPr>
                <w:rFonts w:cs="Times New Roman"/>
                <w:szCs w:val="18"/>
                <w:lang w:eastAsia="en-US"/>
              </w:rPr>
              <w:t>1324</w:t>
            </w:r>
          </w:p>
        </w:tc>
        <w:tc>
          <w:tcPr>
            <w:tcW w:w="720" w:type="pct"/>
            <w:vAlign w:val="center"/>
          </w:tcPr>
          <w:p>
            <w:pPr>
              <w:pStyle w:val="139"/>
              <w:spacing w:line="240" w:lineRule="auto"/>
              <w:rPr>
                <w:rFonts w:cs="Times New Roman"/>
                <w:szCs w:val="18"/>
                <w:lang w:eastAsia="en-US"/>
              </w:rPr>
            </w:pPr>
            <w:r>
              <w:rPr>
                <w:rFonts w:cs="Times New Roman"/>
                <w:szCs w:val="18"/>
                <w:lang w:eastAsia="en-US"/>
              </w:rPr>
              <w:t>2520</w:t>
            </w:r>
          </w:p>
        </w:tc>
        <w:tc>
          <w:tcPr>
            <w:tcW w:w="719" w:type="pct"/>
            <w:vAlign w:val="center"/>
          </w:tcPr>
          <w:p>
            <w:pPr>
              <w:pStyle w:val="139"/>
              <w:spacing w:line="240" w:lineRule="auto"/>
              <w:rPr>
                <w:rFonts w:cs="Times New Roman"/>
                <w:szCs w:val="18"/>
              </w:rPr>
            </w:pPr>
            <w:r>
              <w:rPr>
                <w:rFonts w:cs="Times New Roman"/>
                <w:szCs w:val="18"/>
              </w:rPr>
              <w:t>1870</w:t>
            </w:r>
          </w:p>
        </w:tc>
        <w:tc>
          <w:tcPr>
            <w:tcW w:w="720" w:type="pct"/>
            <w:vAlign w:val="center"/>
          </w:tcPr>
          <w:p>
            <w:pPr>
              <w:pStyle w:val="139"/>
              <w:spacing w:line="240" w:lineRule="auto"/>
              <w:rPr>
                <w:rFonts w:cs="Times New Roman"/>
                <w:szCs w:val="18"/>
                <w:lang w:eastAsia="en-US"/>
              </w:rPr>
            </w:pPr>
            <w:r>
              <w:rPr>
                <w:rFonts w:cs="Times New Roman"/>
                <w:szCs w:val="18"/>
                <w:lang w:eastAsia="en-US"/>
              </w:rPr>
              <w:t>-1196</w:t>
            </w:r>
          </w:p>
        </w:tc>
        <w:tc>
          <w:tcPr>
            <w:tcW w:w="738" w:type="pct"/>
            <w:vAlign w:val="center"/>
          </w:tcPr>
          <w:p>
            <w:pPr>
              <w:pStyle w:val="139"/>
              <w:spacing w:line="240" w:lineRule="auto"/>
              <w:rPr>
                <w:rFonts w:cs="Times New Roman"/>
                <w:szCs w:val="18"/>
              </w:rPr>
            </w:pPr>
            <w:r>
              <w:rPr>
                <w:rFonts w:cs="Times New Roman"/>
                <w:szCs w:val="18"/>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2、主要工程量</w:t>
            </w:r>
          </w:p>
        </w:tc>
        <w:tc>
          <w:tcPr>
            <w:tcW w:w="480" w:type="pct"/>
            <w:vAlign w:val="center"/>
          </w:tcPr>
          <w:p>
            <w:pPr>
              <w:pStyle w:val="139"/>
              <w:spacing w:line="240" w:lineRule="auto"/>
              <w:rPr>
                <w:rFonts w:cs="Times New Roman"/>
                <w:szCs w:val="18"/>
                <w:lang w:eastAsia="en-US"/>
              </w:rPr>
            </w:pPr>
          </w:p>
        </w:tc>
        <w:tc>
          <w:tcPr>
            <w:tcW w:w="679" w:type="pct"/>
            <w:vAlign w:val="center"/>
          </w:tcPr>
          <w:p>
            <w:pPr>
              <w:pStyle w:val="139"/>
              <w:spacing w:line="240" w:lineRule="auto"/>
              <w:rPr>
                <w:rFonts w:cs="Times New Roman"/>
                <w:szCs w:val="18"/>
                <w:lang w:eastAsia="en-US"/>
              </w:rPr>
            </w:pPr>
          </w:p>
        </w:tc>
        <w:tc>
          <w:tcPr>
            <w:tcW w:w="720" w:type="pct"/>
            <w:vAlign w:val="center"/>
          </w:tcPr>
          <w:p>
            <w:pPr>
              <w:pStyle w:val="139"/>
              <w:spacing w:line="240" w:lineRule="auto"/>
              <w:rPr>
                <w:rFonts w:cs="Times New Roman"/>
                <w:szCs w:val="18"/>
                <w:lang w:eastAsia="en-US"/>
              </w:rPr>
            </w:pPr>
          </w:p>
        </w:tc>
        <w:tc>
          <w:tcPr>
            <w:tcW w:w="719" w:type="pct"/>
            <w:vAlign w:val="center"/>
          </w:tcPr>
          <w:p>
            <w:pPr>
              <w:pStyle w:val="139"/>
              <w:spacing w:line="240" w:lineRule="auto"/>
              <w:rPr>
                <w:rFonts w:cs="Times New Roman"/>
                <w:szCs w:val="18"/>
                <w:lang w:eastAsia="en-US"/>
              </w:rPr>
            </w:pPr>
          </w:p>
        </w:tc>
        <w:tc>
          <w:tcPr>
            <w:tcW w:w="720" w:type="pct"/>
            <w:vAlign w:val="center"/>
          </w:tcPr>
          <w:p>
            <w:pPr>
              <w:pStyle w:val="139"/>
              <w:spacing w:line="240" w:lineRule="auto"/>
              <w:rPr>
                <w:rFonts w:cs="Times New Roman"/>
                <w:szCs w:val="18"/>
                <w:lang w:eastAsia="en-US"/>
              </w:rPr>
            </w:pPr>
          </w:p>
        </w:tc>
        <w:tc>
          <w:tcPr>
            <w:tcW w:w="738" w:type="pct"/>
            <w:vAlign w:val="center"/>
          </w:tcPr>
          <w:p>
            <w:pPr>
              <w:pStyle w:val="139"/>
              <w:spacing w:line="240" w:lineRule="auto"/>
              <w:rPr>
                <w:rFonts w:cs="Times New Roman"/>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土方开挖</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159</w:t>
            </w:r>
          </w:p>
        </w:tc>
        <w:tc>
          <w:tcPr>
            <w:tcW w:w="720" w:type="pct"/>
            <w:vAlign w:val="center"/>
          </w:tcPr>
          <w:p>
            <w:pPr>
              <w:pStyle w:val="139"/>
              <w:spacing w:line="240" w:lineRule="auto"/>
              <w:rPr>
                <w:rFonts w:cs="Times New Roman"/>
                <w:szCs w:val="18"/>
              </w:rPr>
            </w:pPr>
            <w:r>
              <w:rPr>
                <w:rFonts w:cs="Times New Roman"/>
                <w:szCs w:val="18"/>
              </w:rPr>
              <w:t>7866</w:t>
            </w:r>
          </w:p>
        </w:tc>
        <w:tc>
          <w:tcPr>
            <w:tcW w:w="719" w:type="pct"/>
            <w:vAlign w:val="center"/>
          </w:tcPr>
          <w:p>
            <w:pPr>
              <w:pStyle w:val="139"/>
              <w:spacing w:line="240" w:lineRule="auto"/>
              <w:rPr>
                <w:rFonts w:cs="Times New Roman"/>
                <w:szCs w:val="18"/>
              </w:rPr>
            </w:pPr>
            <w:r>
              <w:rPr>
                <w:rFonts w:cs="Times New Roman"/>
                <w:szCs w:val="18"/>
              </w:rPr>
              <w:t>3020</w:t>
            </w:r>
          </w:p>
        </w:tc>
        <w:tc>
          <w:tcPr>
            <w:tcW w:w="720" w:type="pct"/>
            <w:vAlign w:val="center"/>
          </w:tcPr>
          <w:p>
            <w:pPr>
              <w:pStyle w:val="139"/>
              <w:spacing w:line="240" w:lineRule="auto"/>
              <w:rPr>
                <w:rFonts w:cs="Times New Roman"/>
                <w:szCs w:val="18"/>
              </w:rPr>
            </w:pPr>
            <w:r>
              <w:rPr>
                <w:rFonts w:cs="Times New Roman"/>
                <w:szCs w:val="18"/>
              </w:rPr>
              <w:t>-7707</w:t>
            </w:r>
          </w:p>
        </w:tc>
        <w:tc>
          <w:tcPr>
            <w:tcW w:w="738" w:type="pct"/>
            <w:vAlign w:val="center"/>
          </w:tcPr>
          <w:p>
            <w:pPr>
              <w:pStyle w:val="139"/>
              <w:spacing w:line="240" w:lineRule="auto"/>
              <w:rPr>
                <w:rFonts w:cs="Times New Roman"/>
                <w:szCs w:val="18"/>
              </w:rPr>
            </w:pPr>
            <w:r>
              <w:rPr>
                <w:rFonts w:cs="Times New Roman"/>
                <w:szCs w:val="18"/>
              </w:rPr>
              <w:t>-2861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石方开挖</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318</w:t>
            </w:r>
          </w:p>
        </w:tc>
        <w:tc>
          <w:tcPr>
            <w:tcW w:w="720" w:type="pct"/>
            <w:vAlign w:val="center"/>
          </w:tcPr>
          <w:p>
            <w:pPr>
              <w:pStyle w:val="139"/>
              <w:spacing w:line="240" w:lineRule="auto"/>
              <w:rPr>
                <w:rFonts w:cs="Times New Roman"/>
                <w:szCs w:val="18"/>
              </w:rPr>
            </w:pPr>
            <w:r>
              <w:rPr>
                <w:rFonts w:cs="Times New Roman"/>
                <w:szCs w:val="18"/>
              </w:rPr>
              <w:t>24910</w:t>
            </w:r>
          </w:p>
        </w:tc>
        <w:tc>
          <w:tcPr>
            <w:tcW w:w="719" w:type="pct"/>
            <w:vAlign w:val="center"/>
          </w:tcPr>
          <w:p>
            <w:pPr>
              <w:pStyle w:val="139"/>
              <w:spacing w:line="240" w:lineRule="auto"/>
              <w:rPr>
                <w:rFonts w:cs="Times New Roman"/>
                <w:szCs w:val="18"/>
              </w:rPr>
            </w:pPr>
            <w:r>
              <w:rPr>
                <w:rFonts w:cs="Times New Roman"/>
                <w:szCs w:val="18"/>
              </w:rPr>
              <w:t>9482</w:t>
            </w:r>
          </w:p>
        </w:tc>
        <w:tc>
          <w:tcPr>
            <w:tcW w:w="720" w:type="pct"/>
            <w:vAlign w:val="center"/>
          </w:tcPr>
          <w:p>
            <w:pPr>
              <w:pStyle w:val="139"/>
              <w:spacing w:line="240" w:lineRule="auto"/>
              <w:rPr>
                <w:rFonts w:cs="Times New Roman"/>
                <w:szCs w:val="18"/>
              </w:rPr>
            </w:pPr>
            <w:r>
              <w:rPr>
                <w:rFonts w:cs="Times New Roman"/>
                <w:szCs w:val="18"/>
              </w:rPr>
              <w:t>-24592</w:t>
            </w:r>
          </w:p>
        </w:tc>
        <w:tc>
          <w:tcPr>
            <w:tcW w:w="738" w:type="pct"/>
            <w:vAlign w:val="center"/>
          </w:tcPr>
          <w:p>
            <w:pPr>
              <w:pStyle w:val="139"/>
              <w:spacing w:line="240" w:lineRule="auto"/>
              <w:rPr>
                <w:rFonts w:cs="Times New Roman"/>
                <w:szCs w:val="18"/>
              </w:rPr>
            </w:pPr>
            <w:r>
              <w:rPr>
                <w:rFonts w:cs="Times New Roman"/>
                <w:szCs w:val="18"/>
              </w:rPr>
              <w:t>-9164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石方洞挖</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5873</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3996</w:t>
            </w:r>
          </w:p>
        </w:tc>
        <w:tc>
          <w:tcPr>
            <w:tcW w:w="720" w:type="pct"/>
            <w:vAlign w:val="center"/>
          </w:tcPr>
          <w:p>
            <w:pPr>
              <w:pStyle w:val="139"/>
              <w:spacing w:line="240" w:lineRule="auto"/>
              <w:rPr>
                <w:rFonts w:cs="Times New Roman"/>
                <w:szCs w:val="18"/>
              </w:rPr>
            </w:pPr>
            <w:r>
              <w:rPr>
                <w:rFonts w:cs="Times New Roman"/>
                <w:szCs w:val="18"/>
              </w:rPr>
              <w:t>5873</w:t>
            </w:r>
          </w:p>
        </w:tc>
        <w:tc>
          <w:tcPr>
            <w:tcW w:w="738" w:type="pct"/>
            <w:vAlign w:val="center"/>
          </w:tcPr>
          <w:p>
            <w:pPr>
              <w:pStyle w:val="139"/>
              <w:spacing w:line="240" w:lineRule="auto"/>
              <w:rPr>
                <w:rFonts w:cs="Times New Roman"/>
                <w:szCs w:val="18"/>
              </w:rPr>
            </w:pPr>
            <w:r>
              <w:rPr>
                <w:rFonts w:cs="Times New Roman"/>
                <w:szCs w:val="18"/>
              </w:rPr>
              <w:t>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土石方填筑</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40</w:t>
            </w:r>
          </w:p>
        </w:tc>
        <w:tc>
          <w:tcPr>
            <w:tcW w:w="720" w:type="pct"/>
            <w:vAlign w:val="center"/>
          </w:tcPr>
          <w:p>
            <w:pPr>
              <w:pStyle w:val="139"/>
              <w:spacing w:line="240" w:lineRule="auto"/>
              <w:rPr>
                <w:rFonts w:cs="Times New Roman"/>
                <w:szCs w:val="18"/>
              </w:rPr>
            </w:pPr>
            <w:r>
              <w:rPr>
                <w:rFonts w:cs="Times New Roman"/>
                <w:szCs w:val="18"/>
              </w:rPr>
              <w:t>26508</w:t>
            </w:r>
          </w:p>
        </w:tc>
        <w:tc>
          <w:tcPr>
            <w:tcW w:w="719" w:type="pct"/>
            <w:vAlign w:val="center"/>
          </w:tcPr>
          <w:p>
            <w:pPr>
              <w:pStyle w:val="139"/>
              <w:spacing w:line="240" w:lineRule="auto"/>
              <w:rPr>
                <w:rFonts w:cs="Times New Roman"/>
                <w:szCs w:val="18"/>
              </w:rPr>
            </w:pPr>
            <w:r>
              <w:rPr>
                <w:rFonts w:cs="Times New Roman"/>
                <w:szCs w:val="18"/>
              </w:rPr>
              <w:t>10206</w:t>
            </w:r>
          </w:p>
        </w:tc>
        <w:tc>
          <w:tcPr>
            <w:tcW w:w="720" w:type="pct"/>
            <w:vAlign w:val="center"/>
          </w:tcPr>
          <w:p>
            <w:pPr>
              <w:pStyle w:val="139"/>
              <w:spacing w:line="240" w:lineRule="auto"/>
              <w:rPr>
                <w:rFonts w:cs="Times New Roman"/>
                <w:szCs w:val="18"/>
              </w:rPr>
            </w:pPr>
            <w:r>
              <w:rPr>
                <w:rFonts w:cs="Times New Roman"/>
                <w:szCs w:val="18"/>
              </w:rPr>
              <w:t>-26468</w:t>
            </w:r>
          </w:p>
        </w:tc>
        <w:tc>
          <w:tcPr>
            <w:tcW w:w="738" w:type="pct"/>
            <w:vAlign w:val="center"/>
          </w:tcPr>
          <w:p>
            <w:pPr>
              <w:pStyle w:val="139"/>
              <w:spacing w:line="240" w:lineRule="auto"/>
              <w:rPr>
                <w:rFonts w:cs="Times New Roman"/>
                <w:szCs w:val="18"/>
              </w:rPr>
            </w:pPr>
            <w:r>
              <w:rPr>
                <w:rFonts w:cs="Times New Roman"/>
                <w:szCs w:val="18"/>
              </w:rPr>
              <w:t>-10166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rPr>
              <w:t>混凝土</w:t>
            </w:r>
            <w:r>
              <w:rPr>
                <w:rFonts w:cs="Times New Roman"/>
                <w:szCs w:val="18"/>
                <w:lang w:eastAsia="en-US"/>
              </w:rPr>
              <w:t>浇筑</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2932</w:t>
            </w:r>
          </w:p>
        </w:tc>
        <w:tc>
          <w:tcPr>
            <w:tcW w:w="720" w:type="pct"/>
            <w:vAlign w:val="center"/>
          </w:tcPr>
          <w:p>
            <w:pPr>
              <w:pStyle w:val="139"/>
              <w:spacing w:line="240" w:lineRule="auto"/>
              <w:rPr>
                <w:rFonts w:cs="Times New Roman"/>
                <w:szCs w:val="18"/>
              </w:rPr>
            </w:pPr>
            <w:r>
              <w:rPr>
                <w:rFonts w:cs="Times New Roman"/>
                <w:szCs w:val="18"/>
              </w:rPr>
              <w:t>300</w:t>
            </w:r>
          </w:p>
        </w:tc>
        <w:tc>
          <w:tcPr>
            <w:tcW w:w="719" w:type="pct"/>
            <w:vAlign w:val="center"/>
          </w:tcPr>
          <w:p>
            <w:pPr>
              <w:pStyle w:val="139"/>
              <w:spacing w:line="240" w:lineRule="auto"/>
              <w:rPr>
                <w:rFonts w:cs="Times New Roman"/>
                <w:szCs w:val="18"/>
              </w:rPr>
            </w:pPr>
            <w:r>
              <w:rPr>
                <w:rFonts w:cs="Times New Roman"/>
                <w:szCs w:val="18"/>
              </w:rPr>
              <w:t>2112</w:t>
            </w:r>
          </w:p>
        </w:tc>
        <w:tc>
          <w:tcPr>
            <w:tcW w:w="720" w:type="pct"/>
            <w:vAlign w:val="center"/>
          </w:tcPr>
          <w:p>
            <w:pPr>
              <w:pStyle w:val="139"/>
              <w:spacing w:line="240" w:lineRule="auto"/>
              <w:rPr>
                <w:rFonts w:cs="Times New Roman"/>
                <w:szCs w:val="18"/>
              </w:rPr>
            </w:pPr>
            <w:r>
              <w:rPr>
                <w:rFonts w:cs="Times New Roman"/>
                <w:szCs w:val="18"/>
              </w:rPr>
              <w:t>2632</w:t>
            </w:r>
          </w:p>
        </w:tc>
        <w:tc>
          <w:tcPr>
            <w:tcW w:w="738" w:type="pct"/>
            <w:vAlign w:val="center"/>
          </w:tcPr>
          <w:p>
            <w:pPr>
              <w:pStyle w:val="139"/>
              <w:spacing w:line="240" w:lineRule="auto"/>
              <w:rPr>
                <w:rFonts w:cs="Times New Roman"/>
                <w:szCs w:val="18"/>
              </w:rPr>
            </w:pPr>
            <w:r>
              <w:rPr>
                <w:rFonts w:cs="Times New Roman"/>
                <w:szCs w:val="18"/>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rPr>
            </w:pPr>
            <w:r>
              <w:rPr>
                <w:rFonts w:cs="Times New Roman"/>
                <w:szCs w:val="18"/>
              </w:rPr>
              <w:t>DN1200钢带增强聚乙烯螺旋波纹管</w:t>
            </w:r>
          </w:p>
        </w:tc>
        <w:tc>
          <w:tcPr>
            <w:tcW w:w="480" w:type="pct"/>
            <w:vAlign w:val="center"/>
          </w:tcPr>
          <w:p>
            <w:pPr>
              <w:pStyle w:val="139"/>
              <w:spacing w:line="240" w:lineRule="auto"/>
              <w:rPr>
                <w:rFonts w:cs="Times New Roman"/>
                <w:szCs w:val="18"/>
              </w:rPr>
            </w:pPr>
            <w:r>
              <w:rPr>
                <w:rFonts w:cs="Times New Roman"/>
                <w:szCs w:val="18"/>
              </w:rPr>
              <w:t>m</w:t>
            </w:r>
          </w:p>
        </w:tc>
        <w:tc>
          <w:tcPr>
            <w:tcW w:w="679" w:type="pct"/>
            <w:vAlign w:val="center"/>
          </w:tcPr>
          <w:p>
            <w:pPr>
              <w:pStyle w:val="139"/>
              <w:spacing w:line="240" w:lineRule="auto"/>
              <w:rPr>
                <w:rFonts w:cs="Times New Roman"/>
                <w:szCs w:val="18"/>
              </w:rPr>
            </w:pPr>
            <w:r>
              <w:rPr>
                <w:rFonts w:cs="Times New Roman"/>
                <w:szCs w:val="18"/>
              </w:rPr>
              <w:t>/</w:t>
            </w:r>
          </w:p>
        </w:tc>
        <w:tc>
          <w:tcPr>
            <w:tcW w:w="720" w:type="pct"/>
            <w:vAlign w:val="center"/>
          </w:tcPr>
          <w:p>
            <w:pPr>
              <w:pStyle w:val="139"/>
              <w:spacing w:line="240" w:lineRule="auto"/>
              <w:rPr>
                <w:rFonts w:cs="Times New Roman"/>
                <w:szCs w:val="18"/>
              </w:rPr>
            </w:pPr>
            <w:r>
              <w:rPr>
                <w:rFonts w:cs="Times New Roman"/>
                <w:szCs w:val="18"/>
              </w:rPr>
              <w:t>2520</w:t>
            </w:r>
          </w:p>
        </w:tc>
        <w:tc>
          <w:tcPr>
            <w:tcW w:w="719" w:type="pct"/>
            <w:vAlign w:val="center"/>
          </w:tcPr>
          <w:p>
            <w:pPr>
              <w:pStyle w:val="139"/>
              <w:spacing w:line="240" w:lineRule="auto"/>
              <w:rPr>
                <w:rFonts w:cs="Times New Roman"/>
                <w:szCs w:val="18"/>
              </w:rPr>
            </w:pPr>
            <w:r>
              <w:rPr>
                <w:rFonts w:cs="Times New Roman"/>
                <w:szCs w:val="18"/>
              </w:rPr>
              <w:t>960</w:t>
            </w:r>
          </w:p>
        </w:tc>
        <w:tc>
          <w:tcPr>
            <w:tcW w:w="720" w:type="pct"/>
            <w:vAlign w:val="center"/>
          </w:tcPr>
          <w:p>
            <w:pPr>
              <w:pStyle w:val="139"/>
              <w:spacing w:line="240" w:lineRule="auto"/>
              <w:rPr>
                <w:rFonts w:cs="Times New Roman"/>
                <w:szCs w:val="18"/>
              </w:rPr>
            </w:pPr>
            <w:r>
              <w:rPr>
                <w:rFonts w:cs="Times New Roman"/>
                <w:szCs w:val="18"/>
              </w:rPr>
              <w:t>-2520</w:t>
            </w:r>
          </w:p>
        </w:tc>
        <w:tc>
          <w:tcPr>
            <w:tcW w:w="738" w:type="pct"/>
            <w:vAlign w:val="center"/>
          </w:tcPr>
          <w:p>
            <w:pPr>
              <w:pStyle w:val="139"/>
              <w:spacing w:line="240" w:lineRule="auto"/>
              <w:rPr>
                <w:rFonts w:cs="Times New Roman"/>
                <w:szCs w:val="18"/>
              </w:rPr>
            </w:pPr>
            <w:r>
              <w:rPr>
                <w:rFonts w:cs="Times New Roman"/>
                <w:szCs w:val="18"/>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rPr>
            </w:pPr>
            <w:r>
              <w:rPr>
                <w:rFonts w:cs="Times New Roman"/>
                <w:szCs w:val="18"/>
              </w:rPr>
              <w:t>DN50PVC排水管</w:t>
            </w:r>
          </w:p>
        </w:tc>
        <w:tc>
          <w:tcPr>
            <w:tcW w:w="480" w:type="pct"/>
            <w:vAlign w:val="center"/>
          </w:tcPr>
          <w:p>
            <w:pPr>
              <w:pStyle w:val="139"/>
              <w:spacing w:line="240" w:lineRule="auto"/>
              <w:rPr>
                <w:rFonts w:cs="Times New Roman"/>
                <w:szCs w:val="18"/>
              </w:rPr>
            </w:pPr>
            <w:r>
              <w:rPr>
                <w:rFonts w:cs="Times New Roman"/>
                <w:szCs w:val="18"/>
                <w:lang w:eastAsia="en-US"/>
              </w:rPr>
              <w:t>m</w:t>
            </w:r>
          </w:p>
        </w:tc>
        <w:tc>
          <w:tcPr>
            <w:tcW w:w="679" w:type="pct"/>
            <w:vAlign w:val="center"/>
          </w:tcPr>
          <w:p>
            <w:pPr>
              <w:pStyle w:val="139"/>
              <w:spacing w:line="240" w:lineRule="auto"/>
              <w:rPr>
                <w:rFonts w:cs="Times New Roman"/>
                <w:szCs w:val="18"/>
              </w:rPr>
            </w:pPr>
            <w:r>
              <w:rPr>
                <w:rFonts w:cs="Times New Roman"/>
                <w:szCs w:val="18"/>
              </w:rPr>
              <w:t>1103</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750</w:t>
            </w:r>
          </w:p>
        </w:tc>
        <w:tc>
          <w:tcPr>
            <w:tcW w:w="720" w:type="pct"/>
            <w:vAlign w:val="center"/>
          </w:tcPr>
          <w:p>
            <w:pPr>
              <w:pStyle w:val="139"/>
              <w:spacing w:line="240" w:lineRule="auto"/>
              <w:rPr>
                <w:rFonts w:cs="Times New Roman"/>
                <w:szCs w:val="18"/>
              </w:rPr>
            </w:pPr>
            <w:r>
              <w:rPr>
                <w:rFonts w:cs="Times New Roman"/>
                <w:szCs w:val="18"/>
              </w:rPr>
              <w:t>1103</w:t>
            </w:r>
          </w:p>
        </w:tc>
        <w:tc>
          <w:tcPr>
            <w:tcW w:w="738" w:type="pct"/>
            <w:vAlign w:val="center"/>
          </w:tcPr>
          <w:p>
            <w:pPr>
              <w:pStyle w:val="139"/>
              <w:spacing w:line="240" w:lineRule="auto"/>
              <w:rPr>
                <w:rFonts w:cs="Times New Roman"/>
                <w:szCs w:val="18"/>
              </w:rPr>
            </w:pPr>
            <w:r>
              <w:rPr>
                <w:rFonts w:cs="Times New Roman"/>
                <w:szCs w:val="18"/>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rPr>
            </w:pPr>
            <w:r>
              <w:rPr>
                <w:rFonts w:cs="Times New Roman"/>
                <w:szCs w:val="18"/>
                <w:lang w:eastAsia="en-US"/>
              </w:rPr>
              <w:t>喷C20</w:t>
            </w:r>
            <w:r>
              <w:rPr>
                <w:rFonts w:cs="Times New Roman"/>
                <w:szCs w:val="18"/>
              </w:rPr>
              <w:t>混凝土</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p>
        </w:tc>
        <w:tc>
          <w:tcPr>
            <w:tcW w:w="679" w:type="pct"/>
            <w:vAlign w:val="center"/>
          </w:tcPr>
          <w:p>
            <w:pPr>
              <w:pStyle w:val="139"/>
              <w:spacing w:line="240" w:lineRule="auto"/>
              <w:rPr>
                <w:rFonts w:cs="Times New Roman"/>
                <w:szCs w:val="18"/>
              </w:rPr>
            </w:pPr>
            <w:r>
              <w:rPr>
                <w:rFonts w:cs="Times New Roman"/>
                <w:szCs w:val="18"/>
              </w:rPr>
              <w:t>502</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340</w:t>
            </w:r>
          </w:p>
        </w:tc>
        <w:tc>
          <w:tcPr>
            <w:tcW w:w="720" w:type="pct"/>
            <w:vAlign w:val="center"/>
          </w:tcPr>
          <w:p>
            <w:pPr>
              <w:pStyle w:val="139"/>
              <w:spacing w:line="240" w:lineRule="auto"/>
              <w:rPr>
                <w:rFonts w:cs="Times New Roman"/>
                <w:szCs w:val="18"/>
              </w:rPr>
            </w:pPr>
            <w:r>
              <w:rPr>
                <w:rFonts w:cs="Times New Roman"/>
                <w:szCs w:val="18"/>
              </w:rPr>
              <w:t>502</w:t>
            </w:r>
          </w:p>
        </w:tc>
        <w:tc>
          <w:tcPr>
            <w:tcW w:w="738" w:type="pct"/>
            <w:vAlign w:val="center"/>
          </w:tcPr>
          <w:p>
            <w:pPr>
              <w:pStyle w:val="139"/>
              <w:spacing w:line="240" w:lineRule="auto"/>
              <w:rPr>
                <w:rFonts w:cs="Times New Roman"/>
                <w:szCs w:val="18"/>
              </w:rPr>
            </w:pPr>
            <w:r>
              <w:rPr>
                <w:rFonts w:cs="Times New Roman"/>
                <w:szCs w:val="18"/>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砂浆锚杆</w:t>
            </w:r>
          </w:p>
        </w:tc>
        <w:tc>
          <w:tcPr>
            <w:tcW w:w="480" w:type="pct"/>
            <w:vAlign w:val="center"/>
          </w:tcPr>
          <w:p>
            <w:pPr>
              <w:pStyle w:val="139"/>
              <w:spacing w:line="240" w:lineRule="auto"/>
              <w:rPr>
                <w:rFonts w:cs="Times New Roman"/>
                <w:szCs w:val="18"/>
                <w:lang w:eastAsia="en-US"/>
              </w:rPr>
            </w:pPr>
            <w:r>
              <w:rPr>
                <w:rFonts w:cs="Times New Roman"/>
                <w:szCs w:val="18"/>
                <w:lang w:eastAsia="en-US"/>
              </w:rPr>
              <w:t>根</w:t>
            </w:r>
          </w:p>
        </w:tc>
        <w:tc>
          <w:tcPr>
            <w:tcW w:w="679" w:type="pct"/>
            <w:vAlign w:val="center"/>
          </w:tcPr>
          <w:p>
            <w:pPr>
              <w:pStyle w:val="139"/>
              <w:spacing w:line="240" w:lineRule="auto"/>
              <w:rPr>
                <w:rFonts w:cs="Times New Roman"/>
                <w:szCs w:val="18"/>
              </w:rPr>
            </w:pPr>
            <w:r>
              <w:rPr>
                <w:rFonts w:cs="Times New Roman"/>
                <w:szCs w:val="18"/>
              </w:rPr>
              <w:t>2727</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1860</w:t>
            </w:r>
          </w:p>
        </w:tc>
        <w:tc>
          <w:tcPr>
            <w:tcW w:w="720" w:type="pct"/>
            <w:vAlign w:val="center"/>
          </w:tcPr>
          <w:p>
            <w:pPr>
              <w:pStyle w:val="139"/>
              <w:spacing w:line="240" w:lineRule="auto"/>
              <w:rPr>
                <w:rFonts w:cs="Times New Roman"/>
                <w:szCs w:val="18"/>
              </w:rPr>
            </w:pPr>
            <w:r>
              <w:rPr>
                <w:rFonts w:cs="Times New Roman"/>
                <w:szCs w:val="18"/>
              </w:rPr>
              <w:t>2727</w:t>
            </w:r>
          </w:p>
        </w:tc>
        <w:tc>
          <w:tcPr>
            <w:tcW w:w="738" w:type="pct"/>
            <w:vAlign w:val="center"/>
          </w:tcPr>
          <w:p>
            <w:pPr>
              <w:pStyle w:val="139"/>
              <w:spacing w:line="240" w:lineRule="auto"/>
              <w:rPr>
                <w:rFonts w:cs="Times New Roman"/>
                <w:szCs w:val="18"/>
              </w:rPr>
            </w:pPr>
            <w:r>
              <w:rPr>
                <w:rFonts w:cs="Times New Roman"/>
                <w:szCs w:val="18"/>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回填灌浆</w:t>
            </w:r>
          </w:p>
        </w:tc>
        <w:tc>
          <w:tcPr>
            <w:tcW w:w="480"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679" w:type="pct"/>
            <w:vAlign w:val="center"/>
          </w:tcPr>
          <w:p>
            <w:pPr>
              <w:pStyle w:val="139"/>
              <w:spacing w:line="240" w:lineRule="auto"/>
              <w:rPr>
                <w:rFonts w:cs="Times New Roman"/>
                <w:szCs w:val="18"/>
              </w:rPr>
            </w:pPr>
            <w:r>
              <w:rPr>
                <w:rFonts w:cs="Times New Roman"/>
                <w:szCs w:val="18"/>
              </w:rPr>
              <w:t>3641</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2480</w:t>
            </w:r>
          </w:p>
        </w:tc>
        <w:tc>
          <w:tcPr>
            <w:tcW w:w="720" w:type="pct"/>
            <w:vAlign w:val="center"/>
          </w:tcPr>
          <w:p>
            <w:pPr>
              <w:pStyle w:val="139"/>
              <w:spacing w:line="240" w:lineRule="auto"/>
              <w:rPr>
                <w:rFonts w:cs="Times New Roman"/>
                <w:szCs w:val="18"/>
              </w:rPr>
            </w:pPr>
            <w:r>
              <w:rPr>
                <w:rFonts w:cs="Times New Roman"/>
                <w:szCs w:val="18"/>
              </w:rPr>
              <w:t>3641</w:t>
            </w:r>
          </w:p>
        </w:tc>
        <w:tc>
          <w:tcPr>
            <w:tcW w:w="738" w:type="pct"/>
            <w:vAlign w:val="center"/>
          </w:tcPr>
          <w:p>
            <w:pPr>
              <w:pStyle w:val="139"/>
              <w:spacing w:line="240" w:lineRule="auto"/>
              <w:rPr>
                <w:rFonts w:cs="Times New Roman"/>
                <w:szCs w:val="18"/>
              </w:rPr>
            </w:pPr>
            <w:r>
              <w:rPr>
                <w:rFonts w:cs="Times New Roman"/>
                <w:szCs w:val="18"/>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钢筋制安</w:t>
            </w:r>
          </w:p>
        </w:tc>
        <w:tc>
          <w:tcPr>
            <w:tcW w:w="480" w:type="pct"/>
            <w:vAlign w:val="center"/>
          </w:tcPr>
          <w:p>
            <w:pPr>
              <w:pStyle w:val="139"/>
              <w:spacing w:line="240" w:lineRule="auto"/>
              <w:rPr>
                <w:rFonts w:cs="Times New Roman"/>
                <w:szCs w:val="18"/>
                <w:lang w:eastAsia="en-US"/>
              </w:rPr>
            </w:pPr>
            <w:r>
              <w:rPr>
                <w:rFonts w:cs="Times New Roman"/>
                <w:szCs w:val="18"/>
                <w:lang w:eastAsia="en-US"/>
              </w:rPr>
              <w:t>t</w:t>
            </w:r>
          </w:p>
        </w:tc>
        <w:tc>
          <w:tcPr>
            <w:tcW w:w="679" w:type="pct"/>
            <w:vAlign w:val="center"/>
          </w:tcPr>
          <w:p>
            <w:pPr>
              <w:pStyle w:val="139"/>
              <w:spacing w:line="240" w:lineRule="auto"/>
              <w:rPr>
                <w:rFonts w:cs="Times New Roman"/>
                <w:szCs w:val="18"/>
              </w:rPr>
            </w:pPr>
            <w:r>
              <w:rPr>
                <w:rFonts w:cs="Times New Roman"/>
                <w:szCs w:val="18"/>
              </w:rPr>
              <w:t>144</w:t>
            </w:r>
          </w:p>
        </w:tc>
        <w:tc>
          <w:tcPr>
            <w:tcW w:w="720" w:type="pct"/>
            <w:vAlign w:val="center"/>
          </w:tcPr>
          <w:p>
            <w:pPr>
              <w:pStyle w:val="139"/>
              <w:spacing w:line="240" w:lineRule="auto"/>
              <w:rPr>
                <w:rFonts w:cs="Times New Roman"/>
                <w:szCs w:val="18"/>
              </w:rPr>
            </w:pPr>
            <w:r>
              <w:rPr>
                <w:rFonts w:cs="Times New Roman"/>
                <w:szCs w:val="18"/>
              </w:rPr>
              <w:t>/</w:t>
            </w:r>
          </w:p>
        </w:tc>
        <w:tc>
          <w:tcPr>
            <w:tcW w:w="719" w:type="pct"/>
            <w:vAlign w:val="center"/>
          </w:tcPr>
          <w:p>
            <w:pPr>
              <w:pStyle w:val="139"/>
              <w:spacing w:line="240" w:lineRule="auto"/>
              <w:rPr>
                <w:rFonts w:cs="Times New Roman"/>
                <w:szCs w:val="18"/>
              </w:rPr>
            </w:pPr>
            <w:r>
              <w:rPr>
                <w:rFonts w:cs="Times New Roman"/>
                <w:szCs w:val="18"/>
              </w:rPr>
              <w:t>82</w:t>
            </w:r>
          </w:p>
        </w:tc>
        <w:tc>
          <w:tcPr>
            <w:tcW w:w="720" w:type="pct"/>
            <w:vAlign w:val="center"/>
          </w:tcPr>
          <w:p>
            <w:pPr>
              <w:pStyle w:val="139"/>
              <w:spacing w:line="240" w:lineRule="auto"/>
              <w:rPr>
                <w:rFonts w:cs="Times New Roman"/>
                <w:szCs w:val="18"/>
              </w:rPr>
            </w:pPr>
            <w:r>
              <w:rPr>
                <w:rFonts w:cs="Times New Roman"/>
                <w:szCs w:val="18"/>
              </w:rPr>
              <w:t>144</w:t>
            </w:r>
          </w:p>
        </w:tc>
        <w:tc>
          <w:tcPr>
            <w:tcW w:w="738" w:type="pct"/>
            <w:vAlign w:val="center"/>
          </w:tcPr>
          <w:p>
            <w:pPr>
              <w:pStyle w:val="139"/>
              <w:spacing w:line="240" w:lineRule="auto"/>
              <w:rPr>
                <w:rFonts w:cs="Times New Roman"/>
                <w:szCs w:val="18"/>
              </w:rPr>
            </w:pPr>
            <w:r>
              <w:rPr>
                <w:rFonts w:cs="Times New Roman"/>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3、占地</w:t>
            </w:r>
          </w:p>
        </w:tc>
        <w:tc>
          <w:tcPr>
            <w:tcW w:w="480" w:type="pct"/>
            <w:vAlign w:val="center"/>
          </w:tcPr>
          <w:p>
            <w:pPr>
              <w:pStyle w:val="139"/>
              <w:spacing w:line="240" w:lineRule="auto"/>
              <w:rPr>
                <w:rFonts w:cs="Times New Roman"/>
                <w:szCs w:val="18"/>
                <w:lang w:eastAsia="en-US"/>
              </w:rPr>
            </w:pPr>
            <w:r>
              <w:rPr>
                <w:rFonts w:cs="Times New Roman"/>
                <w:szCs w:val="18"/>
                <w:lang w:eastAsia="en-US"/>
              </w:rPr>
              <w:t>亩</w:t>
            </w:r>
          </w:p>
        </w:tc>
        <w:tc>
          <w:tcPr>
            <w:tcW w:w="679" w:type="pct"/>
            <w:vAlign w:val="center"/>
          </w:tcPr>
          <w:p>
            <w:pPr>
              <w:pStyle w:val="139"/>
              <w:spacing w:line="240" w:lineRule="auto"/>
              <w:rPr>
                <w:rFonts w:cs="Times New Roman"/>
                <w:szCs w:val="18"/>
              </w:rPr>
            </w:pPr>
            <w:r>
              <w:rPr>
                <w:rFonts w:cs="Times New Roman"/>
                <w:szCs w:val="18"/>
              </w:rPr>
              <w:t>0.33</w:t>
            </w:r>
          </w:p>
        </w:tc>
        <w:tc>
          <w:tcPr>
            <w:tcW w:w="720" w:type="pct"/>
            <w:vAlign w:val="center"/>
          </w:tcPr>
          <w:p>
            <w:pPr>
              <w:pStyle w:val="139"/>
              <w:spacing w:line="240" w:lineRule="auto"/>
              <w:rPr>
                <w:rFonts w:cs="Times New Roman"/>
                <w:szCs w:val="18"/>
              </w:rPr>
            </w:pPr>
            <w:r>
              <w:rPr>
                <w:rFonts w:cs="Times New Roman"/>
                <w:szCs w:val="18"/>
              </w:rPr>
              <w:t>36.48</w:t>
            </w:r>
          </w:p>
        </w:tc>
        <w:tc>
          <w:tcPr>
            <w:tcW w:w="719" w:type="pct"/>
            <w:vAlign w:val="center"/>
          </w:tcPr>
          <w:p>
            <w:pPr>
              <w:pStyle w:val="139"/>
              <w:spacing w:line="240" w:lineRule="auto"/>
              <w:rPr>
                <w:rFonts w:cs="Times New Roman"/>
                <w:szCs w:val="18"/>
              </w:rPr>
            </w:pPr>
            <w:r>
              <w:rPr>
                <w:rFonts w:cs="Times New Roman"/>
                <w:szCs w:val="18"/>
              </w:rPr>
              <w:t>14.68</w:t>
            </w:r>
          </w:p>
        </w:tc>
        <w:tc>
          <w:tcPr>
            <w:tcW w:w="720" w:type="pct"/>
            <w:vAlign w:val="center"/>
          </w:tcPr>
          <w:p>
            <w:pPr>
              <w:pStyle w:val="139"/>
              <w:spacing w:line="240" w:lineRule="auto"/>
              <w:rPr>
                <w:rFonts w:cs="Times New Roman"/>
                <w:szCs w:val="18"/>
              </w:rPr>
            </w:pPr>
            <w:r>
              <w:rPr>
                <w:rFonts w:cs="Times New Roman"/>
                <w:szCs w:val="18"/>
              </w:rPr>
              <w:t>-36.15</w:t>
            </w:r>
          </w:p>
        </w:tc>
        <w:tc>
          <w:tcPr>
            <w:tcW w:w="738" w:type="pct"/>
            <w:vAlign w:val="center"/>
          </w:tcPr>
          <w:p>
            <w:pPr>
              <w:pStyle w:val="139"/>
              <w:spacing w:line="240" w:lineRule="auto"/>
              <w:rPr>
                <w:rFonts w:cs="Times New Roman"/>
                <w:szCs w:val="18"/>
              </w:rPr>
            </w:pPr>
            <w:r>
              <w:rPr>
                <w:rFonts w:cs="Times New Roman"/>
                <w:szCs w:val="18"/>
              </w:rPr>
              <w:t>-14.35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4、投资（合计）</w:t>
            </w:r>
          </w:p>
        </w:tc>
        <w:tc>
          <w:tcPr>
            <w:tcW w:w="480" w:type="pct"/>
            <w:vAlign w:val="center"/>
          </w:tcPr>
          <w:p>
            <w:pPr>
              <w:pStyle w:val="139"/>
              <w:spacing w:line="240" w:lineRule="auto"/>
              <w:rPr>
                <w:rFonts w:cs="Times New Roman"/>
                <w:szCs w:val="18"/>
                <w:lang w:eastAsia="en-US"/>
              </w:rPr>
            </w:pPr>
            <w:r>
              <w:rPr>
                <w:rFonts w:cs="Times New Roman"/>
                <w:szCs w:val="18"/>
                <w:lang w:eastAsia="en-US"/>
              </w:rPr>
              <w:t>万元</w:t>
            </w:r>
          </w:p>
        </w:tc>
        <w:tc>
          <w:tcPr>
            <w:tcW w:w="679" w:type="pct"/>
            <w:vAlign w:val="center"/>
          </w:tcPr>
          <w:p>
            <w:pPr>
              <w:pStyle w:val="139"/>
              <w:spacing w:line="240" w:lineRule="auto"/>
              <w:rPr>
                <w:rFonts w:cs="Times New Roman"/>
                <w:szCs w:val="18"/>
              </w:rPr>
            </w:pPr>
            <w:r>
              <w:rPr>
                <w:rFonts w:cs="Times New Roman"/>
                <w:szCs w:val="18"/>
              </w:rPr>
              <w:t>548.59</w:t>
            </w:r>
          </w:p>
        </w:tc>
        <w:tc>
          <w:tcPr>
            <w:tcW w:w="720" w:type="pct"/>
            <w:vAlign w:val="center"/>
          </w:tcPr>
          <w:p>
            <w:pPr>
              <w:pStyle w:val="139"/>
              <w:spacing w:line="240" w:lineRule="auto"/>
              <w:rPr>
                <w:rFonts w:cs="Times New Roman"/>
                <w:szCs w:val="18"/>
              </w:rPr>
            </w:pPr>
            <w:r>
              <w:rPr>
                <w:rFonts w:cs="Times New Roman"/>
                <w:szCs w:val="18"/>
              </w:rPr>
              <w:t>673.52</w:t>
            </w:r>
          </w:p>
        </w:tc>
        <w:tc>
          <w:tcPr>
            <w:tcW w:w="719" w:type="pct"/>
            <w:vAlign w:val="center"/>
          </w:tcPr>
          <w:p>
            <w:pPr>
              <w:pStyle w:val="139"/>
              <w:spacing w:line="240" w:lineRule="auto"/>
              <w:rPr>
                <w:rFonts w:cs="Times New Roman"/>
                <w:szCs w:val="18"/>
              </w:rPr>
            </w:pPr>
            <w:r>
              <w:rPr>
                <w:rFonts w:cs="Times New Roman"/>
                <w:szCs w:val="18"/>
              </w:rPr>
              <w:t>628.38</w:t>
            </w:r>
          </w:p>
        </w:tc>
        <w:tc>
          <w:tcPr>
            <w:tcW w:w="720" w:type="pct"/>
            <w:vAlign w:val="center"/>
          </w:tcPr>
          <w:p>
            <w:pPr>
              <w:pStyle w:val="139"/>
              <w:spacing w:line="240" w:lineRule="auto"/>
              <w:rPr>
                <w:rFonts w:cs="Times New Roman"/>
                <w:szCs w:val="18"/>
              </w:rPr>
            </w:pPr>
            <w:r>
              <w:rPr>
                <w:rFonts w:cs="Times New Roman"/>
                <w:szCs w:val="18"/>
              </w:rPr>
              <w:t>-124.93</w:t>
            </w:r>
          </w:p>
        </w:tc>
        <w:tc>
          <w:tcPr>
            <w:tcW w:w="738" w:type="pct"/>
            <w:vAlign w:val="center"/>
          </w:tcPr>
          <w:p>
            <w:pPr>
              <w:pStyle w:val="139"/>
              <w:spacing w:line="240" w:lineRule="auto"/>
              <w:rPr>
                <w:rFonts w:cs="Times New Roman"/>
                <w:szCs w:val="18"/>
              </w:rPr>
            </w:pPr>
            <w:r>
              <w:rPr>
                <w:rFonts w:cs="Times New Roman"/>
                <w:szCs w:val="18"/>
              </w:rPr>
              <w:t>-79.79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（1）建筑工程投资</w:t>
            </w:r>
          </w:p>
        </w:tc>
        <w:tc>
          <w:tcPr>
            <w:tcW w:w="480" w:type="pct"/>
            <w:vAlign w:val="center"/>
          </w:tcPr>
          <w:p>
            <w:pPr>
              <w:pStyle w:val="139"/>
              <w:spacing w:line="240" w:lineRule="auto"/>
              <w:rPr>
                <w:rFonts w:cs="Times New Roman"/>
                <w:szCs w:val="18"/>
                <w:lang w:eastAsia="en-US"/>
              </w:rPr>
            </w:pPr>
            <w:r>
              <w:rPr>
                <w:rFonts w:cs="Times New Roman"/>
                <w:szCs w:val="18"/>
                <w:lang w:eastAsia="en-US"/>
              </w:rPr>
              <w:t>万元</w:t>
            </w:r>
          </w:p>
        </w:tc>
        <w:tc>
          <w:tcPr>
            <w:tcW w:w="679" w:type="pct"/>
            <w:vAlign w:val="center"/>
          </w:tcPr>
          <w:p>
            <w:pPr>
              <w:pStyle w:val="139"/>
              <w:spacing w:line="240" w:lineRule="auto"/>
              <w:rPr>
                <w:rFonts w:cs="Times New Roman"/>
                <w:szCs w:val="18"/>
              </w:rPr>
            </w:pPr>
            <w:r>
              <w:rPr>
                <w:rFonts w:cs="Times New Roman"/>
                <w:szCs w:val="18"/>
              </w:rPr>
              <w:t>547.82</w:t>
            </w:r>
          </w:p>
        </w:tc>
        <w:tc>
          <w:tcPr>
            <w:tcW w:w="720" w:type="pct"/>
            <w:vAlign w:val="center"/>
          </w:tcPr>
          <w:p>
            <w:pPr>
              <w:pStyle w:val="139"/>
              <w:spacing w:line="240" w:lineRule="auto"/>
              <w:rPr>
                <w:rFonts w:cs="Times New Roman"/>
                <w:szCs w:val="18"/>
              </w:rPr>
            </w:pPr>
            <w:r>
              <w:rPr>
                <w:rFonts w:cs="Times New Roman"/>
                <w:szCs w:val="18"/>
              </w:rPr>
              <w:t>605.25</w:t>
            </w:r>
          </w:p>
        </w:tc>
        <w:tc>
          <w:tcPr>
            <w:tcW w:w="719" w:type="pct"/>
            <w:vAlign w:val="center"/>
          </w:tcPr>
          <w:p>
            <w:pPr>
              <w:pStyle w:val="139"/>
              <w:spacing w:line="240" w:lineRule="auto"/>
              <w:rPr>
                <w:rFonts w:cs="Times New Roman"/>
                <w:szCs w:val="18"/>
              </w:rPr>
            </w:pPr>
            <w:r>
              <w:rPr>
                <w:rFonts w:cs="Times New Roman"/>
                <w:szCs w:val="18"/>
              </w:rPr>
              <w:t>602.54</w:t>
            </w:r>
          </w:p>
        </w:tc>
        <w:tc>
          <w:tcPr>
            <w:tcW w:w="720" w:type="pct"/>
            <w:vAlign w:val="center"/>
          </w:tcPr>
          <w:p>
            <w:pPr>
              <w:pStyle w:val="139"/>
              <w:spacing w:line="240" w:lineRule="auto"/>
              <w:rPr>
                <w:rFonts w:cs="Times New Roman"/>
                <w:szCs w:val="18"/>
              </w:rPr>
            </w:pPr>
            <w:r>
              <w:rPr>
                <w:rFonts w:cs="Times New Roman"/>
                <w:szCs w:val="18"/>
              </w:rPr>
              <w:t>-57.43</w:t>
            </w:r>
          </w:p>
        </w:tc>
        <w:tc>
          <w:tcPr>
            <w:tcW w:w="738" w:type="pct"/>
            <w:vAlign w:val="center"/>
          </w:tcPr>
          <w:p>
            <w:pPr>
              <w:pStyle w:val="139"/>
              <w:spacing w:line="240" w:lineRule="auto"/>
              <w:rPr>
                <w:rFonts w:cs="Times New Roman"/>
                <w:szCs w:val="18"/>
              </w:rPr>
            </w:pPr>
            <w:r>
              <w:rPr>
                <w:rFonts w:cs="Times New Roman"/>
                <w:szCs w:val="18"/>
              </w:rPr>
              <w:t>-54.72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4" w:type="pct"/>
            <w:vAlign w:val="center"/>
          </w:tcPr>
          <w:p>
            <w:pPr>
              <w:pStyle w:val="139"/>
              <w:spacing w:line="240" w:lineRule="auto"/>
              <w:rPr>
                <w:rFonts w:cs="Times New Roman"/>
                <w:szCs w:val="18"/>
                <w:lang w:eastAsia="en-US"/>
              </w:rPr>
            </w:pPr>
            <w:r>
              <w:rPr>
                <w:rFonts w:cs="Times New Roman"/>
                <w:szCs w:val="18"/>
                <w:lang w:eastAsia="en-US"/>
              </w:rPr>
              <w:t>（2）征地补偿投资</w:t>
            </w:r>
          </w:p>
        </w:tc>
        <w:tc>
          <w:tcPr>
            <w:tcW w:w="480" w:type="pct"/>
            <w:vAlign w:val="center"/>
          </w:tcPr>
          <w:p>
            <w:pPr>
              <w:pStyle w:val="139"/>
              <w:spacing w:line="240" w:lineRule="auto"/>
              <w:rPr>
                <w:rFonts w:cs="Times New Roman"/>
                <w:szCs w:val="18"/>
                <w:lang w:eastAsia="en-US"/>
              </w:rPr>
            </w:pPr>
            <w:r>
              <w:rPr>
                <w:rFonts w:cs="Times New Roman"/>
                <w:szCs w:val="18"/>
                <w:lang w:eastAsia="en-US"/>
              </w:rPr>
              <w:t>万元</w:t>
            </w:r>
          </w:p>
        </w:tc>
        <w:tc>
          <w:tcPr>
            <w:tcW w:w="679" w:type="pct"/>
            <w:vAlign w:val="center"/>
          </w:tcPr>
          <w:p>
            <w:pPr>
              <w:pStyle w:val="139"/>
              <w:spacing w:line="240" w:lineRule="auto"/>
              <w:rPr>
                <w:rFonts w:cs="Times New Roman"/>
                <w:szCs w:val="18"/>
              </w:rPr>
            </w:pPr>
            <w:r>
              <w:rPr>
                <w:rFonts w:cs="Times New Roman"/>
                <w:szCs w:val="18"/>
              </w:rPr>
              <w:t>0.77</w:t>
            </w:r>
          </w:p>
        </w:tc>
        <w:tc>
          <w:tcPr>
            <w:tcW w:w="720" w:type="pct"/>
            <w:vAlign w:val="center"/>
          </w:tcPr>
          <w:p>
            <w:pPr>
              <w:pStyle w:val="139"/>
              <w:spacing w:line="240" w:lineRule="auto"/>
              <w:rPr>
                <w:rFonts w:cs="Times New Roman"/>
                <w:szCs w:val="18"/>
              </w:rPr>
            </w:pPr>
            <w:r>
              <w:rPr>
                <w:rFonts w:cs="Times New Roman"/>
                <w:szCs w:val="18"/>
              </w:rPr>
              <w:t>68.27</w:t>
            </w:r>
          </w:p>
        </w:tc>
        <w:tc>
          <w:tcPr>
            <w:tcW w:w="719" w:type="pct"/>
            <w:vAlign w:val="center"/>
          </w:tcPr>
          <w:p>
            <w:pPr>
              <w:pStyle w:val="139"/>
              <w:spacing w:line="240" w:lineRule="auto"/>
              <w:rPr>
                <w:rFonts w:cs="Times New Roman"/>
                <w:szCs w:val="18"/>
              </w:rPr>
            </w:pPr>
            <w:r>
              <w:rPr>
                <w:rFonts w:cs="Times New Roman"/>
                <w:szCs w:val="18"/>
              </w:rPr>
              <w:t>25.84</w:t>
            </w:r>
          </w:p>
        </w:tc>
        <w:tc>
          <w:tcPr>
            <w:tcW w:w="720" w:type="pct"/>
            <w:vAlign w:val="center"/>
          </w:tcPr>
          <w:p>
            <w:pPr>
              <w:pStyle w:val="139"/>
              <w:spacing w:line="240" w:lineRule="auto"/>
              <w:rPr>
                <w:rFonts w:cs="Times New Roman"/>
                <w:szCs w:val="18"/>
              </w:rPr>
            </w:pPr>
            <w:r>
              <w:rPr>
                <w:rFonts w:cs="Times New Roman"/>
                <w:szCs w:val="18"/>
              </w:rPr>
              <w:t>-68.50</w:t>
            </w:r>
          </w:p>
        </w:tc>
        <w:tc>
          <w:tcPr>
            <w:tcW w:w="738" w:type="pct"/>
            <w:vAlign w:val="center"/>
          </w:tcPr>
          <w:p>
            <w:pPr>
              <w:pStyle w:val="139"/>
              <w:spacing w:line="240" w:lineRule="auto"/>
              <w:rPr>
                <w:rFonts w:cs="Times New Roman"/>
                <w:szCs w:val="18"/>
              </w:rPr>
            </w:pPr>
            <w:r>
              <w:rPr>
                <w:rFonts w:cs="Times New Roman"/>
                <w:szCs w:val="18"/>
              </w:rPr>
              <w:t>-25.07</w:t>
            </w:r>
          </w:p>
        </w:tc>
      </w:tr>
    </w:tbl>
    <w:p>
      <w:pPr>
        <w:ind w:firstLine="480"/>
        <w:contextualSpacing/>
      </w:pPr>
      <w:r>
        <w:t>由表可知，由于该段山体坡度大，陡坎多，管线渠线长，致使方案二管线方案开挖量大，边坡支护工作量大，弃渣多，占地多，施工难度较大；而方案一隧洞方案进出口布置施工场地等条件较好，弃渣量相对较小，占地少，方案一总投资比方案二少124.93万元，比方案三少79.79万元。综上所述，推荐干渠该段线路采用方案一，即隧洞方案。</w:t>
      </w:r>
    </w:p>
    <w:p>
      <w:pPr>
        <w:ind w:firstLine="480"/>
        <w:contextualSpacing/>
      </w:pPr>
      <w:r>
        <w:t>灌区共布置干渠1条，渠道走向大致由北向南，由左岸取水隧洞出口后沿蔡家河左岸行至陈家山，建渡槽跨至右岸，之后干渠南行过岳家坡、尖佛山、何家塝、冯家梁，到达原凌云乡代洛山，建隧洞穿山进入石门乡，之后继续南行止于登高寨。灌区干渠总长7.887km。</w:t>
      </w:r>
    </w:p>
    <w:p>
      <w:pPr>
        <w:pStyle w:val="5"/>
        <w:ind w:firstLine="0" w:firstLineChars="0"/>
        <w:contextualSpacing/>
        <w:rPr>
          <w:rFonts w:ascii="Times New Roman" w:hAnsi="Times New Roman"/>
        </w:rPr>
      </w:pPr>
      <w:bookmarkStart w:id="366" w:name="_Toc26418"/>
      <w:bookmarkStart w:id="367" w:name="_Toc4520"/>
      <w:bookmarkStart w:id="368" w:name="_Toc16439"/>
      <w:r>
        <w:rPr>
          <w:rFonts w:ascii="Times New Roman" w:hAnsi="Times New Roman"/>
        </w:rPr>
        <w:t>3.2.3正常蓄水位方案环境合理性</w:t>
      </w:r>
      <w:bookmarkEnd w:id="366"/>
      <w:bookmarkEnd w:id="367"/>
      <w:bookmarkEnd w:id="368"/>
    </w:p>
    <w:p>
      <w:pPr>
        <w:ind w:firstLine="480"/>
        <w:contextualSpacing/>
        <w:rPr>
          <w:kern w:val="0"/>
        </w:rPr>
      </w:pPr>
      <w:r>
        <w:rPr>
          <w:kern w:val="24"/>
        </w:rPr>
        <w:t>工程共拟定了</w:t>
      </w:r>
      <w:r>
        <w:t>694.00m、695.00m和696.00m</w:t>
      </w:r>
      <w:r>
        <w:rPr>
          <w:kern w:val="24"/>
        </w:rPr>
        <w:t>三个正常蓄水位方案，随着水位的抬升，淹没损失</w:t>
      </w:r>
      <w:r>
        <w:rPr>
          <w:kern w:val="0"/>
        </w:rPr>
        <w:t>有所增加，但各方案在水文情势、水温、水质、水生生态等方面的影响大致相当，各正常蓄水位选择方案不涉及环境敏感区，无重大环境制约性因素。</w:t>
      </w:r>
      <w:r>
        <w:rPr>
          <w:rFonts w:hint="eastAsia"/>
          <w:kern w:val="24"/>
          <w:szCs w:val="22"/>
        </w:rPr>
        <w:t>从满足供水要求程度看，随着正常蓄水位的升高，寒溪寺水库不同正常蓄水位相同水平年下供水量差别不大，且都能保证灌区以及城区的供水要求；当正常蓄水位降低至694.00m时，灌溉供水、农村供水保证率均低于要求，不能满足设计水平年灌溉、城镇和农村人畜供水要求，是不合适的。</w:t>
      </w:r>
    </w:p>
    <w:p>
      <w:pPr>
        <w:ind w:firstLine="0" w:firstLineChars="0"/>
        <w:contextualSpacing/>
        <w:jc w:val="center"/>
        <w:rPr>
          <w:b/>
          <w:bCs/>
          <w:sz w:val="21"/>
          <w:szCs w:val="21"/>
        </w:rPr>
      </w:pPr>
      <w:r>
        <w:rPr>
          <w:b/>
          <w:bCs/>
          <w:sz w:val="21"/>
          <w:szCs w:val="21"/>
        </w:rPr>
        <w:t>表3.2.4-1  正常蓄水位方案环境比选表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810"/>
        <w:gridCol w:w="1520"/>
        <w:gridCol w:w="84"/>
        <w:gridCol w:w="1193"/>
        <w:gridCol w:w="172"/>
        <w:gridCol w:w="133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Merge w:val="restart"/>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方案</w:t>
            </w:r>
          </w:p>
        </w:tc>
        <w:tc>
          <w:tcPr>
            <w:tcW w:w="974" w:type="pct"/>
            <w:vMerge w:val="restart"/>
            <w:vAlign w:val="center"/>
          </w:tcPr>
          <w:p>
            <w:pPr>
              <w:widowControl/>
              <w:spacing w:line="240" w:lineRule="auto"/>
              <w:ind w:firstLine="0" w:firstLineChars="0"/>
              <w:contextualSpacing/>
              <w:jc w:val="center"/>
              <w:rPr>
                <w:kern w:val="0"/>
                <w:sz w:val="21"/>
                <w:szCs w:val="21"/>
              </w:rPr>
            </w:pPr>
            <w:r>
              <w:rPr>
                <w:kern w:val="0"/>
                <w:sz w:val="21"/>
                <w:szCs w:val="21"/>
              </w:rPr>
              <w:t>比较结果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Merge w:val="continue"/>
            <w:vAlign w:val="center"/>
          </w:tcPr>
          <w:p>
            <w:pPr>
              <w:widowControl/>
              <w:spacing w:line="240" w:lineRule="auto"/>
              <w:ind w:firstLine="0" w:firstLineChars="0"/>
              <w:contextualSpacing/>
              <w:jc w:val="center"/>
              <w:rPr>
                <w:kern w:val="0"/>
                <w:sz w:val="21"/>
                <w:szCs w:val="21"/>
              </w:rPr>
            </w:pPr>
          </w:p>
        </w:tc>
        <w:tc>
          <w:tcPr>
            <w:tcW w:w="892" w:type="pct"/>
            <w:vAlign w:val="center"/>
          </w:tcPr>
          <w:p>
            <w:pPr>
              <w:widowControl/>
              <w:spacing w:line="240" w:lineRule="auto"/>
              <w:ind w:firstLine="0" w:firstLineChars="0"/>
              <w:contextualSpacing/>
              <w:jc w:val="center"/>
              <w:rPr>
                <w:strike/>
                <w:kern w:val="0"/>
                <w:sz w:val="21"/>
                <w:szCs w:val="21"/>
              </w:rPr>
            </w:pPr>
            <w:r>
              <w:rPr>
                <w:strike/>
                <w:kern w:val="0"/>
                <w:sz w:val="21"/>
                <w:szCs w:val="21"/>
              </w:rPr>
              <w:t>694m</w:t>
            </w:r>
          </w:p>
        </w:tc>
        <w:tc>
          <w:tcPr>
            <w:tcW w:w="749"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6</w:t>
            </w:r>
            <w:r>
              <w:rPr>
                <w:kern w:val="0"/>
                <w:sz w:val="21"/>
                <w:szCs w:val="21"/>
              </w:rPr>
              <w:t>95</w:t>
            </w:r>
            <w:r>
              <w:rPr>
                <w:rFonts w:hint="eastAsia"/>
                <w:kern w:val="0"/>
                <w:sz w:val="21"/>
                <w:szCs w:val="21"/>
              </w:rPr>
              <w:t>m</w:t>
            </w:r>
          </w:p>
        </w:tc>
        <w:tc>
          <w:tcPr>
            <w:tcW w:w="885" w:type="pct"/>
            <w:gridSpan w:val="2"/>
            <w:vAlign w:val="center"/>
          </w:tcPr>
          <w:p>
            <w:pPr>
              <w:spacing w:line="240" w:lineRule="auto"/>
              <w:ind w:firstLine="0" w:firstLineChars="0"/>
              <w:contextualSpacing/>
              <w:jc w:val="center"/>
              <w:rPr>
                <w:kern w:val="0"/>
                <w:sz w:val="21"/>
                <w:szCs w:val="21"/>
              </w:rPr>
            </w:pPr>
            <w:r>
              <w:rPr>
                <w:kern w:val="0"/>
                <w:sz w:val="21"/>
                <w:szCs w:val="21"/>
              </w:rPr>
              <w:t>696m</w:t>
            </w:r>
          </w:p>
        </w:tc>
        <w:tc>
          <w:tcPr>
            <w:tcW w:w="974" w:type="pct"/>
            <w:vMerge w:val="continue"/>
            <w:vAlign w:val="center"/>
          </w:tcPr>
          <w:p>
            <w:pPr>
              <w:widowControl/>
              <w:spacing w:line="240" w:lineRule="auto"/>
              <w:ind w:firstLine="0" w:firstLineChars="0"/>
              <w:contextualSpacing/>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pPr>
              <w:widowControl/>
              <w:spacing w:line="240" w:lineRule="auto"/>
              <w:ind w:firstLine="0" w:firstLineChars="0"/>
              <w:contextualSpacing/>
              <w:jc w:val="center"/>
              <w:rPr>
                <w:kern w:val="0"/>
                <w:sz w:val="21"/>
                <w:szCs w:val="21"/>
              </w:rPr>
            </w:pPr>
            <w:r>
              <w:rPr>
                <w:kern w:val="0"/>
                <w:sz w:val="21"/>
                <w:szCs w:val="21"/>
              </w:rPr>
              <w:t>水文情势</w:t>
            </w:r>
          </w:p>
        </w:tc>
        <w:tc>
          <w:tcPr>
            <w:tcW w:w="1062" w:type="pct"/>
            <w:vAlign w:val="center"/>
          </w:tcPr>
          <w:p>
            <w:pPr>
              <w:widowControl/>
              <w:spacing w:line="240" w:lineRule="auto"/>
              <w:ind w:firstLine="0" w:firstLineChars="0"/>
              <w:contextualSpacing/>
              <w:jc w:val="center"/>
              <w:rPr>
                <w:kern w:val="0"/>
                <w:sz w:val="21"/>
                <w:szCs w:val="21"/>
              </w:rPr>
            </w:pPr>
            <w:r>
              <w:rPr>
                <w:kern w:val="0"/>
                <w:sz w:val="21"/>
                <w:szCs w:val="21"/>
              </w:rPr>
              <w:t>水库</w:t>
            </w:r>
            <w:r>
              <w:rPr>
                <w:rFonts w:hint="eastAsia"/>
                <w:kern w:val="0"/>
                <w:sz w:val="21"/>
                <w:szCs w:val="21"/>
              </w:rPr>
              <w:t>库容</w:t>
            </w:r>
            <w:r>
              <w:rPr>
                <w:kern w:val="0"/>
                <w:sz w:val="21"/>
                <w:szCs w:val="21"/>
              </w:rPr>
              <w:t>（万m</w:t>
            </w:r>
            <w:r>
              <w:rPr>
                <w:kern w:val="0"/>
                <w:sz w:val="21"/>
                <w:szCs w:val="21"/>
                <w:vertAlign w:val="superscript"/>
              </w:rPr>
              <w:t>3</w:t>
            </w:r>
            <w:r>
              <w:rPr>
                <w:kern w:val="0"/>
                <w:sz w:val="21"/>
                <w:szCs w:val="21"/>
              </w:rPr>
              <w:t>）</w:t>
            </w:r>
          </w:p>
        </w:tc>
        <w:tc>
          <w:tcPr>
            <w:tcW w:w="892" w:type="pct"/>
            <w:vAlign w:val="center"/>
          </w:tcPr>
          <w:p>
            <w:pPr>
              <w:widowControl/>
              <w:spacing w:line="240" w:lineRule="auto"/>
              <w:ind w:firstLine="0" w:firstLineChars="0"/>
              <w:contextualSpacing/>
              <w:jc w:val="center"/>
              <w:rPr>
                <w:kern w:val="0"/>
                <w:sz w:val="21"/>
                <w:szCs w:val="21"/>
              </w:rPr>
            </w:pPr>
            <w:r>
              <w:rPr>
                <w:kern w:val="0"/>
                <w:sz w:val="21"/>
                <w:szCs w:val="21"/>
              </w:rPr>
              <w:t>295.4</w:t>
            </w:r>
          </w:p>
        </w:tc>
        <w:tc>
          <w:tcPr>
            <w:tcW w:w="749"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3</w:t>
            </w:r>
            <w:r>
              <w:rPr>
                <w:kern w:val="0"/>
                <w:sz w:val="21"/>
                <w:szCs w:val="21"/>
              </w:rPr>
              <w:t>13.6</w:t>
            </w:r>
          </w:p>
        </w:tc>
        <w:tc>
          <w:tcPr>
            <w:tcW w:w="885" w:type="pct"/>
            <w:gridSpan w:val="2"/>
            <w:vAlign w:val="center"/>
          </w:tcPr>
          <w:p>
            <w:pPr>
              <w:spacing w:line="240" w:lineRule="auto"/>
              <w:ind w:firstLine="0" w:firstLineChars="0"/>
              <w:contextualSpacing/>
              <w:jc w:val="center"/>
              <w:rPr>
                <w:kern w:val="0"/>
                <w:sz w:val="21"/>
                <w:szCs w:val="21"/>
              </w:rPr>
            </w:pPr>
            <w:r>
              <w:rPr>
                <w:rFonts w:hint="eastAsia"/>
                <w:kern w:val="0"/>
                <w:sz w:val="21"/>
                <w:szCs w:val="21"/>
              </w:rPr>
              <w:t>3</w:t>
            </w:r>
            <w:r>
              <w:rPr>
                <w:kern w:val="0"/>
                <w:sz w:val="21"/>
                <w:szCs w:val="21"/>
              </w:rPr>
              <w:t>32.5</w:t>
            </w:r>
          </w:p>
        </w:tc>
        <w:tc>
          <w:tcPr>
            <w:tcW w:w="974" w:type="pct"/>
            <w:vMerge w:val="restart"/>
            <w:vAlign w:val="center"/>
          </w:tcPr>
          <w:p>
            <w:pPr>
              <w:widowControl/>
              <w:spacing w:line="240" w:lineRule="auto"/>
              <w:ind w:firstLine="0" w:firstLineChars="0"/>
              <w:contextualSpacing/>
              <w:jc w:val="center"/>
              <w:rPr>
                <w:kern w:val="0"/>
                <w:sz w:val="21"/>
                <w:szCs w:val="21"/>
              </w:rPr>
            </w:pPr>
            <w:r>
              <w:rPr>
                <w:kern w:val="0"/>
                <w:sz w:val="21"/>
                <w:szCs w:val="21"/>
              </w:rPr>
              <w:t>694m方案优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pPr>
              <w:widowControl/>
              <w:spacing w:line="240" w:lineRule="auto"/>
              <w:ind w:firstLine="0" w:firstLineChars="0"/>
              <w:contextualSpacing/>
              <w:jc w:val="center"/>
              <w:rPr>
                <w:kern w:val="0"/>
                <w:sz w:val="21"/>
                <w:szCs w:val="21"/>
              </w:rPr>
            </w:pPr>
          </w:p>
        </w:tc>
        <w:tc>
          <w:tcPr>
            <w:tcW w:w="1062" w:type="pct"/>
            <w:vAlign w:val="center"/>
          </w:tcPr>
          <w:p>
            <w:pPr>
              <w:widowControl/>
              <w:spacing w:line="240" w:lineRule="auto"/>
              <w:ind w:firstLine="0" w:firstLineChars="0"/>
              <w:contextualSpacing/>
              <w:jc w:val="center"/>
              <w:rPr>
                <w:kern w:val="0"/>
                <w:sz w:val="21"/>
                <w:szCs w:val="21"/>
              </w:rPr>
            </w:pPr>
            <w:r>
              <w:rPr>
                <w:kern w:val="0"/>
                <w:sz w:val="21"/>
                <w:szCs w:val="21"/>
              </w:rPr>
              <w:t>环境影响</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随着正常蓄水位的升高，水文情势影响略大</w:t>
            </w:r>
          </w:p>
        </w:tc>
        <w:tc>
          <w:tcPr>
            <w:tcW w:w="974" w:type="pct"/>
            <w:vMerge w:val="continue"/>
            <w:vAlign w:val="center"/>
          </w:tcPr>
          <w:p>
            <w:pPr>
              <w:widowControl/>
              <w:spacing w:line="240" w:lineRule="auto"/>
              <w:ind w:firstLine="0" w:firstLineChars="0"/>
              <w:contextualSpacing/>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多年平均</w:t>
            </w:r>
            <w:r>
              <w:rPr>
                <w:kern w:val="0"/>
                <w:sz w:val="21"/>
                <w:szCs w:val="21"/>
              </w:rPr>
              <w:t>供水量</w:t>
            </w:r>
            <w:r>
              <w:rPr>
                <w:rFonts w:hint="eastAsia"/>
                <w:kern w:val="0"/>
                <w:sz w:val="21"/>
                <w:szCs w:val="21"/>
              </w:rPr>
              <w:t>万</w:t>
            </w:r>
            <w:r>
              <w:rPr>
                <w:kern w:val="0"/>
                <w:sz w:val="21"/>
                <w:szCs w:val="21"/>
              </w:rPr>
              <w:t>m³</w:t>
            </w:r>
          </w:p>
        </w:tc>
        <w:tc>
          <w:tcPr>
            <w:tcW w:w="892" w:type="pct"/>
            <w:vAlign w:val="center"/>
          </w:tcPr>
          <w:p>
            <w:pPr>
              <w:widowControl/>
              <w:spacing w:line="240" w:lineRule="auto"/>
              <w:ind w:firstLine="0" w:firstLineChars="0"/>
              <w:contextualSpacing/>
              <w:jc w:val="center"/>
              <w:rPr>
                <w:kern w:val="0"/>
                <w:sz w:val="21"/>
                <w:szCs w:val="21"/>
              </w:rPr>
            </w:pPr>
            <w:r>
              <w:rPr>
                <w:kern w:val="0"/>
                <w:sz w:val="21"/>
                <w:szCs w:val="21"/>
              </w:rPr>
              <w:t>360.8</w:t>
            </w:r>
          </w:p>
        </w:tc>
        <w:tc>
          <w:tcPr>
            <w:tcW w:w="749"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3</w:t>
            </w:r>
            <w:r>
              <w:rPr>
                <w:kern w:val="0"/>
                <w:sz w:val="21"/>
                <w:szCs w:val="21"/>
              </w:rPr>
              <w:t>65.7</w:t>
            </w:r>
          </w:p>
        </w:tc>
        <w:tc>
          <w:tcPr>
            <w:tcW w:w="885" w:type="pct"/>
            <w:gridSpan w:val="2"/>
            <w:vAlign w:val="center"/>
          </w:tcPr>
          <w:p>
            <w:pPr>
              <w:spacing w:line="240" w:lineRule="auto"/>
              <w:ind w:firstLine="0" w:firstLineChars="0"/>
              <w:contextualSpacing/>
              <w:jc w:val="center"/>
              <w:rPr>
                <w:kern w:val="0"/>
                <w:sz w:val="21"/>
                <w:szCs w:val="21"/>
              </w:rPr>
            </w:pPr>
            <w:r>
              <w:rPr>
                <w:rFonts w:hint="eastAsia"/>
                <w:kern w:val="0"/>
                <w:sz w:val="21"/>
                <w:szCs w:val="21"/>
              </w:rPr>
              <w:t>3</w:t>
            </w:r>
            <w:r>
              <w:rPr>
                <w:kern w:val="0"/>
                <w:sz w:val="21"/>
                <w:szCs w:val="21"/>
              </w:rPr>
              <w:t>68.5</w:t>
            </w:r>
          </w:p>
        </w:tc>
        <w:tc>
          <w:tcPr>
            <w:tcW w:w="974"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差别不大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Align w:val="center"/>
          </w:tcPr>
          <w:p>
            <w:pPr>
              <w:widowControl/>
              <w:spacing w:line="240" w:lineRule="auto"/>
              <w:ind w:firstLine="0" w:firstLineChars="0"/>
              <w:contextualSpacing/>
              <w:jc w:val="center"/>
              <w:rPr>
                <w:kern w:val="0"/>
                <w:sz w:val="21"/>
                <w:szCs w:val="21"/>
              </w:rPr>
            </w:pPr>
            <w:r>
              <w:rPr>
                <w:kern w:val="0"/>
                <w:sz w:val="21"/>
                <w:szCs w:val="21"/>
              </w:rPr>
              <w:t>水环境（水温、水质）</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各方案水库水温均为稳定分层型，对水温、水质影响基本无差别</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相当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38" w:type="pct"/>
            <w:vMerge w:val="restart"/>
            <w:vAlign w:val="center"/>
          </w:tcPr>
          <w:p>
            <w:pPr>
              <w:widowControl/>
              <w:spacing w:line="240" w:lineRule="auto"/>
              <w:ind w:firstLine="0" w:firstLineChars="0"/>
              <w:contextualSpacing/>
              <w:jc w:val="center"/>
              <w:rPr>
                <w:kern w:val="0"/>
                <w:sz w:val="21"/>
                <w:szCs w:val="21"/>
              </w:rPr>
            </w:pPr>
            <w:r>
              <w:rPr>
                <w:kern w:val="0"/>
                <w:sz w:val="21"/>
                <w:szCs w:val="21"/>
              </w:rPr>
              <w:t>陆生生态</w:t>
            </w:r>
          </w:p>
        </w:tc>
        <w:tc>
          <w:tcPr>
            <w:tcW w:w="1062"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土</w:t>
            </w:r>
            <w:r>
              <w:rPr>
                <w:kern w:val="0"/>
                <w:sz w:val="21"/>
                <w:szCs w:val="21"/>
              </w:rPr>
              <w:t>地（亩）</w:t>
            </w:r>
          </w:p>
        </w:tc>
        <w:tc>
          <w:tcPr>
            <w:tcW w:w="892"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4</w:t>
            </w:r>
            <w:r>
              <w:rPr>
                <w:kern w:val="0"/>
                <w:sz w:val="21"/>
                <w:szCs w:val="21"/>
              </w:rPr>
              <w:t>86.25</w:t>
            </w:r>
          </w:p>
        </w:tc>
        <w:tc>
          <w:tcPr>
            <w:tcW w:w="749"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5</w:t>
            </w:r>
            <w:r>
              <w:rPr>
                <w:kern w:val="0"/>
                <w:sz w:val="21"/>
                <w:szCs w:val="21"/>
              </w:rPr>
              <w:t>31.28</w:t>
            </w:r>
          </w:p>
        </w:tc>
        <w:tc>
          <w:tcPr>
            <w:tcW w:w="885"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5</w:t>
            </w:r>
            <w:r>
              <w:rPr>
                <w:kern w:val="0"/>
                <w:sz w:val="21"/>
                <w:szCs w:val="21"/>
              </w:rPr>
              <w:t>66.45</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694m方案优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pPr>
              <w:widowControl/>
              <w:spacing w:line="240" w:lineRule="auto"/>
              <w:ind w:firstLine="0" w:firstLineChars="0"/>
              <w:contextualSpacing/>
              <w:jc w:val="center"/>
              <w:rPr>
                <w:kern w:val="0"/>
                <w:sz w:val="21"/>
                <w:szCs w:val="21"/>
              </w:rPr>
            </w:pPr>
          </w:p>
        </w:tc>
        <w:tc>
          <w:tcPr>
            <w:tcW w:w="1062" w:type="pct"/>
            <w:vAlign w:val="center"/>
          </w:tcPr>
          <w:p>
            <w:pPr>
              <w:widowControl/>
              <w:spacing w:line="240" w:lineRule="auto"/>
              <w:ind w:firstLine="0" w:firstLineChars="0"/>
              <w:contextualSpacing/>
              <w:jc w:val="center"/>
              <w:rPr>
                <w:kern w:val="0"/>
                <w:sz w:val="21"/>
                <w:szCs w:val="21"/>
              </w:rPr>
            </w:pPr>
            <w:r>
              <w:rPr>
                <w:kern w:val="0"/>
                <w:sz w:val="21"/>
                <w:szCs w:val="21"/>
              </w:rPr>
              <w:t>影响植物种类和生物量损失</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各方案涉及的植物种类基本一致且均为个体损失；随着水位抬升，生物量损失逐渐增大</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差别不大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pPr>
              <w:widowControl/>
              <w:spacing w:line="240" w:lineRule="auto"/>
              <w:ind w:firstLine="0" w:firstLineChars="0"/>
              <w:contextualSpacing/>
              <w:jc w:val="center"/>
              <w:rPr>
                <w:kern w:val="0"/>
                <w:sz w:val="21"/>
                <w:szCs w:val="21"/>
              </w:rPr>
            </w:pPr>
          </w:p>
        </w:tc>
        <w:tc>
          <w:tcPr>
            <w:tcW w:w="1062" w:type="pct"/>
            <w:vAlign w:val="center"/>
          </w:tcPr>
          <w:p>
            <w:pPr>
              <w:widowControl/>
              <w:spacing w:line="240" w:lineRule="auto"/>
              <w:ind w:firstLine="0" w:firstLineChars="0"/>
              <w:contextualSpacing/>
              <w:jc w:val="center"/>
              <w:rPr>
                <w:kern w:val="0"/>
                <w:sz w:val="21"/>
                <w:szCs w:val="21"/>
              </w:rPr>
            </w:pPr>
            <w:r>
              <w:rPr>
                <w:kern w:val="0"/>
                <w:sz w:val="21"/>
                <w:szCs w:val="21"/>
              </w:rPr>
              <w:t>影响保护动物</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均不涉及主要繁殖和栖息地，各方案影响差别不大</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差别不大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Align w:val="center"/>
          </w:tcPr>
          <w:p>
            <w:pPr>
              <w:widowControl/>
              <w:spacing w:line="240" w:lineRule="auto"/>
              <w:ind w:firstLine="0" w:firstLineChars="0"/>
              <w:contextualSpacing/>
              <w:jc w:val="center"/>
              <w:rPr>
                <w:kern w:val="0"/>
                <w:sz w:val="21"/>
                <w:szCs w:val="21"/>
              </w:rPr>
            </w:pPr>
            <w:r>
              <w:rPr>
                <w:kern w:val="0"/>
                <w:sz w:val="21"/>
                <w:szCs w:val="21"/>
              </w:rPr>
              <w:t>水生生态</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随着水位抬升，对水生生态的影响略大</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差别不大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Align w:val="center"/>
          </w:tcPr>
          <w:p>
            <w:pPr>
              <w:widowControl/>
              <w:spacing w:line="240" w:lineRule="auto"/>
              <w:ind w:firstLine="0" w:firstLineChars="0"/>
              <w:contextualSpacing/>
              <w:jc w:val="center"/>
              <w:rPr>
                <w:kern w:val="0"/>
                <w:sz w:val="21"/>
                <w:szCs w:val="21"/>
              </w:rPr>
            </w:pPr>
            <w:r>
              <w:rPr>
                <w:kern w:val="0"/>
                <w:sz w:val="21"/>
                <w:szCs w:val="21"/>
              </w:rPr>
              <w:t>其他</w:t>
            </w:r>
          </w:p>
        </w:tc>
        <w:tc>
          <w:tcPr>
            <w:tcW w:w="2526" w:type="pct"/>
            <w:gridSpan w:val="5"/>
            <w:vAlign w:val="center"/>
          </w:tcPr>
          <w:p>
            <w:pPr>
              <w:widowControl/>
              <w:spacing w:line="240" w:lineRule="auto"/>
              <w:ind w:firstLine="0" w:firstLineChars="0"/>
              <w:contextualSpacing/>
              <w:jc w:val="center"/>
              <w:rPr>
                <w:kern w:val="0"/>
                <w:sz w:val="21"/>
                <w:szCs w:val="21"/>
              </w:rPr>
            </w:pPr>
            <w:r>
              <w:rPr>
                <w:kern w:val="0"/>
                <w:sz w:val="21"/>
                <w:szCs w:val="21"/>
              </w:rPr>
              <w:t>各蓄水位方案均不涉及环境敏感区</w:t>
            </w:r>
          </w:p>
        </w:tc>
        <w:tc>
          <w:tcPr>
            <w:tcW w:w="974" w:type="pct"/>
            <w:vAlign w:val="center"/>
          </w:tcPr>
          <w:p>
            <w:pPr>
              <w:widowControl/>
              <w:spacing w:line="240" w:lineRule="auto"/>
              <w:ind w:firstLine="0" w:firstLineChars="0"/>
              <w:contextualSpacing/>
              <w:jc w:val="center"/>
              <w:rPr>
                <w:kern w:val="0"/>
                <w:sz w:val="21"/>
                <w:szCs w:val="21"/>
              </w:rPr>
            </w:pPr>
            <w:r>
              <w:rPr>
                <w:kern w:val="0"/>
                <w:sz w:val="21"/>
                <w:szCs w:val="21"/>
              </w:rPr>
              <w:t>差别不大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投资，万元</w:t>
            </w:r>
          </w:p>
        </w:tc>
        <w:tc>
          <w:tcPr>
            <w:tcW w:w="941"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2</w:t>
            </w:r>
            <w:r>
              <w:rPr>
                <w:kern w:val="0"/>
                <w:sz w:val="21"/>
                <w:szCs w:val="21"/>
              </w:rPr>
              <w:t>5848.48</w:t>
            </w:r>
          </w:p>
        </w:tc>
        <w:tc>
          <w:tcPr>
            <w:tcW w:w="801" w:type="pct"/>
            <w:gridSpan w:val="2"/>
            <w:vAlign w:val="center"/>
          </w:tcPr>
          <w:p>
            <w:pPr>
              <w:widowControl/>
              <w:spacing w:line="240" w:lineRule="auto"/>
              <w:ind w:firstLine="0" w:firstLineChars="0"/>
              <w:contextualSpacing/>
              <w:jc w:val="center"/>
              <w:rPr>
                <w:kern w:val="0"/>
                <w:sz w:val="21"/>
                <w:szCs w:val="21"/>
              </w:rPr>
            </w:pPr>
            <w:r>
              <w:rPr>
                <w:rFonts w:hint="eastAsia"/>
                <w:kern w:val="0"/>
                <w:sz w:val="21"/>
                <w:szCs w:val="21"/>
              </w:rPr>
              <w:t>2</w:t>
            </w:r>
            <w:r>
              <w:rPr>
                <w:kern w:val="0"/>
                <w:sz w:val="21"/>
                <w:szCs w:val="21"/>
              </w:rPr>
              <w:t>6266.01</w:t>
            </w:r>
          </w:p>
        </w:tc>
        <w:tc>
          <w:tcPr>
            <w:tcW w:w="784"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2</w:t>
            </w:r>
            <w:r>
              <w:rPr>
                <w:kern w:val="0"/>
                <w:sz w:val="21"/>
                <w:szCs w:val="21"/>
              </w:rPr>
              <w:t>6903.52</w:t>
            </w:r>
          </w:p>
        </w:tc>
        <w:tc>
          <w:tcPr>
            <w:tcW w:w="974" w:type="pct"/>
            <w:vAlign w:val="center"/>
          </w:tcPr>
          <w:p>
            <w:pPr>
              <w:widowControl/>
              <w:spacing w:line="240" w:lineRule="auto"/>
              <w:ind w:firstLine="0" w:firstLineChars="0"/>
              <w:contextualSpacing/>
              <w:jc w:val="center"/>
              <w:rPr>
                <w:kern w:val="0"/>
                <w:sz w:val="21"/>
                <w:szCs w:val="21"/>
              </w:rPr>
            </w:pPr>
          </w:p>
        </w:tc>
      </w:tr>
    </w:tbl>
    <w:p>
      <w:pPr>
        <w:ind w:firstLine="482"/>
        <w:contextualSpacing/>
        <w:rPr>
          <w:b/>
          <w:bCs/>
        </w:rPr>
      </w:pPr>
      <w:r>
        <w:rPr>
          <w:b/>
          <w:bCs/>
        </w:rPr>
        <w:t>因此，</w:t>
      </w:r>
      <w:r>
        <w:rPr>
          <w:kern w:val="0"/>
        </w:rPr>
        <w:t>从环境保护角度，推荐</w:t>
      </w:r>
      <w:r>
        <w:rPr>
          <w:b/>
          <w:bCs/>
          <w:kern w:val="0"/>
        </w:rPr>
        <w:t>695m正常蓄水位方案是合理的</w:t>
      </w:r>
      <w:r>
        <w:rPr>
          <w:kern w:val="0"/>
        </w:rPr>
        <w:t>。</w:t>
      </w:r>
    </w:p>
    <w:p>
      <w:pPr>
        <w:pStyle w:val="5"/>
        <w:ind w:firstLine="0" w:firstLineChars="0"/>
        <w:contextualSpacing/>
        <w:rPr>
          <w:rFonts w:ascii="Times New Roman" w:hAnsi="Times New Roman"/>
        </w:rPr>
      </w:pPr>
      <w:bookmarkStart w:id="369" w:name="_Toc16000"/>
      <w:bookmarkStart w:id="370" w:name="_Toc15524"/>
      <w:bookmarkStart w:id="371" w:name="_Toc8933"/>
      <w:r>
        <w:rPr>
          <w:rFonts w:ascii="Times New Roman" w:hAnsi="Times New Roman"/>
        </w:rPr>
        <w:t>3.2.4施工规划方案环境合理性</w:t>
      </w:r>
      <w:bookmarkEnd w:id="369"/>
      <w:bookmarkEnd w:id="370"/>
      <w:bookmarkEnd w:id="371"/>
    </w:p>
    <w:p>
      <w:pPr>
        <w:ind w:firstLine="482"/>
        <w:contextualSpacing/>
        <w:outlineLvl w:val="3"/>
        <w:rPr>
          <w:b/>
          <w:bCs/>
        </w:rPr>
      </w:pPr>
      <w:r>
        <w:rPr>
          <w:b/>
          <w:bCs/>
        </w:rPr>
        <w:t>3.2.4.1料场选取环境合理性分析</w:t>
      </w:r>
    </w:p>
    <w:p>
      <w:pPr>
        <w:ind w:firstLine="480"/>
        <w:contextualSpacing/>
      </w:pPr>
      <w:r>
        <w:t>（1）</w:t>
      </w:r>
      <w:r>
        <w:rPr>
          <w:rFonts w:hint="eastAsia"/>
        </w:rPr>
        <w:t>南江县桥亭乡圣宝石料场</w:t>
      </w:r>
    </w:p>
    <w:p>
      <w:pPr>
        <w:ind w:firstLine="480"/>
        <w:contextualSpacing/>
        <w:rPr>
          <w:rFonts w:hint="eastAsia"/>
        </w:rPr>
      </w:pPr>
      <w:r>
        <w:rPr>
          <w:rFonts w:hint="eastAsia"/>
        </w:rPr>
        <w:t>南江县桥亭乡圣宝石料场位于南江县红鱼洞水库左坝肩下游侧黄莲树塘，有公路和工区相通，交通方便，距离约115.6km。该料场目前正在开采中，对外出售骨料、块石，该料场料源为南江县红鱼洞水库骨料、块石、堆石料料原地。</w:t>
      </w:r>
    </w:p>
    <w:p>
      <w:pPr>
        <w:ind w:firstLine="480"/>
        <w:contextualSpacing/>
      </w:pPr>
      <w:r>
        <w:rPr>
          <w:rFonts w:hint="eastAsia"/>
        </w:rPr>
        <w:t>根据调查，该料场目前剩余开采量约400万m3，日生产骨料能力约1500m3；其储量丰富，生产能力能满足工程需要。不属于本项目评价范围。</w:t>
      </w:r>
    </w:p>
    <w:p>
      <w:pPr>
        <w:ind w:firstLine="480"/>
        <w:contextualSpacing/>
      </w:pPr>
      <w:r>
        <w:rPr>
          <w:rFonts w:hint="eastAsia"/>
        </w:rPr>
        <w:t>（2）</w:t>
      </w:r>
      <w:r>
        <w:t>蒋家河石料场（石渣料）</w:t>
      </w:r>
    </w:p>
    <w:p>
      <w:pPr>
        <w:ind w:firstLine="480"/>
        <w:contextualSpacing/>
      </w:pPr>
      <w:r>
        <w:t>蒋家河石料场位于寒溪寺水库库尾右岸，距坝址直线距离为0.95km。料扬地形为一单斜山，高程667.91</w:t>
      </w:r>
      <w:r>
        <w:rPr>
          <w:rFonts w:hint="eastAsia"/>
        </w:rPr>
        <w:t>m</w:t>
      </w:r>
      <w:r>
        <w:t>～757.33m，整体坡度为16°～20°；料场中部分布一冲沟，冲沟流向为S79°E，横穿料场；料场临河地形陡峻，平均坡度为47°～65°。</w:t>
      </w:r>
    </w:p>
    <w:p>
      <w:pPr>
        <w:ind w:firstLine="480"/>
        <w:contextualSpacing/>
      </w:pPr>
      <w:r>
        <w:t>该料场主要植被类型均为灌丛和芒草丛等，未发现珍稀保护动植物，未占用生态公益林。</w:t>
      </w:r>
      <w:r>
        <w:rPr>
          <w:kern w:val="0"/>
        </w:rPr>
        <w:t>料场占地也不涉及自然保护区、风景名胜区、地质公园、湿地公园、文物保护单位、水源保护区等环境敏感区。料场选址不属于县级以上人民政府划定的崩塌和滑坡危险区、泥石流易发区。料场在淹没线范围内，附近居民已搬迁安置。从环保的角度出发，石料场的选址具有环境合理性。</w:t>
      </w:r>
    </w:p>
    <w:p>
      <w:pPr>
        <w:ind w:firstLine="0" w:firstLineChars="0"/>
        <w:contextualSpacing/>
        <w:outlineLvl w:val="3"/>
        <w:rPr>
          <w:b/>
          <w:bCs/>
        </w:rPr>
      </w:pPr>
      <w:r>
        <w:rPr>
          <w:b/>
          <w:bCs/>
        </w:rPr>
        <w:t>3.2.4.2弃渣场方案环境合理性分析</w:t>
      </w:r>
    </w:p>
    <w:p>
      <w:pPr>
        <w:ind w:firstLine="480"/>
        <w:contextualSpacing/>
      </w:pPr>
      <w:r>
        <w:rPr>
          <w:rFonts w:hint="eastAsia"/>
        </w:rPr>
        <w:t>1、枢纽工程</w:t>
      </w:r>
    </w:p>
    <w:p>
      <w:pPr>
        <w:ind w:firstLine="480"/>
        <w:contextualSpacing/>
      </w:pPr>
      <w:r>
        <w:t>枢纽工程弃渣</w:t>
      </w:r>
      <w:r>
        <w:rPr>
          <w:rFonts w:hint="eastAsia"/>
        </w:rPr>
        <w:t>28.59</w:t>
      </w:r>
      <w:r>
        <w:t>万m</w:t>
      </w:r>
      <w:r>
        <w:rPr>
          <w:vertAlign w:val="superscript"/>
        </w:rPr>
        <w:t>3</w:t>
      </w:r>
      <w:r>
        <w:t>，弃渣应合理规划，避免随意堆存，防止造成水土流失和导致次生地质灾害，保护生态环境。本工程弃渣场规划原则如下：</w:t>
      </w:r>
    </w:p>
    <w:p>
      <w:pPr>
        <w:ind w:firstLine="480"/>
        <w:contextualSpacing/>
      </w:pPr>
      <w:r>
        <w:t>1）渣场布置不影响河道行洪，并按环境、水土保持要求布置，工程完工后造地复耕。</w:t>
      </w:r>
    </w:p>
    <w:p>
      <w:pPr>
        <w:ind w:firstLine="480"/>
        <w:contextualSpacing/>
      </w:pPr>
      <w:r>
        <w:t>2）水库枢纽工程开挖弃渣本着少占耕地，保护环境的原则布置弃渣场。</w:t>
      </w:r>
    </w:p>
    <w:p>
      <w:pPr>
        <w:ind w:firstLine="480"/>
        <w:contextualSpacing/>
      </w:pPr>
      <w:r>
        <w:t>3）弃渣尽量堆放于荒坡或荒沟内，尽量少占或不占耕地，不占用基本农田，避开泥石流沟、滑坡体、崩塌等不良地质地段。</w:t>
      </w:r>
    </w:p>
    <w:p>
      <w:pPr>
        <w:ind w:firstLine="480"/>
        <w:contextualSpacing/>
        <w:rPr>
          <w:color w:val="FF0000"/>
        </w:rPr>
      </w:pPr>
      <w:r>
        <w:t>根据以上渣场规划原则、工程建筑物的分布及地形地质条件，本工程共设置4个弃渣场，1#弃渣场集中设置于大坝下游左岸，弃渣量4.25万m</w:t>
      </w:r>
      <w:r>
        <w:rPr>
          <w:vertAlign w:val="superscript"/>
        </w:rPr>
        <w:t>3</w:t>
      </w:r>
      <w:r>
        <w:t>，平均堆高3.5m，弃渣占地面积18.19亩；2#弃渣场设置于库尾蒋家河石料场附近，弃渣量</w:t>
      </w:r>
      <w:r>
        <w:rPr>
          <w:rFonts w:hint="eastAsia"/>
        </w:rPr>
        <w:t>23.22</w:t>
      </w:r>
      <w:r>
        <w:t>万m</w:t>
      </w:r>
      <w:r>
        <w:rPr>
          <w:vertAlign w:val="superscript"/>
        </w:rPr>
        <w:t>3</w:t>
      </w:r>
      <w:r>
        <w:t>，平均堆高15m，弃渣占地面积</w:t>
      </w:r>
      <w:r>
        <w:rPr>
          <w:rFonts w:hint="eastAsia"/>
        </w:rPr>
        <w:t>27.84</w:t>
      </w:r>
      <w:r>
        <w:t>亩；3#弃渣场设置于谭家河补水工程附近，弃渣量0.39万m</w:t>
      </w:r>
      <w:r>
        <w:rPr>
          <w:vertAlign w:val="superscript"/>
        </w:rPr>
        <w:t>3</w:t>
      </w:r>
      <w:r>
        <w:t>，平均堆高1.5m，弃渣占地面积3.87亩；4#弃渣场位于刘家河补水附近，弃渣量0.74万m</w:t>
      </w:r>
      <w:r>
        <w:rPr>
          <w:vertAlign w:val="superscript"/>
        </w:rPr>
        <w:t>3</w:t>
      </w:r>
      <w:r>
        <w:t>，平均堆高2.0m，弃渣占地面积5.43亩。渣场布置不影响河道行洪，并按环境、水土保持要求布置，工程完工后造地复耕（库内石料场弃渣场可不复耕）。</w:t>
      </w:r>
    </w:p>
    <w:p>
      <w:pPr>
        <w:ind w:firstLine="0" w:firstLineChars="0"/>
        <w:contextualSpacing/>
        <w:jc w:val="center"/>
        <w:rPr>
          <w:b/>
          <w:bCs/>
          <w:sz w:val="21"/>
          <w:szCs w:val="21"/>
        </w:rPr>
      </w:pPr>
      <w:r>
        <w:rPr>
          <w:b/>
          <w:bCs/>
          <w:sz w:val="21"/>
          <w:szCs w:val="21"/>
        </w:rPr>
        <w:t>表3.2.4-2  枢纽工程渣场规划特性表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243"/>
        <w:gridCol w:w="2616"/>
        <w:gridCol w:w="779"/>
        <w:gridCol w:w="1215"/>
        <w:gridCol w:w="927"/>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渣场编号</w:t>
            </w:r>
          </w:p>
        </w:tc>
        <w:tc>
          <w:tcPr>
            <w:tcW w:w="729" w:type="pct"/>
            <w:vAlign w:val="center"/>
          </w:tcPr>
          <w:p>
            <w:pPr>
              <w:pStyle w:val="139"/>
              <w:spacing w:line="240" w:lineRule="auto"/>
              <w:rPr>
                <w:rFonts w:cs="Times New Roman"/>
              </w:rPr>
            </w:pPr>
            <w:r>
              <w:rPr>
                <w:rFonts w:cs="Times New Roman"/>
              </w:rPr>
              <w:t>渣场位置</w:t>
            </w:r>
          </w:p>
        </w:tc>
        <w:tc>
          <w:tcPr>
            <w:tcW w:w="1535" w:type="pct"/>
            <w:vAlign w:val="center"/>
          </w:tcPr>
          <w:p>
            <w:pPr>
              <w:pStyle w:val="139"/>
              <w:spacing w:line="240" w:lineRule="auto"/>
              <w:rPr>
                <w:rFonts w:cs="Times New Roman"/>
              </w:rPr>
            </w:pPr>
            <w:r>
              <w:rPr>
                <w:rFonts w:cs="Times New Roman"/>
              </w:rPr>
              <w:t>弃渣来源</w:t>
            </w:r>
          </w:p>
        </w:tc>
        <w:tc>
          <w:tcPr>
            <w:tcW w:w="457" w:type="pct"/>
            <w:vAlign w:val="center"/>
          </w:tcPr>
          <w:p>
            <w:pPr>
              <w:pStyle w:val="139"/>
              <w:spacing w:line="240" w:lineRule="auto"/>
              <w:rPr>
                <w:rFonts w:cs="Times New Roman"/>
              </w:rPr>
            </w:pPr>
            <w:r>
              <w:rPr>
                <w:rFonts w:cs="Times New Roman"/>
              </w:rPr>
              <w:t>堆渣量</w:t>
            </w:r>
          </w:p>
          <w:p>
            <w:pPr>
              <w:pStyle w:val="139"/>
              <w:spacing w:line="240" w:lineRule="auto"/>
              <w:rPr>
                <w:rFonts w:cs="Times New Roman"/>
              </w:rPr>
            </w:pPr>
            <w:r>
              <w:rPr>
                <w:rFonts w:cs="Times New Roman"/>
              </w:rPr>
              <w:t>万m</w:t>
            </w:r>
            <w:r>
              <w:rPr>
                <w:rFonts w:cs="Times New Roman"/>
                <w:vertAlign w:val="superscript"/>
              </w:rPr>
              <w:t>3</w:t>
            </w:r>
          </w:p>
        </w:tc>
        <w:tc>
          <w:tcPr>
            <w:tcW w:w="713" w:type="pct"/>
            <w:vAlign w:val="center"/>
          </w:tcPr>
          <w:p>
            <w:pPr>
              <w:pStyle w:val="139"/>
              <w:spacing w:line="240" w:lineRule="auto"/>
              <w:rPr>
                <w:rFonts w:cs="Times New Roman"/>
              </w:rPr>
            </w:pPr>
            <w:r>
              <w:rPr>
                <w:rFonts w:cs="Times New Roman"/>
              </w:rPr>
              <w:t>占地面积</w:t>
            </w:r>
          </w:p>
          <w:p>
            <w:pPr>
              <w:pStyle w:val="139"/>
              <w:spacing w:line="240" w:lineRule="auto"/>
              <w:rPr>
                <w:rFonts w:cs="Times New Roman"/>
              </w:rPr>
            </w:pPr>
            <w:r>
              <w:rPr>
                <w:rFonts w:cs="Times New Roman"/>
              </w:rPr>
              <w:t>亩</w:t>
            </w:r>
          </w:p>
        </w:tc>
        <w:tc>
          <w:tcPr>
            <w:tcW w:w="544" w:type="pct"/>
            <w:vAlign w:val="center"/>
          </w:tcPr>
          <w:p>
            <w:pPr>
              <w:pStyle w:val="139"/>
              <w:spacing w:line="240" w:lineRule="auto"/>
              <w:rPr>
                <w:rFonts w:cs="Times New Roman"/>
              </w:rPr>
            </w:pPr>
            <w:r>
              <w:rPr>
                <w:rFonts w:cs="Times New Roman"/>
              </w:rPr>
              <w:t>平均堆渣高度</w:t>
            </w:r>
          </w:p>
          <w:p>
            <w:pPr>
              <w:pStyle w:val="139"/>
              <w:spacing w:line="240" w:lineRule="auto"/>
              <w:rPr>
                <w:rFonts w:cs="Times New Roman"/>
              </w:rPr>
            </w:pPr>
            <w:r>
              <w:rPr>
                <w:rFonts w:cs="Times New Roman"/>
              </w:rPr>
              <w:t>m</w:t>
            </w:r>
          </w:p>
        </w:tc>
        <w:tc>
          <w:tcPr>
            <w:tcW w:w="481"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1#</w:t>
            </w:r>
          </w:p>
        </w:tc>
        <w:tc>
          <w:tcPr>
            <w:tcW w:w="729" w:type="pct"/>
            <w:vAlign w:val="center"/>
          </w:tcPr>
          <w:p>
            <w:pPr>
              <w:pStyle w:val="139"/>
              <w:spacing w:line="240" w:lineRule="auto"/>
              <w:rPr>
                <w:rFonts w:cs="Times New Roman"/>
              </w:rPr>
            </w:pPr>
            <w:r>
              <w:rPr>
                <w:rFonts w:cs="Times New Roman"/>
              </w:rPr>
              <w:t>大坝下游左岸</w:t>
            </w:r>
          </w:p>
        </w:tc>
        <w:tc>
          <w:tcPr>
            <w:tcW w:w="1535" w:type="pct"/>
            <w:vAlign w:val="center"/>
          </w:tcPr>
          <w:p>
            <w:pPr>
              <w:pStyle w:val="139"/>
              <w:spacing w:line="240" w:lineRule="auto"/>
              <w:rPr>
                <w:rFonts w:cs="Times New Roman"/>
              </w:rPr>
            </w:pPr>
            <w:r>
              <w:rPr>
                <w:rFonts w:cs="Times New Roman"/>
              </w:rPr>
              <w:t>大坝、溢洪道、隧洞开挖弃渣</w:t>
            </w:r>
          </w:p>
        </w:tc>
        <w:tc>
          <w:tcPr>
            <w:tcW w:w="457" w:type="pct"/>
            <w:vAlign w:val="center"/>
          </w:tcPr>
          <w:p>
            <w:pPr>
              <w:spacing w:line="240" w:lineRule="auto"/>
              <w:ind w:firstLine="0" w:firstLineChars="0"/>
              <w:jc w:val="center"/>
              <w:rPr>
                <w:sz w:val="18"/>
                <w:szCs w:val="18"/>
              </w:rPr>
            </w:pPr>
            <w:r>
              <w:rPr>
                <w:sz w:val="18"/>
                <w:szCs w:val="18"/>
              </w:rPr>
              <w:t>4.25</w:t>
            </w:r>
          </w:p>
        </w:tc>
        <w:tc>
          <w:tcPr>
            <w:tcW w:w="713" w:type="pct"/>
            <w:vAlign w:val="center"/>
          </w:tcPr>
          <w:p>
            <w:pPr>
              <w:spacing w:line="240" w:lineRule="auto"/>
              <w:ind w:firstLine="0" w:firstLineChars="0"/>
              <w:jc w:val="center"/>
              <w:rPr>
                <w:sz w:val="18"/>
                <w:szCs w:val="18"/>
              </w:rPr>
            </w:pPr>
            <w:r>
              <w:rPr>
                <w:sz w:val="18"/>
                <w:szCs w:val="18"/>
              </w:rPr>
              <w:t>18.19</w:t>
            </w:r>
          </w:p>
        </w:tc>
        <w:tc>
          <w:tcPr>
            <w:tcW w:w="544" w:type="pct"/>
            <w:vAlign w:val="center"/>
          </w:tcPr>
          <w:p>
            <w:pPr>
              <w:spacing w:line="240" w:lineRule="auto"/>
              <w:ind w:firstLine="0" w:firstLineChars="0"/>
              <w:jc w:val="center"/>
              <w:rPr>
                <w:sz w:val="18"/>
                <w:szCs w:val="18"/>
              </w:rPr>
            </w:pPr>
            <w:r>
              <w:rPr>
                <w:sz w:val="18"/>
                <w:szCs w:val="18"/>
              </w:rPr>
              <w:t>3.5</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2#</w:t>
            </w:r>
          </w:p>
        </w:tc>
        <w:tc>
          <w:tcPr>
            <w:tcW w:w="729" w:type="pct"/>
            <w:vAlign w:val="center"/>
          </w:tcPr>
          <w:p>
            <w:pPr>
              <w:pStyle w:val="139"/>
              <w:spacing w:line="240" w:lineRule="auto"/>
              <w:rPr>
                <w:rFonts w:cs="Times New Roman"/>
              </w:rPr>
            </w:pPr>
            <w:r>
              <w:rPr>
                <w:rFonts w:cs="Times New Roman"/>
              </w:rPr>
              <w:t>石料场</w:t>
            </w:r>
          </w:p>
        </w:tc>
        <w:tc>
          <w:tcPr>
            <w:tcW w:w="1535" w:type="pct"/>
            <w:vAlign w:val="center"/>
          </w:tcPr>
          <w:p>
            <w:pPr>
              <w:pStyle w:val="139"/>
              <w:spacing w:line="240" w:lineRule="auto"/>
              <w:rPr>
                <w:rFonts w:cs="Times New Roman"/>
              </w:rPr>
            </w:pPr>
            <w:r>
              <w:rPr>
                <w:rFonts w:cs="Times New Roman"/>
              </w:rPr>
              <w:t>大坝、石料场弃渣、补水隧洞弃渣</w:t>
            </w:r>
          </w:p>
        </w:tc>
        <w:tc>
          <w:tcPr>
            <w:tcW w:w="457" w:type="pct"/>
            <w:vAlign w:val="center"/>
          </w:tcPr>
          <w:p>
            <w:pPr>
              <w:spacing w:line="240" w:lineRule="auto"/>
              <w:ind w:firstLine="0" w:firstLineChars="0"/>
              <w:jc w:val="center"/>
              <w:rPr>
                <w:sz w:val="18"/>
                <w:szCs w:val="18"/>
              </w:rPr>
            </w:pPr>
            <w:r>
              <w:rPr>
                <w:sz w:val="18"/>
                <w:szCs w:val="18"/>
              </w:rPr>
              <w:t>23.22</w:t>
            </w:r>
          </w:p>
        </w:tc>
        <w:tc>
          <w:tcPr>
            <w:tcW w:w="713" w:type="pct"/>
            <w:vAlign w:val="center"/>
          </w:tcPr>
          <w:p>
            <w:pPr>
              <w:spacing w:line="240" w:lineRule="auto"/>
              <w:ind w:firstLine="0" w:firstLineChars="0"/>
              <w:jc w:val="center"/>
              <w:rPr>
                <w:sz w:val="18"/>
                <w:szCs w:val="18"/>
              </w:rPr>
            </w:pPr>
            <w:r>
              <w:rPr>
                <w:sz w:val="18"/>
                <w:szCs w:val="18"/>
              </w:rPr>
              <w:t>25.60</w:t>
            </w:r>
          </w:p>
        </w:tc>
        <w:tc>
          <w:tcPr>
            <w:tcW w:w="544" w:type="pct"/>
            <w:vAlign w:val="center"/>
          </w:tcPr>
          <w:p>
            <w:pPr>
              <w:spacing w:line="240" w:lineRule="auto"/>
              <w:ind w:firstLine="0" w:firstLineChars="0"/>
              <w:jc w:val="center"/>
              <w:rPr>
                <w:sz w:val="18"/>
                <w:szCs w:val="18"/>
              </w:rPr>
            </w:pPr>
            <w:r>
              <w:rPr>
                <w:sz w:val="18"/>
                <w:szCs w:val="18"/>
              </w:rPr>
              <w:t>16</w:t>
            </w:r>
          </w:p>
        </w:tc>
        <w:tc>
          <w:tcPr>
            <w:tcW w:w="481" w:type="pct"/>
            <w:vAlign w:val="center"/>
          </w:tcPr>
          <w:p>
            <w:pPr>
              <w:pStyle w:val="139"/>
              <w:spacing w:line="240" w:lineRule="auto"/>
              <w:rPr>
                <w:rFonts w:cs="Times New Roman"/>
              </w:rPr>
            </w:pPr>
            <w:r>
              <w:rPr>
                <w:rFonts w:cs="Times New Roman"/>
              </w:rPr>
              <w:t>不复耕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3#</w:t>
            </w:r>
          </w:p>
        </w:tc>
        <w:tc>
          <w:tcPr>
            <w:tcW w:w="729" w:type="pct"/>
            <w:vAlign w:val="center"/>
          </w:tcPr>
          <w:p>
            <w:pPr>
              <w:pStyle w:val="139"/>
              <w:spacing w:line="240" w:lineRule="auto"/>
              <w:rPr>
                <w:rFonts w:cs="Times New Roman"/>
              </w:rPr>
            </w:pPr>
            <w:r>
              <w:rPr>
                <w:rFonts w:cs="Times New Roman"/>
              </w:rPr>
              <w:t>谭家河补水</w:t>
            </w:r>
          </w:p>
        </w:tc>
        <w:tc>
          <w:tcPr>
            <w:tcW w:w="1535" w:type="pct"/>
            <w:vAlign w:val="center"/>
          </w:tcPr>
          <w:p>
            <w:pPr>
              <w:pStyle w:val="139"/>
              <w:spacing w:line="240" w:lineRule="auto"/>
              <w:rPr>
                <w:rFonts w:cs="Times New Roman"/>
              </w:rPr>
            </w:pPr>
            <w:r>
              <w:rPr>
                <w:rFonts w:cs="Times New Roman"/>
              </w:rPr>
              <w:t>补水工程开挖弃渣</w:t>
            </w:r>
          </w:p>
        </w:tc>
        <w:tc>
          <w:tcPr>
            <w:tcW w:w="457" w:type="pct"/>
            <w:vAlign w:val="center"/>
          </w:tcPr>
          <w:p>
            <w:pPr>
              <w:spacing w:line="240" w:lineRule="auto"/>
              <w:ind w:firstLine="0" w:firstLineChars="0"/>
              <w:jc w:val="center"/>
              <w:rPr>
                <w:sz w:val="18"/>
                <w:szCs w:val="18"/>
              </w:rPr>
            </w:pPr>
            <w:r>
              <w:rPr>
                <w:sz w:val="18"/>
                <w:szCs w:val="18"/>
              </w:rPr>
              <w:t>0.39</w:t>
            </w:r>
          </w:p>
        </w:tc>
        <w:tc>
          <w:tcPr>
            <w:tcW w:w="713" w:type="pct"/>
            <w:vAlign w:val="center"/>
          </w:tcPr>
          <w:p>
            <w:pPr>
              <w:spacing w:line="240" w:lineRule="auto"/>
              <w:ind w:firstLine="0" w:firstLineChars="0"/>
              <w:jc w:val="center"/>
              <w:rPr>
                <w:sz w:val="18"/>
                <w:szCs w:val="18"/>
              </w:rPr>
            </w:pPr>
            <w:r>
              <w:rPr>
                <w:sz w:val="18"/>
                <w:szCs w:val="18"/>
              </w:rPr>
              <w:t>3.87</w:t>
            </w:r>
          </w:p>
        </w:tc>
        <w:tc>
          <w:tcPr>
            <w:tcW w:w="544" w:type="pct"/>
            <w:vAlign w:val="center"/>
          </w:tcPr>
          <w:p>
            <w:pPr>
              <w:spacing w:line="240" w:lineRule="auto"/>
              <w:ind w:firstLine="0" w:firstLineChars="0"/>
              <w:jc w:val="center"/>
              <w:rPr>
                <w:sz w:val="18"/>
                <w:szCs w:val="18"/>
              </w:rPr>
            </w:pPr>
            <w:r>
              <w:rPr>
                <w:sz w:val="18"/>
                <w:szCs w:val="18"/>
              </w:rPr>
              <w:t>1.5</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4#</w:t>
            </w:r>
          </w:p>
        </w:tc>
        <w:tc>
          <w:tcPr>
            <w:tcW w:w="729" w:type="pct"/>
            <w:vAlign w:val="center"/>
          </w:tcPr>
          <w:p>
            <w:pPr>
              <w:pStyle w:val="139"/>
              <w:spacing w:line="240" w:lineRule="auto"/>
              <w:rPr>
                <w:rFonts w:cs="Times New Roman"/>
              </w:rPr>
            </w:pPr>
            <w:r>
              <w:rPr>
                <w:rFonts w:cs="Times New Roman"/>
              </w:rPr>
              <w:t>刘家河补水</w:t>
            </w:r>
          </w:p>
        </w:tc>
        <w:tc>
          <w:tcPr>
            <w:tcW w:w="1535" w:type="pct"/>
            <w:vAlign w:val="center"/>
          </w:tcPr>
          <w:p>
            <w:pPr>
              <w:pStyle w:val="139"/>
              <w:spacing w:line="240" w:lineRule="auto"/>
              <w:rPr>
                <w:rFonts w:cs="Times New Roman"/>
              </w:rPr>
            </w:pPr>
            <w:r>
              <w:rPr>
                <w:rFonts w:cs="Times New Roman"/>
              </w:rPr>
              <w:t>补水工程开挖弃渣</w:t>
            </w:r>
          </w:p>
        </w:tc>
        <w:tc>
          <w:tcPr>
            <w:tcW w:w="457" w:type="pct"/>
            <w:vAlign w:val="center"/>
          </w:tcPr>
          <w:p>
            <w:pPr>
              <w:spacing w:line="240" w:lineRule="auto"/>
              <w:ind w:firstLine="0" w:firstLineChars="0"/>
              <w:jc w:val="center"/>
              <w:rPr>
                <w:sz w:val="18"/>
                <w:szCs w:val="18"/>
              </w:rPr>
            </w:pPr>
            <w:r>
              <w:rPr>
                <w:sz w:val="18"/>
                <w:szCs w:val="18"/>
              </w:rPr>
              <w:t>0.74</w:t>
            </w:r>
          </w:p>
        </w:tc>
        <w:tc>
          <w:tcPr>
            <w:tcW w:w="713" w:type="pct"/>
            <w:vAlign w:val="center"/>
          </w:tcPr>
          <w:p>
            <w:pPr>
              <w:spacing w:line="240" w:lineRule="auto"/>
              <w:ind w:firstLine="0" w:firstLineChars="0"/>
              <w:jc w:val="center"/>
              <w:rPr>
                <w:sz w:val="18"/>
                <w:szCs w:val="18"/>
              </w:rPr>
            </w:pPr>
            <w:r>
              <w:rPr>
                <w:sz w:val="18"/>
                <w:szCs w:val="18"/>
              </w:rPr>
              <w:t>5.43</w:t>
            </w:r>
          </w:p>
        </w:tc>
        <w:tc>
          <w:tcPr>
            <w:tcW w:w="544" w:type="pct"/>
            <w:vAlign w:val="center"/>
          </w:tcPr>
          <w:p>
            <w:pPr>
              <w:spacing w:line="240" w:lineRule="auto"/>
              <w:ind w:firstLine="0" w:firstLineChars="0"/>
              <w:jc w:val="center"/>
              <w:rPr>
                <w:sz w:val="18"/>
                <w:szCs w:val="18"/>
              </w:rPr>
            </w:pPr>
            <w:r>
              <w:rPr>
                <w:sz w:val="18"/>
                <w:szCs w:val="18"/>
              </w:rPr>
              <w:t>2</w:t>
            </w:r>
          </w:p>
        </w:tc>
        <w:tc>
          <w:tcPr>
            <w:tcW w:w="481" w:type="pct"/>
            <w:vAlign w:val="center"/>
          </w:tcPr>
          <w:p>
            <w:pPr>
              <w:pStyle w:val="139"/>
              <w:spacing w:line="240" w:lineRule="auto"/>
              <w:rPr>
                <w:rFonts w:cs="Times New Roman"/>
              </w:rPr>
            </w:pPr>
            <w:r>
              <w:rPr>
                <w:rFonts w:cs="Times New Roman"/>
              </w:rPr>
              <w:t>复耕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pPr>
              <w:pStyle w:val="139"/>
              <w:spacing w:line="240" w:lineRule="auto"/>
              <w:rPr>
                <w:rFonts w:cs="Times New Roman"/>
              </w:rPr>
            </w:pPr>
            <w:r>
              <w:rPr>
                <w:rFonts w:cs="Times New Roman"/>
              </w:rPr>
              <w:t>合计</w:t>
            </w:r>
          </w:p>
        </w:tc>
        <w:tc>
          <w:tcPr>
            <w:tcW w:w="729" w:type="pct"/>
            <w:vAlign w:val="center"/>
          </w:tcPr>
          <w:p>
            <w:pPr>
              <w:pStyle w:val="139"/>
              <w:spacing w:line="240" w:lineRule="auto"/>
              <w:rPr>
                <w:rFonts w:cs="Times New Roman"/>
              </w:rPr>
            </w:pPr>
          </w:p>
        </w:tc>
        <w:tc>
          <w:tcPr>
            <w:tcW w:w="1535" w:type="pct"/>
            <w:vAlign w:val="center"/>
          </w:tcPr>
          <w:p>
            <w:pPr>
              <w:pStyle w:val="139"/>
              <w:spacing w:line="240" w:lineRule="auto"/>
              <w:rPr>
                <w:rFonts w:cs="Times New Roman"/>
              </w:rPr>
            </w:pPr>
          </w:p>
        </w:tc>
        <w:tc>
          <w:tcPr>
            <w:tcW w:w="457" w:type="pct"/>
            <w:vAlign w:val="center"/>
          </w:tcPr>
          <w:p>
            <w:pPr>
              <w:spacing w:line="240" w:lineRule="auto"/>
              <w:ind w:firstLine="0" w:firstLineChars="0"/>
              <w:jc w:val="center"/>
              <w:rPr>
                <w:sz w:val="18"/>
                <w:szCs w:val="18"/>
              </w:rPr>
            </w:pPr>
            <w:r>
              <w:rPr>
                <w:sz w:val="18"/>
                <w:szCs w:val="18"/>
              </w:rPr>
              <w:t>28.59</w:t>
            </w:r>
          </w:p>
        </w:tc>
        <w:tc>
          <w:tcPr>
            <w:tcW w:w="713" w:type="pct"/>
            <w:vAlign w:val="center"/>
          </w:tcPr>
          <w:p>
            <w:pPr>
              <w:spacing w:line="240" w:lineRule="auto"/>
              <w:ind w:firstLine="0" w:firstLineChars="0"/>
              <w:jc w:val="center"/>
              <w:rPr>
                <w:sz w:val="18"/>
                <w:szCs w:val="18"/>
              </w:rPr>
            </w:pPr>
            <w:r>
              <w:rPr>
                <w:sz w:val="18"/>
                <w:szCs w:val="18"/>
              </w:rPr>
              <w:t>53.10</w:t>
            </w:r>
          </w:p>
        </w:tc>
        <w:tc>
          <w:tcPr>
            <w:tcW w:w="544" w:type="pct"/>
            <w:vAlign w:val="center"/>
          </w:tcPr>
          <w:p>
            <w:pPr>
              <w:spacing w:line="240" w:lineRule="auto"/>
              <w:ind w:firstLine="0" w:firstLineChars="0"/>
              <w:jc w:val="center"/>
              <w:rPr>
                <w:sz w:val="18"/>
                <w:szCs w:val="18"/>
              </w:rPr>
            </w:pPr>
          </w:p>
        </w:tc>
        <w:tc>
          <w:tcPr>
            <w:tcW w:w="481" w:type="pct"/>
            <w:vAlign w:val="center"/>
          </w:tcPr>
          <w:p>
            <w:pPr>
              <w:pStyle w:val="139"/>
              <w:spacing w:line="240" w:lineRule="auto"/>
              <w:rPr>
                <w:rFonts w:cs="Times New Roman"/>
              </w:rPr>
            </w:pPr>
          </w:p>
        </w:tc>
      </w:tr>
    </w:tbl>
    <w:p>
      <w:pPr>
        <w:ind w:firstLine="480"/>
        <w:contextualSpacing/>
      </w:pPr>
      <w:r>
        <w:rPr>
          <w:rFonts w:hint="eastAsia"/>
        </w:rPr>
        <w:t>2、渠道工程</w:t>
      </w:r>
    </w:p>
    <w:p>
      <w:pPr>
        <w:ind w:firstLine="480"/>
        <w:contextualSpacing/>
      </w:pPr>
      <w:r>
        <w:t>渠道工程占线较长，弃渣应合理规划，避免随意堆存，防止造成水土流失和导致次生地质灾害，保护生态环境。本工程弃渣场规划原则如下：</w:t>
      </w:r>
    </w:p>
    <w:p>
      <w:pPr>
        <w:ind w:firstLine="480"/>
        <w:contextualSpacing/>
      </w:pPr>
      <w:r>
        <w:t>1）渠系工程战线长，工程点多且分散，采用分散布置渣场。</w:t>
      </w:r>
    </w:p>
    <w:p>
      <w:pPr>
        <w:ind w:firstLine="480"/>
        <w:contextualSpacing/>
      </w:pPr>
      <w:r>
        <w:t>2）在倒虹管、明渠渠道外侧附近布置渣场。</w:t>
      </w:r>
    </w:p>
    <w:p>
      <w:pPr>
        <w:ind w:firstLine="480"/>
        <w:contextualSpacing/>
      </w:pPr>
      <w:r>
        <w:t>3）渠道工程按每2km左右的土石方开挖及回填进行土石平衡，回填量不足部分就近相邻渠段调配。</w:t>
      </w:r>
    </w:p>
    <w:p>
      <w:pPr>
        <w:ind w:firstLine="480"/>
        <w:contextualSpacing/>
      </w:pPr>
      <w:r>
        <w:t>4）施工弃渣尽量不跨溪沟、河流，不翻山转运弃渣。</w:t>
      </w:r>
    </w:p>
    <w:p>
      <w:pPr>
        <w:ind w:firstLine="480"/>
        <w:contextualSpacing/>
      </w:pPr>
      <w:r>
        <w:t>5）渣场尽量布置在弃渣量较大建筑物附近。</w:t>
      </w:r>
    </w:p>
    <w:p>
      <w:pPr>
        <w:ind w:firstLine="480"/>
        <w:contextualSpacing/>
      </w:pPr>
      <w:r>
        <w:t>6）弃渣尽量堆放于荒坡或荒沟内，尽量少占或不占耕地，不占用基本农田，避开泥石流沟、滑坡体、崩塌等不良地质地段。</w:t>
      </w:r>
    </w:p>
    <w:p>
      <w:pPr>
        <w:ind w:firstLine="480"/>
        <w:contextualSpacing/>
      </w:pPr>
      <w:r>
        <w:t>根据以上渣场规划原则，本工程共设置4个渣场，总弃渣量3.75万m</w:t>
      </w:r>
      <w:r>
        <w:rPr>
          <w:vertAlign w:val="superscript"/>
        </w:rPr>
        <w:t>3</w:t>
      </w:r>
      <w:r>
        <w:t>。</w:t>
      </w:r>
    </w:p>
    <w:p>
      <w:pPr>
        <w:ind w:firstLine="0" w:firstLineChars="0"/>
        <w:contextualSpacing/>
        <w:jc w:val="center"/>
        <w:rPr>
          <w:b/>
          <w:bCs/>
          <w:sz w:val="21"/>
          <w:szCs w:val="21"/>
        </w:rPr>
      </w:pPr>
      <w:r>
        <w:rPr>
          <w:b/>
          <w:bCs/>
          <w:sz w:val="21"/>
          <w:szCs w:val="21"/>
        </w:rPr>
        <w:t>表3.2.4-3  渠道工程渣场规划特性表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298"/>
        <w:gridCol w:w="1298"/>
        <w:gridCol w:w="1219"/>
        <w:gridCol w:w="1298"/>
        <w:gridCol w:w="1384"/>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渣场编号</w:t>
            </w:r>
          </w:p>
        </w:tc>
        <w:tc>
          <w:tcPr>
            <w:tcW w:w="761" w:type="pct"/>
            <w:vAlign w:val="center"/>
          </w:tcPr>
          <w:p>
            <w:pPr>
              <w:pStyle w:val="139"/>
              <w:spacing w:line="240" w:lineRule="auto"/>
            </w:pPr>
            <w:r>
              <w:t>渣场位置</w:t>
            </w:r>
          </w:p>
        </w:tc>
        <w:tc>
          <w:tcPr>
            <w:tcW w:w="761" w:type="pct"/>
            <w:vAlign w:val="center"/>
          </w:tcPr>
          <w:p>
            <w:pPr>
              <w:pStyle w:val="139"/>
              <w:spacing w:line="240" w:lineRule="auto"/>
            </w:pPr>
            <w:r>
              <w:t>弃渣来源</w:t>
            </w:r>
          </w:p>
        </w:tc>
        <w:tc>
          <w:tcPr>
            <w:tcW w:w="715" w:type="pct"/>
            <w:vAlign w:val="center"/>
          </w:tcPr>
          <w:p>
            <w:pPr>
              <w:pStyle w:val="139"/>
              <w:spacing w:line="240" w:lineRule="auto"/>
            </w:pPr>
            <w:r>
              <w:t>堆渣量</w:t>
            </w:r>
          </w:p>
          <w:p>
            <w:pPr>
              <w:pStyle w:val="139"/>
              <w:spacing w:line="240" w:lineRule="auto"/>
            </w:pPr>
            <w:r>
              <w:t>万m3</w:t>
            </w:r>
          </w:p>
        </w:tc>
        <w:tc>
          <w:tcPr>
            <w:tcW w:w="761" w:type="pct"/>
            <w:vAlign w:val="center"/>
          </w:tcPr>
          <w:p>
            <w:pPr>
              <w:pStyle w:val="139"/>
              <w:spacing w:line="240" w:lineRule="auto"/>
            </w:pPr>
            <w:r>
              <w:t>占地面积</w:t>
            </w:r>
          </w:p>
          <w:p>
            <w:pPr>
              <w:pStyle w:val="139"/>
              <w:spacing w:line="240" w:lineRule="auto"/>
            </w:pPr>
            <w:r>
              <w:t>亩</w:t>
            </w:r>
          </w:p>
        </w:tc>
        <w:tc>
          <w:tcPr>
            <w:tcW w:w="812" w:type="pct"/>
            <w:vAlign w:val="center"/>
          </w:tcPr>
          <w:p>
            <w:pPr>
              <w:pStyle w:val="139"/>
              <w:spacing w:line="240" w:lineRule="auto"/>
            </w:pPr>
            <w:r>
              <w:t>平均堆渣高度</w:t>
            </w:r>
          </w:p>
          <w:p>
            <w:pPr>
              <w:pStyle w:val="139"/>
              <w:spacing w:line="240" w:lineRule="auto"/>
            </w:pPr>
            <w:r>
              <w:t>m</w:t>
            </w:r>
          </w:p>
        </w:tc>
        <w:tc>
          <w:tcPr>
            <w:tcW w:w="427" w:type="pct"/>
            <w:vAlign w:val="center"/>
          </w:tcPr>
          <w:p>
            <w:pPr>
              <w:pStyle w:val="139"/>
              <w:spacing w:line="240" w:lineRule="auto"/>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1</w:t>
            </w:r>
          </w:p>
        </w:tc>
        <w:tc>
          <w:tcPr>
            <w:tcW w:w="761" w:type="pct"/>
            <w:vAlign w:val="center"/>
          </w:tcPr>
          <w:p>
            <w:pPr>
              <w:pStyle w:val="139"/>
              <w:spacing w:line="240" w:lineRule="auto"/>
            </w:pPr>
            <w:r>
              <w:t>干0+800</w:t>
            </w:r>
          </w:p>
        </w:tc>
        <w:tc>
          <w:tcPr>
            <w:tcW w:w="761" w:type="pct"/>
            <w:vAlign w:val="center"/>
          </w:tcPr>
          <w:p>
            <w:pPr>
              <w:pStyle w:val="139"/>
              <w:spacing w:line="240" w:lineRule="auto"/>
            </w:pPr>
            <w:r>
              <w:t>干渠管线及尖佛山隧洞</w:t>
            </w:r>
          </w:p>
        </w:tc>
        <w:tc>
          <w:tcPr>
            <w:tcW w:w="715" w:type="pct"/>
            <w:vAlign w:val="center"/>
          </w:tcPr>
          <w:p>
            <w:pPr>
              <w:pStyle w:val="139"/>
              <w:spacing w:line="240" w:lineRule="auto"/>
            </w:pPr>
            <w:r>
              <w:t>0.49</w:t>
            </w:r>
          </w:p>
        </w:tc>
        <w:tc>
          <w:tcPr>
            <w:tcW w:w="761" w:type="pct"/>
            <w:vAlign w:val="center"/>
          </w:tcPr>
          <w:p>
            <w:pPr>
              <w:pStyle w:val="139"/>
              <w:spacing w:line="240" w:lineRule="auto"/>
            </w:pPr>
            <w:r>
              <w:t>2.12</w:t>
            </w:r>
          </w:p>
        </w:tc>
        <w:tc>
          <w:tcPr>
            <w:tcW w:w="812" w:type="pct"/>
            <w:vAlign w:val="center"/>
          </w:tcPr>
          <w:p>
            <w:pPr>
              <w:pStyle w:val="139"/>
              <w:spacing w:line="240" w:lineRule="auto"/>
            </w:pPr>
            <w:r>
              <w:t>3.5</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2</w:t>
            </w:r>
          </w:p>
        </w:tc>
        <w:tc>
          <w:tcPr>
            <w:tcW w:w="761" w:type="pct"/>
            <w:vAlign w:val="center"/>
          </w:tcPr>
          <w:p>
            <w:pPr>
              <w:pStyle w:val="139"/>
              <w:spacing w:line="240" w:lineRule="auto"/>
            </w:pPr>
            <w:r>
              <w:t>干2+200</w:t>
            </w:r>
          </w:p>
        </w:tc>
        <w:tc>
          <w:tcPr>
            <w:tcW w:w="761" w:type="pct"/>
            <w:vAlign w:val="center"/>
          </w:tcPr>
          <w:p>
            <w:pPr>
              <w:pStyle w:val="139"/>
              <w:spacing w:line="240" w:lineRule="auto"/>
            </w:pPr>
            <w:r>
              <w:t>干渠管线及尖佛山隧洞</w:t>
            </w:r>
          </w:p>
        </w:tc>
        <w:tc>
          <w:tcPr>
            <w:tcW w:w="715" w:type="pct"/>
            <w:vAlign w:val="center"/>
          </w:tcPr>
          <w:p>
            <w:pPr>
              <w:pStyle w:val="139"/>
              <w:spacing w:line="240" w:lineRule="auto"/>
            </w:pPr>
            <w:r>
              <w:t>0.68</w:t>
            </w:r>
          </w:p>
        </w:tc>
        <w:tc>
          <w:tcPr>
            <w:tcW w:w="761" w:type="pct"/>
            <w:vAlign w:val="center"/>
          </w:tcPr>
          <w:p>
            <w:pPr>
              <w:pStyle w:val="139"/>
              <w:spacing w:line="240" w:lineRule="auto"/>
            </w:pPr>
            <w:r>
              <w:t>3.40</w:t>
            </w:r>
          </w:p>
        </w:tc>
        <w:tc>
          <w:tcPr>
            <w:tcW w:w="812" w:type="pct"/>
            <w:vAlign w:val="center"/>
          </w:tcPr>
          <w:p>
            <w:pPr>
              <w:pStyle w:val="139"/>
              <w:spacing w:line="240" w:lineRule="auto"/>
            </w:pPr>
            <w:r>
              <w:t>3</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3</w:t>
            </w:r>
          </w:p>
        </w:tc>
        <w:tc>
          <w:tcPr>
            <w:tcW w:w="761" w:type="pct"/>
            <w:vAlign w:val="center"/>
          </w:tcPr>
          <w:p>
            <w:pPr>
              <w:pStyle w:val="139"/>
              <w:spacing w:line="240" w:lineRule="auto"/>
            </w:pPr>
            <w:r>
              <w:t>干4+600</w:t>
            </w:r>
          </w:p>
        </w:tc>
        <w:tc>
          <w:tcPr>
            <w:tcW w:w="761" w:type="pct"/>
            <w:vAlign w:val="center"/>
          </w:tcPr>
          <w:p>
            <w:pPr>
              <w:pStyle w:val="139"/>
              <w:spacing w:line="240" w:lineRule="auto"/>
            </w:pPr>
            <w:r>
              <w:t>干渠管线及代洛山隧洞</w:t>
            </w:r>
          </w:p>
        </w:tc>
        <w:tc>
          <w:tcPr>
            <w:tcW w:w="715" w:type="pct"/>
            <w:vAlign w:val="center"/>
          </w:tcPr>
          <w:p>
            <w:pPr>
              <w:pStyle w:val="139"/>
              <w:spacing w:line="240" w:lineRule="auto"/>
            </w:pPr>
            <w:r>
              <w:t>2.30</w:t>
            </w:r>
          </w:p>
        </w:tc>
        <w:tc>
          <w:tcPr>
            <w:tcW w:w="761" w:type="pct"/>
            <w:vAlign w:val="center"/>
          </w:tcPr>
          <w:p>
            <w:pPr>
              <w:pStyle w:val="139"/>
              <w:spacing w:line="240" w:lineRule="auto"/>
            </w:pPr>
            <w:r>
              <w:t>17.22</w:t>
            </w:r>
          </w:p>
        </w:tc>
        <w:tc>
          <w:tcPr>
            <w:tcW w:w="812" w:type="pct"/>
            <w:vAlign w:val="center"/>
          </w:tcPr>
          <w:p>
            <w:pPr>
              <w:pStyle w:val="139"/>
              <w:spacing w:line="240" w:lineRule="auto"/>
            </w:pPr>
            <w:r>
              <w:t>2</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4</w:t>
            </w:r>
          </w:p>
        </w:tc>
        <w:tc>
          <w:tcPr>
            <w:tcW w:w="761" w:type="pct"/>
            <w:vAlign w:val="center"/>
          </w:tcPr>
          <w:p>
            <w:pPr>
              <w:pStyle w:val="139"/>
              <w:spacing w:line="240" w:lineRule="auto"/>
            </w:pPr>
            <w:r>
              <w:t>干6+350</w:t>
            </w:r>
          </w:p>
        </w:tc>
        <w:tc>
          <w:tcPr>
            <w:tcW w:w="761" w:type="pct"/>
            <w:vAlign w:val="center"/>
          </w:tcPr>
          <w:p>
            <w:pPr>
              <w:pStyle w:val="139"/>
              <w:spacing w:line="240" w:lineRule="auto"/>
            </w:pPr>
            <w:r>
              <w:t>干渠管线及代洛山隧洞</w:t>
            </w:r>
          </w:p>
        </w:tc>
        <w:tc>
          <w:tcPr>
            <w:tcW w:w="715" w:type="pct"/>
            <w:vAlign w:val="center"/>
          </w:tcPr>
          <w:p>
            <w:pPr>
              <w:pStyle w:val="139"/>
              <w:spacing w:line="240" w:lineRule="auto"/>
            </w:pPr>
            <w:r>
              <w:t>0.27</w:t>
            </w:r>
          </w:p>
        </w:tc>
        <w:tc>
          <w:tcPr>
            <w:tcW w:w="761" w:type="pct"/>
            <w:vAlign w:val="center"/>
          </w:tcPr>
          <w:p>
            <w:pPr>
              <w:pStyle w:val="139"/>
              <w:spacing w:line="240" w:lineRule="auto"/>
            </w:pPr>
            <w:r>
              <w:t>2.70</w:t>
            </w:r>
          </w:p>
        </w:tc>
        <w:tc>
          <w:tcPr>
            <w:tcW w:w="812" w:type="pct"/>
            <w:vAlign w:val="center"/>
          </w:tcPr>
          <w:p>
            <w:pPr>
              <w:pStyle w:val="139"/>
              <w:spacing w:line="240" w:lineRule="auto"/>
            </w:pPr>
            <w:r>
              <w:t>2</w:t>
            </w:r>
          </w:p>
        </w:tc>
        <w:tc>
          <w:tcPr>
            <w:tcW w:w="427" w:type="pct"/>
            <w:vAlign w:val="center"/>
          </w:tcPr>
          <w:p>
            <w:pPr>
              <w:pStyle w:val="139"/>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vAlign w:val="center"/>
          </w:tcPr>
          <w:p>
            <w:pPr>
              <w:pStyle w:val="139"/>
              <w:spacing w:line="240" w:lineRule="auto"/>
            </w:pPr>
            <w:r>
              <w:t>合计</w:t>
            </w:r>
          </w:p>
        </w:tc>
        <w:tc>
          <w:tcPr>
            <w:tcW w:w="761" w:type="pct"/>
            <w:vAlign w:val="center"/>
          </w:tcPr>
          <w:p>
            <w:pPr>
              <w:pStyle w:val="139"/>
              <w:spacing w:line="240" w:lineRule="auto"/>
            </w:pPr>
          </w:p>
        </w:tc>
        <w:tc>
          <w:tcPr>
            <w:tcW w:w="761" w:type="pct"/>
            <w:vAlign w:val="center"/>
          </w:tcPr>
          <w:p>
            <w:pPr>
              <w:pStyle w:val="139"/>
              <w:spacing w:line="240" w:lineRule="auto"/>
            </w:pPr>
          </w:p>
        </w:tc>
        <w:tc>
          <w:tcPr>
            <w:tcW w:w="715" w:type="pct"/>
            <w:vAlign w:val="center"/>
          </w:tcPr>
          <w:p>
            <w:pPr>
              <w:pStyle w:val="139"/>
              <w:spacing w:line="240" w:lineRule="auto"/>
            </w:pPr>
            <w:r>
              <w:t>3.75</w:t>
            </w:r>
          </w:p>
        </w:tc>
        <w:tc>
          <w:tcPr>
            <w:tcW w:w="761" w:type="pct"/>
            <w:vAlign w:val="center"/>
          </w:tcPr>
          <w:p>
            <w:pPr>
              <w:pStyle w:val="139"/>
              <w:spacing w:line="240" w:lineRule="auto"/>
            </w:pPr>
            <w:r>
              <w:t>25.44</w:t>
            </w:r>
          </w:p>
        </w:tc>
        <w:tc>
          <w:tcPr>
            <w:tcW w:w="812" w:type="pct"/>
            <w:vAlign w:val="center"/>
          </w:tcPr>
          <w:p>
            <w:pPr>
              <w:pStyle w:val="139"/>
              <w:spacing w:line="240" w:lineRule="auto"/>
            </w:pPr>
          </w:p>
        </w:tc>
        <w:tc>
          <w:tcPr>
            <w:tcW w:w="427" w:type="pct"/>
            <w:vAlign w:val="center"/>
          </w:tcPr>
          <w:p>
            <w:pPr>
              <w:pStyle w:val="139"/>
              <w:spacing w:line="240" w:lineRule="auto"/>
            </w:pPr>
          </w:p>
        </w:tc>
      </w:tr>
    </w:tbl>
    <w:p>
      <w:pPr>
        <w:ind w:firstLine="480"/>
        <w:contextualSpacing/>
      </w:pPr>
      <w:r>
        <w:rPr>
          <w:rFonts w:hint="eastAsia"/>
        </w:rPr>
        <w:t>工程选择的</w:t>
      </w:r>
      <w:r>
        <w:t>弃渣场选址位置位于农村，占地类型</w:t>
      </w:r>
      <w:r>
        <w:rPr>
          <w:rFonts w:hint="eastAsia"/>
        </w:rPr>
        <w:t>主要</w:t>
      </w:r>
      <w:r>
        <w:t>为耕地和荒地，附近无公共设施、基础设施、工业企业、居民点等会造成重大影响的区域；渣场占地范围内无不良地质条件，无发生滑坡、泥石流等的可能性，不涉及基本农田、</w:t>
      </w:r>
      <w:r>
        <w:rPr>
          <w:kern w:val="0"/>
        </w:rPr>
        <w:t>自然保护区、风景名胜区、水源保护区、湿地公园、文物保护单位等环境敏感区域，没有珍稀保护动植物分布；从弃渣处置方式来看，采取的是集中定点处置，与线性分散、无序堆放相比，虽在一定程度上增加了运距，但对沿途景观的破坏小，易集中布设水土保持防护措施。施工中严格要求施工单位在弃渣过程中先拦后弃，施工前将表土剥离，堆渣结束后，作为临时占地覆土土料来源。因此，弃渣场具有较好的环境合理性。</w:t>
      </w:r>
    </w:p>
    <w:p>
      <w:pPr>
        <w:ind w:firstLine="0" w:firstLineChars="0"/>
        <w:contextualSpacing/>
        <w:outlineLvl w:val="3"/>
        <w:rPr>
          <w:b/>
          <w:bCs/>
        </w:rPr>
      </w:pPr>
      <w:r>
        <w:rPr>
          <w:b/>
          <w:bCs/>
        </w:rPr>
        <w:t>3.2.5.4施工工厂布置环境合理性分析</w:t>
      </w:r>
    </w:p>
    <w:p>
      <w:pPr>
        <w:ind w:firstLine="476"/>
        <w:contextualSpacing/>
        <w:rPr>
          <w:spacing w:val="-2"/>
        </w:rPr>
      </w:pPr>
      <w:r>
        <w:rPr>
          <w:spacing w:val="-2"/>
        </w:rPr>
        <w:t>本工程施工生产生活区布置遵循因地制宜、有利生产、方便生活、易于管理、安全可靠、经济合理、节约用地、施工临时设施尽可能与永久设施相结合的原则进行。</w:t>
      </w:r>
    </w:p>
    <w:p>
      <w:pPr>
        <w:ind w:firstLine="420" w:firstLineChars="0"/>
        <w:contextualSpacing/>
      </w:pPr>
      <w:r>
        <w:t>（1</w:t>
      </w:r>
      <w:r>
        <w:rPr>
          <w:rFonts w:hAnsi="宋体"/>
        </w:rPr>
        <w:t>）枢纽工程区</w:t>
      </w:r>
    </w:p>
    <w:p>
      <w:pPr>
        <w:ind w:firstLine="480"/>
        <w:contextualSpacing/>
        <w:rPr>
          <w:rFonts w:hAnsi="宋体"/>
        </w:rPr>
      </w:pPr>
      <w:r>
        <w:rPr>
          <w:rFonts w:hint="eastAsia" w:hAnsi="宋体"/>
        </w:rPr>
        <w:t>a）</w:t>
      </w:r>
      <w:r>
        <w:rPr>
          <w:rFonts w:hAnsi="宋体"/>
        </w:rPr>
        <w:t>砂石加工系统</w:t>
      </w:r>
    </w:p>
    <w:p>
      <w:pPr>
        <w:ind w:firstLine="480"/>
        <w:contextualSpacing/>
        <w:rPr>
          <w:rFonts w:hAnsi="宋体"/>
        </w:rPr>
      </w:pPr>
      <w:r>
        <w:rPr>
          <w:rFonts w:hAnsi="宋体"/>
        </w:rPr>
        <w:t>本工程需混凝土粗、细骨料</w:t>
      </w:r>
      <w:r>
        <w:rPr>
          <w:rFonts w:hint="eastAsia" w:hAnsi="宋体"/>
        </w:rPr>
        <w:t>4.28</w:t>
      </w:r>
      <w:r>
        <w:rPr>
          <w:rFonts w:hAnsi="宋体"/>
        </w:rPr>
        <w:t>万m3，采用工区附近商混站购买商品混凝土获得，不再另外开采加工或购买混凝土粗、细骨料。</w:t>
      </w:r>
    </w:p>
    <w:p>
      <w:pPr>
        <w:ind w:firstLine="480"/>
        <w:contextualSpacing/>
        <w:rPr>
          <w:rFonts w:hAnsi="宋体"/>
        </w:rPr>
      </w:pPr>
      <w:r>
        <w:rPr>
          <w:rFonts w:hAnsi="宋体"/>
        </w:rPr>
        <w:t>垫层及过渡料</w:t>
      </w:r>
      <w:r>
        <w:rPr>
          <w:rFonts w:hint="eastAsia" w:hAnsi="宋体"/>
        </w:rPr>
        <w:t>4.29</w:t>
      </w:r>
      <w:r>
        <w:rPr>
          <w:rFonts w:hAnsi="宋体"/>
        </w:rPr>
        <w:t>万m3，块石料</w:t>
      </w:r>
      <w:r>
        <w:rPr>
          <w:rFonts w:hint="eastAsia" w:hAnsi="宋体"/>
        </w:rPr>
        <w:t>3.15</w:t>
      </w:r>
      <w:r>
        <w:rPr>
          <w:rFonts w:hAnsi="宋体"/>
        </w:rPr>
        <w:t>万m3，考虑全部从南江县红鱼洞水库附近人工骨料场购买成品获得，综合运距约115km。本工程不再设置砂石骨料加工系统。</w:t>
      </w:r>
    </w:p>
    <w:p>
      <w:pPr>
        <w:ind w:firstLine="480"/>
        <w:contextualSpacing/>
        <w:rPr>
          <w:rFonts w:hAnsi="宋体"/>
        </w:rPr>
      </w:pPr>
      <w:r>
        <w:rPr>
          <w:rFonts w:hint="eastAsia" w:hAnsi="宋体"/>
        </w:rPr>
        <w:t>b）</w:t>
      </w:r>
      <w:r>
        <w:rPr>
          <w:rFonts w:hAnsi="宋体"/>
        </w:rPr>
        <w:t>混凝土拌和系统</w:t>
      </w:r>
    </w:p>
    <w:p>
      <w:pPr>
        <w:ind w:firstLine="480"/>
        <w:contextualSpacing/>
        <w:rPr>
          <w:rFonts w:hAnsi="宋体"/>
        </w:rPr>
      </w:pPr>
      <w:r>
        <w:rPr>
          <w:rFonts w:hAnsi="宋体"/>
        </w:rPr>
        <w:t>根据建筑物分布，结合巴州区环保要求、地形条件和施工总进度安排，本工程混凝土采用购买商品混凝土成品获得，工区内不再设置混凝土拌合系统。</w:t>
      </w:r>
    </w:p>
    <w:p>
      <w:pPr>
        <w:ind w:firstLine="480"/>
        <w:contextualSpacing/>
        <w:rPr>
          <w:rFonts w:hAnsi="宋体"/>
        </w:rPr>
      </w:pPr>
      <w:r>
        <w:rPr>
          <w:rFonts w:hint="eastAsia" w:hAnsi="宋体"/>
        </w:rPr>
        <w:t>沥青混凝土需要现场加热拌制，现场及时摊铺施工，故工区内右岸下游布置1座沥青混凝土拌和站。</w:t>
      </w:r>
    </w:p>
    <w:p>
      <w:pPr>
        <w:ind w:firstLine="480"/>
        <w:contextualSpacing/>
        <w:rPr>
          <w:rFonts w:hAnsi="宋体"/>
        </w:rPr>
      </w:pPr>
      <w:r>
        <w:rPr>
          <w:rFonts w:hint="eastAsia" w:hAnsi="宋体"/>
        </w:rPr>
        <w:t>c）</w:t>
      </w:r>
      <w:r>
        <w:rPr>
          <w:rFonts w:hAnsi="宋体"/>
        </w:rPr>
        <w:t>施工供风、供水、供电系统及通讯</w:t>
      </w:r>
    </w:p>
    <w:p>
      <w:pPr>
        <w:ind w:firstLine="480"/>
        <w:contextualSpacing/>
        <w:rPr>
          <w:rFonts w:hAnsi="宋体"/>
        </w:rPr>
      </w:pPr>
      <w:r>
        <w:rPr>
          <w:rFonts w:hAnsi="宋体"/>
        </w:rPr>
        <w:t>1）施工供风</w:t>
      </w:r>
    </w:p>
    <w:p>
      <w:pPr>
        <w:ind w:firstLine="480"/>
        <w:contextualSpacing/>
        <w:rPr>
          <w:rFonts w:hAnsi="宋体"/>
        </w:rPr>
      </w:pPr>
      <w:r>
        <w:rPr>
          <w:rFonts w:hAnsi="宋体"/>
        </w:rPr>
        <w:t>枢纽左岸布置有放空导流隧洞、溢洪道等；库尾则是石渣料场及补水隧洞出口。由此枢纽工程分别在左岸、右岸和石渣料场设置集中供风站，站内配备1台5L—40/8型空压机及1台4L—20/8型空压机；根据工程布置、施工进度计划安排，补水工程及其他建筑物施工供风采用分散设置移动供风站，根据施工布置枢纽工程共设8座供风站，枢纽工程压气站规划见表。</w:t>
      </w:r>
    </w:p>
    <w:p>
      <w:pPr>
        <w:ind w:firstLine="0" w:firstLineChars="0"/>
        <w:contextualSpacing/>
        <w:jc w:val="center"/>
        <w:rPr>
          <w:rFonts w:hAnsi="宋体"/>
          <w:b/>
          <w:bCs/>
          <w:sz w:val="21"/>
          <w:szCs w:val="21"/>
        </w:rPr>
      </w:pPr>
      <w:r>
        <w:rPr>
          <w:rFonts w:hAnsi="宋体"/>
          <w:b/>
          <w:bCs/>
          <w:sz w:val="21"/>
          <w:szCs w:val="21"/>
        </w:rPr>
        <w:t>表2.3.4-8  枢纽工程压气站规划表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2136"/>
        <w:gridCol w:w="1277"/>
        <w:gridCol w:w="879"/>
        <w:gridCol w:w="1289"/>
        <w:gridCol w:w="973"/>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序号</w:t>
            </w:r>
          </w:p>
        </w:tc>
        <w:tc>
          <w:tcPr>
            <w:tcW w:w="1253" w:type="pct"/>
            <w:vAlign w:val="center"/>
          </w:tcPr>
          <w:p>
            <w:pPr>
              <w:pStyle w:val="139"/>
              <w:spacing w:line="240" w:lineRule="auto"/>
              <w:rPr>
                <w:rFonts w:cs="Times New Roman"/>
                <w:szCs w:val="18"/>
              </w:rPr>
            </w:pPr>
            <w:r>
              <w:rPr>
                <w:rFonts w:cs="Times New Roman"/>
                <w:szCs w:val="18"/>
              </w:rPr>
              <w:t>位置</w:t>
            </w:r>
          </w:p>
        </w:tc>
        <w:tc>
          <w:tcPr>
            <w:tcW w:w="749" w:type="pct"/>
            <w:vAlign w:val="center"/>
          </w:tcPr>
          <w:p>
            <w:pPr>
              <w:pStyle w:val="139"/>
              <w:spacing w:line="240" w:lineRule="auto"/>
              <w:rPr>
                <w:rFonts w:cs="Times New Roman"/>
                <w:szCs w:val="18"/>
              </w:rPr>
            </w:pPr>
            <w:r>
              <w:rPr>
                <w:rFonts w:cs="Times New Roman"/>
                <w:szCs w:val="18"/>
              </w:rPr>
              <w:t>型号</w:t>
            </w:r>
          </w:p>
        </w:tc>
        <w:tc>
          <w:tcPr>
            <w:tcW w:w="516"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756" w:type="pct"/>
            <w:vAlign w:val="center"/>
          </w:tcPr>
          <w:p>
            <w:pPr>
              <w:pStyle w:val="139"/>
              <w:spacing w:line="240" w:lineRule="auto"/>
              <w:rPr>
                <w:rFonts w:cs="Times New Roman"/>
                <w:szCs w:val="18"/>
              </w:rPr>
            </w:pPr>
            <w:r>
              <w:rPr>
                <w:rFonts w:cs="Times New Roman"/>
                <w:szCs w:val="18"/>
              </w:rPr>
              <w:t>供风量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/min</w:t>
            </w:r>
          </w:p>
        </w:tc>
        <w:tc>
          <w:tcPr>
            <w:tcW w:w="571"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762"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1</w:t>
            </w:r>
          </w:p>
        </w:tc>
        <w:tc>
          <w:tcPr>
            <w:tcW w:w="1253" w:type="pct"/>
            <w:vAlign w:val="center"/>
          </w:tcPr>
          <w:p>
            <w:pPr>
              <w:pStyle w:val="139"/>
              <w:spacing w:line="240" w:lineRule="auto"/>
              <w:rPr>
                <w:rFonts w:cs="Times New Roman"/>
                <w:szCs w:val="18"/>
              </w:rPr>
            </w:pPr>
            <w:r>
              <w:rPr>
                <w:rFonts w:cs="Times New Roman"/>
                <w:szCs w:val="18"/>
              </w:rPr>
              <w:t>石料场</w:t>
            </w:r>
          </w:p>
        </w:tc>
        <w:tc>
          <w:tcPr>
            <w:tcW w:w="749" w:type="pct"/>
            <w:vAlign w:val="center"/>
          </w:tcPr>
          <w:p>
            <w:pPr>
              <w:pStyle w:val="139"/>
              <w:spacing w:line="240" w:lineRule="auto"/>
              <w:rPr>
                <w:rFonts w:cs="Times New Roman"/>
                <w:szCs w:val="18"/>
              </w:rPr>
            </w:pPr>
            <w:r>
              <w:rPr>
                <w:rFonts w:cs="Times New Roman"/>
                <w:szCs w:val="18"/>
              </w:rPr>
              <w:t>5L—40/8</w:t>
            </w:r>
          </w:p>
        </w:tc>
        <w:tc>
          <w:tcPr>
            <w:tcW w:w="516" w:type="pct"/>
            <w:vAlign w:val="center"/>
          </w:tcPr>
          <w:p>
            <w:pPr>
              <w:pStyle w:val="139"/>
              <w:spacing w:line="240" w:lineRule="auto"/>
              <w:rPr>
                <w:rFonts w:cs="Times New Roman"/>
                <w:szCs w:val="18"/>
              </w:rPr>
            </w:pPr>
            <w:r>
              <w:rPr>
                <w:rFonts w:cs="Times New Roman"/>
                <w:szCs w:val="18"/>
              </w:rPr>
              <w:t>2</w:t>
            </w:r>
          </w:p>
        </w:tc>
        <w:tc>
          <w:tcPr>
            <w:tcW w:w="756" w:type="pct"/>
            <w:vAlign w:val="center"/>
          </w:tcPr>
          <w:p>
            <w:pPr>
              <w:pStyle w:val="139"/>
              <w:spacing w:line="240" w:lineRule="auto"/>
              <w:rPr>
                <w:rFonts w:cs="Times New Roman"/>
                <w:szCs w:val="18"/>
              </w:rPr>
            </w:pPr>
            <w:r>
              <w:rPr>
                <w:rFonts w:cs="Times New Roman"/>
                <w:szCs w:val="18"/>
              </w:rPr>
              <w:t>2×40</w:t>
            </w:r>
          </w:p>
        </w:tc>
        <w:tc>
          <w:tcPr>
            <w:tcW w:w="571" w:type="pct"/>
            <w:vAlign w:val="center"/>
          </w:tcPr>
          <w:p>
            <w:pPr>
              <w:pStyle w:val="139"/>
              <w:spacing w:line="240" w:lineRule="auto"/>
              <w:rPr>
                <w:rFonts w:cs="Times New Roman"/>
                <w:szCs w:val="18"/>
              </w:rPr>
            </w:pPr>
            <w:r>
              <w:rPr>
                <w:rFonts w:cs="Times New Roman"/>
                <w:szCs w:val="18"/>
              </w:rPr>
              <w:t>2×250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2</w:t>
            </w:r>
          </w:p>
        </w:tc>
        <w:tc>
          <w:tcPr>
            <w:tcW w:w="1253" w:type="pct"/>
            <w:vAlign w:val="center"/>
          </w:tcPr>
          <w:p>
            <w:pPr>
              <w:pStyle w:val="139"/>
              <w:spacing w:line="240" w:lineRule="auto"/>
              <w:rPr>
                <w:rFonts w:cs="Times New Roman"/>
                <w:szCs w:val="18"/>
              </w:rPr>
            </w:pPr>
            <w:r>
              <w:rPr>
                <w:rFonts w:cs="Times New Roman"/>
                <w:szCs w:val="18"/>
              </w:rPr>
              <w:t>拦河坝右岸</w:t>
            </w:r>
          </w:p>
        </w:tc>
        <w:tc>
          <w:tcPr>
            <w:tcW w:w="749" w:type="pct"/>
            <w:vAlign w:val="center"/>
          </w:tcPr>
          <w:p>
            <w:pPr>
              <w:pStyle w:val="139"/>
              <w:spacing w:line="240" w:lineRule="auto"/>
              <w:rPr>
                <w:rFonts w:cs="Times New Roman"/>
                <w:szCs w:val="18"/>
              </w:rPr>
            </w:pPr>
            <w:r>
              <w:rPr>
                <w:rFonts w:cs="Times New Roman"/>
                <w:szCs w:val="18"/>
              </w:rPr>
              <w:t>4L—20/8</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20</w:t>
            </w:r>
          </w:p>
        </w:tc>
        <w:tc>
          <w:tcPr>
            <w:tcW w:w="571" w:type="pct"/>
            <w:vAlign w:val="center"/>
          </w:tcPr>
          <w:p>
            <w:pPr>
              <w:pStyle w:val="139"/>
              <w:spacing w:line="240" w:lineRule="auto"/>
              <w:rPr>
                <w:rFonts w:cs="Times New Roman"/>
                <w:szCs w:val="18"/>
              </w:rPr>
            </w:pPr>
            <w:r>
              <w:rPr>
                <w:rFonts w:cs="Times New Roman"/>
                <w:szCs w:val="18"/>
              </w:rPr>
              <w:t>130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3</w:t>
            </w:r>
          </w:p>
        </w:tc>
        <w:tc>
          <w:tcPr>
            <w:tcW w:w="1253" w:type="pct"/>
            <w:vAlign w:val="center"/>
          </w:tcPr>
          <w:p>
            <w:pPr>
              <w:pStyle w:val="139"/>
              <w:spacing w:line="240" w:lineRule="auto"/>
              <w:rPr>
                <w:rFonts w:cs="Times New Roman"/>
                <w:szCs w:val="18"/>
              </w:rPr>
            </w:pPr>
            <w:r>
              <w:rPr>
                <w:rFonts w:cs="Times New Roman"/>
                <w:szCs w:val="18"/>
              </w:rPr>
              <w:t>拦河坝左岸</w:t>
            </w:r>
          </w:p>
        </w:tc>
        <w:tc>
          <w:tcPr>
            <w:tcW w:w="749" w:type="pct"/>
            <w:vAlign w:val="center"/>
          </w:tcPr>
          <w:p>
            <w:pPr>
              <w:pStyle w:val="139"/>
              <w:spacing w:line="240" w:lineRule="auto"/>
              <w:rPr>
                <w:rFonts w:cs="Times New Roman"/>
                <w:szCs w:val="18"/>
              </w:rPr>
            </w:pPr>
            <w:r>
              <w:rPr>
                <w:rFonts w:cs="Times New Roman"/>
                <w:szCs w:val="18"/>
              </w:rPr>
              <w:t>4L—20/8</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20</w:t>
            </w:r>
          </w:p>
        </w:tc>
        <w:tc>
          <w:tcPr>
            <w:tcW w:w="571" w:type="pct"/>
            <w:vAlign w:val="center"/>
          </w:tcPr>
          <w:p>
            <w:pPr>
              <w:pStyle w:val="139"/>
              <w:spacing w:line="240" w:lineRule="auto"/>
              <w:rPr>
                <w:rFonts w:cs="Times New Roman"/>
                <w:szCs w:val="18"/>
              </w:rPr>
            </w:pPr>
            <w:r>
              <w:rPr>
                <w:rFonts w:cs="Times New Roman"/>
                <w:szCs w:val="18"/>
              </w:rPr>
              <w:t>130</w:t>
            </w:r>
          </w:p>
        </w:tc>
        <w:tc>
          <w:tcPr>
            <w:tcW w:w="762" w:type="pct"/>
            <w:vAlign w:val="center"/>
          </w:tcPr>
          <w:p>
            <w:pPr>
              <w:pStyle w:val="139"/>
              <w:spacing w:line="240" w:lineRule="auto"/>
              <w:rPr>
                <w:rFonts w:cs="Times New Roman"/>
                <w:szCs w:val="18"/>
              </w:rPr>
            </w:pPr>
            <w:r>
              <w:rPr>
                <w:rFonts w:cs="Times New Roman"/>
                <w:szCs w:val="18"/>
              </w:rPr>
              <w:t>固定式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4</w:t>
            </w:r>
          </w:p>
        </w:tc>
        <w:tc>
          <w:tcPr>
            <w:tcW w:w="1253" w:type="pct"/>
            <w:vAlign w:val="center"/>
          </w:tcPr>
          <w:p>
            <w:pPr>
              <w:pStyle w:val="139"/>
              <w:spacing w:line="240" w:lineRule="auto"/>
              <w:rPr>
                <w:rFonts w:cs="Times New Roman"/>
                <w:szCs w:val="18"/>
              </w:rPr>
            </w:pPr>
            <w:r>
              <w:rPr>
                <w:rFonts w:cs="Times New Roman"/>
                <w:szCs w:val="18"/>
              </w:rPr>
              <w:t>放空隧洞进口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5</w:t>
            </w:r>
          </w:p>
        </w:tc>
        <w:tc>
          <w:tcPr>
            <w:tcW w:w="1253" w:type="pct"/>
            <w:vAlign w:val="center"/>
          </w:tcPr>
          <w:p>
            <w:pPr>
              <w:pStyle w:val="139"/>
              <w:spacing w:line="240" w:lineRule="auto"/>
              <w:rPr>
                <w:rFonts w:cs="Times New Roman"/>
                <w:szCs w:val="18"/>
              </w:rPr>
            </w:pPr>
            <w:r>
              <w:rPr>
                <w:rFonts w:cs="Times New Roman"/>
                <w:szCs w:val="18"/>
              </w:rPr>
              <w:t>放空隧洞出口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6</w:t>
            </w:r>
          </w:p>
        </w:tc>
        <w:tc>
          <w:tcPr>
            <w:tcW w:w="1253" w:type="pct"/>
            <w:vAlign w:val="center"/>
          </w:tcPr>
          <w:p>
            <w:pPr>
              <w:pStyle w:val="139"/>
              <w:spacing w:line="240" w:lineRule="auto"/>
              <w:rPr>
                <w:rFonts w:cs="Times New Roman"/>
                <w:szCs w:val="18"/>
              </w:rPr>
            </w:pPr>
            <w:r>
              <w:rPr>
                <w:rFonts w:cs="Times New Roman"/>
                <w:szCs w:val="18"/>
              </w:rPr>
              <w:t>1#补水枢纽</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7</w:t>
            </w:r>
          </w:p>
        </w:tc>
        <w:tc>
          <w:tcPr>
            <w:tcW w:w="1253" w:type="pct"/>
            <w:vAlign w:val="center"/>
          </w:tcPr>
          <w:p>
            <w:pPr>
              <w:pStyle w:val="139"/>
              <w:spacing w:line="240" w:lineRule="auto"/>
              <w:rPr>
                <w:rFonts w:cs="Times New Roman"/>
                <w:szCs w:val="18"/>
              </w:rPr>
            </w:pPr>
            <w:r>
              <w:rPr>
                <w:rFonts w:cs="Times New Roman"/>
                <w:szCs w:val="18"/>
              </w:rPr>
              <w:t>2#补水枢纽</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pPr>
              <w:pStyle w:val="139"/>
              <w:spacing w:line="240" w:lineRule="auto"/>
              <w:rPr>
                <w:rFonts w:cs="Times New Roman"/>
                <w:szCs w:val="18"/>
              </w:rPr>
            </w:pPr>
            <w:r>
              <w:rPr>
                <w:rFonts w:cs="Times New Roman"/>
                <w:szCs w:val="18"/>
              </w:rPr>
              <w:t>8</w:t>
            </w:r>
          </w:p>
        </w:tc>
        <w:tc>
          <w:tcPr>
            <w:tcW w:w="1253" w:type="pct"/>
            <w:vAlign w:val="center"/>
          </w:tcPr>
          <w:p>
            <w:pPr>
              <w:pStyle w:val="139"/>
              <w:spacing w:line="240" w:lineRule="auto"/>
              <w:rPr>
                <w:rFonts w:cs="Times New Roman"/>
                <w:szCs w:val="18"/>
              </w:rPr>
            </w:pPr>
            <w:r>
              <w:rPr>
                <w:rFonts w:cs="Times New Roman"/>
                <w:szCs w:val="18"/>
              </w:rPr>
              <w:t>2#补水隧洞出口</w:t>
            </w:r>
          </w:p>
        </w:tc>
        <w:tc>
          <w:tcPr>
            <w:tcW w:w="749" w:type="pct"/>
            <w:vAlign w:val="center"/>
          </w:tcPr>
          <w:p>
            <w:pPr>
              <w:pStyle w:val="139"/>
              <w:spacing w:line="240" w:lineRule="auto"/>
              <w:rPr>
                <w:rFonts w:cs="Times New Roman"/>
                <w:szCs w:val="18"/>
              </w:rPr>
            </w:pPr>
            <w:r>
              <w:rPr>
                <w:rFonts w:cs="Times New Roman"/>
                <w:szCs w:val="18"/>
              </w:rPr>
              <w:t>BYH—10/7</w:t>
            </w:r>
          </w:p>
        </w:tc>
        <w:tc>
          <w:tcPr>
            <w:tcW w:w="516" w:type="pct"/>
            <w:vAlign w:val="center"/>
          </w:tcPr>
          <w:p>
            <w:pPr>
              <w:pStyle w:val="139"/>
              <w:spacing w:line="240" w:lineRule="auto"/>
              <w:rPr>
                <w:rFonts w:cs="Times New Roman"/>
                <w:szCs w:val="18"/>
              </w:rPr>
            </w:pPr>
            <w:r>
              <w:rPr>
                <w:rFonts w:cs="Times New Roman"/>
                <w:szCs w:val="18"/>
              </w:rPr>
              <w:t>1</w:t>
            </w:r>
          </w:p>
        </w:tc>
        <w:tc>
          <w:tcPr>
            <w:tcW w:w="756" w:type="pct"/>
            <w:vAlign w:val="center"/>
          </w:tcPr>
          <w:p>
            <w:pPr>
              <w:pStyle w:val="139"/>
              <w:spacing w:line="240" w:lineRule="auto"/>
              <w:rPr>
                <w:rFonts w:cs="Times New Roman"/>
                <w:szCs w:val="18"/>
              </w:rPr>
            </w:pPr>
            <w:r>
              <w:rPr>
                <w:rFonts w:cs="Times New Roman"/>
                <w:szCs w:val="18"/>
              </w:rPr>
              <w:t>10</w:t>
            </w:r>
          </w:p>
        </w:tc>
        <w:tc>
          <w:tcPr>
            <w:tcW w:w="571" w:type="pct"/>
            <w:vAlign w:val="center"/>
          </w:tcPr>
          <w:p>
            <w:pPr>
              <w:pStyle w:val="139"/>
              <w:spacing w:line="240" w:lineRule="auto"/>
              <w:rPr>
                <w:rFonts w:cs="Times New Roman"/>
                <w:szCs w:val="18"/>
              </w:rPr>
            </w:pPr>
            <w:r>
              <w:rPr>
                <w:rFonts w:cs="Times New Roman"/>
                <w:szCs w:val="18"/>
              </w:rPr>
              <w:t>75</w:t>
            </w:r>
          </w:p>
        </w:tc>
        <w:tc>
          <w:tcPr>
            <w:tcW w:w="762" w:type="pct"/>
            <w:vAlign w:val="center"/>
          </w:tcPr>
          <w:p>
            <w:pPr>
              <w:pStyle w:val="139"/>
              <w:spacing w:line="240" w:lineRule="auto"/>
              <w:rPr>
                <w:rFonts w:cs="Times New Roman"/>
                <w:szCs w:val="18"/>
              </w:rPr>
            </w:pPr>
            <w:r>
              <w:rPr>
                <w:rFonts w:cs="Times New Roman"/>
                <w:szCs w:val="18"/>
              </w:rPr>
              <w:t>移动式</w:t>
            </w:r>
          </w:p>
        </w:tc>
      </w:tr>
    </w:tbl>
    <w:p>
      <w:pPr>
        <w:ind w:firstLine="420" w:firstLineChars="0"/>
        <w:contextualSpacing/>
      </w:pPr>
      <w:r>
        <w:t>2）施工供水</w:t>
      </w:r>
    </w:p>
    <w:p>
      <w:pPr>
        <w:ind w:firstLine="420" w:firstLineChars="0"/>
        <w:contextualSpacing/>
      </w:pPr>
      <w:r>
        <w:t>根据枢纽工程各施工点水源条件，就近分散进行施工供水规划。即采用建抽水站和溪沟水解决生产用水，拦河大坝左右岸施工分别各建1座抽水站集中供水，其它用水选择小型潜水泵抽取。施工供水规划见</w:t>
      </w:r>
      <w:r>
        <w:rPr>
          <w:rFonts w:hint="eastAsia"/>
        </w:rPr>
        <w:t>下表</w:t>
      </w:r>
      <w:r>
        <w:t>。</w:t>
      </w:r>
    </w:p>
    <w:p>
      <w:pPr>
        <w:ind w:firstLine="0" w:firstLineChars="0"/>
        <w:contextualSpacing/>
        <w:jc w:val="center"/>
        <w:rPr>
          <w:rFonts w:hAnsi="宋体"/>
          <w:b/>
          <w:bCs/>
          <w:sz w:val="21"/>
          <w:szCs w:val="21"/>
        </w:rPr>
      </w:pPr>
      <w:r>
        <w:rPr>
          <w:rFonts w:hAnsi="宋体"/>
          <w:b/>
          <w:bCs/>
          <w:sz w:val="21"/>
          <w:szCs w:val="21"/>
        </w:rPr>
        <w:t>表2.3.4-9  施工供水规划表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258"/>
        <w:gridCol w:w="1433"/>
        <w:gridCol w:w="1210"/>
        <w:gridCol w:w="735"/>
        <w:gridCol w:w="850"/>
        <w:gridCol w:w="871"/>
        <w:gridCol w:w="697"/>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序号</w:t>
            </w:r>
          </w:p>
        </w:tc>
        <w:tc>
          <w:tcPr>
            <w:tcW w:w="738" w:type="pct"/>
            <w:vAlign w:val="center"/>
          </w:tcPr>
          <w:p>
            <w:pPr>
              <w:pStyle w:val="139"/>
              <w:spacing w:line="240" w:lineRule="auto"/>
              <w:rPr>
                <w:rFonts w:cs="Times New Roman"/>
                <w:szCs w:val="18"/>
              </w:rPr>
            </w:pPr>
            <w:r>
              <w:rPr>
                <w:rFonts w:cs="Times New Roman"/>
                <w:szCs w:val="18"/>
              </w:rPr>
              <w:t>位置</w:t>
            </w:r>
          </w:p>
        </w:tc>
        <w:tc>
          <w:tcPr>
            <w:tcW w:w="841" w:type="pct"/>
            <w:vAlign w:val="center"/>
          </w:tcPr>
          <w:p>
            <w:pPr>
              <w:pStyle w:val="139"/>
              <w:spacing w:line="240" w:lineRule="auto"/>
              <w:rPr>
                <w:rFonts w:cs="Times New Roman"/>
                <w:szCs w:val="18"/>
              </w:rPr>
            </w:pPr>
            <w:r>
              <w:rPr>
                <w:rFonts w:cs="Times New Roman"/>
                <w:szCs w:val="18"/>
              </w:rPr>
              <w:t>水源</w:t>
            </w:r>
          </w:p>
        </w:tc>
        <w:tc>
          <w:tcPr>
            <w:tcW w:w="710" w:type="pct"/>
            <w:vAlign w:val="center"/>
          </w:tcPr>
          <w:p>
            <w:pPr>
              <w:pStyle w:val="139"/>
              <w:spacing w:line="240" w:lineRule="auto"/>
              <w:rPr>
                <w:rFonts w:cs="Times New Roman"/>
                <w:szCs w:val="18"/>
              </w:rPr>
            </w:pPr>
            <w:r>
              <w:rPr>
                <w:rFonts w:cs="Times New Roman"/>
                <w:szCs w:val="18"/>
              </w:rPr>
              <w:t>型号</w:t>
            </w:r>
          </w:p>
        </w:tc>
        <w:tc>
          <w:tcPr>
            <w:tcW w:w="431"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499"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511" w:type="pct"/>
            <w:vAlign w:val="center"/>
          </w:tcPr>
          <w:p>
            <w:pPr>
              <w:pStyle w:val="139"/>
              <w:spacing w:line="240" w:lineRule="auto"/>
              <w:rPr>
                <w:rFonts w:cs="Times New Roman"/>
                <w:szCs w:val="18"/>
              </w:rPr>
            </w:pPr>
            <w:r>
              <w:rPr>
                <w:rFonts w:cs="Times New Roman"/>
                <w:szCs w:val="18"/>
              </w:rPr>
              <w:t>供水量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c>
          <w:tcPr>
            <w:tcW w:w="409" w:type="pct"/>
            <w:vAlign w:val="center"/>
          </w:tcPr>
          <w:p>
            <w:pPr>
              <w:pStyle w:val="139"/>
              <w:spacing w:line="240" w:lineRule="auto"/>
              <w:rPr>
                <w:rFonts w:cs="Times New Roman"/>
                <w:szCs w:val="18"/>
              </w:rPr>
            </w:pPr>
            <w:r>
              <w:rPr>
                <w:rFonts w:cs="Times New Roman"/>
                <w:szCs w:val="18"/>
              </w:rPr>
              <w:t>扬程</w:t>
            </w:r>
          </w:p>
          <w:p>
            <w:pPr>
              <w:pStyle w:val="139"/>
              <w:spacing w:line="240" w:lineRule="auto"/>
              <w:rPr>
                <w:rFonts w:cs="Times New Roman"/>
                <w:szCs w:val="18"/>
              </w:rPr>
            </w:pPr>
            <w:r>
              <w:rPr>
                <w:rFonts w:cs="Times New Roman"/>
                <w:szCs w:val="18"/>
              </w:rPr>
              <w:t>m</w:t>
            </w:r>
          </w:p>
        </w:tc>
        <w:tc>
          <w:tcPr>
            <w:tcW w:w="533" w:type="pct"/>
            <w:vAlign w:val="center"/>
          </w:tcPr>
          <w:p>
            <w:pPr>
              <w:pStyle w:val="139"/>
              <w:spacing w:line="240" w:lineRule="auto"/>
              <w:rPr>
                <w:rFonts w:cs="Times New Roman"/>
                <w:szCs w:val="18"/>
              </w:rPr>
            </w:pPr>
            <w:r>
              <w:rPr>
                <w:rFonts w:cs="Times New Roman"/>
                <w:szCs w:val="18"/>
              </w:rPr>
              <w:t>水池容积m</w:t>
            </w:r>
            <w:r>
              <w:rPr>
                <w:rFonts w:cs="Times New Roman"/>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1</w:t>
            </w:r>
          </w:p>
        </w:tc>
        <w:tc>
          <w:tcPr>
            <w:tcW w:w="738" w:type="pct"/>
            <w:vAlign w:val="center"/>
          </w:tcPr>
          <w:p>
            <w:pPr>
              <w:pStyle w:val="139"/>
              <w:spacing w:line="240" w:lineRule="auto"/>
              <w:rPr>
                <w:rFonts w:cs="Times New Roman"/>
                <w:szCs w:val="18"/>
              </w:rPr>
            </w:pPr>
            <w:r>
              <w:rPr>
                <w:rFonts w:cs="Times New Roman"/>
                <w:szCs w:val="18"/>
              </w:rPr>
              <w:t>大坝下游左岸</w:t>
            </w:r>
          </w:p>
        </w:tc>
        <w:tc>
          <w:tcPr>
            <w:tcW w:w="841" w:type="pct"/>
            <w:vAlign w:val="center"/>
          </w:tcPr>
          <w:p>
            <w:pPr>
              <w:pStyle w:val="139"/>
              <w:spacing w:line="240" w:lineRule="auto"/>
              <w:rPr>
                <w:rFonts w:cs="Times New Roman"/>
                <w:szCs w:val="18"/>
              </w:rPr>
            </w:pPr>
            <w:r>
              <w:rPr>
                <w:rFonts w:cs="Times New Roman"/>
                <w:szCs w:val="18"/>
              </w:rPr>
              <w:t>寒溪寺库内取水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2</w:t>
            </w:r>
          </w:p>
        </w:tc>
        <w:tc>
          <w:tcPr>
            <w:tcW w:w="738" w:type="pct"/>
            <w:vAlign w:val="center"/>
          </w:tcPr>
          <w:p>
            <w:pPr>
              <w:pStyle w:val="139"/>
              <w:spacing w:line="240" w:lineRule="auto"/>
              <w:rPr>
                <w:rFonts w:cs="Times New Roman"/>
                <w:szCs w:val="18"/>
              </w:rPr>
            </w:pPr>
            <w:r>
              <w:rPr>
                <w:rFonts w:cs="Times New Roman"/>
                <w:szCs w:val="18"/>
              </w:rPr>
              <w:t>大坝下游右岸</w:t>
            </w:r>
          </w:p>
        </w:tc>
        <w:tc>
          <w:tcPr>
            <w:tcW w:w="841" w:type="pct"/>
            <w:vAlign w:val="center"/>
          </w:tcPr>
          <w:p>
            <w:pPr>
              <w:pStyle w:val="139"/>
              <w:spacing w:line="240" w:lineRule="auto"/>
              <w:rPr>
                <w:rFonts w:cs="Times New Roman"/>
                <w:szCs w:val="18"/>
              </w:rPr>
            </w:pPr>
            <w:r>
              <w:rPr>
                <w:rFonts w:cs="Times New Roman"/>
                <w:szCs w:val="18"/>
              </w:rPr>
              <w:t>寒溪寺库内取水</w:t>
            </w:r>
          </w:p>
        </w:tc>
        <w:tc>
          <w:tcPr>
            <w:tcW w:w="710" w:type="pct"/>
            <w:vAlign w:val="center"/>
          </w:tcPr>
          <w:p>
            <w:pPr>
              <w:pStyle w:val="139"/>
              <w:spacing w:line="240" w:lineRule="auto"/>
              <w:rPr>
                <w:rFonts w:cs="Times New Roman"/>
                <w:szCs w:val="18"/>
              </w:rPr>
            </w:pPr>
            <w:r>
              <w:rPr>
                <w:rFonts w:cs="Times New Roman"/>
                <w:szCs w:val="18"/>
              </w:rPr>
              <w:t>IS80-50-250B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37</w:t>
            </w:r>
          </w:p>
        </w:tc>
        <w:tc>
          <w:tcPr>
            <w:tcW w:w="511" w:type="pct"/>
            <w:vAlign w:val="center"/>
          </w:tcPr>
          <w:p>
            <w:pPr>
              <w:pStyle w:val="139"/>
              <w:spacing w:line="240" w:lineRule="auto"/>
              <w:rPr>
                <w:rFonts w:cs="Times New Roman"/>
                <w:szCs w:val="18"/>
              </w:rPr>
            </w:pPr>
            <w:r>
              <w:rPr>
                <w:rFonts w:cs="Times New Roman"/>
                <w:szCs w:val="18"/>
              </w:rPr>
              <w:t>50</w:t>
            </w:r>
          </w:p>
        </w:tc>
        <w:tc>
          <w:tcPr>
            <w:tcW w:w="409" w:type="pct"/>
            <w:vAlign w:val="center"/>
          </w:tcPr>
          <w:p>
            <w:pPr>
              <w:pStyle w:val="139"/>
              <w:spacing w:line="240" w:lineRule="auto"/>
              <w:rPr>
                <w:rFonts w:cs="Times New Roman"/>
                <w:szCs w:val="18"/>
              </w:rPr>
            </w:pPr>
            <w:r>
              <w:rPr>
                <w:rFonts w:cs="Times New Roman"/>
                <w:szCs w:val="18"/>
              </w:rPr>
              <w:t>125</w:t>
            </w:r>
          </w:p>
        </w:tc>
        <w:tc>
          <w:tcPr>
            <w:tcW w:w="533"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3</w:t>
            </w:r>
          </w:p>
        </w:tc>
        <w:tc>
          <w:tcPr>
            <w:tcW w:w="738" w:type="pct"/>
            <w:vAlign w:val="center"/>
          </w:tcPr>
          <w:p>
            <w:pPr>
              <w:pStyle w:val="139"/>
              <w:spacing w:line="240" w:lineRule="auto"/>
              <w:rPr>
                <w:rFonts w:cs="Times New Roman"/>
                <w:szCs w:val="18"/>
              </w:rPr>
            </w:pPr>
            <w:r>
              <w:rPr>
                <w:rFonts w:cs="Times New Roman"/>
                <w:szCs w:val="18"/>
              </w:rPr>
              <w:t>1#补水枢纽</w:t>
            </w:r>
          </w:p>
        </w:tc>
        <w:tc>
          <w:tcPr>
            <w:tcW w:w="841" w:type="pct"/>
            <w:vAlign w:val="center"/>
          </w:tcPr>
          <w:p>
            <w:pPr>
              <w:pStyle w:val="139"/>
              <w:spacing w:line="240" w:lineRule="auto"/>
              <w:rPr>
                <w:rFonts w:cs="Times New Roman"/>
                <w:szCs w:val="18"/>
              </w:rPr>
            </w:pPr>
            <w:r>
              <w:rPr>
                <w:rFonts w:cs="Times New Roman"/>
                <w:szCs w:val="18"/>
              </w:rPr>
              <w:t>溪沟水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Align w:val="center"/>
          </w:tcPr>
          <w:p>
            <w:pPr>
              <w:pStyle w:val="139"/>
              <w:spacing w:line="240" w:lineRule="auto"/>
              <w:rPr>
                <w:rFonts w:cs="Times New Roman"/>
                <w:szCs w:val="18"/>
              </w:rPr>
            </w:pPr>
            <w:r>
              <w:rPr>
                <w:rFonts w:cs="Times New Roman"/>
                <w:szCs w:val="18"/>
              </w:rPr>
              <w:t>4</w:t>
            </w:r>
          </w:p>
        </w:tc>
        <w:tc>
          <w:tcPr>
            <w:tcW w:w="738" w:type="pct"/>
            <w:vAlign w:val="center"/>
          </w:tcPr>
          <w:p>
            <w:pPr>
              <w:pStyle w:val="139"/>
              <w:spacing w:line="240" w:lineRule="auto"/>
              <w:rPr>
                <w:rFonts w:cs="Times New Roman"/>
                <w:szCs w:val="18"/>
              </w:rPr>
            </w:pPr>
            <w:r>
              <w:rPr>
                <w:rFonts w:cs="Times New Roman"/>
                <w:szCs w:val="18"/>
              </w:rPr>
              <w:t>2#补水枢纽</w:t>
            </w:r>
          </w:p>
        </w:tc>
        <w:tc>
          <w:tcPr>
            <w:tcW w:w="841" w:type="pct"/>
            <w:vAlign w:val="center"/>
          </w:tcPr>
          <w:p>
            <w:pPr>
              <w:pStyle w:val="139"/>
              <w:spacing w:line="240" w:lineRule="auto"/>
              <w:rPr>
                <w:rFonts w:cs="Times New Roman"/>
                <w:szCs w:val="18"/>
              </w:rPr>
            </w:pPr>
            <w:r>
              <w:rPr>
                <w:rFonts w:cs="Times New Roman"/>
                <w:szCs w:val="18"/>
              </w:rPr>
              <w:t>溪沟水</w:t>
            </w:r>
          </w:p>
        </w:tc>
        <w:tc>
          <w:tcPr>
            <w:tcW w:w="710" w:type="pct"/>
            <w:vAlign w:val="center"/>
          </w:tcPr>
          <w:p>
            <w:pPr>
              <w:pStyle w:val="139"/>
              <w:spacing w:line="240" w:lineRule="auto"/>
              <w:rPr>
                <w:rFonts w:cs="Times New Roman"/>
                <w:szCs w:val="18"/>
              </w:rPr>
            </w:pPr>
            <w:r>
              <w:rPr>
                <w:rFonts w:cs="Times New Roman"/>
                <w:szCs w:val="18"/>
              </w:rPr>
              <w:t>IS80-50-315B</w:t>
            </w:r>
          </w:p>
        </w:tc>
        <w:tc>
          <w:tcPr>
            <w:tcW w:w="431" w:type="pct"/>
            <w:vAlign w:val="center"/>
          </w:tcPr>
          <w:p>
            <w:pPr>
              <w:pStyle w:val="139"/>
              <w:spacing w:line="240" w:lineRule="auto"/>
              <w:rPr>
                <w:rFonts w:cs="Times New Roman"/>
                <w:szCs w:val="18"/>
              </w:rPr>
            </w:pPr>
            <w:r>
              <w:rPr>
                <w:rFonts w:cs="Times New Roman"/>
                <w:szCs w:val="18"/>
              </w:rPr>
              <w:t>1</w:t>
            </w:r>
          </w:p>
        </w:tc>
        <w:tc>
          <w:tcPr>
            <w:tcW w:w="499" w:type="pct"/>
            <w:vAlign w:val="center"/>
          </w:tcPr>
          <w:p>
            <w:pPr>
              <w:pStyle w:val="139"/>
              <w:spacing w:line="240" w:lineRule="auto"/>
              <w:rPr>
                <w:rFonts w:cs="Times New Roman"/>
                <w:szCs w:val="18"/>
              </w:rPr>
            </w:pPr>
            <w:r>
              <w:rPr>
                <w:rFonts w:cs="Times New Roman"/>
                <w:szCs w:val="18"/>
              </w:rPr>
              <w:t>22</w:t>
            </w:r>
          </w:p>
        </w:tc>
        <w:tc>
          <w:tcPr>
            <w:tcW w:w="511" w:type="pct"/>
            <w:vAlign w:val="center"/>
          </w:tcPr>
          <w:p>
            <w:pPr>
              <w:pStyle w:val="139"/>
              <w:spacing w:line="240" w:lineRule="auto"/>
              <w:rPr>
                <w:rFonts w:cs="Times New Roman"/>
                <w:szCs w:val="18"/>
              </w:rPr>
            </w:pPr>
            <w:r>
              <w:rPr>
                <w:rFonts w:cs="Times New Roman"/>
                <w:szCs w:val="18"/>
              </w:rPr>
              <w:t>42</w:t>
            </w:r>
          </w:p>
        </w:tc>
        <w:tc>
          <w:tcPr>
            <w:tcW w:w="409" w:type="pct"/>
            <w:vAlign w:val="center"/>
          </w:tcPr>
          <w:p>
            <w:pPr>
              <w:pStyle w:val="139"/>
              <w:spacing w:line="240" w:lineRule="auto"/>
              <w:rPr>
                <w:rFonts w:cs="Times New Roman"/>
                <w:szCs w:val="18"/>
              </w:rPr>
            </w:pPr>
            <w:r>
              <w:rPr>
                <w:rFonts w:cs="Times New Roman"/>
                <w:szCs w:val="18"/>
              </w:rPr>
              <w:t>88</w:t>
            </w:r>
          </w:p>
        </w:tc>
        <w:tc>
          <w:tcPr>
            <w:tcW w:w="533" w:type="pct"/>
            <w:vAlign w:val="center"/>
          </w:tcPr>
          <w:p>
            <w:pPr>
              <w:pStyle w:val="139"/>
              <w:spacing w:line="240" w:lineRule="auto"/>
              <w:rPr>
                <w:rFonts w:cs="Times New Roman"/>
                <w:szCs w:val="18"/>
              </w:rPr>
            </w:pPr>
            <w:r>
              <w:rPr>
                <w:rFonts w:cs="Times New Roman"/>
                <w:szCs w:val="18"/>
              </w:rPr>
              <w:t>10</w:t>
            </w:r>
          </w:p>
        </w:tc>
      </w:tr>
    </w:tbl>
    <w:p>
      <w:pPr>
        <w:ind w:firstLine="420" w:firstLineChars="0"/>
        <w:contextualSpacing/>
      </w:pPr>
      <w:r>
        <w:t>3）施工供电</w:t>
      </w:r>
    </w:p>
    <w:p>
      <w:pPr>
        <w:ind w:firstLine="420" w:firstLineChars="0"/>
        <w:contextualSpacing/>
      </w:pPr>
      <w:r>
        <w:t>枢纽工程常规供电</w:t>
      </w:r>
    </w:p>
    <w:p>
      <w:pPr>
        <w:ind w:firstLine="420" w:firstLineChars="0"/>
        <w:contextualSpacing/>
      </w:pPr>
      <w:r>
        <w:t>本工程施工由国家电网供电，枢纽拟从附近架设10</w:t>
      </w:r>
      <w:r>
        <w:rPr>
          <w:bCs/>
        </w:rPr>
        <w:t>KV</w:t>
      </w:r>
      <w:r>
        <w:t>输电线至工区，根据建筑物布置和施工安排设置降压站，再由降压站架设380V动力线和220V照明电线至各施工点和生活区，满足用电要求。枢纽及补水工程区共设置3座降压站（220</w:t>
      </w:r>
      <w:r>
        <w:rPr>
          <w:bCs/>
        </w:rPr>
        <w:t>KV</w:t>
      </w:r>
      <w:r>
        <w:t>A一座、400</w:t>
      </w:r>
      <w:r>
        <w:rPr>
          <w:bCs/>
        </w:rPr>
        <w:t>KV</w:t>
      </w:r>
      <w:r>
        <w:t>A两座），总容量1020</w:t>
      </w:r>
      <w:r>
        <w:rPr>
          <w:bCs/>
        </w:rPr>
        <w:t>KV</w:t>
      </w:r>
      <w:r>
        <w:t>A。新建10</w:t>
      </w:r>
      <w:r>
        <w:rPr>
          <w:bCs/>
        </w:rPr>
        <w:t>KV</w:t>
      </w:r>
      <w:r>
        <w:t>输电线3.0km，高峰用电负荷810</w:t>
      </w:r>
      <w:r>
        <w:rPr>
          <w:bCs/>
        </w:rPr>
        <w:t>KW</w:t>
      </w:r>
      <w:r>
        <w:t>。</w:t>
      </w:r>
    </w:p>
    <w:p>
      <w:pPr>
        <w:ind w:firstLine="420" w:firstLineChars="0"/>
        <w:contextualSpacing/>
      </w:pPr>
      <w:r>
        <w:t>施工供电规划见</w:t>
      </w:r>
      <w:r>
        <w:rPr>
          <w:rFonts w:hint="eastAsia"/>
        </w:rPr>
        <w:t>下</w:t>
      </w:r>
      <w:r>
        <w:t>表。</w:t>
      </w:r>
    </w:p>
    <w:p>
      <w:pPr>
        <w:ind w:firstLine="0" w:firstLineChars="0"/>
        <w:contextualSpacing/>
        <w:jc w:val="center"/>
        <w:rPr>
          <w:rFonts w:hAnsi="宋体"/>
          <w:b/>
          <w:bCs/>
          <w:sz w:val="21"/>
          <w:szCs w:val="21"/>
        </w:rPr>
      </w:pPr>
      <w:r>
        <w:rPr>
          <w:rFonts w:hAnsi="宋体"/>
          <w:b/>
          <w:bCs/>
          <w:sz w:val="21"/>
          <w:szCs w:val="21"/>
        </w:rPr>
        <w:t>表2.3.4-10  施工供电规划表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17"/>
        <w:gridCol w:w="1392"/>
        <w:gridCol w:w="2175"/>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序号</w:t>
            </w:r>
          </w:p>
        </w:tc>
        <w:tc>
          <w:tcPr>
            <w:tcW w:w="949" w:type="pct"/>
            <w:vAlign w:val="center"/>
          </w:tcPr>
          <w:p>
            <w:pPr>
              <w:pStyle w:val="139"/>
              <w:spacing w:line="240" w:lineRule="auto"/>
              <w:rPr>
                <w:rFonts w:cs="Times New Roman"/>
              </w:rPr>
            </w:pPr>
            <w:r>
              <w:rPr>
                <w:rFonts w:cs="Times New Roman"/>
              </w:rPr>
              <w:t>位置</w:t>
            </w:r>
          </w:p>
        </w:tc>
        <w:tc>
          <w:tcPr>
            <w:tcW w:w="817" w:type="pct"/>
            <w:vAlign w:val="center"/>
          </w:tcPr>
          <w:p>
            <w:pPr>
              <w:pStyle w:val="139"/>
              <w:spacing w:line="240" w:lineRule="auto"/>
              <w:rPr>
                <w:rFonts w:cs="Times New Roman"/>
              </w:rPr>
            </w:pPr>
            <w:r>
              <w:rPr>
                <w:rFonts w:cs="Times New Roman"/>
              </w:rPr>
              <w:t>降压站容量</w:t>
            </w:r>
          </w:p>
        </w:tc>
        <w:tc>
          <w:tcPr>
            <w:tcW w:w="1276" w:type="pct"/>
            <w:vAlign w:val="center"/>
          </w:tcPr>
          <w:p>
            <w:pPr>
              <w:pStyle w:val="139"/>
              <w:spacing w:line="240" w:lineRule="auto"/>
              <w:rPr>
                <w:rFonts w:cs="Times New Roman"/>
              </w:rPr>
            </w:pPr>
            <w:r>
              <w:rPr>
                <w:rFonts w:cs="Times New Roman"/>
              </w:rPr>
              <w:t>10KV输电线路架设</w:t>
            </w:r>
          </w:p>
        </w:tc>
        <w:tc>
          <w:tcPr>
            <w:tcW w:w="1537"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1</w:t>
            </w:r>
          </w:p>
        </w:tc>
        <w:tc>
          <w:tcPr>
            <w:tcW w:w="949" w:type="pct"/>
            <w:vAlign w:val="center"/>
          </w:tcPr>
          <w:p>
            <w:pPr>
              <w:pStyle w:val="139"/>
              <w:spacing w:line="240" w:lineRule="auto"/>
              <w:rPr>
                <w:rFonts w:cs="Times New Roman"/>
              </w:rPr>
            </w:pPr>
            <w:r>
              <w:rPr>
                <w:rFonts w:cs="Times New Roman"/>
              </w:rPr>
              <w:t>大坝下游右岸</w:t>
            </w:r>
          </w:p>
        </w:tc>
        <w:tc>
          <w:tcPr>
            <w:tcW w:w="817" w:type="pct"/>
            <w:vAlign w:val="center"/>
          </w:tcPr>
          <w:p>
            <w:pPr>
              <w:pStyle w:val="139"/>
              <w:spacing w:line="240" w:lineRule="auto"/>
              <w:rPr>
                <w:rFonts w:cs="Times New Roman"/>
              </w:rPr>
            </w:pPr>
            <w:r>
              <w:rPr>
                <w:rFonts w:cs="Times New Roman"/>
              </w:rPr>
              <w:t>400KVA</w:t>
            </w:r>
          </w:p>
        </w:tc>
        <w:tc>
          <w:tcPr>
            <w:tcW w:w="1276" w:type="pct"/>
            <w:vAlign w:val="center"/>
          </w:tcPr>
          <w:p>
            <w:pPr>
              <w:pStyle w:val="139"/>
              <w:spacing w:line="240" w:lineRule="auto"/>
              <w:rPr>
                <w:rFonts w:cs="Times New Roman"/>
              </w:rPr>
            </w:pPr>
            <w:r>
              <w:rPr>
                <w:rFonts w:cs="Times New Roman"/>
              </w:rPr>
              <w:t>0.5km</w:t>
            </w:r>
          </w:p>
        </w:tc>
        <w:tc>
          <w:tcPr>
            <w:tcW w:w="1537" w:type="pct"/>
            <w:vAlign w:val="center"/>
          </w:tcPr>
          <w:p>
            <w:pPr>
              <w:pStyle w:val="139"/>
              <w:spacing w:line="240" w:lineRule="auto"/>
              <w:rPr>
                <w:rFonts w:cs="Times New Roman"/>
              </w:rPr>
            </w:pPr>
            <w:r>
              <w:rPr>
                <w:rFonts w:cs="Times New Roman"/>
              </w:rPr>
              <w:t>备用1台75KW柴油发电机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2</w:t>
            </w:r>
          </w:p>
        </w:tc>
        <w:tc>
          <w:tcPr>
            <w:tcW w:w="949" w:type="pct"/>
            <w:vAlign w:val="center"/>
          </w:tcPr>
          <w:p>
            <w:pPr>
              <w:pStyle w:val="139"/>
              <w:spacing w:line="240" w:lineRule="auto"/>
              <w:rPr>
                <w:rFonts w:cs="Times New Roman"/>
              </w:rPr>
            </w:pPr>
            <w:r>
              <w:rPr>
                <w:rFonts w:cs="Times New Roman"/>
              </w:rPr>
              <w:t>2#补水枢纽</w:t>
            </w:r>
          </w:p>
        </w:tc>
        <w:tc>
          <w:tcPr>
            <w:tcW w:w="817" w:type="pct"/>
            <w:vAlign w:val="center"/>
          </w:tcPr>
          <w:p>
            <w:pPr>
              <w:pStyle w:val="139"/>
              <w:spacing w:line="240" w:lineRule="auto"/>
              <w:rPr>
                <w:rFonts w:cs="Times New Roman"/>
              </w:rPr>
            </w:pPr>
            <w:r>
              <w:rPr>
                <w:rFonts w:cs="Times New Roman"/>
              </w:rPr>
              <w:t>400KVA</w:t>
            </w:r>
          </w:p>
        </w:tc>
        <w:tc>
          <w:tcPr>
            <w:tcW w:w="1276" w:type="pct"/>
            <w:vAlign w:val="center"/>
          </w:tcPr>
          <w:p>
            <w:pPr>
              <w:pStyle w:val="139"/>
              <w:spacing w:line="240" w:lineRule="auto"/>
              <w:rPr>
                <w:rFonts w:cs="Times New Roman"/>
              </w:rPr>
            </w:pPr>
            <w:r>
              <w:rPr>
                <w:rFonts w:cs="Times New Roman"/>
              </w:rPr>
              <w:t>1.0km</w:t>
            </w:r>
          </w:p>
        </w:tc>
        <w:tc>
          <w:tcPr>
            <w:tcW w:w="1537" w:type="pct"/>
            <w:vAlign w:val="center"/>
          </w:tcPr>
          <w:p>
            <w:pPr>
              <w:pStyle w:val="139"/>
              <w:spacing w:line="240" w:lineRule="auto"/>
              <w:rPr>
                <w:rFonts w:cs="Times New Roman"/>
              </w:rPr>
            </w:pPr>
            <w:r>
              <w:rPr>
                <w:rFonts w:cs="Times New Roman"/>
              </w:rPr>
              <w:t>备用1台75KW柴油发电机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pStyle w:val="139"/>
              <w:spacing w:line="240" w:lineRule="auto"/>
              <w:rPr>
                <w:rFonts w:cs="Times New Roman"/>
              </w:rPr>
            </w:pPr>
            <w:r>
              <w:rPr>
                <w:rFonts w:cs="Times New Roman"/>
              </w:rPr>
              <w:t>3</w:t>
            </w:r>
          </w:p>
        </w:tc>
        <w:tc>
          <w:tcPr>
            <w:tcW w:w="949" w:type="pct"/>
            <w:vAlign w:val="center"/>
          </w:tcPr>
          <w:p>
            <w:pPr>
              <w:pStyle w:val="139"/>
              <w:spacing w:line="240" w:lineRule="auto"/>
              <w:rPr>
                <w:rFonts w:cs="Times New Roman"/>
              </w:rPr>
            </w:pPr>
            <w:r>
              <w:rPr>
                <w:rFonts w:cs="Times New Roman"/>
              </w:rPr>
              <w:t>石料场</w:t>
            </w:r>
          </w:p>
        </w:tc>
        <w:tc>
          <w:tcPr>
            <w:tcW w:w="817" w:type="pct"/>
            <w:vAlign w:val="center"/>
          </w:tcPr>
          <w:p>
            <w:pPr>
              <w:pStyle w:val="139"/>
              <w:spacing w:line="240" w:lineRule="auto"/>
              <w:rPr>
                <w:rFonts w:cs="Times New Roman"/>
              </w:rPr>
            </w:pPr>
            <w:r>
              <w:rPr>
                <w:rFonts w:cs="Times New Roman"/>
              </w:rPr>
              <w:t>220KVA</w:t>
            </w:r>
          </w:p>
        </w:tc>
        <w:tc>
          <w:tcPr>
            <w:tcW w:w="1276" w:type="pct"/>
            <w:vAlign w:val="center"/>
          </w:tcPr>
          <w:p>
            <w:pPr>
              <w:pStyle w:val="139"/>
              <w:spacing w:line="240" w:lineRule="auto"/>
              <w:rPr>
                <w:rFonts w:cs="Times New Roman"/>
              </w:rPr>
            </w:pPr>
            <w:r>
              <w:rPr>
                <w:rFonts w:cs="Times New Roman"/>
              </w:rPr>
              <w:t>1.5km</w:t>
            </w:r>
          </w:p>
        </w:tc>
        <w:tc>
          <w:tcPr>
            <w:tcW w:w="1537" w:type="pct"/>
            <w:vAlign w:val="center"/>
          </w:tcPr>
          <w:p>
            <w:pPr>
              <w:pStyle w:val="139"/>
              <w:spacing w:line="240" w:lineRule="auto"/>
              <w:rPr>
                <w:rFonts w:cs="Times New Roman"/>
              </w:rPr>
            </w:pPr>
            <w:r>
              <w:rPr>
                <w:rFonts w:cs="Times New Roman"/>
              </w:rPr>
              <w:t>备用1台75KW柴油发电机</w:t>
            </w:r>
          </w:p>
        </w:tc>
      </w:tr>
    </w:tbl>
    <w:p>
      <w:pPr>
        <w:ind w:firstLine="420" w:firstLineChars="0"/>
        <w:contextualSpacing/>
      </w:pPr>
      <w:r>
        <w:t>4）施工通讯</w:t>
      </w:r>
    </w:p>
    <w:p>
      <w:pPr>
        <w:ind w:firstLine="420" w:firstLineChars="0"/>
        <w:contextualSpacing/>
      </w:pPr>
      <w:r>
        <w:t>枢纽工区附近已有通信光缆，可从坝址下游右岸0.5km处的居民社区接线到枢纽施工区，在生活与办公区，安装直拨电话及宽带网络解决对外通讯联系，施工现场采用手机和对讲机进行信息联系，需架设通讯线电杆1.0对km。</w:t>
      </w:r>
    </w:p>
    <w:p>
      <w:pPr>
        <w:ind w:firstLine="420" w:firstLineChars="0"/>
        <w:contextualSpacing/>
      </w:pPr>
      <w:r>
        <w:t>5）综合加工及机械修配厂</w:t>
      </w:r>
    </w:p>
    <w:p>
      <w:pPr>
        <w:ind w:firstLine="420" w:firstLineChars="0"/>
        <w:contextualSpacing/>
      </w:pPr>
      <w:r>
        <w:t>综合加工系统</w:t>
      </w:r>
    </w:p>
    <w:p>
      <w:pPr>
        <w:ind w:firstLine="420" w:firstLineChars="0"/>
        <w:contextualSpacing/>
      </w:pPr>
      <w:r>
        <w:t>在坝下游右岸集中设置钢筋、木模加工厂，加工能力各为5t/班和2m3/班。</w:t>
      </w:r>
    </w:p>
    <w:p>
      <w:pPr>
        <w:ind w:firstLine="420" w:firstLineChars="0"/>
        <w:contextualSpacing/>
      </w:pPr>
      <w:r>
        <w:t>修钎站</w:t>
      </w:r>
    </w:p>
    <w:p>
      <w:pPr>
        <w:ind w:firstLine="420" w:firstLineChars="0"/>
        <w:contextualSpacing/>
      </w:pPr>
      <w:r>
        <w:t>根据本工程的布置分别在大坝下游右岸和石料场施工点设置修钎站。</w:t>
      </w:r>
    </w:p>
    <w:p>
      <w:pPr>
        <w:ind w:firstLine="420" w:firstLineChars="0"/>
        <w:contextualSpacing/>
      </w:pPr>
      <w:r>
        <w:t>辅助企业生产技术特性见</w:t>
      </w:r>
      <w:r>
        <w:rPr>
          <w:rFonts w:hint="eastAsia"/>
        </w:rPr>
        <w:t>下</w:t>
      </w:r>
      <w:r>
        <w:t>表。</w:t>
      </w:r>
    </w:p>
    <w:p>
      <w:pPr>
        <w:ind w:firstLine="0" w:firstLineChars="0"/>
        <w:contextualSpacing/>
        <w:jc w:val="center"/>
        <w:rPr>
          <w:rFonts w:hAnsi="宋体"/>
          <w:b/>
          <w:bCs/>
          <w:sz w:val="21"/>
          <w:szCs w:val="21"/>
        </w:rPr>
      </w:pPr>
      <w:r>
        <w:rPr>
          <w:rFonts w:hAnsi="宋体"/>
          <w:b/>
          <w:bCs/>
          <w:sz w:val="21"/>
          <w:szCs w:val="21"/>
        </w:rPr>
        <w:t>表2.3.4-11  辅助企业生产技术特性见表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502"/>
        <w:gridCol w:w="1502"/>
        <w:gridCol w:w="458"/>
        <w:gridCol w:w="1144"/>
        <w:gridCol w:w="1084"/>
        <w:gridCol w:w="1084"/>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序号</w:t>
            </w:r>
          </w:p>
        </w:tc>
        <w:tc>
          <w:tcPr>
            <w:tcW w:w="881" w:type="pct"/>
            <w:vAlign w:val="center"/>
          </w:tcPr>
          <w:p>
            <w:pPr>
              <w:pStyle w:val="139"/>
              <w:spacing w:line="240" w:lineRule="auto"/>
              <w:rPr>
                <w:rFonts w:cs="Times New Roman"/>
                <w:szCs w:val="18"/>
              </w:rPr>
            </w:pPr>
            <w:r>
              <w:rPr>
                <w:rFonts w:cs="Times New Roman"/>
                <w:szCs w:val="18"/>
              </w:rPr>
              <w:t>项目</w:t>
            </w:r>
          </w:p>
        </w:tc>
        <w:tc>
          <w:tcPr>
            <w:tcW w:w="881" w:type="pct"/>
            <w:vAlign w:val="center"/>
          </w:tcPr>
          <w:p>
            <w:pPr>
              <w:pStyle w:val="139"/>
              <w:spacing w:line="240" w:lineRule="auto"/>
              <w:rPr>
                <w:rFonts w:cs="Times New Roman"/>
                <w:szCs w:val="18"/>
              </w:rPr>
            </w:pPr>
            <w:r>
              <w:rPr>
                <w:rFonts w:cs="Times New Roman"/>
                <w:szCs w:val="18"/>
              </w:rPr>
              <w:t>位置</w:t>
            </w:r>
          </w:p>
        </w:tc>
        <w:tc>
          <w:tcPr>
            <w:tcW w:w="269" w:type="pct"/>
            <w:vAlign w:val="center"/>
          </w:tcPr>
          <w:p>
            <w:pPr>
              <w:pStyle w:val="139"/>
              <w:spacing w:line="240" w:lineRule="auto"/>
              <w:rPr>
                <w:rFonts w:cs="Times New Roman"/>
                <w:szCs w:val="18"/>
              </w:rPr>
            </w:pPr>
            <w:r>
              <w:rPr>
                <w:rFonts w:cs="Times New Roman"/>
                <w:szCs w:val="18"/>
              </w:rPr>
              <w:t>座</w:t>
            </w:r>
          </w:p>
        </w:tc>
        <w:tc>
          <w:tcPr>
            <w:tcW w:w="671" w:type="pct"/>
            <w:vAlign w:val="center"/>
          </w:tcPr>
          <w:p>
            <w:pPr>
              <w:pStyle w:val="139"/>
              <w:spacing w:line="240" w:lineRule="auto"/>
              <w:rPr>
                <w:rFonts w:cs="Times New Roman"/>
                <w:szCs w:val="18"/>
              </w:rPr>
            </w:pPr>
            <w:r>
              <w:rPr>
                <w:rFonts w:cs="Times New Roman"/>
                <w:szCs w:val="18"/>
              </w:rPr>
              <w:t>生产班制</w:t>
            </w:r>
          </w:p>
          <w:p>
            <w:pPr>
              <w:pStyle w:val="139"/>
              <w:spacing w:line="240" w:lineRule="auto"/>
              <w:rPr>
                <w:rFonts w:cs="Times New Roman"/>
                <w:szCs w:val="18"/>
              </w:rPr>
            </w:pPr>
            <w:r>
              <w:rPr>
                <w:rFonts w:cs="Times New Roman"/>
                <w:szCs w:val="18"/>
              </w:rPr>
              <w:t>班/天</w:t>
            </w:r>
          </w:p>
        </w:tc>
        <w:tc>
          <w:tcPr>
            <w:tcW w:w="636" w:type="pct"/>
            <w:vAlign w:val="center"/>
          </w:tcPr>
          <w:p>
            <w:pPr>
              <w:pStyle w:val="139"/>
              <w:spacing w:line="240" w:lineRule="auto"/>
              <w:rPr>
                <w:rFonts w:cs="Times New Roman"/>
                <w:szCs w:val="18"/>
              </w:rPr>
            </w:pPr>
            <w:r>
              <w:rPr>
                <w:rFonts w:cs="Times New Roman"/>
                <w:szCs w:val="18"/>
              </w:rPr>
              <w:t>生产人数</w:t>
            </w:r>
          </w:p>
          <w:p>
            <w:pPr>
              <w:pStyle w:val="139"/>
              <w:spacing w:line="240" w:lineRule="auto"/>
              <w:rPr>
                <w:rFonts w:cs="Times New Roman"/>
                <w:szCs w:val="18"/>
              </w:rPr>
            </w:pPr>
            <w:r>
              <w:rPr>
                <w:rFonts w:cs="Times New Roman"/>
                <w:szCs w:val="18"/>
              </w:rPr>
              <w:t>人</w:t>
            </w:r>
          </w:p>
        </w:tc>
        <w:tc>
          <w:tcPr>
            <w:tcW w:w="636" w:type="pct"/>
            <w:vAlign w:val="center"/>
          </w:tcPr>
          <w:p>
            <w:pPr>
              <w:pStyle w:val="139"/>
              <w:spacing w:line="240" w:lineRule="auto"/>
              <w:rPr>
                <w:rFonts w:cs="Times New Roman"/>
                <w:szCs w:val="18"/>
              </w:rPr>
            </w:pPr>
            <w:r>
              <w:rPr>
                <w:rFonts w:cs="Times New Roman"/>
                <w:szCs w:val="18"/>
              </w:rPr>
              <w:t>建筑面积</w:t>
            </w:r>
          </w:p>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635" w:type="pct"/>
            <w:vAlign w:val="center"/>
          </w:tcPr>
          <w:p>
            <w:pPr>
              <w:pStyle w:val="139"/>
              <w:spacing w:line="240" w:lineRule="auto"/>
              <w:rPr>
                <w:rFonts w:cs="Times New Roman"/>
                <w:szCs w:val="18"/>
              </w:rPr>
            </w:pPr>
            <w:r>
              <w:rPr>
                <w:rFonts w:cs="Times New Roman"/>
                <w:szCs w:val="18"/>
              </w:rPr>
              <w:t>占地面积</w:t>
            </w:r>
          </w:p>
          <w:p>
            <w:pPr>
              <w:pStyle w:val="139"/>
              <w:spacing w:line="240" w:lineRule="auto"/>
              <w:rPr>
                <w:rFonts w:cs="Times New Roman"/>
                <w:szCs w:val="18"/>
              </w:rPr>
            </w:pPr>
            <w:r>
              <w:rPr>
                <w:rFonts w:cs="Times New Roman"/>
                <w:szCs w:val="18"/>
              </w:rPr>
              <w:t>m</w:t>
            </w:r>
            <w:r>
              <w:rPr>
                <w:rFonts w:cs="Times New Roman"/>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1</w:t>
            </w:r>
          </w:p>
        </w:tc>
        <w:tc>
          <w:tcPr>
            <w:tcW w:w="881" w:type="pct"/>
            <w:vAlign w:val="center"/>
          </w:tcPr>
          <w:p>
            <w:pPr>
              <w:pStyle w:val="139"/>
              <w:spacing w:line="240" w:lineRule="auto"/>
              <w:rPr>
                <w:rFonts w:cs="Times New Roman"/>
                <w:szCs w:val="18"/>
              </w:rPr>
            </w:pPr>
            <w:r>
              <w:rPr>
                <w:rFonts w:cs="Times New Roman"/>
                <w:szCs w:val="18"/>
              </w:rPr>
              <w:t>机械修配系统</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8</w:t>
            </w:r>
          </w:p>
        </w:tc>
        <w:tc>
          <w:tcPr>
            <w:tcW w:w="636" w:type="pct"/>
            <w:vAlign w:val="center"/>
          </w:tcPr>
          <w:p>
            <w:pPr>
              <w:pStyle w:val="139"/>
              <w:spacing w:line="240" w:lineRule="auto"/>
              <w:rPr>
                <w:rFonts w:cs="Times New Roman"/>
                <w:szCs w:val="18"/>
              </w:rPr>
            </w:pPr>
            <w:r>
              <w:rPr>
                <w:rFonts w:cs="Times New Roman"/>
                <w:szCs w:val="18"/>
              </w:rPr>
              <w:t>180</w:t>
            </w:r>
          </w:p>
        </w:tc>
        <w:tc>
          <w:tcPr>
            <w:tcW w:w="635" w:type="pct"/>
            <w:vAlign w:val="center"/>
          </w:tcPr>
          <w:p>
            <w:pPr>
              <w:pStyle w:val="139"/>
              <w:spacing w:line="240" w:lineRule="auto"/>
              <w:rPr>
                <w:rFonts w:cs="Times New Roman"/>
                <w:szCs w:val="18"/>
              </w:rPr>
            </w:pPr>
            <w:r>
              <w:rPr>
                <w:rFonts w:cs="Times New Roman"/>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2</w:t>
            </w:r>
          </w:p>
        </w:tc>
        <w:tc>
          <w:tcPr>
            <w:tcW w:w="881" w:type="pct"/>
            <w:vAlign w:val="center"/>
          </w:tcPr>
          <w:p>
            <w:pPr>
              <w:pStyle w:val="139"/>
              <w:spacing w:line="240" w:lineRule="auto"/>
              <w:rPr>
                <w:rFonts w:cs="Times New Roman"/>
                <w:szCs w:val="18"/>
              </w:rPr>
            </w:pPr>
            <w:r>
              <w:rPr>
                <w:rFonts w:cs="Times New Roman"/>
                <w:szCs w:val="18"/>
              </w:rPr>
              <w:t>汽车保养站</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5</w:t>
            </w:r>
          </w:p>
        </w:tc>
        <w:tc>
          <w:tcPr>
            <w:tcW w:w="636" w:type="pct"/>
            <w:vAlign w:val="center"/>
          </w:tcPr>
          <w:p>
            <w:pPr>
              <w:pStyle w:val="139"/>
              <w:spacing w:line="240" w:lineRule="auto"/>
              <w:rPr>
                <w:rFonts w:cs="Times New Roman"/>
                <w:szCs w:val="18"/>
              </w:rPr>
            </w:pPr>
            <w:r>
              <w:rPr>
                <w:rFonts w:cs="Times New Roman"/>
                <w:szCs w:val="18"/>
              </w:rPr>
              <w:t>200</w:t>
            </w:r>
          </w:p>
        </w:tc>
        <w:tc>
          <w:tcPr>
            <w:tcW w:w="635" w:type="pct"/>
            <w:vAlign w:val="center"/>
          </w:tcPr>
          <w:p>
            <w:pPr>
              <w:pStyle w:val="139"/>
              <w:spacing w:line="240" w:lineRule="auto"/>
              <w:rPr>
                <w:rFonts w:cs="Times New Roman"/>
                <w:szCs w:val="18"/>
              </w:rPr>
            </w:pPr>
            <w:r>
              <w:rPr>
                <w:rFonts w:cs="Times New Roman"/>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3</w:t>
            </w:r>
          </w:p>
        </w:tc>
        <w:tc>
          <w:tcPr>
            <w:tcW w:w="881" w:type="pct"/>
            <w:vAlign w:val="center"/>
          </w:tcPr>
          <w:p>
            <w:pPr>
              <w:pStyle w:val="139"/>
              <w:spacing w:line="240" w:lineRule="auto"/>
              <w:rPr>
                <w:rFonts w:cs="Times New Roman"/>
                <w:szCs w:val="18"/>
              </w:rPr>
            </w:pPr>
            <w:r>
              <w:rPr>
                <w:rFonts w:cs="Times New Roman"/>
                <w:szCs w:val="18"/>
              </w:rPr>
              <w:t>钢筋加工厂</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4</w:t>
            </w:r>
          </w:p>
        </w:tc>
        <w:tc>
          <w:tcPr>
            <w:tcW w:w="636" w:type="pct"/>
            <w:vAlign w:val="center"/>
          </w:tcPr>
          <w:p>
            <w:pPr>
              <w:pStyle w:val="139"/>
              <w:spacing w:line="240" w:lineRule="auto"/>
              <w:rPr>
                <w:rFonts w:cs="Times New Roman"/>
                <w:szCs w:val="18"/>
              </w:rPr>
            </w:pPr>
            <w:r>
              <w:rPr>
                <w:rFonts w:cs="Times New Roman"/>
                <w:szCs w:val="18"/>
              </w:rPr>
              <w:t>50</w:t>
            </w:r>
          </w:p>
        </w:tc>
        <w:tc>
          <w:tcPr>
            <w:tcW w:w="635" w:type="pct"/>
            <w:vAlign w:val="center"/>
          </w:tcPr>
          <w:p>
            <w:pPr>
              <w:pStyle w:val="139"/>
              <w:spacing w:line="240" w:lineRule="auto"/>
              <w:rPr>
                <w:rFonts w:cs="Times New Roman"/>
                <w:szCs w:val="18"/>
              </w:rPr>
            </w:pPr>
            <w:r>
              <w:rPr>
                <w:rFonts w:cs="Times New Roman"/>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4</w:t>
            </w:r>
          </w:p>
        </w:tc>
        <w:tc>
          <w:tcPr>
            <w:tcW w:w="881" w:type="pct"/>
            <w:vAlign w:val="center"/>
          </w:tcPr>
          <w:p>
            <w:pPr>
              <w:pStyle w:val="139"/>
              <w:spacing w:line="240" w:lineRule="auto"/>
              <w:rPr>
                <w:rFonts w:cs="Times New Roman"/>
                <w:szCs w:val="18"/>
              </w:rPr>
            </w:pPr>
            <w:r>
              <w:rPr>
                <w:rFonts w:cs="Times New Roman"/>
                <w:szCs w:val="18"/>
              </w:rPr>
              <w:t>木材加工厂</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6</w:t>
            </w:r>
          </w:p>
        </w:tc>
        <w:tc>
          <w:tcPr>
            <w:tcW w:w="636" w:type="pct"/>
            <w:vAlign w:val="center"/>
          </w:tcPr>
          <w:p>
            <w:pPr>
              <w:pStyle w:val="139"/>
              <w:spacing w:line="240" w:lineRule="auto"/>
              <w:rPr>
                <w:rFonts w:cs="Times New Roman"/>
                <w:szCs w:val="18"/>
              </w:rPr>
            </w:pPr>
            <w:r>
              <w:rPr>
                <w:rFonts w:cs="Times New Roman"/>
                <w:szCs w:val="18"/>
              </w:rPr>
              <w:t>50</w:t>
            </w:r>
          </w:p>
        </w:tc>
        <w:tc>
          <w:tcPr>
            <w:tcW w:w="635" w:type="pct"/>
            <w:vAlign w:val="center"/>
          </w:tcPr>
          <w:p>
            <w:pPr>
              <w:pStyle w:val="139"/>
              <w:spacing w:line="240" w:lineRule="auto"/>
              <w:rPr>
                <w:rFonts w:cs="Times New Roman"/>
                <w:szCs w:val="18"/>
              </w:rPr>
            </w:pPr>
            <w:r>
              <w:rPr>
                <w:rFonts w:cs="Times New Roman"/>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5</w:t>
            </w:r>
          </w:p>
        </w:tc>
        <w:tc>
          <w:tcPr>
            <w:tcW w:w="881" w:type="pct"/>
            <w:vAlign w:val="center"/>
          </w:tcPr>
          <w:p>
            <w:pPr>
              <w:pStyle w:val="139"/>
              <w:spacing w:line="240" w:lineRule="auto"/>
              <w:rPr>
                <w:rFonts w:cs="Times New Roman"/>
                <w:szCs w:val="18"/>
              </w:rPr>
            </w:pPr>
            <w:r>
              <w:rPr>
                <w:rFonts w:cs="Times New Roman"/>
                <w:szCs w:val="18"/>
              </w:rPr>
              <w:t>修钎站</w:t>
            </w:r>
          </w:p>
        </w:tc>
        <w:tc>
          <w:tcPr>
            <w:tcW w:w="881" w:type="pct"/>
            <w:vAlign w:val="center"/>
          </w:tcPr>
          <w:p>
            <w:pPr>
              <w:pStyle w:val="139"/>
              <w:spacing w:line="240" w:lineRule="auto"/>
              <w:rPr>
                <w:rFonts w:cs="Times New Roman"/>
                <w:szCs w:val="18"/>
              </w:rPr>
            </w:pPr>
            <w:r>
              <w:rPr>
                <w:rFonts w:cs="Times New Roman"/>
                <w:szCs w:val="18"/>
              </w:rPr>
              <w:t>库内石料场</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4</w:t>
            </w:r>
          </w:p>
        </w:tc>
        <w:tc>
          <w:tcPr>
            <w:tcW w:w="636" w:type="pct"/>
            <w:vAlign w:val="center"/>
          </w:tcPr>
          <w:p>
            <w:pPr>
              <w:pStyle w:val="139"/>
              <w:spacing w:line="240" w:lineRule="auto"/>
              <w:rPr>
                <w:rFonts w:cs="Times New Roman"/>
                <w:szCs w:val="18"/>
              </w:rPr>
            </w:pPr>
            <w:r>
              <w:rPr>
                <w:rFonts w:cs="Times New Roman"/>
                <w:szCs w:val="18"/>
              </w:rPr>
              <w:t>30</w:t>
            </w:r>
          </w:p>
        </w:tc>
        <w:tc>
          <w:tcPr>
            <w:tcW w:w="635" w:type="pct"/>
            <w:vAlign w:val="center"/>
          </w:tcPr>
          <w:p>
            <w:pPr>
              <w:pStyle w:val="139"/>
              <w:spacing w:line="240" w:lineRule="auto"/>
              <w:rPr>
                <w:rFonts w:cs="Times New Roman"/>
                <w:szCs w:val="18"/>
              </w:rPr>
            </w:pPr>
            <w:r>
              <w:rPr>
                <w:rFonts w:cs="Times New Roman"/>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vAlign w:val="center"/>
          </w:tcPr>
          <w:p>
            <w:pPr>
              <w:pStyle w:val="139"/>
              <w:spacing w:line="240" w:lineRule="auto"/>
              <w:rPr>
                <w:rFonts w:cs="Times New Roman"/>
                <w:szCs w:val="18"/>
              </w:rPr>
            </w:pPr>
            <w:r>
              <w:rPr>
                <w:rFonts w:cs="Times New Roman"/>
                <w:szCs w:val="18"/>
              </w:rPr>
              <w:t>6</w:t>
            </w:r>
          </w:p>
        </w:tc>
        <w:tc>
          <w:tcPr>
            <w:tcW w:w="881" w:type="pct"/>
            <w:vAlign w:val="center"/>
          </w:tcPr>
          <w:p>
            <w:pPr>
              <w:pStyle w:val="139"/>
              <w:spacing w:line="240" w:lineRule="auto"/>
              <w:rPr>
                <w:rFonts w:cs="Times New Roman"/>
                <w:szCs w:val="18"/>
              </w:rPr>
            </w:pPr>
            <w:r>
              <w:rPr>
                <w:rFonts w:cs="Times New Roman"/>
                <w:szCs w:val="18"/>
              </w:rPr>
              <w:t>修钎站</w:t>
            </w:r>
          </w:p>
        </w:tc>
        <w:tc>
          <w:tcPr>
            <w:tcW w:w="881" w:type="pct"/>
            <w:vAlign w:val="center"/>
          </w:tcPr>
          <w:p>
            <w:pPr>
              <w:pStyle w:val="139"/>
              <w:spacing w:line="240" w:lineRule="auto"/>
              <w:rPr>
                <w:rFonts w:cs="Times New Roman"/>
                <w:szCs w:val="18"/>
              </w:rPr>
            </w:pPr>
            <w:r>
              <w:rPr>
                <w:rFonts w:cs="Times New Roman"/>
                <w:szCs w:val="18"/>
              </w:rPr>
              <w:t>大坝下游右岸</w:t>
            </w:r>
          </w:p>
        </w:tc>
        <w:tc>
          <w:tcPr>
            <w:tcW w:w="269" w:type="pct"/>
            <w:vAlign w:val="center"/>
          </w:tcPr>
          <w:p>
            <w:pPr>
              <w:pStyle w:val="139"/>
              <w:spacing w:line="240" w:lineRule="auto"/>
              <w:rPr>
                <w:rFonts w:cs="Times New Roman"/>
                <w:szCs w:val="18"/>
              </w:rPr>
            </w:pPr>
            <w:r>
              <w:rPr>
                <w:rFonts w:cs="Times New Roman"/>
                <w:szCs w:val="18"/>
              </w:rPr>
              <w:t>1</w:t>
            </w:r>
          </w:p>
        </w:tc>
        <w:tc>
          <w:tcPr>
            <w:tcW w:w="671" w:type="pct"/>
            <w:vAlign w:val="center"/>
          </w:tcPr>
          <w:p>
            <w:pPr>
              <w:pStyle w:val="139"/>
              <w:spacing w:line="240" w:lineRule="auto"/>
              <w:rPr>
                <w:rFonts w:cs="Times New Roman"/>
                <w:szCs w:val="18"/>
              </w:rPr>
            </w:pPr>
            <w:r>
              <w:rPr>
                <w:rFonts w:cs="Times New Roman"/>
                <w:szCs w:val="18"/>
              </w:rPr>
              <w:t>1</w:t>
            </w:r>
          </w:p>
        </w:tc>
        <w:tc>
          <w:tcPr>
            <w:tcW w:w="636" w:type="pct"/>
            <w:vAlign w:val="center"/>
          </w:tcPr>
          <w:p>
            <w:pPr>
              <w:pStyle w:val="139"/>
              <w:spacing w:line="240" w:lineRule="auto"/>
              <w:rPr>
                <w:rFonts w:cs="Times New Roman"/>
                <w:szCs w:val="18"/>
              </w:rPr>
            </w:pPr>
            <w:r>
              <w:rPr>
                <w:rFonts w:cs="Times New Roman"/>
                <w:szCs w:val="18"/>
              </w:rPr>
              <w:t>2</w:t>
            </w:r>
          </w:p>
        </w:tc>
        <w:tc>
          <w:tcPr>
            <w:tcW w:w="636" w:type="pct"/>
            <w:vAlign w:val="center"/>
          </w:tcPr>
          <w:p>
            <w:pPr>
              <w:pStyle w:val="139"/>
              <w:spacing w:line="240" w:lineRule="auto"/>
              <w:rPr>
                <w:rFonts w:cs="Times New Roman"/>
                <w:szCs w:val="18"/>
              </w:rPr>
            </w:pPr>
            <w:r>
              <w:rPr>
                <w:rFonts w:cs="Times New Roman"/>
                <w:szCs w:val="18"/>
              </w:rPr>
              <w:t>30</w:t>
            </w:r>
          </w:p>
        </w:tc>
        <w:tc>
          <w:tcPr>
            <w:tcW w:w="635" w:type="pct"/>
            <w:vAlign w:val="center"/>
          </w:tcPr>
          <w:p>
            <w:pPr>
              <w:pStyle w:val="139"/>
              <w:spacing w:line="240" w:lineRule="auto"/>
              <w:rPr>
                <w:rFonts w:cs="Times New Roman"/>
                <w:szCs w:val="18"/>
              </w:rPr>
            </w:pPr>
            <w:r>
              <w:rPr>
                <w:rFonts w:cs="Times New Roman"/>
                <w:szCs w:val="18"/>
              </w:rPr>
              <w:t>90</w:t>
            </w:r>
          </w:p>
        </w:tc>
      </w:tr>
    </w:tbl>
    <w:p>
      <w:pPr>
        <w:ind w:firstLine="420" w:firstLineChars="0"/>
        <w:contextualSpacing/>
      </w:pPr>
      <w:r>
        <w:t>机械修配、汽车保养站</w:t>
      </w:r>
    </w:p>
    <w:p>
      <w:pPr>
        <w:ind w:firstLine="420" w:firstLineChars="0"/>
        <w:contextualSpacing/>
      </w:pPr>
      <w:r>
        <w:t>本工程施工机械化程度较高，选用的大中型机械较多，施工队伍的施工机械及汽车进场前应完成大修。为保证施工机械设备的正常运行和提高效率，需设置相应规模的维修保养厂，但是由于本工程距巴中市城区不远，当地修配企业可做为本工程施工机械的维修、保养、零配件供应的主要依托，为减少工程现场修配系统的规模，在工地只设置较小规模的汽车保养站和机修站，满足施工机械设备的小修和保养，机械设备的大修等委托巴中市区有关修理厂进行。</w:t>
      </w:r>
    </w:p>
    <w:p>
      <w:pPr>
        <w:ind w:firstLine="420" w:firstLineChars="0"/>
        <w:contextualSpacing/>
      </w:pPr>
      <w:r>
        <w:t>金属结构及机电设备拼装场</w:t>
      </w:r>
    </w:p>
    <w:p>
      <w:pPr>
        <w:ind w:firstLine="420" w:firstLineChars="0"/>
        <w:contextualSpacing/>
      </w:pPr>
      <w:r>
        <w:t>金属结构及机电设备拼装场集中布置于大坝下游左岸，建筑面积100m2，占地面积200m2。</w:t>
      </w:r>
    </w:p>
    <w:p>
      <w:pPr>
        <w:ind w:firstLine="420" w:firstLineChars="0"/>
        <w:contextualSpacing/>
      </w:pPr>
      <w:r>
        <w:rPr>
          <w:rFonts w:hint="eastAsia"/>
        </w:rPr>
        <w:t>（</w:t>
      </w:r>
      <w:r>
        <w:t>2</w:t>
      </w:r>
      <w:r>
        <w:rPr>
          <w:rFonts w:hAnsi="宋体"/>
        </w:rPr>
        <w:t>）灌区工程</w:t>
      </w:r>
    </w:p>
    <w:p>
      <w:pPr>
        <w:pStyle w:val="72"/>
        <w:ind w:firstLine="480"/>
        <w:rPr>
          <w:rFonts w:eastAsia="宋体"/>
          <w:bCs w:val="0"/>
          <w:sz w:val="24"/>
          <w:szCs w:val="24"/>
        </w:rPr>
      </w:pPr>
      <w:r>
        <w:rPr>
          <w:rFonts w:hint="eastAsia" w:eastAsia="宋体"/>
          <w:bCs w:val="0"/>
          <w:sz w:val="24"/>
          <w:szCs w:val="24"/>
        </w:rPr>
        <w:t>a）</w:t>
      </w:r>
      <w:r>
        <w:rPr>
          <w:rFonts w:eastAsia="宋体"/>
          <w:bCs w:val="0"/>
          <w:sz w:val="24"/>
          <w:szCs w:val="24"/>
        </w:rPr>
        <w:t>混凝土拌和站</w:t>
      </w:r>
    </w:p>
    <w:p>
      <w:pPr>
        <w:pStyle w:val="72"/>
        <w:ind w:firstLine="480"/>
        <w:rPr>
          <w:rFonts w:eastAsia="宋体"/>
          <w:bCs w:val="0"/>
          <w:sz w:val="24"/>
          <w:szCs w:val="24"/>
        </w:rPr>
      </w:pPr>
      <w:r>
        <w:rPr>
          <w:rFonts w:eastAsia="宋体"/>
          <w:bCs w:val="0"/>
          <w:sz w:val="24"/>
          <w:szCs w:val="24"/>
        </w:rPr>
        <w:t>寒溪寺水库渠道工程混凝土浇筑总量为0.83万m3。根据渠道工程混凝土浇筑沿线分布，管线、渡槽、隧洞及小型建筑物等建筑物混凝土浇筑点多等特点，拟在建筑物点设移动拌和站，站内设设置0.4m3混凝土拌和机，混凝土拌和站规划见</w:t>
      </w:r>
      <w:r>
        <w:rPr>
          <w:rFonts w:hint="eastAsia" w:eastAsia="宋体"/>
          <w:bCs w:val="0"/>
          <w:sz w:val="24"/>
          <w:szCs w:val="24"/>
        </w:rPr>
        <w:t>下表</w:t>
      </w:r>
      <w:r>
        <w:rPr>
          <w:rFonts w:eastAsia="宋体"/>
          <w:bCs w:val="0"/>
          <w:sz w:val="24"/>
          <w:szCs w:val="24"/>
        </w:rPr>
        <w:t>。</w:t>
      </w:r>
    </w:p>
    <w:p>
      <w:pPr>
        <w:ind w:firstLine="0" w:firstLineChars="0"/>
        <w:contextualSpacing/>
        <w:jc w:val="center"/>
        <w:rPr>
          <w:rFonts w:hAnsi="宋体"/>
          <w:b/>
          <w:bCs/>
          <w:sz w:val="21"/>
          <w:szCs w:val="21"/>
        </w:rPr>
      </w:pPr>
      <w:r>
        <w:rPr>
          <w:rFonts w:hAnsi="宋体"/>
          <w:b/>
          <w:bCs/>
          <w:sz w:val="21"/>
          <w:szCs w:val="21"/>
        </w:rPr>
        <w:t>表2.3.4-12  渠道工程混凝土拌和站规划表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728"/>
        <w:gridCol w:w="1254"/>
        <w:gridCol w:w="753"/>
        <w:gridCol w:w="753"/>
        <w:gridCol w:w="206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序号</w:t>
            </w:r>
          </w:p>
        </w:tc>
        <w:tc>
          <w:tcPr>
            <w:tcW w:w="1014" w:type="pct"/>
            <w:vAlign w:val="center"/>
          </w:tcPr>
          <w:p>
            <w:pPr>
              <w:pStyle w:val="139"/>
              <w:spacing w:line="240" w:lineRule="auto"/>
              <w:rPr>
                <w:rFonts w:cs="Times New Roman"/>
                <w:szCs w:val="18"/>
              </w:rPr>
            </w:pPr>
            <w:r>
              <w:rPr>
                <w:rFonts w:cs="Times New Roman"/>
                <w:szCs w:val="18"/>
              </w:rPr>
              <w:t>位置</w:t>
            </w:r>
          </w:p>
        </w:tc>
        <w:tc>
          <w:tcPr>
            <w:tcW w:w="736" w:type="pct"/>
            <w:vAlign w:val="center"/>
          </w:tcPr>
          <w:p>
            <w:pPr>
              <w:pStyle w:val="139"/>
              <w:spacing w:line="240" w:lineRule="auto"/>
              <w:rPr>
                <w:rFonts w:cs="Times New Roman"/>
                <w:szCs w:val="18"/>
              </w:rPr>
            </w:pPr>
            <w:r>
              <w:rPr>
                <w:rFonts w:cs="Times New Roman"/>
                <w:szCs w:val="18"/>
              </w:rPr>
              <w:t>设备型号</w:t>
            </w:r>
          </w:p>
        </w:tc>
        <w:tc>
          <w:tcPr>
            <w:tcW w:w="442" w:type="pct"/>
            <w:vAlign w:val="center"/>
          </w:tcPr>
          <w:p>
            <w:pPr>
              <w:pStyle w:val="139"/>
              <w:spacing w:line="240" w:lineRule="auto"/>
              <w:rPr>
                <w:rFonts w:cs="Times New Roman"/>
                <w:szCs w:val="18"/>
              </w:rPr>
            </w:pPr>
            <w:r>
              <w:rPr>
                <w:rFonts w:cs="Times New Roman"/>
                <w:szCs w:val="18"/>
              </w:rPr>
              <w:t>单位</w:t>
            </w:r>
          </w:p>
        </w:tc>
        <w:tc>
          <w:tcPr>
            <w:tcW w:w="442" w:type="pct"/>
            <w:vAlign w:val="center"/>
          </w:tcPr>
          <w:p>
            <w:pPr>
              <w:pStyle w:val="139"/>
              <w:spacing w:line="240" w:lineRule="auto"/>
              <w:rPr>
                <w:rFonts w:cs="Times New Roman"/>
                <w:szCs w:val="18"/>
              </w:rPr>
            </w:pPr>
            <w:r>
              <w:rPr>
                <w:rFonts w:cs="Times New Roman"/>
                <w:szCs w:val="18"/>
              </w:rPr>
              <w:t>数量</w:t>
            </w:r>
          </w:p>
        </w:tc>
        <w:tc>
          <w:tcPr>
            <w:tcW w:w="1209" w:type="pct"/>
            <w:vAlign w:val="center"/>
          </w:tcPr>
          <w:p>
            <w:pPr>
              <w:pStyle w:val="139"/>
              <w:spacing w:line="240" w:lineRule="auto"/>
              <w:rPr>
                <w:rFonts w:cs="Times New Roman"/>
                <w:szCs w:val="18"/>
              </w:rPr>
            </w:pPr>
            <w:r>
              <w:rPr>
                <w:rFonts w:cs="Times New Roman"/>
                <w:szCs w:val="18"/>
              </w:rPr>
              <w:t>单台生产率</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/h</w:t>
            </w:r>
          </w:p>
        </w:tc>
        <w:tc>
          <w:tcPr>
            <w:tcW w:w="716"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1</w:t>
            </w:r>
          </w:p>
        </w:tc>
        <w:tc>
          <w:tcPr>
            <w:tcW w:w="1014" w:type="pct"/>
            <w:vAlign w:val="center"/>
          </w:tcPr>
          <w:p>
            <w:pPr>
              <w:pStyle w:val="139"/>
              <w:spacing w:line="240" w:lineRule="auto"/>
              <w:rPr>
                <w:rFonts w:cs="Times New Roman"/>
                <w:szCs w:val="18"/>
              </w:rPr>
            </w:pPr>
            <w:r>
              <w:rPr>
                <w:rFonts w:cs="Times New Roman"/>
                <w:szCs w:val="18"/>
              </w:rPr>
              <w:t>陈家山渡槽工程</w:t>
            </w:r>
          </w:p>
        </w:tc>
        <w:tc>
          <w:tcPr>
            <w:tcW w:w="736" w:type="pct"/>
            <w:vAlign w:val="center"/>
          </w:tcPr>
          <w:p>
            <w:pPr>
              <w:pStyle w:val="139"/>
              <w:spacing w:line="240" w:lineRule="auto"/>
              <w:rPr>
                <w:rFonts w:cs="Times New Roman"/>
                <w:szCs w:val="18"/>
              </w:rPr>
            </w:pPr>
          </w:p>
        </w:tc>
        <w:tc>
          <w:tcPr>
            <w:tcW w:w="442" w:type="pct"/>
            <w:vAlign w:val="center"/>
          </w:tcPr>
          <w:p>
            <w:pPr>
              <w:pStyle w:val="139"/>
              <w:spacing w:line="240" w:lineRule="auto"/>
              <w:rPr>
                <w:rFonts w:cs="Times New Roman"/>
                <w:szCs w:val="18"/>
              </w:rPr>
            </w:pPr>
          </w:p>
        </w:tc>
        <w:tc>
          <w:tcPr>
            <w:tcW w:w="442" w:type="pct"/>
            <w:vAlign w:val="center"/>
          </w:tcPr>
          <w:p>
            <w:pPr>
              <w:pStyle w:val="139"/>
              <w:spacing w:line="240" w:lineRule="auto"/>
              <w:rPr>
                <w:rFonts w:cs="Times New Roman"/>
                <w:szCs w:val="18"/>
              </w:rPr>
            </w:pPr>
          </w:p>
        </w:tc>
        <w:tc>
          <w:tcPr>
            <w:tcW w:w="1209" w:type="pct"/>
            <w:vAlign w:val="center"/>
          </w:tcPr>
          <w:p>
            <w:pPr>
              <w:pStyle w:val="139"/>
              <w:spacing w:line="240" w:lineRule="auto"/>
              <w:rPr>
                <w:rFonts w:cs="Times New Roman"/>
                <w:szCs w:val="18"/>
              </w:rPr>
            </w:pPr>
          </w:p>
        </w:tc>
        <w:tc>
          <w:tcPr>
            <w:tcW w:w="716" w:type="pct"/>
            <w:vAlign w:val="center"/>
          </w:tcPr>
          <w:p>
            <w:pPr>
              <w:pStyle w:val="139"/>
              <w:spacing w:line="240" w:lineRule="auto"/>
              <w:rPr>
                <w:rFonts w:cs="Times New Roman"/>
                <w:szCs w:val="18"/>
              </w:rPr>
            </w:pPr>
            <w:r>
              <w:rPr>
                <w:rFonts w:cs="Times New Roman"/>
                <w:szCs w:val="18"/>
              </w:rPr>
              <w:t>利用商混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2</w:t>
            </w:r>
          </w:p>
        </w:tc>
        <w:tc>
          <w:tcPr>
            <w:tcW w:w="1014" w:type="pct"/>
            <w:vAlign w:val="center"/>
          </w:tcPr>
          <w:p>
            <w:pPr>
              <w:pStyle w:val="139"/>
              <w:spacing w:line="240" w:lineRule="auto"/>
              <w:rPr>
                <w:rFonts w:cs="Times New Roman"/>
                <w:szCs w:val="18"/>
              </w:rPr>
            </w:pPr>
            <w:r>
              <w:rPr>
                <w:rFonts w:cs="Times New Roman"/>
                <w:szCs w:val="18"/>
              </w:rPr>
              <w:t>管线工程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3</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3</w:t>
            </w:r>
          </w:p>
        </w:tc>
        <w:tc>
          <w:tcPr>
            <w:tcW w:w="1014" w:type="pct"/>
            <w:vAlign w:val="center"/>
          </w:tcPr>
          <w:p>
            <w:pPr>
              <w:pStyle w:val="139"/>
              <w:spacing w:line="240" w:lineRule="auto"/>
              <w:rPr>
                <w:rFonts w:cs="Times New Roman"/>
                <w:szCs w:val="18"/>
              </w:rPr>
            </w:pPr>
            <w:r>
              <w:rPr>
                <w:rFonts w:cs="Times New Roman"/>
                <w:szCs w:val="18"/>
              </w:rPr>
              <w:t>尖佛山隧洞工程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2</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1" w:type="pct"/>
            <w:vAlign w:val="center"/>
          </w:tcPr>
          <w:p>
            <w:pPr>
              <w:pStyle w:val="139"/>
              <w:spacing w:line="240" w:lineRule="auto"/>
              <w:rPr>
                <w:rFonts w:cs="Times New Roman"/>
                <w:szCs w:val="18"/>
              </w:rPr>
            </w:pPr>
            <w:r>
              <w:rPr>
                <w:rFonts w:cs="Times New Roman"/>
                <w:szCs w:val="18"/>
              </w:rPr>
              <w:t>4</w:t>
            </w:r>
          </w:p>
        </w:tc>
        <w:tc>
          <w:tcPr>
            <w:tcW w:w="1014" w:type="pct"/>
            <w:vAlign w:val="center"/>
          </w:tcPr>
          <w:p>
            <w:pPr>
              <w:pStyle w:val="139"/>
              <w:spacing w:line="240" w:lineRule="auto"/>
              <w:rPr>
                <w:rFonts w:cs="Times New Roman"/>
                <w:szCs w:val="18"/>
              </w:rPr>
            </w:pPr>
            <w:r>
              <w:rPr>
                <w:rFonts w:cs="Times New Roman"/>
                <w:szCs w:val="18"/>
              </w:rPr>
              <w:t>代洛山隧洞工程</w:t>
            </w:r>
          </w:p>
        </w:tc>
        <w:tc>
          <w:tcPr>
            <w:tcW w:w="736" w:type="pct"/>
            <w:vAlign w:val="center"/>
          </w:tcPr>
          <w:p>
            <w:pPr>
              <w:pStyle w:val="139"/>
              <w:spacing w:line="240" w:lineRule="auto"/>
              <w:rPr>
                <w:rFonts w:cs="Times New Roman"/>
                <w:szCs w:val="18"/>
              </w:rPr>
            </w:pPr>
            <w:r>
              <w:rPr>
                <w:rFonts w:cs="Times New Roman"/>
                <w:szCs w:val="18"/>
              </w:rPr>
              <w:t>JZC375</w:t>
            </w:r>
          </w:p>
        </w:tc>
        <w:tc>
          <w:tcPr>
            <w:tcW w:w="442" w:type="pct"/>
            <w:vAlign w:val="center"/>
          </w:tcPr>
          <w:p>
            <w:pPr>
              <w:pStyle w:val="139"/>
              <w:spacing w:line="240" w:lineRule="auto"/>
              <w:rPr>
                <w:rFonts w:cs="Times New Roman"/>
                <w:szCs w:val="18"/>
              </w:rPr>
            </w:pPr>
            <w:r>
              <w:rPr>
                <w:rFonts w:cs="Times New Roman"/>
                <w:szCs w:val="18"/>
              </w:rPr>
              <w:t>台</w:t>
            </w:r>
          </w:p>
        </w:tc>
        <w:tc>
          <w:tcPr>
            <w:tcW w:w="442" w:type="pct"/>
            <w:vAlign w:val="center"/>
          </w:tcPr>
          <w:p>
            <w:pPr>
              <w:pStyle w:val="139"/>
              <w:spacing w:line="240" w:lineRule="auto"/>
              <w:rPr>
                <w:rFonts w:cs="Times New Roman"/>
                <w:szCs w:val="18"/>
              </w:rPr>
            </w:pPr>
            <w:r>
              <w:rPr>
                <w:rFonts w:cs="Times New Roman"/>
                <w:szCs w:val="18"/>
              </w:rPr>
              <w:t>2</w:t>
            </w:r>
          </w:p>
        </w:tc>
        <w:tc>
          <w:tcPr>
            <w:tcW w:w="1209" w:type="pct"/>
            <w:vAlign w:val="center"/>
          </w:tcPr>
          <w:p>
            <w:pPr>
              <w:pStyle w:val="139"/>
              <w:spacing w:line="240" w:lineRule="auto"/>
              <w:rPr>
                <w:rFonts w:cs="Times New Roman"/>
                <w:szCs w:val="18"/>
              </w:rPr>
            </w:pPr>
            <w:r>
              <w:rPr>
                <w:rFonts w:cs="Times New Roman"/>
                <w:szCs w:val="18"/>
              </w:rPr>
              <w:t>12</w:t>
            </w:r>
          </w:p>
        </w:tc>
        <w:tc>
          <w:tcPr>
            <w:tcW w:w="716" w:type="pct"/>
            <w:vAlign w:val="center"/>
          </w:tcPr>
          <w:p>
            <w:pPr>
              <w:pStyle w:val="139"/>
              <w:spacing w:line="240" w:lineRule="auto"/>
              <w:rPr>
                <w:rFonts w:cs="Times New Roman"/>
                <w:szCs w:val="18"/>
              </w:rPr>
            </w:pPr>
            <w:r>
              <w:rPr>
                <w:rFonts w:cs="Times New Roman"/>
                <w:szCs w:val="18"/>
              </w:rPr>
              <w:t>移设使用</w:t>
            </w:r>
          </w:p>
        </w:tc>
      </w:tr>
    </w:tbl>
    <w:p>
      <w:pPr>
        <w:ind w:firstLine="420" w:firstLineChars="0"/>
        <w:contextualSpacing/>
      </w:pPr>
      <w:r>
        <w:rPr>
          <w:rFonts w:hint="eastAsia"/>
        </w:rPr>
        <w:t>b）</w:t>
      </w:r>
      <w:r>
        <w:t>机械修配、汽修、保养及综合加工系统</w:t>
      </w:r>
    </w:p>
    <w:p>
      <w:pPr>
        <w:ind w:firstLine="420" w:firstLineChars="0"/>
        <w:contextualSpacing/>
      </w:pPr>
      <w:r>
        <w:t>机械修配系统及汽车保养场：巴中市及渠道附近场镇（凌云、玉堂街道）具有一定的机械修配和汽车修理能力，能为工程汽修、机械修理提供服务，可以作为修配加工的依托，工地只需设置较小规模的修配加工企业，承担工程施工机械设备的小修任务。</w:t>
      </w:r>
    </w:p>
    <w:p>
      <w:pPr>
        <w:ind w:firstLine="420" w:firstLineChars="0"/>
        <w:contextualSpacing/>
      </w:pPr>
      <w:r>
        <w:t>综合加工工厂包括钢筋加工厂、木才加工厂等，根据建筑物布置特点，采用集中设置加工厂，分散分段供应成品方案。综合加工工厂特性见</w:t>
      </w:r>
      <w:r>
        <w:rPr>
          <w:rFonts w:hint="eastAsia"/>
        </w:rPr>
        <w:t>下表</w:t>
      </w:r>
      <w:r>
        <w:t>。</w:t>
      </w:r>
    </w:p>
    <w:p>
      <w:pPr>
        <w:ind w:firstLine="0" w:firstLineChars="0"/>
        <w:contextualSpacing/>
        <w:jc w:val="center"/>
        <w:rPr>
          <w:rFonts w:hAnsi="宋体"/>
          <w:b/>
          <w:bCs/>
          <w:sz w:val="21"/>
          <w:szCs w:val="21"/>
        </w:rPr>
      </w:pPr>
      <w:r>
        <w:rPr>
          <w:rFonts w:hAnsi="宋体"/>
          <w:b/>
          <w:bCs/>
          <w:sz w:val="21"/>
          <w:szCs w:val="21"/>
        </w:rPr>
        <w:t>表2.3.4-13  渠道工程综合加工工厂特性表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2229"/>
        <w:gridCol w:w="1906"/>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616" w:type="pct"/>
            <w:gridSpan w:val="2"/>
            <w:vAlign w:val="center"/>
          </w:tcPr>
          <w:p>
            <w:pPr>
              <w:pStyle w:val="139"/>
              <w:spacing w:line="240" w:lineRule="auto"/>
              <w:rPr>
                <w:rFonts w:cs="Times New Roman"/>
                <w:szCs w:val="18"/>
              </w:rPr>
            </w:pPr>
            <w:r>
              <w:rPr>
                <w:rFonts w:cs="Times New Roman"/>
                <w:szCs w:val="18"/>
              </w:rPr>
              <w:t>项目</w:t>
            </w:r>
          </w:p>
        </w:tc>
        <w:tc>
          <w:tcPr>
            <w:tcW w:w="1118" w:type="pct"/>
            <w:vAlign w:val="center"/>
          </w:tcPr>
          <w:p>
            <w:pPr>
              <w:pStyle w:val="139"/>
              <w:spacing w:line="240" w:lineRule="auto"/>
              <w:rPr>
                <w:rFonts w:cs="Times New Roman"/>
                <w:szCs w:val="18"/>
              </w:rPr>
            </w:pPr>
            <w:r>
              <w:rPr>
                <w:rFonts w:cs="Times New Roman"/>
                <w:szCs w:val="18"/>
              </w:rPr>
              <w:t>单位</w:t>
            </w:r>
          </w:p>
        </w:tc>
        <w:tc>
          <w:tcPr>
            <w:tcW w:w="1266" w:type="pct"/>
            <w:vAlign w:val="center"/>
          </w:tcPr>
          <w:p>
            <w:pPr>
              <w:pStyle w:val="139"/>
              <w:spacing w:line="240" w:lineRule="auto"/>
              <w:rPr>
                <w:rFonts w:cs="Times New Roman"/>
                <w:szCs w:val="18"/>
              </w:rPr>
            </w:pPr>
            <w:r>
              <w:rPr>
                <w:rFonts w:cs="Times New Roman"/>
                <w:szCs w:val="18"/>
              </w:rPr>
              <w:t>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8" w:type="pct"/>
            <w:vAlign w:val="center"/>
          </w:tcPr>
          <w:p>
            <w:pPr>
              <w:pStyle w:val="139"/>
              <w:spacing w:line="240" w:lineRule="auto"/>
              <w:rPr>
                <w:rFonts w:cs="Times New Roman"/>
                <w:szCs w:val="18"/>
              </w:rPr>
            </w:pPr>
            <w:r>
              <w:rPr>
                <w:rFonts w:cs="Times New Roman"/>
                <w:szCs w:val="18"/>
              </w:rPr>
              <w:t>钢筋加工厂</w:t>
            </w:r>
          </w:p>
        </w:tc>
        <w:tc>
          <w:tcPr>
            <w:tcW w:w="1308" w:type="pct"/>
            <w:vAlign w:val="center"/>
          </w:tcPr>
          <w:p>
            <w:pPr>
              <w:pStyle w:val="139"/>
              <w:spacing w:line="240" w:lineRule="auto"/>
              <w:rPr>
                <w:rFonts w:cs="Times New Roman"/>
                <w:szCs w:val="18"/>
              </w:rPr>
            </w:pPr>
            <w:r>
              <w:rPr>
                <w:rFonts w:cs="Times New Roman"/>
                <w:szCs w:val="18"/>
              </w:rPr>
              <w:t>干渠工程工区</w:t>
            </w:r>
          </w:p>
        </w:tc>
        <w:tc>
          <w:tcPr>
            <w:tcW w:w="1118" w:type="pct"/>
            <w:vAlign w:val="center"/>
          </w:tcPr>
          <w:p>
            <w:pPr>
              <w:pStyle w:val="139"/>
              <w:spacing w:line="240" w:lineRule="auto"/>
              <w:rPr>
                <w:rFonts w:cs="Times New Roman"/>
                <w:szCs w:val="18"/>
              </w:rPr>
            </w:pPr>
            <w:r>
              <w:rPr>
                <w:rFonts w:cs="Times New Roman"/>
                <w:szCs w:val="18"/>
              </w:rPr>
              <w:t>t/台班</w:t>
            </w:r>
          </w:p>
        </w:tc>
        <w:tc>
          <w:tcPr>
            <w:tcW w:w="1266" w:type="pct"/>
            <w:vAlign w:val="center"/>
          </w:tcPr>
          <w:p>
            <w:pPr>
              <w:pStyle w:val="139"/>
              <w:spacing w:line="240" w:lineRule="auto"/>
              <w:rPr>
                <w:rFonts w:cs="Times New Roman"/>
                <w:szCs w:val="18"/>
              </w:rPr>
            </w:pPr>
            <w:r>
              <w:rPr>
                <w:rFonts w:cs="Times New Roman"/>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8" w:type="pct"/>
            <w:vAlign w:val="center"/>
          </w:tcPr>
          <w:p>
            <w:pPr>
              <w:pStyle w:val="139"/>
              <w:spacing w:line="240" w:lineRule="auto"/>
              <w:rPr>
                <w:rFonts w:cs="Times New Roman"/>
                <w:szCs w:val="18"/>
              </w:rPr>
            </w:pPr>
            <w:r>
              <w:rPr>
                <w:rFonts w:cs="Times New Roman"/>
                <w:szCs w:val="18"/>
              </w:rPr>
              <w:t>木材加工厂</w:t>
            </w:r>
          </w:p>
        </w:tc>
        <w:tc>
          <w:tcPr>
            <w:tcW w:w="1308" w:type="pct"/>
            <w:vAlign w:val="center"/>
          </w:tcPr>
          <w:p>
            <w:pPr>
              <w:pStyle w:val="139"/>
              <w:spacing w:line="240" w:lineRule="auto"/>
              <w:rPr>
                <w:rFonts w:cs="Times New Roman"/>
                <w:szCs w:val="18"/>
              </w:rPr>
            </w:pPr>
            <w:r>
              <w:rPr>
                <w:rFonts w:cs="Times New Roman"/>
                <w:szCs w:val="18"/>
              </w:rPr>
              <w:t>干渠工程工区</w:t>
            </w:r>
          </w:p>
        </w:tc>
        <w:tc>
          <w:tcPr>
            <w:tcW w:w="1118" w:type="pct"/>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/台班</w:t>
            </w:r>
          </w:p>
        </w:tc>
        <w:tc>
          <w:tcPr>
            <w:tcW w:w="1266" w:type="pct"/>
            <w:vAlign w:val="center"/>
          </w:tcPr>
          <w:p>
            <w:pPr>
              <w:pStyle w:val="139"/>
              <w:spacing w:line="240" w:lineRule="auto"/>
              <w:rPr>
                <w:rFonts w:cs="Times New Roman"/>
                <w:szCs w:val="18"/>
              </w:rPr>
            </w:pPr>
            <w:r>
              <w:rPr>
                <w:rFonts w:cs="Times New Roman"/>
                <w:szCs w:val="18"/>
              </w:rPr>
              <w:t>1.0</w:t>
            </w:r>
          </w:p>
        </w:tc>
      </w:tr>
    </w:tbl>
    <w:p>
      <w:pPr>
        <w:ind w:firstLine="420" w:firstLineChars="0"/>
        <w:contextualSpacing/>
      </w:pPr>
      <w:r>
        <w:rPr>
          <w:rFonts w:hint="eastAsia"/>
        </w:rPr>
        <w:t>c）</w:t>
      </w:r>
      <w:r>
        <w:t>施工供风、供水、供电及通讯</w:t>
      </w:r>
    </w:p>
    <w:p>
      <w:pPr>
        <w:ind w:firstLine="420" w:firstLineChars="0"/>
        <w:contextualSpacing/>
      </w:pPr>
      <w:r>
        <w:t>1）施工供风</w:t>
      </w:r>
    </w:p>
    <w:p>
      <w:pPr>
        <w:ind w:firstLine="420" w:firstLineChars="0"/>
        <w:contextualSpacing/>
      </w:pPr>
      <w:r>
        <w:t>根据渠道工程施工方法，本工程施工供风系统分工区分施工点布置，管线工程开挖采用YV-6/7型移动式空压机移动使用；渡槽、隧洞、小建等建筑物施工供风根据需要在建筑物处设YV-6/7型移动式空压机，初步规划设置5座供风站。</w:t>
      </w:r>
    </w:p>
    <w:p>
      <w:pPr>
        <w:ind w:firstLine="0" w:firstLineChars="0"/>
        <w:contextualSpacing/>
        <w:jc w:val="center"/>
        <w:rPr>
          <w:rFonts w:hAnsi="宋体"/>
          <w:b/>
          <w:bCs/>
          <w:sz w:val="21"/>
          <w:szCs w:val="21"/>
        </w:rPr>
      </w:pPr>
      <w:r>
        <w:rPr>
          <w:rFonts w:hAnsi="宋体"/>
          <w:b/>
          <w:bCs/>
          <w:sz w:val="21"/>
          <w:szCs w:val="21"/>
        </w:rPr>
        <w:t>表2.3.4-14  渠道工程供风站规划表</w:t>
      </w:r>
    </w:p>
    <w:tbl>
      <w:tblPr>
        <w:tblStyle w:val="3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826"/>
        <w:gridCol w:w="2098"/>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83" w:type="pct"/>
            <w:vAlign w:val="center"/>
          </w:tcPr>
          <w:p>
            <w:pPr>
              <w:pStyle w:val="139"/>
              <w:spacing w:line="240" w:lineRule="auto"/>
              <w:rPr>
                <w:rFonts w:cs="Times New Roman"/>
              </w:rPr>
            </w:pPr>
            <w:r>
              <w:rPr>
                <w:rFonts w:cs="Times New Roman"/>
              </w:rPr>
              <w:t>序号</w:t>
            </w:r>
          </w:p>
        </w:tc>
        <w:tc>
          <w:tcPr>
            <w:tcW w:w="1658" w:type="pct"/>
            <w:vAlign w:val="center"/>
          </w:tcPr>
          <w:p>
            <w:pPr>
              <w:pStyle w:val="139"/>
              <w:spacing w:line="240" w:lineRule="auto"/>
              <w:rPr>
                <w:rFonts w:cs="Times New Roman"/>
              </w:rPr>
            </w:pPr>
            <w:r>
              <w:rPr>
                <w:rFonts w:cs="Times New Roman"/>
              </w:rPr>
              <w:t>渠道名称</w:t>
            </w:r>
          </w:p>
        </w:tc>
        <w:tc>
          <w:tcPr>
            <w:tcW w:w="1231" w:type="pct"/>
            <w:vAlign w:val="center"/>
          </w:tcPr>
          <w:p>
            <w:pPr>
              <w:pStyle w:val="139"/>
              <w:spacing w:line="240" w:lineRule="auto"/>
              <w:rPr>
                <w:rFonts w:cs="Times New Roman"/>
              </w:rPr>
            </w:pPr>
            <w:r>
              <w:rPr>
                <w:rFonts w:cs="Times New Roman"/>
              </w:rPr>
              <w:t>设备型号</w:t>
            </w:r>
          </w:p>
        </w:tc>
        <w:tc>
          <w:tcPr>
            <w:tcW w:w="664" w:type="pct"/>
            <w:vAlign w:val="center"/>
          </w:tcPr>
          <w:p>
            <w:pPr>
              <w:pStyle w:val="139"/>
              <w:spacing w:line="240" w:lineRule="auto"/>
              <w:rPr>
                <w:rFonts w:cs="Times New Roman"/>
              </w:rPr>
            </w:pPr>
            <w:r>
              <w:rPr>
                <w:rFonts w:cs="Times New Roman"/>
              </w:rPr>
              <w:t>台数</w:t>
            </w:r>
          </w:p>
        </w:tc>
        <w:tc>
          <w:tcPr>
            <w:tcW w:w="664" w:type="pct"/>
            <w:vAlign w:val="center"/>
          </w:tcPr>
          <w:p>
            <w:pPr>
              <w:pStyle w:val="139"/>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1</w:t>
            </w:r>
          </w:p>
        </w:tc>
        <w:tc>
          <w:tcPr>
            <w:tcW w:w="1658" w:type="pct"/>
            <w:vAlign w:val="center"/>
          </w:tcPr>
          <w:p>
            <w:pPr>
              <w:pStyle w:val="139"/>
              <w:spacing w:line="240" w:lineRule="auto"/>
              <w:rPr>
                <w:rFonts w:cs="Times New Roman"/>
              </w:rPr>
            </w:pPr>
            <w:r>
              <w:rPr>
                <w:rFonts w:cs="Times New Roman"/>
              </w:rPr>
              <w:t>干渠管线工程</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4</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2</w:t>
            </w:r>
          </w:p>
        </w:tc>
        <w:tc>
          <w:tcPr>
            <w:tcW w:w="1658" w:type="pct"/>
            <w:vAlign w:val="center"/>
          </w:tcPr>
          <w:p>
            <w:pPr>
              <w:pStyle w:val="139"/>
              <w:spacing w:line="240" w:lineRule="auto"/>
              <w:rPr>
                <w:rFonts w:cs="Times New Roman"/>
              </w:rPr>
            </w:pPr>
            <w:r>
              <w:rPr>
                <w:rFonts w:cs="Times New Roman"/>
              </w:rPr>
              <w:t>尖佛山隧洞进口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3</w:t>
            </w:r>
          </w:p>
        </w:tc>
        <w:tc>
          <w:tcPr>
            <w:tcW w:w="1658" w:type="pct"/>
            <w:vAlign w:val="center"/>
          </w:tcPr>
          <w:p>
            <w:pPr>
              <w:pStyle w:val="139"/>
              <w:spacing w:line="240" w:lineRule="auto"/>
              <w:rPr>
                <w:rFonts w:cs="Times New Roman"/>
              </w:rPr>
            </w:pPr>
            <w:r>
              <w:rPr>
                <w:rFonts w:cs="Times New Roman"/>
              </w:rPr>
              <w:t>尖佛山隧洞出口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4</w:t>
            </w:r>
          </w:p>
        </w:tc>
        <w:tc>
          <w:tcPr>
            <w:tcW w:w="1658" w:type="pct"/>
            <w:vAlign w:val="center"/>
          </w:tcPr>
          <w:p>
            <w:pPr>
              <w:pStyle w:val="139"/>
              <w:spacing w:line="240" w:lineRule="auto"/>
              <w:rPr>
                <w:rFonts w:cs="Times New Roman"/>
              </w:rPr>
            </w:pPr>
            <w:r>
              <w:rPr>
                <w:rFonts w:cs="Times New Roman"/>
              </w:rPr>
              <w:t>代洛山隧洞进口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5</w:t>
            </w:r>
          </w:p>
        </w:tc>
        <w:tc>
          <w:tcPr>
            <w:tcW w:w="1658" w:type="pct"/>
            <w:vAlign w:val="center"/>
          </w:tcPr>
          <w:p>
            <w:pPr>
              <w:pStyle w:val="139"/>
              <w:spacing w:line="240" w:lineRule="auto"/>
              <w:rPr>
                <w:rFonts w:cs="Times New Roman"/>
              </w:rPr>
            </w:pPr>
            <w:r>
              <w:rPr>
                <w:rFonts w:cs="Times New Roman"/>
              </w:rPr>
              <w:t>代洛山隧洞出口</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783" w:type="pct"/>
            <w:vAlign w:val="center"/>
          </w:tcPr>
          <w:p>
            <w:pPr>
              <w:pStyle w:val="139"/>
              <w:spacing w:line="240" w:lineRule="auto"/>
              <w:rPr>
                <w:rFonts w:cs="Times New Roman"/>
              </w:rPr>
            </w:pPr>
            <w:r>
              <w:rPr>
                <w:rFonts w:cs="Times New Roman"/>
              </w:rPr>
              <w:t>6</w:t>
            </w:r>
          </w:p>
        </w:tc>
        <w:tc>
          <w:tcPr>
            <w:tcW w:w="1658" w:type="pct"/>
            <w:vAlign w:val="center"/>
          </w:tcPr>
          <w:p>
            <w:pPr>
              <w:pStyle w:val="139"/>
              <w:spacing w:line="240" w:lineRule="auto"/>
              <w:rPr>
                <w:rFonts w:cs="Times New Roman"/>
              </w:rPr>
            </w:pPr>
            <w:r>
              <w:rPr>
                <w:rFonts w:cs="Times New Roman"/>
              </w:rPr>
              <w:t>陈家山渡槽</w:t>
            </w:r>
          </w:p>
        </w:tc>
        <w:tc>
          <w:tcPr>
            <w:tcW w:w="1231" w:type="pct"/>
            <w:vAlign w:val="center"/>
          </w:tcPr>
          <w:p>
            <w:pPr>
              <w:pStyle w:val="139"/>
              <w:spacing w:line="240" w:lineRule="auto"/>
              <w:rPr>
                <w:rFonts w:cs="Times New Roman"/>
              </w:rPr>
            </w:pPr>
            <w:r>
              <w:rPr>
                <w:rFonts w:cs="Times New Roman"/>
              </w:rPr>
              <w:t>YV-6/7</w:t>
            </w:r>
          </w:p>
        </w:tc>
        <w:tc>
          <w:tcPr>
            <w:tcW w:w="664" w:type="pct"/>
            <w:vAlign w:val="center"/>
          </w:tcPr>
          <w:p>
            <w:pPr>
              <w:pStyle w:val="139"/>
              <w:spacing w:line="240" w:lineRule="auto"/>
              <w:rPr>
                <w:rFonts w:cs="Times New Roman"/>
              </w:rPr>
            </w:pPr>
            <w:r>
              <w:rPr>
                <w:rFonts w:cs="Times New Roman"/>
              </w:rPr>
              <w:t>1</w:t>
            </w:r>
          </w:p>
        </w:tc>
        <w:tc>
          <w:tcPr>
            <w:tcW w:w="664" w:type="pct"/>
          </w:tcPr>
          <w:p>
            <w:pPr>
              <w:pStyle w:val="139"/>
              <w:spacing w:line="240" w:lineRule="auto"/>
              <w:rPr>
                <w:rFonts w:cs="Times New Roman"/>
              </w:rPr>
            </w:pPr>
            <w:r>
              <w:rPr>
                <w:rFonts w:cs="Times New Roman"/>
              </w:rPr>
              <w:t>移设使用</w:t>
            </w:r>
          </w:p>
        </w:tc>
      </w:tr>
    </w:tbl>
    <w:p>
      <w:pPr>
        <w:ind w:firstLine="420" w:firstLineChars="0"/>
        <w:contextualSpacing/>
      </w:pPr>
      <w:r>
        <w:t>2）施工供水</w:t>
      </w:r>
    </w:p>
    <w:p>
      <w:pPr>
        <w:ind w:firstLine="420" w:firstLineChars="0"/>
        <w:contextualSpacing/>
      </w:pPr>
      <w:r>
        <w:t>根据各工程点水源条件，依就近分散原则进行供水规划。分别采用建抽水站，挖蓄水池等工程措施解决渠道工程生产生活用水。经规划该工程需建抽水站7处，10m3水池7座。</w:t>
      </w:r>
    </w:p>
    <w:p>
      <w:pPr>
        <w:ind w:firstLine="0" w:firstLineChars="0"/>
        <w:contextualSpacing/>
        <w:jc w:val="center"/>
      </w:pPr>
      <w:r>
        <w:rPr>
          <w:rFonts w:hAnsi="宋体"/>
          <w:b/>
          <w:bCs/>
          <w:sz w:val="21"/>
          <w:szCs w:val="21"/>
        </w:rPr>
        <w:t>表2.3.4-15  渠道工程抽水站规划表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487"/>
        <w:gridCol w:w="1158"/>
        <w:gridCol w:w="1018"/>
        <w:gridCol w:w="1025"/>
        <w:gridCol w:w="880"/>
        <w:gridCol w:w="81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序号</w:t>
            </w:r>
          </w:p>
        </w:tc>
        <w:tc>
          <w:tcPr>
            <w:tcW w:w="872" w:type="pct"/>
            <w:vAlign w:val="center"/>
          </w:tcPr>
          <w:p>
            <w:pPr>
              <w:pStyle w:val="139"/>
              <w:spacing w:line="240" w:lineRule="auto"/>
              <w:rPr>
                <w:rFonts w:cs="Times New Roman"/>
                <w:szCs w:val="18"/>
              </w:rPr>
            </w:pPr>
            <w:r>
              <w:rPr>
                <w:rFonts w:cs="Times New Roman"/>
                <w:szCs w:val="18"/>
              </w:rPr>
              <w:t>渠道名称</w:t>
            </w:r>
          </w:p>
        </w:tc>
        <w:tc>
          <w:tcPr>
            <w:tcW w:w="679" w:type="pct"/>
            <w:vAlign w:val="center"/>
          </w:tcPr>
          <w:p>
            <w:pPr>
              <w:pStyle w:val="139"/>
              <w:spacing w:line="240" w:lineRule="auto"/>
              <w:rPr>
                <w:rFonts w:cs="Times New Roman"/>
                <w:szCs w:val="18"/>
              </w:rPr>
            </w:pPr>
            <w:r>
              <w:rPr>
                <w:rFonts w:cs="Times New Roman"/>
                <w:szCs w:val="18"/>
              </w:rPr>
              <w:t>型号</w:t>
            </w:r>
          </w:p>
        </w:tc>
        <w:tc>
          <w:tcPr>
            <w:tcW w:w="597" w:type="pct"/>
            <w:vAlign w:val="center"/>
          </w:tcPr>
          <w:p>
            <w:pPr>
              <w:pStyle w:val="139"/>
              <w:spacing w:line="240" w:lineRule="auto"/>
              <w:rPr>
                <w:rFonts w:cs="Times New Roman"/>
                <w:szCs w:val="18"/>
              </w:rPr>
            </w:pPr>
            <w:r>
              <w:rPr>
                <w:rFonts w:cs="Times New Roman"/>
                <w:szCs w:val="18"/>
              </w:rPr>
              <w:t>数量</w:t>
            </w:r>
          </w:p>
          <w:p>
            <w:pPr>
              <w:pStyle w:val="139"/>
              <w:spacing w:line="240" w:lineRule="auto"/>
              <w:rPr>
                <w:rFonts w:cs="Times New Roman"/>
                <w:szCs w:val="18"/>
              </w:rPr>
            </w:pPr>
            <w:r>
              <w:rPr>
                <w:rFonts w:cs="Times New Roman"/>
                <w:szCs w:val="18"/>
              </w:rPr>
              <w:t>台</w:t>
            </w:r>
          </w:p>
        </w:tc>
        <w:tc>
          <w:tcPr>
            <w:tcW w:w="601" w:type="pct"/>
            <w:vAlign w:val="center"/>
          </w:tcPr>
          <w:p>
            <w:pPr>
              <w:pStyle w:val="139"/>
              <w:spacing w:line="240" w:lineRule="auto"/>
              <w:rPr>
                <w:rFonts w:cs="Times New Roman"/>
                <w:szCs w:val="18"/>
              </w:rPr>
            </w:pPr>
            <w:r>
              <w:rPr>
                <w:rFonts w:cs="Times New Roman"/>
                <w:szCs w:val="18"/>
              </w:rPr>
              <w:t>供水量</w:t>
            </w:r>
          </w:p>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/h</w:t>
            </w:r>
          </w:p>
        </w:tc>
        <w:tc>
          <w:tcPr>
            <w:tcW w:w="516" w:type="pct"/>
            <w:vAlign w:val="center"/>
          </w:tcPr>
          <w:p>
            <w:pPr>
              <w:pStyle w:val="139"/>
              <w:spacing w:line="240" w:lineRule="auto"/>
              <w:rPr>
                <w:rFonts w:cs="Times New Roman"/>
                <w:szCs w:val="18"/>
              </w:rPr>
            </w:pPr>
            <w:r>
              <w:rPr>
                <w:rFonts w:cs="Times New Roman"/>
                <w:szCs w:val="18"/>
              </w:rPr>
              <w:t>扬程</w:t>
            </w:r>
          </w:p>
          <w:p>
            <w:pPr>
              <w:pStyle w:val="139"/>
              <w:spacing w:line="240" w:lineRule="auto"/>
              <w:rPr>
                <w:rFonts w:cs="Times New Roman"/>
                <w:szCs w:val="18"/>
              </w:rPr>
            </w:pPr>
            <w:r>
              <w:rPr>
                <w:rFonts w:cs="Times New Roman"/>
                <w:szCs w:val="18"/>
              </w:rPr>
              <w:t>m</w:t>
            </w:r>
          </w:p>
        </w:tc>
        <w:tc>
          <w:tcPr>
            <w:tcW w:w="475" w:type="pct"/>
            <w:vAlign w:val="center"/>
          </w:tcPr>
          <w:p>
            <w:pPr>
              <w:pStyle w:val="139"/>
              <w:spacing w:line="240" w:lineRule="auto"/>
              <w:rPr>
                <w:rFonts w:cs="Times New Roman"/>
                <w:szCs w:val="18"/>
              </w:rPr>
            </w:pPr>
            <w:r>
              <w:rPr>
                <w:rFonts w:cs="Times New Roman"/>
                <w:szCs w:val="18"/>
              </w:rPr>
              <w:t>功率</w:t>
            </w:r>
          </w:p>
          <w:p>
            <w:pPr>
              <w:pStyle w:val="139"/>
              <w:spacing w:line="240" w:lineRule="auto"/>
              <w:rPr>
                <w:rFonts w:cs="Times New Roman"/>
                <w:szCs w:val="18"/>
              </w:rPr>
            </w:pPr>
            <w:r>
              <w:rPr>
                <w:rFonts w:cs="Times New Roman"/>
                <w:bCs/>
              </w:rPr>
              <w:t>KW</w:t>
            </w:r>
          </w:p>
        </w:tc>
        <w:tc>
          <w:tcPr>
            <w:tcW w:w="874" w:type="pct"/>
            <w:vAlign w:val="center"/>
          </w:tcPr>
          <w:p>
            <w:pPr>
              <w:pStyle w:val="139"/>
              <w:spacing w:line="240" w:lineRule="auto"/>
              <w:rPr>
                <w:rFonts w:cs="Times New Roman"/>
                <w:szCs w:val="18"/>
              </w:rPr>
            </w:pPr>
            <w:r>
              <w:rPr>
                <w:rFonts w:cs="Times New Roman"/>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1</w:t>
            </w:r>
          </w:p>
        </w:tc>
        <w:tc>
          <w:tcPr>
            <w:tcW w:w="872" w:type="pct"/>
            <w:vAlign w:val="center"/>
          </w:tcPr>
          <w:p>
            <w:pPr>
              <w:pStyle w:val="139"/>
              <w:spacing w:line="240" w:lineRule="auto"/>
              <w:rPr>
                <w:rFonts w:cs="Times New Roman"/>
                <w:szCs w:val="18"/>
              </w:rPr>
            </w:pPr>
            <w:r>
              <w:rPr>
                <w:rFonts w:cs="Times New Roman"/>
                <w:szCs w:val="18"/>
              </w:rPr>
              <w:t>管线工程</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3</w:t>
            </w:r>
          </w:p>
        </w:tc>
        <w:tc>
          <w:tcPr>
            <w:tcW w:w="601" w:type="pct"/>
            <w:vAlign w:val="center"/>
          </w:tcPr>
          <w:p>
            <w:pPr>
              <w:pStyle w:val="139"/>
              <w:spacing w:line="240" w:lineRule="auto"/>
              <w:rPr>
                <w:rFonts w:cs="Times New Roman"/>
                <w:szCs w:val="18"/>
              </w:rPr>
            </w:pPr>
            <w:r>
              <w:rPr>
                <w:rFonts w:cs="Times New Roman"/>
                <w:szCs w:val="18"/>
              </w:rPr>
              <w:t>3×25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3×15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2</w:t>
            </w:r>
          </w:p>
        </w:tc>
        <w:tc>
          <w:tcPr>
            <w:tcW w:w="872" w:type="pct"/>
            <w:vAlign w:val="center"/>
          </w:tcPr>
          <w:p>
            <w:pPr>
              <w:pStyle w:val="139"/>
              <w:spacing w:line="240" w:lineRule="auto"/>
              <w:rPr>
                <w:rFonts w:cs="Times New Roman"/>
                <w:szCs w:val="18"/>
              </w:rPr>
            </w:pPr>
            <w:r>
              <w:rPr>
                <w:rFonts w:cs="Times New Roman"/>
                <w:szCs w:val="18"/>
              </w:rPr>
              <w:t>尖佛山隧洞进口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3</w:t>
            </w:r>
          </w:p>
        </w:tc>
        <w:tc>
          <w:tcPr>
            <w:tcW w:w="872" w:type="pct"/>
            <w:vAlign w:val="center"/>
          </w:tcPr>
          <w:p>
            <w:pPr>
              <w:pStyle w:val="139"/>
              <w:spacing w:line="240" w:lineRule="auto"/>
              <w:rPr>
                <w:rFonts w:cs="Times New Roman"/>
                <w:szCs w:val="18"/>
              </w:rPr>
            </w:pPr>
            <w:r>
              <w:rPr>
                <w:rFonts w:cs="Times New Roman"/>
                <w:szCs w:val="18"/>
              </w:rPr>
              <w:t>尖佛山隧洞出口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4</w:t>
            </w:r>
          </w:p>
        </w:tc>
        <w:tc>
          <w:tcPr>
            <w:tcW w:w="872" w:type="pct"/>
            <w:vAlign w:val="center"/>
          </w:tcPr>
          <w:p>
            <w:pPr>
              <w:pStyle w:val="139"/>
              <w:spacing w:line="240" w:lineRule="auto"/>
              <w:rPr>
                <w:rFonts w:cs="Times New Roman"/>
                <w:szCs w:val="18"/>
              </w:rPr>
            </w:pPr>
            <w:r>
              <w:rPr>
                <w:rFonts w:cs="Times New Roman"/>
                <w:szCs w:val="18"/>
              </w:rPr>
              <w:t>代洛山隧洞进口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4" w:type="pct"/>
            <w:vAlign w:val="center"/>
          </w:tcPr>
          <w:p>
            <w:pPr>
              <w:pStyle w:val="139"/>
              <w:spacing w:line="240" w:lineRule="auto"/>
              <w:rPr>
                <w:rFonts w:cs="Times New Roman"/>
                <w:szCs w:val="18"/>
              </w:rPr>
            </w:pPr>
            <w:r>
              <w:rPr>
                <w:rFonts w:cs="Times New Roman"/>
                <w:szCs w:val="18"/>
              </w:rPr>
              <w:t>5</w:t>
            </w:r>
          </w:p>
        </w:tc>
        <w:tc>
          <w:tcPr>
            <w:tcW w:w="872" w:type="pct"/>
            <w:vAlign w:val="center"/>
          </w:tcPr>
          <w:p>
            <w:pPr>
              <w:pStyle w:val="139"/>
              <w:spacing w:line="240" w:lineRule="auto"/>
              <w:rPr>
                <w:rFonts w:cs="Times New Roman"/>
                <w:szCs w:val="18"/>
              </w:rPr>
            </w:pPr>
            <w:r>
              <w:rPr>
                <w:rFonts w:cs="Times New Roman"/>
                <w:szCs w:val="18"/>
              </w:rPr>
              <w:t>代洛山隧洞出口</w:t>
            </w:r>
          </w:p>
        </w:tc>
        <w:tc>
          <w:tcPr>
            <w:tcW w:w="679" w:type="pct"/>
            <w:vAlign w:val="center"/>
          </w:tcPr>
          <w:p>
            <w:pPr>
              <w:pStyle w:val="139"/>
              <w:spacing w:line="240" w:lineRule="auto"/>
              <w:rPr>
                <w:rFonts w:cs="Times New Roman"/>
                <w:szCs w:val="18"/>
              </w:rPr>
            </w:pPr>
            <w:r>
              <w:rPr>
                <w:rFonts w:cs="Times New Roman"/>
                <w:szCs w:val="18"/>
              </w:rPr>
              <w:t>IS65-40-250</w:t>
            </w:r>
          </w:p>
        </w:tc>
        <w:tc>
          <w:tcPr>
            <w:tcW w:w="597" w:type="pct"/>
            <w:vAlign w:val="center"/>
          </w:tcPr>
          <w:p>
            <w:pPr>
              <w:pStyle w:val="139"/>
              <w:spacing w:line="240" w:lineRule="auto"/>
              <w:rPr>
                <w:rFonts w:cs="Times New Roman"/>
                <w:szCs w:val="18"/>
              </w:rPr>
            </w:pPr>
            <w:r>
              <w:rPr>
                <w:rFonts w:cs="Times New Roman"/>
                <w:szCs w:val="18"/>
              </w:rPr>
              <w:t>1</w:t>
            </w:r>
          </w:p>
        </w:tc>
        <w:tc>
          <w:tcPr>
            <w:tcW w:w="601" w:type="pct"/>
            <w:vAlign w:val="center"/>
          </w:tcPr>
          <w:p>
            <w:pPr>
              <w:pStyle w:val="139"/>
              <w:spacing w:line="240" w:lineRule="auto"/>
              <w:rPr>
                <w:rFonts w:cs="Times New Roman"/>
                <w:szCs w:val="18"/>
              </w:rPr>
            </w:pPr>
            <w:r>
              <w:rPr>
                <w:rFonts w:cs="Times New Roman"/>
                <w:szCs w:val="18"/>
              </w:rPr>
              <w:t>25</w:t>
            </w:r>
          </w:p>
        </w:tc>
        <w:tc>
          <w:tcPr>
            <w:tcW w:w="516" w:type="pct"/>
            <w:vAlign w:val="center"/>
          </w:tcPr>
          <w:p>
            <w:pPr>
              <w:pStyle w:val="139"/>
              <w:spacing w:line="240" w:lineRule="auto"/>
              <w:rPr>
                <w:rFonts w:cs="Times New Roman"/>
                <w:szCs w:val="18"/>
              </w:rPr>
            </w:pPr>
            <w:r>
              <w:rPr>
                <w:rFonts w:cs="Times New Roman"/>
                <w:szCs w:val="18"/>
              </w:rPr>
              <w:t>80</w:t>
            </w:r>
          </w:p>
        </w:tc>
        <w:tc>
          <w:tcPr>
            <w:tcW w:w="475" w:type="pct"/>
            <w:vAlign w:val="center"/>
          </w:tcPr>
          <w:p>
            <w:pPr>
              <w:pStyle w:val="139"/>
              <w:spacing w:line="240" w:lineRule="auto"/>
              <w:rPr>
                <w:rFonts w:cs="Times New Roman"/>
                <w:szCs w:val="18"/>
              </w:rPr>
            </w:pPr>
            <w:r>
              <w:rPr>
                <w:rFonts w:cs="Times New Roman"/>
                <w:szCs w:val="18"/>
              </w:rPr>
              <w:t>15</w:t>
            </w:r>
          </w:p>
        </w:tc>
        <w:tc>
          <w:tcPr>
            <w:tcW w:w="874" w:type="pct"/>
            <w:vAlign w:val="center"/>
          </w:tcPr>
          <w:p>
            <w:pPr>
              <w:pStyle w:val="139"/>
              <w:spacing w:line="240" w:lineRule="auto"/>
              <w:rPr>
                <w:rFonts w:cs="Times New Roman"/>
                <w:szCs w:val="18"/>
              </w:rPr>
            </w:pPr>
            <w:r>
              <w:rPr>
                <w:rFonts w:cs="Times New Roman"/>
                <w:szCs w:val="18"/>
              </w:rPr>
              <w:t>设10m</w:t>
            </w:r>
            <w:r>
              <w:rPr>
                <w:rFonts w:cs="Times New Roman"/>
                <w:szCs w:val="18"/>
                <w:vertAlign w:val="superscript"/>
              </w:rPr>
              <w:t>3</w:t>
            </w:r>
            <w:r>
              <w:rPr>
                <w:rFonts w:cs="Times New Roman"/>
                <w:szCs w:val="18"/>
              </w:rPr>
              <w:t>水池</w:t>
            </w:r>
          </w:p>
        </w:tc>
      </w:tr>
    </w:tbl>
    <w:p>
      <w:pPr>
        <w:ind w:firstLine="420" w:firstLineChars="0"/>
        <w:contextualSpacing/>
      </w:pPr>
      <w:r>
        <w:t>3）施工供电</w:t>
      </w:r>
    </w:p>
    <w:p>
      <w:pPr>
        <w:ind w:firstLine="420" w:firstLineChars="0"/>
        <w:contextualSpacing/>
      </w:pPr>
      <w:r>
        <w:t>本工程施工用电就近从国家电网架设10</w:t>
      </w:r>
      <w:r>
        <w:rPr>
          <w:bCs/>
        </w:rPr>
        <w:t>KV</w:t>
      </w:r>
      <w:r>
        <w:t>输电线路至各施工点，设置降压站，各工区形成相对独立完整的施工供电系统，对部分远离现有电源的渠段，施工时可采用自备柴油发电机供电或采用油动机具施工。本渠道工程共需设置降压站2座，总计共需架设10</w:t>
      </w:r>
      <w:r>
        <w:rPr>
          <w:bCs/>
        </w:rPr>
        <w:t>KV</w:t>
      </w:r>
      <w:r>
        <w:t>输电线路2.0km。为确保重要建筑物施工不受停电影响，考虑自备电源应急，需备用30</w:t>
      </w:r>
      <w:r>
        <w:rPr>
          <w:bCs/>
        </w:rPr>
        <w:t>KW</w:t>
      </w:r>
      <w:r>
        <w:t>发电机2台。</w:t>
      </w:r>
    </w:p>
    <w:p>
      <w:pPr>
        <w:ind w:firstLine="420" w:firstLineChars="0"/>
        <w:contextualSpacing/>
      </w:pPr>
      <w:r>
        <w:t>4）施工通讯</w:t>
      </w:r>
    </w:p>
    <w:p>
      <w:pPr>
        <w:ind w:firstLine="420" w:firstLineChars="0"/>
        <w:contextualSpacing/>
      </w:pPr>
      <w:r>
        <w:t>工程施工期的通讯，可通过附近乡镇机关、移动网络运营商等通信设备联系，并配置一定数量的无线电手机及对讲机进行场内外通信联系。</w:t>
      </w:r>
    </w:p>
    <w:p>
      <w:pPr>
        <w:ind w:firstLine="482"/>
        <w:contextualSpacing/>
        <w:rPr>
          <w:b/>
          <w:bCs/>
        </w:rPr>
      </w:pPr>
      <w:r>
        <w:rPr>
          <w:b/>
          <w:bCs/>
        </w:rPr>
        <w:t>总体而言，水库施工场地选择无环境制约因素，施工场地的布设以合理利用地形条件、方便工程施工、减少施工占地、缩短运输线路为原则进行规划，对于减少工程土石方开挖量和弃渣量，节约土地资源，防治水土流失，控制施工期“三废”及噪声污染具有积极作用，施工场地的选择基本满足环境保护的要求。</w:t>
      </w:r>
    </w:p>
    <w:p>
      <w:pPr>
        <w:pStyle w:val="5"/>
        <w:ind w:firstLine="0" w:firstLineChars="0"/>
        <w:contextualSpacing/>
        <w:rPr>
          <w:rFonts w:ascii="Times New Roman" w:hAnsi="Times New Roman"/>
        </w:rPr>
      </w:pPr>
      <w:bookmarkStart w:id="372" w:name="_Toc30009"/>
      <w:bookmarkStart w:id="373" w:name="_Toc22378"/>
      <w:bookmarkStart w:id="374" w:name="_Toc15434"/>
      <w:r>
        <w:rPr>
          <w:rFonts w:ascii="Times New Roman" w:hAnsi="Times New Roman"/>
        </w:rPr>
        <w:t>3.2.5移民安置规划方案环境合理性</w:t>
      </w:r>
      <w:bookmarkEnd w:id="372"/>
      <w:bookmarkEnd w:id="373"/>
      <w:bookmarkEnd w:id="374"/>
    </w:p>
    <w:p>
      <w:pPr>
        <w:ind w:firstLine="480"/>
        <w:contextualSpacing/>
      </w:pPr>
      <w:r>
        <w:t>（1）生产安置方案的环境合理性</w:t>
      </w:r>
    </w:p>
    <w:p>
      <w:pPr>
        <w:ind w:firstLine="482"/>
        <w:contextualSpacing/>
        <w:rPr>
          <w:b/>
          <w:bCs/>
        </w:rPr>
      </w:pPr>
      <w:r>
        <w:rPr>
          <w:b/>
          <w:bCs/>
        </w:rPr>
        <w:t>本工程生产安置所需耕地主要通过就近调剂的方式分配，无需新开垦耕地，不会对生态环境造成明显不利影响，从环境影响角度，安置方式较为合理。</w:t>
      </w:r>
    </w:p>
    <w:p>
      <w:pPr>
        <w:ind w:firstLine="480"/>
        <w:contextualSpacing/>
      </w:pPr>
      <w:r>
        <w:t>（2）搬迁安置方案的环境合理性分析</w:t>
      </w:r>
    </w:p>
    <w:p>
      <w:pPr>
        <w:ind w:firstLine="480"/>
        <w:contextualSpacing/>
      </w:pPr>
      <w:r>
        <w:t>本工程农村移民搬迁安置采取分散安置方式进行安置。分散安置点均位于本组境内的水库工程建设征地范围以外居民聚居点附近的平缓台地上。地形相对平缓，地面坡度一般小于10°，适宜修建移民分散安置点；安置点用水采用打井取水方式解决；安置点用电可直接从当地农网接线；安置点附近有农村道路通过，新修入户道路与其连接后，对外交通方便。</w:t>
      </w:r>
    </w:p>
    <w:p>
      <w:pPr>
        <w:ind w:firstLine="480"/>
        <w:contextualSpacing/>
      </w:pPr>
      <w:r>
        <w:t>（3）专项设施复建方案的环境合理性</w:t>
      </w:r>
    </w:p>
    <w:p>
      <w:pPr>
        <w:ind w:firstLine="480"/>
        <w:contextualSpacing/>
      </w:pPr>
      <w:r>
        <w:t>本工程建设征地涉及的专项设施主要</w:t>
      </w:r>
      <w:r>
        <w:rPr>
          <w:rFonts w:hint="eastAsia"/>
        </w:rPr>
        <w:t>为</w:t>
      </w:r>
      <w:r>
        <w:t>交通设施</w:t>
      </w:r>
      <w:r>
        <w:rPr>
          <w:rFonts w:hint="eastAsia"/>
        </w:rPr>
        <w:t>，经与权属人协商，不对该处设施进行处理。</w:t>
      </w:r>
      <w:r>
        <w:t>因此从环境影响角度，专项设施复建方案总体合理。</w:t>
      </w:r>
    </w:p>
    <w:p>
      <w:pPr>
        <w:pStyle w:val="4"/>
        <w:ind w:firstLine="0" w:firstLineChars="0"/>
        <w:contextualSpacing/>
      </w:pPr>
      <w:bookmarkStart w:id="375" w:name="_Toc22923"/>
      <w:bookmarkStart w:id="376" w:name="_Toc4501"/>
      <w:bookmarkStart w:id="377" w:name="_Toc41977680"/>
      <w:bookmarkStart w:id="378" w:name="_Toc30436"/>
      <w:bookmarkStart w:id="379" w:name="_Toc10860"/>
      <w:bookmarkStart w:id="380" w:name="_Toc130753419"/>
      <w:r>
        <w:t>3.3工程施工影响源分析</w:t>
      </w:r>
      <w:bookmarkEnd w:id="375"/>
      <w:bookmarkEnd w:id="376"/>
      <w:bookmarkEnd w:id="377"/>
      <w:bookmarkEnd w:id="378"/>
      <w:bookmarkEnd w:id="379"/>
      <w:bookmarkEnd w:id="380"/>
    </w:p>
    <w:p>
      <w:pPr>
        <w:pStyle w:val="5"/>
        <w:ind w:firstLine="0" w:firstLineChars="0"/>
        <w:contextualSpacing/>
        <w:rPr>
          <w:rFonts w:ascii="Times New Roman" w:hAnsi="Times New Roman"/>
        </w:rPr>
      </w:pPr>
      <w:bookmarkStart w:id="381" w:name="_Toc27278"/>
      <w:bookmarkStart w:id="382" w:name="_Toc11548"/>
      <w:bookmarkStart w:id="383" w:name="_Toc30008"/>
      <w:r>
        <w:rPr>
          <w:rFonts w:ascii="Times New Roman" w:hAnsi="Times New Roman"/>
        </w:rPr>
        <w:t>3.3.1施工废水</w:t>
      </w:r>
      <w:bookmarkEnd w:id="381"/>
      <w:bookmarkEnd w:id="382"/>
      <w:bookmarkEnd w:id="383"/>
    </w:p>
    <w:p>
      <w:pPr>
        <w:ind w:firstLine="480"/>
        <w:contextualSpacing/>
      </w:pPr>
      <w:r>
        <w:t>施工期间，水污染源主要来自混凝土拌合系统废水、</w:t>
      </w:r>
      <w:r>
        <w:rPr>
          <w:rFonts w:hint="eastAsia"/>
        </w:rPr>
        <w:t>含油</w:t>
      </w:r>
      <w:r>
        <w:t>废水、基坑废水、生活污水。污染物主要为SS、石油类、BOD</w:t>
      </w:r>
      <w:r>
        <w:rPr>
          <w:vertAlign w:val="subscript"/>
        </w:rPr>
        <w:t>5</w:t>
      </w:r>
      <w:r>
        <w:t>、COD</w:t>
      </w:r>
      <w:r>
        <w:rPr>
          <w:vertAlign w:val="subscript"/>
        </w:rPr>
        <w:t>Cr</w:t>
      </w:r>
      <w:r>
        <w:t>等。</w:t>
      </w:r>
    </w:p>
    <w:p>
      <w:pPr>
        <w:ind w:firstLine="0" w:firstLineChars="0"/>
        <w:contextualSpacing/>
        <w:outlineLvl w:val="3"/>
        <w:rPr>
          <w:b/>
          <w:bCs/>
        </w:rPr>
      </w:pPr>
      <w:r>
        <w:rPr>
          <w:b/>
          <w:bCs/>
        </w:rPr>
        <w:t>3.3.1.1生产废水</w:t>
      </w:r>
    </w:p>
    <w:p>
      <w:pPr>
        <w:ind w:firstLine="480"/>
        <w:contextualSpacing/>
      </w:pPr>
      <w:r>
        <w:rPr>
          <w:rFonts w:hint="eastAsia"/>
        </w:rPr>
        <w:t>生产废水主要来源于混凝土生产系统、施工机械停放场等，其中碎石加工系统是最大的污染源。</w:t>
      </w:r>
    </w:p>
    <w:p>
      <w:pPr>
        <w:ind w:firstLine="480"/>
        <w:contextualSpacing/>
      </w:pPr>
      <w:r>
        <w:rPr>
          <w:rFonts w:hint="eastAsia"/>
        </w:rPr>
        <w:t>（</w:t>
      </w:r>
      <w:r>
        <w:t>1</w:t>
      </w:r>
      <w:r>
        <w:rPr>
          <w:rFonts w:hint="eastAsia"/>
        </w:rPr>
        <w:t>）混凝土拌合系统冲洗废水</w:t>
      </w:r>
    </w:p>
    <w:p>
      <w:pPr>
        <w:ind w:firstLine="480"/>
        <w:contextualSpacing/>
      </w:pPr>
      <w:r>
        <w:rPr>
          <w:rFonts w:hint="eastAsia"/>
        </w:rPr>
        <w:t>枢纽工程</w:t>
      </w:r>
      <w:r>
        <w:rPr>
          <w:rFonts w:hint="eastAsia"/>
          <w:spacing w:val="-4"/>
        </w:rPr>
        <w:t>根据施工总布置及施工总进度，结合本工程建筑</w:t>
      </w:r>
      <w:r>
        <w:rPr>
          <w:rFonts w:hint="eastAsia"/>
        </w:rPr>
        <w:t>物布置的特点，拟在枢纽区工区布</w:t>
      </w:r>
      <w:r>
        <w:t>1</w:t>
      </w:r>
      <w:r>
        <w:rPr>
          <w:rFonts w:hint="eastAsia"/>
        </w:rPr>
        <w:t>个混凝土生产系统。</w:t>
      </w:r>
      <w:r>
        <w:rPr>
          <w:rFonts w:hint="eastAsia"/>
          <w:spacing w:val="-4"/>
        </w:rPr>
        <w:t>系统设计生产能力约</w:t>
      </w:r>
      <w:r>
        <w:rPr>
          <w:spacing w:val="-5"/>
        </w:rPr>
        <w:t>45</w:t>
      </w:r>
      <w:r>
        <w:rPr>
          <w:rFonts w:hint="eastAsia"/>
        </w:rPr>
        <w:t xml:space="preserve"> m</w:t>
      </w:r>
      <w:r>
        <w:rPr>
          <w:rFonts w:hint="eastAsia"/>
          <w:vertAlign w:val="superscript"/>
        </w:rPr>
        <w:t>3</w:t>
      </w:r>
      <w:r>
        <w:rPr>
          <w:spacing w:val="-5"/>
        </w:rPr>
        <w:t>/h</w:t>
      </w:r>
      <w:r>
        <w:rPr>
          <w:rFonts w:hint="eastAsia"/>
          <w:spacing w:val="-5"/>
        </w:rPr>
        <w:t>，配备</w:t>
      </w:r>
      <w:r>
        <w:rPr>
          <w:spacing w:val="-4"/>
        </w:rPr>
        <w:t>HZS60</w:t>
      </w:r>
      <w:r>
        <w:rPr>
          <w:rFonts w:hint="eastAsia"/>
          <w:spacing w:val="-9"/>
        </w:rPr>
        <w:t>型混凝土</w:t>
      </w:r>
      <w:r>
        <w:rPr>
          <w:rFonts w:hint="eastAsia"/>
          <w:spacing w:val="-6"/>
        </w:rPr>
        <w:t>拌和站</w:t>
      </w:r>
      <w:r>
        <w:t>1</w:t>
      </w:r>
      <w:r>
        <w:rPr>
          <w:rFonts w:hint="eastAsia"/>
          <w:spacing w:val="-4"/>
        </w:rPr>
        <w:t>座，三班制生产，场地整体高程在全年</w:t>
      </w:r>
      <w:r>
        <w:t>20</w:t>
      </w:r>
      <w:r>
        <w:rPr>
          <w:rFonts w:hint="eastAsia"/>
        </w:rPr>
        <w:t>年一遇度汛水位以上。</w:t>
      </w:r>
    </w:p>
    <w:p>
      <w:pPr>
        <w:ind w:firstLine="480"/>
        <w:contextualSpacing/>
      </w:pPr>
      <w:r>
        <w:t>鉴于灌区工程战线较长，根据灌区工程</w:t>
      </w:r>
      <w:r>
        <w:rPr>
          <w:spacing w:val="-4"/>
        </w:rPr>
        <w:t>布置情况</w:t>
      </w:r>
      <w:r>
        <w:rPr>
          <w:spacing w:val="-2"/>
        </w:rPr>
        <w:t>及施工进度安排，拟在灌区工程沿线布置移动式混凝土搅拌机。由于灌区工程单个</w:t>
      </w:r>
      <w:r>
        <w:t>建筑物</w:t>
      </w:r>
      <w:r>
        <w:rPr>
          <w:spacing w:val="-4"/>
        </w:rPr>
        <w:t>规模小，混凝土浇筑强度较低，共设置</w:t>
      </w:r>
      <w:r>
        <w:t>1</w:t>
      </w:r>
      <w:r>
        <w:rPr>
          <w:rFonts w:hint="eastAsia"/>
        </w:rPr>
        <w:t>0</w:t>
      </w:r>
      <w:r>
        <w:t>座JZC350</w:t>
      </w:r>
      <w:r>
        <w:rPr>
          <w:spacing w:val="-3"/>
        </w:rPr>
        <w:t>型混凝土搅拌机，主要靠近灌区</w:t>
      </w:r>
      <w:r>
        <w:t>各主要建筑物附近，拌和机移动循环使用。混凝土生产系统废水包括拌和站、地面等的冲洗废水。</w:t>
      </w:r>
    </w:p>
    <w:p>
      <w:pPr>
        <w:ind w:firstLine="480"/>
        <w:contextualSpacing/>
      </w:pPr>
      <w:r>
        <w:t>拌和站、地面等的冲洗废水量主要由拌和系统的规模和数量决定。产生情况见表3.3.1-1。</w:t>
      </w:r>
    </w:p>
    <w:p>
      <w:pPr>
        <w:spacing w:line="240" w:lineRule="auto"/>
        <w:ind w:firstLine="422"/>
        <w:contextualSpacing/>
        <w:jc w:val="center"/>
        <w:rPr>
          <w:b/>
          <w:bCs/>
          <w:sz w:val="21"/>
          <w:szCs w:val="21"/>
        </w:rPr>
      </w:pPr>
      <w:r>
        <w:rPr>
          <w:b/>
          <w:bCs/>
          <w:sz w:val="21"/>
          <w:szCs w:val="21"/>
        </w:rPr>
        <w:t>表3.3.1-1混凝土拌和系统废水产生情况一览表</w:t>
      </w:r>
    </w:p>
    <w:tbl>
      <w:tblPr>
        <w:tblStyle w:val="38"/>
        <w:tblW w:w="8316" w:type="dxa"/>
        <w:jc w:val="center"/>
        <w:tblLayout w:type="fixed"/>
        <w:tblCellMar>
          <w:top w:w="0" w:type="dxa"/>
          <w:left w:w="0" w:type="dxa"/>
          <w:bottom w:w="0" w:type="dxa"/>
          <w:right w:w="0" w:type="dxa"/>
        </w:tblCellMar>
      </w:tblPr>
      <w:tblGrid>
        <w:gridCol w:w="1367"/>
        <w:gridCol w:w="1014"/>
        <w:gridCol w:w="1252"/>
        <w:gridCol w:w="1334"/>
        <w:gridCol w:w="995"/>
        <w:gridCol w:w="1281"/>
        <w:gridCol w:w="1073"/>
      </w:tblGrid>
      <w:tr>
        <w:trPr>
          <w:jc w:val="center"/>
        </w:trPr>
        <w:tc>
          <w:tcPr>
            <w:tcW w:w="136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工区</w:t>
            </w:r>
          </w:p>
        </w:tc>
        <w:tc>
          <w:tcPr>
            <w:tcW w:w="101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拌和站数量（座）</w:t>
            </w:r>
          </w:p>
        </w:tc>
        <w:tc>
          <w:tcPr>
            <w:tcW w:w="125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每次单站冲洗水量（m</w:t>
            </w:r>
            <w:r>
              <w:rPr>
                <w:kern w:val="0"/>
                <w:sz w:val="21"/>
                <w:szCs w:val="21"/>
                <w:vertAlign w:val="superscript"/>
              </w:rPr>
              <w:t>3</w:t>
            </w:r>
            <w:r>
              <w:rPr>
                <w:kern w:val="0"/>
                <w:sz w:val="21"/>
                <w:szCs w:val="21"/>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冲洗频率</w:t>
            </w:r>
          </w:p>
        </w:tc>
        <w:tc>
          <w:tcPr>
            <w:tcW w:w="9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冲洗水损失率</w:t>
            </w:r>
          </w:p>
        </w:tc>
        <w:tc>
          <w:tcPr>
            <w:tcW w:w="12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日废水产生量（m</w:t>
            </w:r>
            <w:r>
              <w:rPr>
                <w:kern w:val="0"/>
                <w:sz w:val="21"/>
                <w:szCs w:val="21"/>
                <w:vertAlign w:val="superscript"/>
              </w:rPr>
              <w:t>3</w:t>
            </w:r>
            <w:r>
              <w:rPr>
                <w:kern w:val="0"/>
                <w:sz w:val="21"/>
                <w:szCs w:val="21"/>
              </w:rPr>
              <w:t>）</w:t>
            </w:r>
          </w:p>
        </w:tc>
        <w:tc>
          <w:tcPr>
            <w:tcW w:w="107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施工期总量（万m</w:t>
            </w:r>
            <w:r>
              <w:rPr>
                <w:kern w:val="0"/>
                <w:sz w:val="21"/>
                <w:szCs w:val="21"/>
                <w:vertAlign w:val="superscript"/>
              </w:rPr>
              <w:t>3</w:t>
            </w:r>
            <w:r>
              <w:rPr>
                <w:kern w:val="0"/>
                <w:sz w:val="21"/>
                <w:szCs w:val="21"/>
              </w:rPr>
              <w:t>）</w:t>
            </w:r>
          </w:p>
        </w:tc>
      </w:tr>
      <w:tr>
        <w:tblPrEx>
          <w:tblCellMar>
            <w:top w:w="0" w:type="dxa"/>
            <w:left w:w="0" w:type="dxa"/>
            <w:bottom w:w="0" w:type="dxa"/>
            <w:right w:w="0" w:type="dxa"/>
          </w:tblCellMar>
        </w:tblPrEx>
        <w:trPr>
          <w:jc w:val="center"/>
        </w:trPr>
        <w:tc>
          <w:tcPr>
            <w:tcW w:w="136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混凝土系统</w:t>
            </w:r>
          </w:p>
        </w:tc>
        <w:tc>
          <w:tcPr>
            <w:tcW w:w="101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25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334" w:type="dxa"/>
            <w:tcBorders>
              <w:top w:val="single" w:color="000000" w:sz="4" w:space="0"/>
              <w:left w:val="single" w:color="000000" w:sz="4" w:space="0"/>
              <w:bottom w:val="single" w:color="auto" w:sz="4" w:space="0"/>
              <w:right w:val="single" w:color="000000" w:sz="4" w:space="0"/>
            </w:tcBorders>
            <w:vAlign w:val="center"/>
          </w:tcPr>
          <w:p>
            <w:pPr>
              <w:spacing w:line="240" w:lineRule="auto"/>
              <w:ind w:firstLine="0" w:firstLineChars="0"/>
              <w:contextualSpacing/>
              <w:jc w:val="center"/>
              <w:rPr>
                <w:kern w:val="0"/>
                <w:sz w:val="21"/>
                <w:szCs w:val="21"/>
              </w:rPr>
            </w:pPr>
            <w:r>
              <w:rPr>
                <w:kern w:val="0"/>
                <w:sz w:val="21"/>
                <w:szCs w:val="21"/>
              </w:rPr>
              <w:t>每</w:t>
            </w:r>
            <w:r>
              <w:rPr>
                <w:rFonts w:hint="eastAsia"/>
                <w:kern w:val="0"/>
                <w:sz w:val="21"/>
                <w:szCs w:val="21"/>
              </w:rPr>
              <w:t>日</w:t>
            </w:r>
            <w:r>
              <w:rPr>
                <w:kern w:val="0"/>
                <w:sz w:val="21"/>
                <w:szCs w:val="21"/>
              </w:rPr>
              <w:t>三班、每班冲洗一</w:t>
            </w:r>
            <w:r>
              <w:rPr>
                <w:rFonts w:hint="eastAsia"/>
                <w:kern w:val="0"/>
                <w:sz w:val="21"/>
                <w:szCs w:val="21"/>
              </w:rPr>
              <w:t>次</w:t>
            </w:r>
          </w:p>
        </w:tc>
        <w:tc>
          <w:tcPr>
            <w:tcW w:w="995" w:type="dxa"/>
            <w:tcBorders>
              <w:top w:val="single" w:color="000000" w:sz="4" w:space="0"/>
              <w:left w:val="single" w:color="000000" w:sz="4" w:space="0"/>
              <w:bottom w:val="single" w:color="auto"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16.2</w:t>
            </w:r>
          </w:p>
        </w:tc>
        <w:tc>
          <w:tcPr>
            <w:tcW w:w="107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1.02</w:t>
            </w:r>
          </w:p>
        </w:tc>
      </w:tr>
      <w:tr>
        <w:tblPrEx>
          <w:tblCellMar>
            <w:top w:w="0" w:type="dxa"/>
            <w:left w:w="0" w:type="dxa"/>
            <w:bottom w:w="0" w:type="dxa"/>
            <w:right w:w="0" w:type="dxa"/>
          </w:tblCellMar>
        </w:tblPrEx>
        <w:trPr>
          <w:jc w:val="center"/>
        </w:trPr>
        <w:tc>
          <w:tcPr>
            <w:tcW w:w="136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拌合机</w:t>
            </w:r>
          </w:p>
        </w:tc>
        <w:tc>
          <w:tcPr>
            <w:tcW w:w="101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r>
              <w:rPr>
                <w:rFonts w:hint="eastAsia"/>
                <w:kern w:val="0"/>
                <w:sz w:val="21"/>
                <w:szCs w:val="21"/>
              </w:rPr>
              <w:t>0</w:t>
            </w:r>
          </w:p>
        </w:tc>
        <w:tc>
          <w:tcPr>
            <w:tcW w:w="125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1334" w:type="dxa"/>
            <w:tcBorders>
              <w:top w:val="single" w:color="auto"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kern w:val="0"/>
                <w:sz w:val="21"/>
                <w:szCs w:val="21"/>
              </w:rPr>
            </w:pPr>
            <w:r>
              <w:rPr>
                <w:kern w:val="0"/>
                <w:sz w:val="21"/>
                <w:szCs w:val="21"/>
              </w:rPr>
              <w:t>每</w:t>
            </w:r>
            <w:r>
              <w:rPr>
                <w:rFonts w:hint="eastAsia"/>
                <w:kern w:val="0"/>
                <w:sz w:val="21"/>
                <w:szCs w:val="21"/>
              </w:rPr>
              <w:t>日</w:t>
            </w:r>
            <w:r>
              <w:rPr>
                <w:kern w:val="0"/>
                <w:sz w:val="21"/>
                <w:szCs w:val="21"/>
              </w:rPr>
              <w:t>冲洗一</w:t>
            </w:r>
            <w:r>
              <w:rPr>
                <w:rFonts w:hint="eastAsia"/>
                <w:kern w:val="0"/>
                <w:sz w:val="21"/>
                <w:szCs w:val="21"/>
              </w:rPr>
              <w:t>次</w:t>
            </w:r>
          </w:p>
        </w:tc>
        <w:tc>
          <w:tcPr>
            <w:tcW w:w="995" w:type="dxa"/>
            <w:tcBorders>
              <w:top w:val="single" w:color="auto"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kern w:val="0"/>
                <w:sz w:val="21"/>
                <w:szCs w:val="21"/>
              </w:rPr>
            </w:pPr>
            <w:r>
              <w:rPr>
                <w:kern w:val="0"/>
                <w:sz w:val="21"/>
                <w:szCs w:val="21"/>
              </w:rPr>
              <w:t>10%</w:t>
            </w:r>
          </w:p>
        </w:tc>
        <w:tc>
          <w:tcPr>
            <w:tcW w:w="12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18</w:t>
            </w:r>
          </w:p>
        </w:tc>
        <w:tc>
          <w:tcPr>
            <w:tcW w:w="107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0.54</w:t>
            </w:r>
          </w:p>
        </w:tc>
      </w:tr>
      <w:tr>
        <w:tblPrEx>
          <w:tblCellMar>
            <w:top w:w="0" w:type="dxa"/>
            <w:left w:w="0" w:type="dxa"/>
            <w:bottom w:w="0" w:type="dxa"/>
            <w:right w:w="0" w:type="dxa"/>
          </w:tblCellMar>
        </w:tblPrEx>
        <w:trPr>
          <w:jc w:val="center"/>
        </w:trPr>
        <w:tc>
          <w:tcPr>
            <w:tcW w:w="136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kern w:val="0"/>
                <w:sz w:val="21"/>
                <w:szCs w:val="21"/>
              </w:rPr>
              <w:t>合计</w:t>
            </w:r>
          </w:p>
        </w:tc>
        <w:tc>
          <w:tcPr>
            <w:tcW w:w="101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b/>
                <w:kern w:val="0"/>
                <w:sz w:val="21"/>
                <w:szCs w:val="21"/>
              </w:rPr>
            </w:pPr>
          </w:p>
        </w:tc>
        <w:tc>
          <w:tcPr>
            <w:tcW w:w="125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b/>
                <w:kern w:val="0"/>
                <w:sz w:val="21"/>
                <w:szCs w:val="21"/>
              </w:rPr>
            </w:pP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b/>
                <w:kern w:val="0"/>
                <w:sz w:val="21"/>
                <w:szCs w:val="21"/>
              </w:rPr>
            </w:pPr>
          </w:p>
        </w:tc>
        <w:tc>
          <w:tcPr>
            <w:tcW w:w="9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b/>
                <w:kern w:val="0"/>
                <w:sz w:val="21"/>
                <w:szCs w:val="21"/>
              </w:rPr>
            </w:pPr>
          </w:p>
        </w:tc>
        <w:tc>
          <w:tcPr>
            <w:tcW w:w="128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34.2</w:t>
            </w:r>
          </w:p>
        </w:tc>
        <w:tc>
          <w:tcPr>
            <w:tcW w:w="107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1.56</w:t>
            </w:r>
          </w:p>
        </w:tc>
      </w:tr>
    </w:tbl>
    <w:p>
      <w:pPr>
        <w:ind w:firstLine="480"/>
        <w:contextualSpacing/>
      </w:pPr>
      <w:r>
        <w:t>综上，</w:t>
      </w:r>
      <w:r>
        <w:rPr>
          <w:rFonts w:hint="eastAsia"/>
        </w:rPr>
        <w:t>枢纽工程区</w:t>
      </w:r>
      <w:r>
        <w:t>混凝土</w:t>
      </w:r>
      <w:r>
        <w:rPr>
          <w:rFonts w:hint="eastAsia"/>
        </w:rPr>
        <w:t>拌合站</w:t>
      </w:r>
      <w:r>
        <w:t>废水量约16.2m</w:t>
      </w:r>
      <w:r>
        <w:rPr>
          <w:vertAlign w:val="superscript"/>
        </w:rPr>
        <w:t>3</w:t>
      </w:r>
      <w:r>
        <w:t>/d，</w:t>
      </w:r>
      <w:r>
        <w:rPr>
          <w:rFonts w:hint="eastAsia"/>
        </w:rPr>
        <w:t>灌区工程</w:t>
      </w:r>
      <w:r>
        <w:t>混凝土拌合机废水量约</w:t>
      </w:r>
      <w:r>
        <w:rPr>
          <w:rFonts w:hint="eastAsia"/>
        </w:rPr>
        <w:t>18</w:t>
      </w:r>
      <w:r>
        <w:t>m</w:t>
      </w:r>
      <w:r>
        <w:rPr>
          <w:vertAlign w:val="superscript"/>
        </w:rPr>
        <w:t>3</w:t>
      </w:r>
      <w:r>
        <w:t>/d</w:t>
      </w:r>
      <w:r>
        <w:rPr>
          <w:rFonts w:hint="eastAsia"/>
        </w:rPr>
        <w:t>。</w:t>
      </w:r>
      <w:r>
        <w:t>本工程</w:t>
      </w:r>
      <w:r>
        <w:rPr>
          <w:rFonts w:hint="eastAsia"/>
        </w:rPr>
        <w:t>枢纽工程、灌区工程</w:t>
      </w:r>
      <w:r>
        <w:t>主体工程施工工期</w:t>
      </w:r>
      <w:r>
        <w:rPr>
          <w:rFonts w:hint="eastAsia"/>
        </w:rPr>
        <w:t>分别为21个月、10</w:t>
      </w:r>
      <w:r>
        <w:t>个月，则施工期共产生混凝土拌合冲洗废水约</w:t>
      </w:r>
      <w:r>
        <w:rPr>
          <w:rFonts w:hint="eastAsia"/>
        </w:rPr>
        <w:t>1.56</w:t>
      </w:r>
      <w:r>
        <w:t>万m</w:t>
      </w:r>
      <w:r>
        <w:rPr>
          <w:vertAlign w:val="superscript"/>
        </w:rPr>
        <w:t>3</w:t>
      </w:r>
      <w:r>
        <w:t>。</w:t>
      </w:r>
    </w:p>
    <w:p>
      <w:pPr>
        <w:ind w:firstLine="480"/>
        <w:contextualSpacing/>
      </w:pPr>
      <w:r>
        <w:t>拌和站冲洗废水排放量小，排放具有间断性和分散性的特点，但泥沙悬浮物含量较大，pH值偏高。但根据同类工程施工监测资料，该类废水悬浮物和pH值浓度较高（SS约为5000mg/L，pH约值为11.6）。</w:t>
      </w:r>
    </w:p>
    <w:p>
      <w:pPr>
        <w:ind w:firstLine="480"/>
        <w:contextualSpacing/>
      </w:pPr>
      <w:r>
        <w:t>（2）含油废水</w:t>
      </w:r>
    </w:p>
    <w:p>
      <w:pPr>
        <w:ind w:firstLine="480"/>
        <w:contextualSpacing/>
      </w:pPr>
      <w:r>
        <w:t>枢纽工程区机修、汽修依托</w:t>
      </w:r>
      <w:r>
        <w:rPr>
          <w:rFonts w:hint="eastAsia"/>
        </w:rPr>
        <w:t>巴州区</w:t>
      </w:r>
      <w:r>
        <w:t>现有修理厂资源，不再设置修配系统。灌区工程以中小型机械设备为主，各施工区设备使用量不大，施工机修、汽修以</w:t>
      </w:r>
      <w:r>
        <w:rPr>
          <w:rFonts w:hint="eastAsia"/>
        </w:rPr>
        <w:t>巴州区</w:t>
      </w:r>
      <w:r>
        <w:t>及工区附近乡镇已有修理厂为依托，故施工期无修配废水产生。</w:t>
      </w:r>
    </w:p>
    <w:p>
      <w:pPr>
        <w:ind w:firstLine="480"/>
      </w:pPr>
      <w:r>
        <w:t>本工程</w:t>
      </w:r>
      <w:r>
        <w:rPr>
          <w:rFonts w:hint="eastAsia"/>
        </w:rPr>
        <w:t>在枢纽工程</w:t>
      </w:r>
      <w:r>
        <w:t>区、</w:t>
      </w:r>
      <w:r>
        <w:rPr>
          <w:rFonts w:hint="eastAsia"/>
        </w:rPr>
        <w:t>灌区工程区各</w:t>
      </w:r>
      <w:r>
        <w:t>设置</w:t>
      </w:r>
      <w:r>
        <w:rPr>
          <w:rFonts w:hint="eastAsia"/>
        </w:rPr>
        <w:t>了</w:t>
      </w:r>
      <w:r>
        <w:t>1处综合加工</w:t>
      </w:r>
      <w:r>
        <w:rPr>
          <w:rFonts w:hint="eastAsia"/>
        </w:rPr>
        <w:t>厂</w:t>
      </w:r>
      <w:r>
        <w:t>，</w:t>
      </w:r>
      <w:r>
        <w:rPr>
          <w:rFonts w:hint="eastAsia"/>
        </w:rPr>
        <w:t>枢纽工程</w:t>
      </w:r>
      <w:r>
        <w:t>区</w:t>
      </w:r>
      <w:r>
        <w:rPr>
          <w:rFonts w:hint="eastAsia"/>
        </w:rPr>
        <w:t>综合加工厂布置在</w:t>
      </w:r>
      <w:r>
        <w:t>坝址上游左岸工区，灌区工程</w:t>
      </w:r>
      <w:r>
        <w:rPr>
          <w:rFonts w:hint="eastAsia"/>
        </w:rPr>
        <w:t>综合加工厂布置在</w:t>
      </w:r>
      <w:r>
        <w:t>黄坭支渠预留管道接口处。工程施工期会产生机械冲洗废水，主要含SS和石油类。根据施工组织设计，本工程</w:t>
      </w:r>
      <w:r>
        <w:rPr>
          <w:rFonts w:hint="eastAsia"/>
        </w:rPr>
        <w:t>约</w:t>
      </w:r>
      <w:r>
        <w:t>有16</w:t>
      </w:r>
      <w:r>
        <w:rPr>
          <w:rFonts w:hint="eastAsia"/>
        </w:rPr>
        <w:t>2</w:t>
      </w:r>
      <w:r>
        <w:t>辆（台）机械设备，枢纽区和供水施工区机械设备数量按3:2估算，即枢纽区</w:t>
      </w:r>
      <w:r>
        <w:rPr>
          <w:rFonts w:hint="eastAsia"/>
        </w:rPr>
        <w:t>97</w:t>
      </w:r>
      <w:r>
        <w:t>辆（台）和供水施工区6</w:t>
      </w:r>
      <w:r>
        <w:rPr>
          <w:rFonts w:hint="eastAsia"/>
        </w:rPr>
        <w:t>5</w:t>
      </w:r>
      <w:r>
        <w:t>辆（台）。按每辆每日冲洗1次计算，冲洗用水量为100L/辆</w:t>
      </w:r>
      <w:r>
        <w:rPr>
          <w:rFonts w:eastAsia="MS Mincho"/>
        </w:rPr>
        <w:t>∙</w:t>
      </w:r>
      <w:r>
        <w:t>次，产污率取90%，则冲洗废水量约0.09m</w:t>
      </w:r>
      <w:r>
        <w:rPr>
          <w:vertAlign w:val="superscript"/>
        </w:rPr>
        <w:t>3</w:t>
      </w:r>
      <w:r>
        <w:t>/（辆</w:t>
      </w:r>
      <w:r>
        <w:rPr>
          <w:rFonts w:eastAsia="MS Mincho"/>
        </w:rPr>
        <w:t>∙</w:t>
      </w:r>
      <w:r>
        <w:t>次），枢纽</w:t>
      </w:r>
      <w:r>
        <w:rPr>
          <w:rFonts w:hint="eastAsia"/>
        </w:rPr>
        <w:t>工程</w:t>
      </w:r>
      <w:r>
        <w:t>区和</w:t>
      </w:r>
      <w:r>
        <w:rPr>
          <w:rFonts w:hint="eastAsia"/>
        </w:rPr>
        <w:t>灌区工程区含油</w:t>
      </w:r>
      <w:r>
        <w:t>废水产生量约为</w:t>
      </w:r>
      <w:r>
        <w:rPr>
          <w:rFonts w:hint="eastAsia"/>
        </w:rPr>
        <w:t>8.73</w:t>
      </w:r>
      <w:r>
        <w:t>m</w:t>
      </w:r>
      <w:r>
        <w:rPr>
          <w:vertAlign w:val="superscript"/>
        </w:rPr>
        <w:t>3</w:t>
      </w:r>
      <w:r>
        <w:t>/d和</w:t>
      </w:r>
      <w:r>
        <w:rPr>
          <w:rFonts w:hint="eastAsia"/>
        </w:rPr>
        <w:t>5.85</w:t>
      </w:r>
      <w:r>
        <w:t>m</w:t>
      </w:r>
      <w:r>
        <w:rPr>
          <w:vertAlign w:val="superscript"/>
        </w:rPr>
        <w:t>3</w:t>
      </w:r>
      <w:r>
        <w:t>/d。</w:t>
      </w:r>
      <w:r>
        <w:rPr>
          <w:rFonts w:hint="eastAsia"/>
        </w:rPr>
        <w:t>本工程枢纽工程</w:t>
      </w:r>
      <w:r>
        <w:t>主体工程施工期2</w:t>
      </w:r>
      <w:r>
        <w:rPr>
          <w:rFonts w:hint="eastAsia"/>
        </w:rPr>
        <w:t>1</w:t>
      </w:r>
      <w:r>
        <w:t>个月，</w:t>
      </w:r>
      <w:r>
        <w:rPr>
          <w:rFonts w:hint="eastAsia"/>
        </w:rPr>
        <w:t>灌区工程主体工程施工期10个月，工程</w:t>
      </w:r>
      <w:r>
        <w:t>施工期</w:t>
      </w:r>
      <w:r>
        <w:rPr>
          <w:rFonts w:hint="eastAsia"/>
        </w:rPr>
        <w:t>间</w:t>
      </w:r>
      <w:r>
        <w:t>含油废水</w:t>
      </w:r>
      <w:r>
        <w:rPr>
          <w:rFonts w:hint="eastAsia"/>
        </w:rPr>
        <w:t>产生总</w:t>
      </w:r>
      <w:r>
        <w:t>量约</w:t>
      </w:r>
      <w:r>
        <w:rPr>
          <w:rFonts w:hint="eastAsia"/>
        </w:rPr>
        <w:t>0.73万</w:t>
      </w:r>
      <w:r>
        <w:t>m</w:t>
      </w:r>
      <w:r>
        <w:rPr>
          <w:vertAlign w:val="superscript"/>
        </w:rPr>
        <w:t>3</w:t>
      </w:r>
      <w:r>
        <w:rPr>
          <w:rFonts w:hint="eastAsia"/>
        </w:rPr>
        <w:t>，</w:t>
      </w:r>
      <w:r>
        <w:t>枢纽</w:t>
      </w:r>
      <w:r>
        <w:rPr>
          <w:rFonts w:hint="eastAsia"/>
        </w:rPr>
        <w:t>工程、灌区工程区分别为0.55万</w:t>
      </w:r>
      <w:r>
        <w:t>m</w:t>
      </w:r>
      <w:r>
        <w:rPr>
          <w:vertAlign w:val="superscript"/>
        </w:rPr>
        <w:t>3</w:t>
      </w:r>
      <w:r>
        <w:t>、</w:t>
      </w:r>
      <w:r>
        <w:rPr>
          <w:rFonts w:hint="eastAsia"/>
        </w:rPr>
        <w:t>0.18万</w:t>
      </w:r>
      <w:r>
        <w:t>m</w:t>
      </w:r>
      <w:r>
        <w:rPr>
          <w:vertAlign w:val="superscript"/>
        </w:rPr>
        <w:t>3</w:t>
      </w:r>
      <w:r>
        <w:t>。</w:t>
      </w:r>
    </w:p>
    <w:p>
      <w:pPr>
        <w:ind w:firstLine="480"/>
      </w:pPr>
      <w:r>
        <w:t>（3）基坑排水</w:t>
      </w:r>
    </w:p>
    <w:p>
      <w:pPr>
        <w:ind w:firstLine="480"/>
        <w:contextualSpacing/>
      </w:pPr>
      <w:r>
        <w:t>基坑排水包括初期排水和经常性排水。初期排水包括围堰闭气后基础及围堰渗水、基坑积水等。经常性排水包括施工期降水、基础和围堰渗水、施工弃水等。初期排水水质与河流水质基本相似，经常性排水包含了大量的渗水及降水，导致含有SS和少量石油类等物质。</w:t>
      </w:r>
    </w:p>
    <w:p>
      <w:pPr>
        <w:ind w:firstLine="480"/>
        <w:contextualSpacing/>
      </w:pPr>
      <w:r>
        <w:t>根据已建水利水电工程监测资料，由混凝土浇筑和养护等形成的碱性水，使基坑废水pH值达11～12，悬浮物浓度约2000mg/L。</w:t>
      </w:r>
    </w:p>
    <w:p>
      <w:pPr>
        <w:ind w:firstLine="480"/>
        <w:contextualSpacing/>
      </w:pPr>
      <w:r>
        <w:t>（</w:t>
      </w:r>
      <w:r>
        <w:rPr>
          <w:rFonts w:hint="eastAsia"/>
        </w:rPr>
        <w:t>4</w:t>
      </w:r>
      <w:r>
        <w:t>）</w:t>
      </w:r>
      <w:r>
        <w:rPr>
          <w:rFonts w:hint="eastAsia"/>
        </w:rPr>
        <w:t>隧洞排水</w:t>
      </w:r>
    </w:p>
    <w:p>
      <w:pPr>
        <w:ind w:firstLine="480"/>
        <w:contextualSpacing/>
      </w:pPr>
      <w:r>
        <w:t>根据本工程建设特点，工程施工对地下水环境的影响主要表现在隧洞工程开挖。隧洞工程开挖主要影响地下水水质和地下水疏排。水库隧洞工程主要</w:t>
      </w:r>
      <w:r>
        <w:rPr>
          <w:rFonts w:hint="eastAsia"/>
        </w:rPr>
        <w:t>为</w:t>
      </w:r>
      <w:r>
        <w:t>取水（导流</w:t>
      </w:r>
      <w:r>
        <w:rPr>
          <w:rFonts w:hint="eastAsia"/>
        </w:rPr>
        <w:t>、</w:t>
      </w:r>
      <w:r>
        <w:t>放空）隧洞。水库取水（导流放空）隧洞由进口段、洞身段、消力池和泄水渠段等组成，隧洞全长</w:t>
      </w:r>
      <w:r>
        <w:rPr>
          <w:rFonts w:hint="eastAsia"/>
        </w:rPr>
        <w:t>396.6</w:t>
      </w:r>
      <w:r>
        <w:t>m。隧洞施工废水中污染物主要来源为：爆破材料产生的污染、机械设备产生的污染、注浆材料和支护过程的污染。</w:t>
      </w:r>
    </w:p>
    <w:p>
      <w:pPr>
        <w:ind w:firstLine="480"/>
        <w:contextualSpacing/>
      </w:pPr>
      <w:r>
        <w:t>（1）爆破材料产生的污染。隧道开挖常用的爆破材料主要为炸药。爆炸后产生主要物质为N</w:t>
      </w:r>
      <w:r>
        <w:rPr>
          <w:vertAlign w:val="subscript"/>
        </w:rPr>
        <w:t>2</w:t>
      </w:r>
      <w:r>
        <w:t>、NO</w:t>
      </w:r>
      <w:r>
        <w:rPr>
          <w:vertAlign w:val="subscript"/>
        </w:rPr>
        <w:t>2</w:t>
      </w:r>
      <w:r>
        <w:t>、NH</w:t>
      </w:r>
      <w:r>
        <w:rPr>
          <w:vertAlign w:val="subscript"/>
        </w:rPr>
        <w:t>3</w:t>
      </w:r>
      <w:r>
        <w:t>和钠盐，其水溶态为NH</w:t>
      </w:r>
      <w:r>
        <w:rPr>
          <w:vertAlign w:val="subscript"/>
        </w:rPr>
        <w:t>4</w:t>
      </w:r>
      <w:r>
        <w:rPr>
          <w:vertAlign w:val="superscript"/>
        </w:rPr>
        <w:t>+</w:t>
      </w:r>
      <w:r>
        <w:t>、NO</w:t>
      </w:r>
      <w:r>
        <w:rPr>
          <w:vertAlign w:val="subscript"/>
        </w:rPr>
        <w:t>3</w:t>
      </w:r>
      <w:r>
        <w:rPr>
          <w:vertAlign w:val="superscript"/>
        </w:rPr>
        <w:t>-</w:t>
      </w:r>
      <w:r>
        <w:t>、Na</w:t>
      </w:r>
      <w:r>
        <w:rPr>
          <w:vertAlign w:val="superscript"/>
        </w:rPr>
        <w:t>+</w:t>
      </w:r>
      <w:r>
        <w:t>，乳化硝铵炸药还可能含有一些脂类物质。此外，乳化炸药中的乳化剂为一些石油类物质，随涌水流入地表以后下渗也可能造成地下水体的污染。</w:t>
      </w:r>
    </w:p>
    <w:p>
      <w:pPr>
        <w:ind w:firstLine="480"/>
        <w:contextualSpacing/>
      </w:pPr>
      <w:r>
        <w:t>（2）机械设备产生的污染。施工过程中使用的开挖设备、钻孔设备、运渣机械、喷锚注浆机械等均会不同程度地产生油污。</w:t>
      </w:r>
    </w:p>
    <w:p>
      <w:pPr>
        <w:ind w:firstLine="480"/>
        <w:contextualSpacing/>
      </w:pPr>
      <w:r>
        <w:t>（3）注浆材料和支护过程的污染。注浆材料主要是水泥水玻璃溶液。当喷射混凝土以及模筑时，流失的注浆材料（包括水泥砂浆、混凝土等）等液态物</w:t>
      </w:r>
    </w:p>
    <w:p>
      <w:pPr>
        <w:ind w:firstLine="0" w:firstLineChars="0"/>
        <w:contextualSpacing/>
      </w:pPr>
      <w:r>
        <w:t>质，成为隧道污染物的一个来源。</w:t>
      </w:r>
    </w:p>
    <w:p>
      <w:pPr>
        <w:widowControl/>
        <w:ind w:firstLine="480"/>
        <w:contextualSpacing/>
        <w:jc w:val="left"/>
        <w:rPr>
          <w:kern w:val="0"/>
        </w:rPr>
      </w:pPr>
      <w:r>
        <w:rPr>
          <w:kern w:val="0"/>
        </w:rPr>
        <w:t>因隧洞涌水量无论是正常涌水量还是最大涌水量，都是依季节变化，预测时误差较大，本阶段不对水量进行估计。隧洞施工时如遇涌水，应做好清污分流措施，且洞口设置二级沉淀池，对隧洞涌水进行沉淀，沉淀时间不低于2h，处理达标后回用于绿化、场地洒水，禁止直排入水体。</w:t>
      </w:r>
    </w:p>
    <w:p>
      <w:pPr>
        <w:ind w:firstLine="0" w:firstLineChars="0"/>
        <w:contextualSpacing/>
        <w:outlineLvl w:val="3"/>
        <w:rPr>
          <w:b/>
          <w:bCs/>
        </w:rPr>
      </w:pPr>
      <w:r>
        <w:rPr>
          <w:b/>
          <w:bCs/>
        </w:rPr>
        <w:t>3.3.1.2生活</w:t>
      </w:r>
      <w:r>
        <w:rPr>
          <w:rFonts w:hint="eastAsia"/>
          <w:b/>
          <w:bCs/>
        </w:rPr>
        <w:t>污</w:t>
      </w:r>
      <w:r>
        <w:rPr>
          <w:b/>
          <w:bCs/>
        </w:rPr>
        <w:t>水</w:t>
      </w:r>
    </w:p>
    <w:p>
      <w:pPr>
        <w:ind w:firstLine="480"/>
      </w:pPr>
      <w:r>
        <w:t>生活污水主要来自于施工营地现场办公、施工人员餐饮、洗浴和卫生冲洗排放等污水。污染物及浓度分别为COD250mg/L、BOD</w:t>
      </w:r>
      <w:r>
        <w:rPr>
          <w:vertAlign w:val="subscript"/>
        </w:rPr>
        <w:t>5</w:t>
      </w:r>
      <w:r>
        <w:t>150mg/L、氨氮150mg/L、SS20mg/L。</w:t>
      </w:r>
      <w:r>
        <w:rPr>
          <w:rFonts w:hint="eastAsia"/>
        </w:rPr>
        <w:t>枢纽工程</w:t>
      </w:r>
      <w:r>
        <w:t>施工高峰期人数为每天420人，灌区工程施工高峰期人数为200人，用水量按120L/人·d计，排放系数按0.8计。</w:t>
      </w:r>
      <w:r>
        <w:rPr>
          <w:rFonts w:hint="eastAsia"/>
        </w:rPr>
        <w:t>本工程枢纽工程</w:t>
      </w:r>
      <w:r>
        <w:t>主体工程施工期2</w:t>
      </w:r>
      <w:r>
        <w:rPr>
          <w:rFonts w:hint="eastAsia"/>
        </w:rPr>
        <w:t>1</w:t>
      </w:r>
      <w:r>
        <w:t>个月，</w:t>
      </w:r>
      <w:r>
        <w:rPr>
          <w:rFonts w:hint="eastAsia"/>
        </w:rPr>
        <w:t>灌区工程主体工程施工期10个月，工程</w:t>
      </w:r>
      <w:r>
        <w:t>施工期</w:t>
      </w:r>
      <w:r>
        <w:rPr>
          <w:rFonts w:hint="eastAsia"/>
        </w:rPr>
        <w:t>间生活污水产生总</w:t>
      </w:r>
      <w:r>
        <w:t>量约</w:t>
      </w:r>
      <w:r>
        <w:rPr>
          <w:rFonts w:hint="eastAsia"/>
        </w:rPr>
        <w:t>3.12万</w:t>
      </w:r>
      <w:r>
        <w:t>m</w:t>
      </w:r>
      <w:r>
        <w:rPr>
          <w:vertAlign w:val="superscript"/>
        </w:rPr>
        <w:t>3</w:t>
      </w:r>
      <w:r>
        <w:rPr>
          <w:rFonts w:hint="eastAsia"/>
        </w:rPr>
        <w:t>，</w:t>
      </w:r>
      <w:r>
        <w:t>枢纽</w:t>
      </w:r>
      <w:r>
        <w:rPr>
          <w:rFonts w:hint="eastAsia"/>
        </w:rPr>
        <w:t>工程、灌区工程区分别为2.54万</w:t>
      </w:r>
      <w:r>
        <w:t>m</w:t>
      </w:r>
      <w:r>
        <w:rPr>
          <w:vertAlign w:val="superscript"/>
        </w:rPr>
        <w:t>3</w:t>
      </w:r>
      <w:r>
        <w:t>、</w:t>
      </w:r>
      <w:r>
        <w:rPr>
          <w:rFonts w:hint="eastAsia"/>
        </w:rPr>
        <w:t>0.58万</w:t>
      </w:r>
      <w:r>
        <w:t>m</w:t>
      </w:r>
      <w:r>
        <w:rPr>
          <w:vertAlign w:val="superscript"/>
        </w:rPr>
        <w:t>3</w:t>
      </w:r>
      <w:r>
        <w:t>。施工期生活污水排放量见下表：</w:t>
      </w:r>
    </w:p>
    <w:p>
      <w:pPr>
        <w:ind w:firstLine="422"/>
        <w:contextualSpacing/>
        <w:jc w:val="center"/>
        <w:rPr>
          <w:b/>
          <w:bCs/>
          <w:sz w:val="21"/>
          <w:szCs w:val="21"/>
        </w:rPr>
      </w:pPr>
      <w:r>
        <w:rPr>
          <w:b/>
          <w:bCs/>
          <w:sz w:val="21"/>
          <w:szCs w:val="21"/>
        </w:rPr>
        <w:t>表3.3.1-2  寒溪寺水库工程生活污水排放一览表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25"/>
        <w:gridCol w:w="1996"/>
        <w:gridCol w:w="2171"/>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pPr>
              <w:widowControl/>
              <w:spacing w:line="240" w:lineRule="auto"/>
              <w:ind w:firstLine="0" w:firstLineChars="0"/>
              <w:contextualSpacing/>
              <w:jc w:val="center"/>
              <w:rPr>
                <w:kern w:val="0"/>
                <w:sz w:val="21"/>
                <w:szCs w:val="21"/>
              </w:rPr>
            </w:pPr>
            <w:r>
              <w:rPr>
                <w:kern w:val="0"/>
                <w:sz w:val="21"/>
                <w:szCs w:val="21"/>
              </w:rPr>
              <w:t>生活福利区</w:t>
            </w:r>
          </w:p>
        </w:tc>
        <w:tc>
          <w:tcPr>
            <w:tcW w:w="660" w:type="pct"/>
            <w:vAlign w:val="center"/>
          </w:tcPr>
          <w:p>
            <w:pPr>
              <w:widowControl/>
              <w:spacing w:line="240" w:lineRule="auto"/>
              <w:ind w:firstLine="0" w:firstLineChars="0"/>
              <w:contextualSpacing/>
              <w:jc w:val="center"/>
              <w:rPr>
                <w:kern w:val="0"/>
                <w:sz w:val="21"/>
                <w:szCs w:val="21"/>
              </w:rPr>
            </w:pPr>
            <w:r>
              <w:rPr>
                <w:kern w:val="0"/>
                <w:sz w:val="21"/>
                <w:szCs w:val="21"/>
              </w:rPr>
              <w:t>高峰人数</w:t>
            </w:r>
          </w:p>
        </w:tc>
        <w:tc>
          <w:tcPr>
            <w:tcW w:w="1171" w:type="pct"/>
            <w:vAlign w:val="center"/>
          </w:tcPr>
          <w:p>
            <w:pPr>
              <w:widowControl/>
              <w:spacing w:line="240" w:lineRule="auto"/>
              <w:ind w:firstLine="0" w:firstLineChars="0"/>
              <w:contextualSpacing/>
              <w:jc w:val="center"/>
              <w:rPr>
                <w:kern w:val="0"/>
                <w:sz w:val="21"/>
                <w:szCs w:val="21"/>
              </w:rPr>
            </w:pPr>
            <w:r>
              <w:rPr>
                <w:kern w:val="0"/>
                <w:sz w:val="21"/>
                <w:szCs w:val="21"/>
              </w:rPr>
              <w:t>生活用水量（m</w:t>
            </w:r>
            <w:r>
              <w:rPr>
                <w:kern w:val="0"/>
                <w:sz w:val="21"/>
                <w:szCs w:val="21"/>
                <w:vertAlign w:val="superscript"/>
              </w:rPr>
              <w:t>3</w:t>
            </w:r>
            <w:r>
              <w:rPr>
                <w:kern w:val="0"/>
                <w:sz w:val="21"/>
                <w:szCs w:val="21"/>
              </w:rPr>
              <w:t>/d）</w:t>
            </w:r>
          </w:p>
        </w:tc>
        <w:tc>
          <w:tcPr>
            <w:tcW w:w="1274" w:type="pct"/>
            <w:vAlign w:val="center"/>
          </w:tcPr>
          <w:p>
            <w:pPr>
              <w:widowControl/>
              <w:spacing w:line="240" w:lineRule="auto"/>
              <w:ind w:firstLine="0" w:firstLineChars="0"/>
              <w:contextualSpacing/>
              <w:jc w:val="center"/>
              <w:rPr>
                <w:kern w:val="0"/>
                <w:sz w:val="21"/>
                <w:szCs w:val="21"/>
              </w:rPr>
            </w:pPr>
            <w:r>
              <w:rPr>
                <w:kern w:val="0"/>
                <w:sz w:val="21"/>
                <w:szCs w:val="21"/>
              </w:rPr>
              <w:t>污水产生量（m</w:t>
            </w:r>
            <w:r>
              <w:rPr>
                <w:kern w:val="0"/>
                <w:sz w:val="21"/>
                <w:szCs w:val="21"/>
                <w:vertAlign w:val="superscript"/>
              </w:rPr>
              <w:t>3</w:t>
            </w:r>
            <w:r>
              <w:rPr>
                <w:kern w:val="0"/>
                <w:sz w:val="21"/>
                <w:szCs w:val="21"/>
              </w:rPr>
              <w:t>/d）</w:t>
            </w:r>
          </w:p>
        </w:tc>
        <w:tc>
          <w:tcPr>
            <w:tcW w:w="1111" w:type="pct"/>
            <w:vAlign w:val="center"/>
          </w:tcPr>
          <w:p>
            <w:pPr>
              <w:widowControl/>
              <w:spacing w:line="240" w:lineRule="auto"/>
              <w:ind w:firstLine="0" w:firstLineChars="0"/>
              <w:contextualSpacing/>
              <w:jc w:val="center"/>
              <w:rPr>
                <w:kern w:val="0"/>
                <w:sz w:val="21"/>
                <w:szCs w:val="21"/>
              </w:rPr>
            </w:pPr>
            <w:r>
              <w:rPr>
                <w:kern w:val="0"/>
                <w:sz w:val="21"/>
                <w:szCs w:val="21"/>
              </w:rPr>
              <w:t>污水总量（</w:t>
            </w:r>
            <w:r>
              <w:rPr>
                <w:rFonts w:hint="eastAsia"/>
                <w:kern w:val="0"/>
                <w:sz w:val="21"/>
                <w:szCs w:val="21"/>
              </w:rPr>
              <w:t>万</w:t>
            </w:r>
            <w:r>
              <w:rPr>
                <w:kern w:val="0"/>
                <w:sz w:val="21"/>
                <w:szCs w:val="21"/>
              </w:rPr>
              <w:t>m</w:t>
            </w:r>
            <w:r>
              <w:rPr>
                <w:kern w:val="0"/>
                <w:sz w:val="21"/>
                <w:szCs w:val="21"/>
                <w:vertAlign w:val="superscript"/>
              </w:rPr>
              <w:t>3</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pPr>
              <w:widowControl/>
              <w:spacing w:line="240" w:lineRule="auto"/>
              <w:ind w:firstLine="0" w:firstLineChars="0"/>
              <w:contextualSpacing/>
              <w:jc w:val="center"/>
              <w:rPr>
                <w:kern w:val="0"/>
                <w:sz w:val="21"/>
                <w:szCs w:val="21"/>
              </w:rPr>
            </w:pPr>
            <w:r>
              <w:rPr>
                <w:kern w:val="0"/>
                <w:sz w:val="21"/>
                <w:szCs w:val="21"/>
              </w:rPr>
              <w:t>枢纽工程</w:t>
            </w:r>
          </w:p>
        </w:tc>
        <w:tc>
          <w:tcPr>
            <w:tcW w:w="660" w:type="pct"/>
            <w:vAlign w:val="center"/>
          </w:tcPr>
          <w:p>
            <w:pPr>
              <w:widowControl/>
              <w:spacing w:line="240" w:lineRule="auto"/>
              <w:ind w:firstLine="0" w:firstLineChars="0"/>
              <w:contextualSpacing/>
              <w:jc w:val="center"/>
              <w:rPr>
                <w:kern w:val="0"/>
                <w:sz w:val="21"/>
                <w:szCs w:val="21"/>
              </w:rPr>
            </w:pPr>
            <w:r>
              <w:rPr>
                <w:kern w:val="0"/>
                <w:sz w:val="21"/>
                <w:szCs w:val="21"/>
              </w:rPr>
              <w:t>420</w:t>
            </w:r>
          </w:p>
        </w:tc>
        <w:tc>
          <w:tcPr>
            <w:tcW w:w="1171" w:type="pct"/>
            <w:vAlign w:val="center"/>
          </w:tcPr>
          <w:p>
            <w:pPr>
              <w:widowControl/>
              <w:spacing w:line="240" w:lineRule="auto"/>
              <w:ind w:firstLine="0" w:firstLineChars="0"/>
              <w:contextualSpacing/>
              <w:jc w:val="center"/>
              <w:rPr>
                <w:kern w:val="0"/>
                <w:sz w:val="21"/>
                <w:szCs w:val="21"/>
              </w:rPr>
            </w:pPr>
            <w:r>
              <w:rPr>
                <w:kern w:val="0"/>
                <w:sz w:val="21"/>
                <w:szCs w:val="21"/>
              </w:rPr>
              <w:t>50.4</w:t>
            </w:r>
          </w:p>
        </w:tc>
        <w:tc>
          <w:tcPr>
            <w:tcW w:w="1274" w:type="pct"/>
            <w:vAlign w:val="center"/>
          </w:tcPr>
          <w:p>
            <w:pPr>
              <w:widowControl/>
              <w:spacing w:line="240" w:lineRule="auto"/>
              <w:ind w:firstLine="0" w:firstLineChars="0"/>
              <w:contextualSpacing/>
              <w:jc w:val="center"/>
              <w:rPr>
                <w:kern w:val="0"/>
                <w:sz w:val="21"/>
                <w:szCs w:val="21"/>
              </w:rPr>
            </w:pPr>
            <w:r>
              <w:rPr>
                <w:kern w:val="0"/>
                <w:sz w:val="21"/>
                <w:szCs w:val="21"/>
              </w:rPr>
              <w:t>40.32</w:t>
            </w:r>
          </w:p>
        </w:tc>
        <w:tc>
          <w:tcPr>
            <w:tcW w:w="1111" w:type="pct"/>
            <w:vAlign w:val="center"/>
          </w:tcPr>
          <w:p>
            <w:pPr>
              <w:widowControl/>
              <w:spacing w:line="240" w:lineRule="auto"/>
              <w:ind w:firstLine="0" w:firstLineChars="0"/>
              <w:contextualSpacing/>
              <w:jc w:val="center"/>
              <w:rPr>
                <w:kern w:val="0"/>
                <w:sz w:val="21"/>
                <w:szCs w:val="21"/>
              </w:rPr>
            </w:pPr>
            <w:r>
              <w:rPr>
                <w:rFonts w:hint="eastAsia"/>
                <w:sz w:val="22"/>
                <w:szCs w:val="22"/>
              </w:rPr>
              <w:t xml:space="preserve">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pPr>
              <w:widowControl/>
              <w:spacing w:line="240" w:lineRule="auto"/>
              <w:ind w:firstLine="0" w:firstLineChars="0"/>
              <w:contextualSpacing/>
              <w:jc w:val="center"/>
              <w:rPr>
                <w:kern w:val="0"/>
                <w:sz w:val="21"/>
                <w:szCs w:val="21"/>
              </w:rPr>
            </w:pPr>
            <w:r>
              <w:rPr>
                <w:kern w:val="0"/>
                <w:sz w:val="21"/>
                <w:szCs w:val="21"/>
              </w:rPr>
              <w:t>灌区工程</w:t>
            </w:r>
          </w:p>
        </w:tc>
        <w:tc>
          <w:tcPr>
            <w:tcW w:w="660" w:type="pct"/>
            <w:vAlign w:val="center"/>
          </w:tcPr>
          <w:p>
            <w:pPr>
              <w:widowControl/>
              <w:spacing w:line="240" w:lineRule="auto"/>
              <w:ind w:firstLine="0" w:firstLineChars="0"/>
              <w:contextualSpacing/>
              <w:jc w:val="center"/>
              <w:rPr>
                <w:kern w:val="0"/>
                <w:sz w:val="21"/>
                <w:szCs w:val="21"/>
              </w:rPr>
            </w:pPr>
            <w:r>
              <w:rPr>
                <w:kern w:val="0"/>
                <w:sz w:val="21"/>
                <w:szCs w:val="21"/>
              </w:rPr>
              <w:t>200</w:t>
            </w:r>
          </w:p>
        </w:tc>
        <w:tc>
          <w:tcPr>
            <w:tcW w:w="1171" w:type="pct"/>
            <w:vAlign w:val="center"/>
          </w:tcPr>
          <w:p>
            <w:pPr>
              <w:widowControl/>
              <w:spacing w:line="240" w:lineRule="auto"/>
              <w:ind w:firstLine="0" w:firstLineChars="0"/>
              <w:contextualSpacing/>
              <w:jc w:val="center"/>
              <w:rPr>
                <w:kern w:val="0"/>
                <w:sz w:val="21"/>
                <w:szCs w:val="21"/>
              </w:rPr>
            </w:pPr>
            <w:r>
              <w:rPr>
                <w:kern w:val="0"/>
                <w:sz w:val="21"/>
                <w:szCs w:val="21"/>
              </w:rPr>
              <w:t>24</w:t>
            </w:r>
          </w:p>
        </w:tc>
        <w:tc>
          <w:tcPr>
            <w:tcW w:w="1274" w:type="pct"/>
            <w:vAlign w:val="center"/>
          </w:tcPr>
          <w:p>
            <w:pPr>
              <w:widowControl/>
              <w:spacing w:line="240" w:lineRule="auto"/>
              <w:ind w:firstLine="0" w:firstLineChars="0"/>
              <w:contextualSpacing/>
              <w:jc w:val="center"/>
              <w:rPr>
                <w:kern w:val="0"/>
                <w:sz w:val="21"/>
                <w:szCs w:val="21"/>
              </w:rPr>
            </w:pPr>
            <w:r>
              <w:rPr>
                <w:kern w:val="0"/>
                <w:sz w:val="21"/>
                <w:szCs w:val="21"/>
              </w:rPr>
              <w:t>19.2</w:t>
            </w:r>
          </w:p>
        </w:tc>
        <w:tc>
          <w:tcPr>
            <w:tcW w:w="1111" w:type="pct"/>
            <w:vAlign w:val="center"/>
          </w:tcPr>
          <w:p>
            <w:pPr>
              <w:widowControl/>
              <w:spacing w:line="240" w:lineRule="auto"/>
              <w:ind w:firstLine="0" w:firstLineChars="0"/>
              <w:contextualSpacing/>
              <w:jc w:val="center"/>
              <w:rPr>
                <w:kern w:val="0"/>
                <w:sz w:val="21"/>
                <w:szCs w:val="21"/>
              </w:rPr>
            </w:pPr>
            <w:r>
              <w:rPr>
                <w:rFonts w:hint="eastAsia"/>
                <w:sz w:val="22"/>
                <w:szCs w:val="22"/>
              </w:rPr>
              <w:t xml:space="preserve">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pPr>
              <w:widowControl/>
              <w:spacing w:line="240" w:lineRule="auto"/>
              <w:ind w:firstLine="0" w:firstLineChars="0"/>
              <w:contextualSpacing/>
              <w:jc w:val="center"/>
              <w:rPr>
                <w:kern w:val="0"/>
                <w:sz w:val="21"/>
                <w:szCs w:val="21"/>
              </w:rPr>
            </w:pPr>
            <w:r>
              <w:rPr>
                <w:kern w:val="0"/>
                <w:sz w:val="21"/>
                <w:szCs w:val="21"/>
              </w:rPr>
              <w:t>合计</w:t>
            </w:r>
          </w:p>
        </w:tc>
        <w:tc>
          <w:tcPr>
            <w:tcW w:w="660" w:type="pct"/>
            <w:vAlign w:val="center"/>
          </w:tcPr>
          <w:p>
            <w:pPr>
              <w:widowControl/>
              <w:spacing w:line="240" w:lineRule="auto"/>
              <w:ind w:firstLine="0" w:firstLineChars="0"/>
              <w:contextualSpacing/>
              <w:jc w:val="center"/>
              <w:rPr>
                <w:kern w:val="0"/>
                <w:sz w:val="21"/>
                <w:szCs w:val="21"/>
              </w:rPr>
            </w:pPr>
            <w:r>
              <w:rPr>
                <w:kern w:val="0"/>
                <w:sz w:val="21"/>
                <w:szCs w:val="21"/>
              </w:rPr>
              <w:t>620</w:t>
            </w:r>
          </w:p>
        </w:tc>
        <w:tc>
          <w:tcPr>
            <w:tcW w:w="1171" w:type="pct"/>
            <w:vAlign w:val="center"/>
          </w:tcPr>
          <w:p>
            <w:pPr>
              <w:widowControl/>
              <w:spacing w:line="240" w:lineRule="auto"/>
              <w:ind w:firstLine="0" w:firstLineChars="0"/>
              <w:contextualSpacing/>
              <w:jc w:val="center"/>
              <w:rPr>
                <w:kern w:val="0"/>
                <w:sz w:val="21"/>
                <w:szCs w:val="21"/>
              </w:rPr>
            </w:pPr>
            <w:r>
              <w:rPr>
                <w:kern w:val="0"/>
                <w:sz w:val="21"/>
                <w:szCs w:val="21"/>
              </w:rPr>
              <w:t>74.4</w:t>
            </w:r>
          </w:p>
        </w:tc>
        <w:tc>
          <w:tcPr>
            <w:tcW w:w="1274" w:type="pct"/>
            <w:vAlign w:val="center"/>
          </w:tcPr>
          <w:p>
            <w:pPr>
              <w:widowControl/>
              <w:spacing w:line="240" w:lineRule="auto"/>
              <w:ind w:firstLine="0" w:firstLineChars="0"/>
              <w:contextualSpacing/>
              <w:jc w:val="center"/>
              <w:rPr>
                <w:kern w:val="0"/>
                <w:sz w:val="21"/>
                <w:szCs w:val="21"/>
              </w:rPr>
            </w:pPr>
            <w:r>
              <w:rPr>
                <w:kern w:val="0"/>
                <w:sz w:val="21"/>
                <w:szCs w:val="21"/>
              </w:rPr>
              <w:t>59.52</w:t>
            </w:r>
          </w:p>
        </w:tc>
        <w:tc>
          <w:tcPr>
            <w:tcW w:w="1111" w:type="pct"/>
            <w:vAlign w:val="center"/>
          </w:tcPr>
          <w:p>
            <w:pPr>
              <w:widowControl/>
              <w:spacing w:line="240" w:lineRule="auto"/>
              <w:ind w:firstLine="0" w:firstLineChars="0"/>
              <w:contextualSpacing/>
              <w:jc w:val="center"/>
              <w:rPr>
                <w:kern w:val="0"/>
                <w:sz w:val="21"/>
                <w:szCs w:val="21"/>
              </w:rPr>
            </w:pPr>
            <w:r>
              <w:rPr>
                <w:rFonts w:hint="eastAsia"/>
                <w:sz w:val="22"/>
                <w:szCs w:val="22"/>
              </w:rPr>
              <w:t xml:space="preserve">3.12 </w:t>
            </w:r>
          </w:p>
        </w:tc>
      </w:tr>
    </w:tbl>
    <w:p>
      <w:pPr>
        <w:pStyle w:val="5"/>
        <w:ind w:firstLine="0" w:firstLineChars="0"/>
        <w:contextualSpacing/>
        <w:rPr>
          <w:rFonts w:ascii="Times New Roman" w:hAnsi="Times New Roman"/>
        </w:rPr>
      </w:pPr>
      <w:bookmarkStart w:id="384" w:name="_Toc12846"/>
      <w:bookmarkStart w:id="385" w:name="_Toc10051"/>
      <w:bookmarkStart w:id="386" w:name="_Toc5223"/>
      <w:r>
        <w:rPr>
          <w:rFonts w:ascii="Times New Roman" w:hAnsi="Times New Roman"/>
        </w:rPr>
        <w:t>3.3.2施工废气</w:t>
      </w:r>
      <w:bookmarkEnd w:id="384"/>
      <w:bookmarkEnd w:id="385"/>
      <w:bookmarkEnd w:id="386"/>
    </w:p>
    <w:p>
      <w:pPr>
        <w:widowControl/>
        <w:ind w:firstLine="480"/>
        <w:contextualSpacing/>
        <w:jc w:val="left"/>
      </w:pPr>
      <w:r>
        <w:rPr>
          <w:kern w:val="0"/>
        </w:rPr>
        <w:t>施工期大气污染物主要包括：主体工程基础开挖、土石方回填、水泥和粉煤灰装卸运输过程产生的粉尘，拌和机械在生产混凝土过程中产生的扬尘，施工机械运行、场内及对外交通运输过程中产生的扬尘和汽车尾气，挖掘机械生产和炸药爆破时产生的废气等。特征污染物主要有NO</w:t>
      </w:r>
      <w:r>
        <w:rPr>
          <w:kern w:val="0"/>
          <w:sz w:val="16"/>
          <w:szCs w:val="16"/>
        </w:rPr>
        <w:t>2</w:t>
      </w:r>
      <w:r>
        <w:rPr>
          <w:kern w:val="0"/>
        </w:rPr>
        <w:t>、CO、SO</w:t>
      </w:r>
      <w:r>
        <w:rPr>
          <w:kern w:val="0"/>
          <w:sz w:val="16"/>
          <w:szCs w:val="16"/>
        </w:rPr>
        <w:t>2</w:t>
      </w:r>
      <w:r>
        <w:rPr>
          <w:kern w:val="0"/>
        </w:rPr>
        <w:t>和飘尘等，为无组织排放。</w:t>
      </w:r>
    </w:p>
    <w:p>
      <w:pPr>
        <w:ind w:firstLine="480"/>
        <w:contextualSpacing/>
      </w:pPr>
      <w:r>
        <w:t>（1）粉尘</w:t>
      </w:r>
    </w:p>
    <w:p>
      <w:pPr>
        <w:widowControl/>
        <w:ind w:firstLine="480"/>
        <w:contextualSpacing/>
        <w:jc w:val="left"/>
      </w:pPr>
      <w:r>
        <w:rPr>
          <w:kern w:val="0"/>
        </w:rPr>
        <w:t>粉尘主要来源于施工爆破、基础开挖、渣场堆、混凝土拌和以及车辆运输产生的道路扬尘等。同时，在供水管道开挖、回填的过程中，也将产生粉尘，但产生量少、时间短。</w:t>
      </w:r>
    </w:p>
    <w:p>
      <w:pPr>
        <w:ind w:firstLine="480"/>
        <w:contextualSpacing/>
      </w:pPr>
      <w:r>
        <w:rPr>
          <w:rFonts w:hint="eastAsia" w:ascii="宋体" w:hAnsi="宋体" w:cs="宋体"/>
        </w:rPr>
        <w:t>①</w:t>
      </w:r>
      <w:r>
        <w:t>渣场堆渣作业</w:t>
      </w:r>
    </w:p>
    <w:p>
      <w:pPr>
        <w:ind w:firstLine="480"/>
        <w:contextualSpacing/>
      </w:pPr>
      <w:r>
        <w:t>工程施工期渣场堆渣作业易产生扬尘。渣场堆渣作业扬尘排放量参照建筑工地施工粉尘排放速率，为19.44×10</w:t>
      </w:r>
      <w:r>
        <w:rPr>
          <w:vertAlign w:val="superscript"/>
        </w:rPr>
        <w:t>-5</w:t>
      </w:r>
      <w:r>
        <w:t>g/s·m</w:t>
      </w:r>
      <w:r>
        <w:rPr>
          <w:vertAlign w:val="superscript"/>
        </w:rPr>
        <w:t>2</w:t>
      </w:r>
      <w:r>
        <w:t>t。</w:t>
      </w:r>
    </w:p>
    <w:p>
      <w:pPr>
        <w:ind w:firstLine="480"/>
        <w:contextualSpacing/>
      </w:pPr>
      <w:r>
        <w:rPr>
          <w:rFonts w:hint="eastAsia" w:ascii="宋体" w:hAnsi="宋体" w:cs="宋体"/>
        </w:rPr>
        <w:t>②</w:t>
      </w:r>
      <w:r>
        <w:t>运输扬尘</w:t>
      </w:r>
    </w:p>
    <w:p>
      <w:pPr>
        <w:ind w:firstLine="480"/>
        <w:contextualSpacing/>
      </w:pPr>
      <w:r>
        <w:t>交通扬尘主要来源于施工车辆行驶。根据有关资料，施工过程中车辆行驶产生的扬尘约占施工总扬尘量的60%以上。一般情况车辆行驶产生的扬尘在同样路面清洁程度下，车速越快，扬尘量越大；而在同样车速下，路面越脏扬尘量越大。本工程场内临时施工道路多为混凝土路面，不易产生扬尘，但道路运输过程中如有砂石洒落，在大风时容易产生扬尘。查询相关资料和本项目车辆荷载可知，当汽车载重量15t，平均车速35km/h，单辆运输车辆引起的道路起尘量散发因子为0.02kg/km，水库工程施工期平均运输里程为5km，高峰日运输车辆100车次/d，则水库工程施工高峰期交通运输扬尘产生量为10kg/d。通过对路面及时清洁和洒水，可以有效减少交通运输扬尘的产生。</w:t>
      </w:r>
    </w:p>
    <w:p>
      <w:pPr>
        <w:ind w:firstLine="480"/>
        <w:contextualSpacing/>
      </w:pPr>
      <w:r>
        <w:t>除此之外，场地开挖、平整和填筑，物料堆存，水泥等建筑材料装卸、搬运、使用及弃渣堆存等过程中，均会产生一定的粉尘等污染，粉尘的排放方式均为无组织排放。扬尘量的大小与施工现场条件、管理水平、机械化程度及施工季节、土质及天气条件等诸多因素有关。</w:t>
      </w:r>
    </w:p>
    <w:p>
      <w:pPr>
        <w:ind w:firstLine="480"/>
        <w:contextualSpacing/>
      </w:pPr>
      <w:r>
        <w:rPr>
          <w:rFonts w:hint="eastAsia" w:ascii="宋体" w:hAnsi="宋体" w:cs="宋体"/>
        </w:rPr>
        <w:t>③</w:t>
      </w:r>
      <w:r>
        <w:t>混凝土拌合系统粉尘</w:t>
      </w:r>
    </w:p>
    <w:p>
      <w:pPr>
        <w:ind w:firstLine="480"/>
        <w:contextualSpacing/>
      </w:pPr>
      <w:r>
        <w:t>混凝土拌和系统粉尘主要产生在水泥、掺和料的运输和装卸及进料过程中。在无防治措施的情况下，粉尘排放系数可达0.91kg/m³凝土，本项目混凝土使用量为8.86万m</w:t>
      </w:r>
      <w:r>
        <w:rPr>
          <w:vertAlign w:val="superscript"/>
        </w:rPr>
        <w:t>3</w:t>
      </w:r>
      <w:r>
        <w:t>，则混凝土拌合系统产生粉尘量为80.63t。通过洒水降尘等措施，可以使粉尘排放量减少75%，同时混凝土拌合系统中骨料通过胶带密闭运输，搅拌罐配套有袋式除尘处理，除尘效率≥99%。本工程设有1座混凝土拌合站，最大生产能力为45m</w:t>
      </w:r>
      <w:r>
        <w:rPr>
          <w:vertAlign w:val="superscript"/>
        </w:rPr>
        <w:t>3</w:t>
      </w:r>
      <w:r>
        <w:t>/h，经计算，粉尘排放总量为0.36t。</w:t>
      </w:r>
    </w:p>
    <w:p>
      <w:pPr>
        <w:ind w:firstLine="480"/>
        <w:contextualSpacing/>
      </w:pPr>
      <w:r>
        <w:t>本工程砂石料均通过自卸汽车输送，砂石料均通过冲洗且含水量较高，运输汽车有盖板覆盖砂石料，拌和站装卸过程粉尘产生量较小。水泥全部考虑采用散装，由水泥罐车运送至拌合站，通过气送入水泥罐，粉尘排放量相对较小。</w:t>
      </w:r>
    </w:p>
    <w:p>
      <w:pPr>
        <w:ind w:firstLine="480"/>
        <w:contextualSpacing/>
      </w:pPr>
      <w:r>
        <w:rPr>
          <w:rFonts w:hint="eastAsia" w:ascii="宋体" w:hAnsi="宋体" w:cs="宋体"/>
        </w:rPr>
        <w:t>④</w:t>
      </w:r>
      <w:r>
        <w:t>施工作业面粉尘</w:t>
      </w:r>
    </w:p>
    <w:p>
      <w:pPr>
        <w:ind w:firstLine="480"/>
        <w:contextualSpacing/>
      </w:pPr>
      <w:r>
        <w:t>本工程</w:t>
      </w:r>
      <w:r>
        <w:rPr>
          <w:rFonts w:hint="eastAsia"/>
        </w:rPr>
        <w:t>灌区工程施工作业面小，施工强度不大，施工产生的粉尘量小且影响范围有限。枢纽工程区</w:t>
      </w:r>
      <w:r>
        <w:t>布置有弃渣场、料场及临时堆渣场，渣料场与枢纽区开挖、土石方施工产生无组织排放的扬尘，扬尘量的大小与施工现场条件、管理水平、机械化程度、施工季节土质及施工季节等诸多因素有关。参考对大型土建工程现场的扬尘实地监测结果，TSP产生系数为0.05～0.10mg/m</w:t>
      </w:r>
      <w:r>
        <w:rPr>
          <w:vertAlign w:val="superscript"/>
        </w:rPr>
        <w:t>2</w:t>
      </w:r>
      <w:r>
        <w:t>.s。考虑本项目区域的土质特点、风速大小（多年平均风速仅1.1~1.4m/s），取0.05mg/m</w:t>
      </w:r>
      <w:r>
        <w:rPr>
          <w:vertAlign w:val="superscript"/>
        </w:rPr>
        <w:t>2</w:t>
      </w:r>
      <w:r>
        <w:t>·s。按地表裸露面积50%计算，因本项目枢纽施工区、渣料场总占地面积为19.62万m</w:t>
      </w:r>
      <w:r>
        <w:rPr>
          <w:vertAlign w:val="superscript"/>
        </w:rPr>
        <w:t>2</w:t>
      </w:r>
      <w:r>
        <w:t>，则项目施工现场TSP的源强为76.608kg/h，通过非雨日洒水降尘3~5次，可使粉尘浓度降低75%左右，本工程</w:t>
      </w:r>
      <w:r>
        <w:rPr>
          <w:rFonts w:hint="eastAsia"/>
        </w:rPr>
        <w:t>枢纽工程</w:t>
      </w:r>
      <w:r>
        <w:t>主体工程施工期2</w:t>
      </w:r>
      <w:r>
        <w:rPr>
          <w:rFonts w:hint="eastAsia"/>
        </w:rPr>
        <w:t>1</w:t>
      </w:r>
      <w:r>
        <w:t>个月，则其他施工作业面扬尘排放总量约</w:t>
      </w:r>
      <w:r>
        <w:rPr>
          <w:rFonts w:hint="eastAsia"/>
        </w:rPr>
        <w:t>193.1</w:t>
      </w:r>
      <w:r>
        <w:t>t，并将影响范围控制在作业面20m~50m内。</w:t>
      </w:r>
    </w:p>
    <w:p>
      <w:pPr>
        <w:ind w:firstLine="480"/>
        <w:contextualSpacing/>
      </w:pPr>
      <w:r>
        <w:t>（2）燃油废气</w:t>
      </w:r>
    </w:p>
    <w:p>
      <w:pPr>
        <w:ind w:firstLine="480"/>
        <w:contextualSpacing/>
      </w:pPr>
      <w:r>
        <w:rPr>
          <w:rFonts w:hint="eastAsia"/>
        </w:rPr>
        <w:t>本</w:t>
      </w:r>
      <w:r>
        <w:t>工程施工过程中需使用大量的大型燃油机械设备及运输车辆，因此在使用过程中会产生NOx、CO等废气。机械燃油废气属于连续、无组织排放源，污染物呈面源分布。</w:t>
      </w:r>
    </w:p>
    <w:p>
      <w:pPr>
        <w:ind w:firstLine="480"/>
        <w:contextualSpacing/>
      </w:pPr>
      <w:r>
        <w:t>本工程施工期燃料总量为3363t。根据《环境保护实用数据手册》，柴油发动机大气污染物排放系数NOx为21.9g/L、CO为33.3g/L，柴油密度按840g/L，则施工期高峰期燃油产生NOx约8.3kg/h，产生CO约12.6kg/h。</w:t>
      </w:r>
    </w:p>
    <w:p>
      <w:pPr>
        <w:ind w:firstLine="480"/>
        <w:contextualSpacing/>
      </w:pPr>
      <w:r>
        <w:t>（3）施工爆破及开挖</w:t>
      </w:r>
    </w:p>
    <w:p>
      <w:pPr>
        <w:ind w:firstLine="480"/>
        <w:contextualSpacing/>
      </w:pPr>
      <w:r>
        <w:t>工程开挖前需进行爆破，爆破过程将产生一定量的粉尘（TSP）、NOx、CO等污染物，会对施工区环境空气质量产生一定影响。主要产生部位为坝基开挖施工，对工程附近的环境空气质量产生一定影响。类比同类工程，施工期爆破产生的粉尘、NOx排放系数分别取47.49（kg粉尘/t炸药）和3.508（kgNOx/t炸药）。寒溪寺水库工程施工所需炸药共计约343t，炸药类型主要采用乳化炸药。本工程施工爆破产生的污染物总量见表3.3.3-1。</w:t>
      </w:r>
    </w:p>
    <w:p>
      <w:pPr>
        <w:ind w:firstLine="422"/>
        <w:contextualSpacing/>
        <w:jc w:val="center"/>
        <w:rPr>
          <w:b/>
          <w:bCs/>
          <w:sz w:val="21"/>
          <w:szCs w:val="21"/>
        </w:rPr>
      </w:pPr>
      <w:r>
        <w:rPr>
          <w:b/>
          <w:bCs/>
          <w:sz w:val="21"/>
          <w:szCs w:val="21"/>
        </w:rPr>
        <w:t>表3.3.3-1  本工程施工爆破产生的污染物总量单位：t</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2130" w:type="dxa"/>
            <w:vAlign w:val="center"/>
          </w:tcPr>
          <w:p>
            <w:pPr>
              <w:widowControl/>
              <w:spacing w:line="240" w:lineRule="auto"/>
              <w:ind w:firstLine="0" w:firstLineChars="0"/>
              <w:contextualSpacing/>
              <w:jc w:val="center"/>
              <w:rPr>
                <w:kern w:val="0"/>
                <w:sz w:val="21"/>
                <w:szCs w:val="21"/>
              </w:rPr>
            </w:pPr>
            <w:r>
              <w:rPr>
                <w:kern w:val="0"/>
                <w:sz w:val="21"/>
                <w:szCs w:val="21"/>
              </w:rPr>
              <w:t>炸药总量</w:t>
            </w:r>
          </w:p>
        </w:tc>
        <w:tc>
          <w:tcPr>
            <w:tcW w:w="2131" w:type="dxa"/>
            <w:vAlign w:val="center"/>
          </w:tcPr>
          <w:p>
            <w:pPr>
              <w:widowControl/>
              <w:spacing w:line="240" w:lineRule="auto"/>
              <w:ind w:firstLine="0" w:firstLineChars="0"/>
              <w:contextualSpacing/>
              <w:jc w:val="center"/>
              <w:rPr>
                <w:kern w:val="0"/>
                <w:sz w:val="21"/>
                <w:szCs w:val="21"/>
              </w:rPr>
            </w:pPr>
            <w:r>
              <w:rPr>
                <w:kern w:val="0"/>
                <w:sz w:val="21"/>
                <w:szCs w:val="21"/>
              </w:rPr>
              <w:t>粉尘</w:t>
            </w:r>
          </w:p>
        </w:tc>
        <w:tc>
          <w:tcPr>
            <w:tcW w:w="2131" w:type="dxa"/>
            <w:vAlign w:val="center"/>
          </w:tcPr>
          <w:p>
            <w:pPr>
              <w:widowControl/>
              <w:spacing w:line="240" w:lineRule="auto"/>
              <w:ind w:firstLine="0" w:firstLineChars="0"/>
              <w:contextualSpacing/>
              <w:jc w:val="center"/>
              <w:rPr>
                <w:kern w:val="0"/>
                <w:sz w:val="21"/>
                <w:szCs w:val="21"/>
              </w:rPr>
            </w:pPr>
            <w:r>
              <w:rPr>
                <w:kern w:val="0"/>
                <w:sz w:val="21"/>
                <w:szCs w:val="21"/>
              </w:rPr>
              <w:t>NO</w:t>
            </w:r>
            <w:r>
              <w:rPr>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spacing w:line="240" w:lineRule="auto"/>
              <w:ind w:firstLine="0" w:firstLineChars="0"/>
              <w:contextualSpacing/>
              <w:jc w:val="center"/>
              <w:rPr>
                <w:kern w:val="0"/>
                <w:sz w:val="21"/>
                <w:szCs w:val="21"/>
              </w:rPr>
            </w:pPr>
            <w:r>
              <w:rPr>
                <w:kern w:val="0"/>
                <w:sz w:val="21"/>
                <w:szCs w:val="21"/>
              </w:rPr>
              <w:t>工程消耗总量</w:t>
            </w:r>
          </w:p>
        </w:tc>
        <w:tc>
          <w:tcPr>
            <w:tcW w:w="2130" w:type="dxa"/>
            <w:vAlign w:val="center"/>
          </w:tcPr>
          <w:p>
            <w:pPr>
              <w:widowControl/>
              <w:spacing w:line="240" w:lineRule="auto"/>
              <w:ind w:firstLine="0" w:firstLineChars="0"/>
              <w:contextualSpacing/>
              <w:jc w:val="center"/>
              <w:rPr>
                <w:kern w:val="0"/>
                <w:sz w:val="21"/>
                <w:szCs w:val="21"/>
              </w:rPr>
            </w:pPr>
            <w:r>
              <w:rPr>
                <w:kern w:val="0"/>
                <w:sz w:val="21"/>
                <w:szCs w:val="21"/>
              </w:rPr>
              <w:t>343</w:t>
            </w:r>
          </w:p>
        </w:tc>
        <w:tc>
          <w:tcPr>
            <w:tcW w:w="2131" w:type="dxa"/>
            <w:vAlign w:val="center"/>
          </w:tcPr>
          <w:p>
            <w:pPr>
              <w:widowControl/>
              <w:spacing w:line="240" w:lineRule="auto"/>
              <w:ind w:firstLine="0" w:firstLineChars="0"/>
              <w:contextualSpacing/>
              <w:jc w:val="center"/>
              <w:rPr>
                <w:kern w:val="0"/>
                <w:sz w:val="21"/>
                <w:szCs w:val="21"/>
              </w:rPr>
            </w:pPr>
            <w:r>
              <w:rPr>
                <w:kern w:val="0"/>
                <w:sz w:val="21"/>
                <w:szCs w:val="21"/>
              </w:rPr>
              <w:t>16.289</w:t>
            </w:r>
          </w:p>
        </w:tc>
        <w:tc>
          <w:tcPr>
            <w:tcW w:w="2131" w:type="dxa"/>
            <w:vAlign w:val="center"/>
          </w:tcPr>
          <w:p>
            <w:pPr>
              <w:widowControl/>
              <w:spacing w:line="240" w:lineRule="auto"/>
              <w:ind w:firstLine="0" w:firstLineChars="0"/>
              <w:contextualSpacing/>
              <w:jc w:val="center"/>
              <w:rPr>
                <w:kern w:val="0"/>
                <w:sz w:val="21"/>
                <w:szCs w:val="21"/>
              </w:rPr>
            </w:pPr>
            <w:r>
              <w:rPr>
                <w:kern w:val="0"/>
                <w:sz w:val="21"/>
                <w:szCs w:val="21"/>
              </w:rPr>
              <w:t>1.203</w:t>
            </w:r>
          </w:p>
        </w:tc>
      </w:tr>
    </w:tbl>
    <w:p>
      <w:pPr>
        <w:spacing w:line="240" w:lineRule="auto"/>
        <w:ind w:firstLine="400"/>
        <w:contextualSpacing/>
        <w:rPr>
          <w:sz w:val="20"/>
          <w:szCs w:val="20"/>
        </w:rPr>
      </w:pPr>
      <w:r>
        <w:rPr>
          <w:sz w:val="20"/>
          <w:szCs w:val="20"/>
        </w:rPr>
        <w:t>*注：根据《环境影响评价技术导则大气环境》（HJ2.2-2018）模式中相关参数的选取，在计算小时或日平均质量浓度时，可取Q（NO</w:t>
      </w:r>
      <w:r>
        <w:rPr>
          <w:sz w:val="20"/>
          <w:szCs w:val="20"/>
          <w:vertAlign w:val="subscript"/>
        </w:rPr>
        <w:t>2</w:t>
      </w:r>
      <w:r>
        <w:rPr>
          <w:sz w:val="20"/>
          <w:szCs w:val="20"/>
        </w:rPr>
        <w:t>）/Q（NOx）=0.9，表中NO</w:t>
      </w:r>
      <w:r>
        <w:rPr>
          <w:sz w:val="20"/>
          <w:szCs w:val="20"/>
          <w:vertAlign w:val="subscript"/>
        </w:rPr>
        <w:t>2</w:t>
      </w:r>
      <w:r>
        <w:rPr>
          <w:sz w:val="20"/>
          <w:szCs w:val="20"/>
        </w:rPr>
        <w:t>产生量由NOx折算得出。</w:t>
      </w:r>
    </w:p>
    <w:p>
      <w:pPr>
        <w:spacing w:line="160" w:lineRule="exact"/>
        <w:ind w:firstLine="482"/>
        <w:contextualSpacing/>
        <w:rPr>
          <w:b/>
        </w:rPr>
      </w:pPr>
    </w:p>
    <w:p>
      <w:pPr>
        <w:ind w:firstLine="480"/>
        <w:contextualSpacing/>
      </w:pPr>
      <w:r>
        <w:t>（4）运输车辆尾气</w:t>
      </w:r>
    </w:p>
    <w:p>
      <w:pPr>
        <w:ind w:firstLine="480"/>
        <w:contextualSpacing/>
      </w:pPr>
      <w:r>
        <w:t>施工期运输车辆取大型车，车速取40km/h，交通量取枢纽工程区施工期最大交通量30辆/h。得出寒溪寺水库公路交通运输车辆尾气污染物排放源强见表3.3.3-2。</w:t>
      </w:r>
    </w:p>
    <w:p>
      <w:pPr>
        <w:ind w:firstLine="422"/>
        <w:contextualSpacing/>
        <w:jc w:val="center"/>
        <w:rPr>
          <w:b/>
          <w:bCs/>
          <w:sz w:val="21"/>
          <w:szCs w:val="21"/>
        </w:rPr>
      </w:pPr>
      <w:r>
        <w:rPr>
          <w:b/>
          <w:bCs/>
          <w:sz w:val="21"/>
          <w:szCs w:val="21"/>
        </w:rPr>
        <w:t>表3.3.3-2  本工程公路施工期交通运输车辆尾气排放源强</w:t>
      </w:r>
    </w:p>
    <w:tbl>
      <w:tblPr>
        <w:tblStyle w:val="38"/>
        <w:tblW w:w="8316" w:type="dxa"/>
        <w:jc w:val="center"/>
        <w:tblLayout w:type="fixed"/>
        <w:tblCellMar>
          <w:top w:w="0" w:type="dxa"/>
          <w:left w:w="0" w:type="dxa"/>
          <w:bottom w:w="0" w:type="dxa"/>
          <w:right w:w="0" w:type="dxa"/>
        </w:tblCellMar>
      </w:tblPr>
      <w:tblGrid>
        <w:gridCol w:w="3623"/>
        <w:gridCol w:w="1563"/>
        <w:gridCol w:w="1563"/>
        <w:gridCol w:w="1567"/>
      </w:tblGrid>
      <w:tr>
        <w:tblPrEx>
          <w:tblCellMar>
            <w:top w:w="0" w:type="dxa"/>
            <w:left w:w="0" w:type="dxa"/>
            <w:bottom w:w="0" w:type="dxa"/>
            <w:right w:w="0" w:type="dxa"/>
          </w:tblCellMar>
        </w:tblPrEx>
        <w:trPr>
          <w:jc w:val="center"/>
        </w:trPr>
        <w:tc>
          <w:tcPr>
            <w:tcW w:w="362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污染物</w:t>
            </w:r>
          </w:p>
        </w:tc>
        <w:tc>
          <w:tcPr>
            <w:tcW w:w="156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CO</w:t>
            </w:r>
          </w:p>
        </w:tc>
        <w:tc>
          <w:tcPr>
            <w:tcW w:w="156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THC</w:t>
            </w:r>
          </w:p>
        </w:tc>
        <w:tc>
          <w:tcPr>
            <w:tcW w:w="1567"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NO</w:t>
            </w:r>
            <w:r>
              <w:rPr>
                <w:kern w:val="0"/>
                <w:sz w:val="21"/>
                <w:szCs w:val="21"/>
                <w:vertAlign w:val="subscript"/>
              </w:rPr>
              <w:t>2</w:t>
            </w:r>
          </w:p>
        </w:tc>
      </w:tr>
      <w:tr>
        <w:tblPrEx>
          <w:tblCellMar>
            <w:top w:w="0" w:type="dxa"/>
            <w:left w:w="0" w:type="dxa"/>
            <w:bottom w:w="0" w:type="dxa"/>
            <w:right w:w="0" w:type="dxa"/>
          </w:tblCellMar>
        </w:tblPrEx>
        <w:trPr>
          <w:jc w:val="center"/>
        </w:trPr>
        <w:tc>
          <w:tcPr>
            <w:tcW w:w="362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排放源强（kg/h·km）</w:t>
            </w:r>
          </w:p>
        </w:tc>
        <w:tc>
          <w:tcPr>
            <w:tcW w:w="156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0.42</w:t>
            </w:r>
          </w:p>
        </w:tc>
        <w:tc>
          <w:tcPr>
            <w:tcW w:w="1563"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0.17</w:t>
            </w:r>
          </w:p>
        </w:tc>
        <w:tc>
          <w:tcPr>
            <w:tcW w:w="1567" w:type="dxa"/>
            <w:tcBorders>
              <w:top w:val="single" w:color="000000" w:sz="4" w:space="0"/>
              <w:left w:val="single" w:color="000000" w:sz="4" w:space="0"/>
              <w:bottom w:val="single" w:color="000000" w:sz="4" w:space="0"/>
              <w:right w:val="single" w:color="000000" w:sz="4" w:space="0"/>
            </w:tcBorders>
          </w:tcPr>
          <w:p>
            <w:pPr>
              <w:widowControl/>
              <w:spacing w:line="240" w:lineRule="auto"/>
              <w:ind w:firstLine="0" w:firstLineChars="0"/>
              <w:contextualSpacing/>
              <w:jc w:val="center"/>
              <w:rPr>
                <w:kern w:val="0"/>
                <w:sz w:val="21"/>
                <w:szCs w:val="21"/>
              </w:rPr>
            </w:pPr>
            <w:r>
              <w:rPr>
                <w:kern w:val="0"/>
                <w:sz w:val="21"/>
                <w:szCs w:val="21"/>
              </w:rPr>
              <w:t>0.84</w:t>
            </w:r>
          </w:p>
        </w:tc>
      </w:tr>
    </w:tbl>
    <w:p>
      <w:pPr>
        <w:pStyle w:val="5"/>
        <w:ind w:firstLine="0" w:firstLineChars="0"/>
        <w:contextualSpacing/>
        <w:rPr>
          <w:rFonts w:ascii="Times New Roman" w:hAnsi="Times New Roman"/>
        </w:rPr>
      </w:pPr>
      <w:bookmarkStart w:id="387" w:name="_Toc10732"/>
      <w:bookmarkStart w:id="388" w:name="_Toc19570"/>
      <w:bookmarkStart w:id="389" w:name="_Toc22270"/>
      <w:r>
        <w:rPr>
          <w:rFonts w:ascii="Times New Roman" w:hAnsi="Times New Roman"/>
        </w:rPr>
        <w:t>3.3.3施工噪声</w:t>
      </w:r>
      <w:bookmarkEnd w:id="387"/>
      <w:bookmarkEnd w:id="388"/>
      <w:bookmarkEnd w:id="389"/>
    </w:p>
    <w:p>
      <w:pPr>
        <w:ind w:firstLine="480"/>
        <w:contextualSpacing/>
      </w:pPr>
      <w:r>
        <w:t>施工噪声主要来自施工开挖、钻孔、爆破、混凝土拌和、辅助企业生产和交通运输等活动。</w:t>
      </w:r>
    </w:p>
    <w:p>
      <w:pPr>
        <w:ind w:firstLine="480"/>
        <w:contextualSpacing/>
      </w:pPr>
      <w:r>
        <w:t>（1）交通运输</w:t>
      </w:r>
    </w:p>
    <w:p>
      <w:pPr>
        <w:ind w:firstLine="480"/>
        <w:contextualSpacing/>
      </w:pPr>
      <w:r>
        <w:t>交通噪声源强与车辆载重类型、行车速度密切相关。本工程主要采用自卸汽车（20t）运输，行车速度根据施工规交通噪声源强与运输车辆载重类型、汽车流量和行驶速度密切相关，本工程噪声强度为70～90dB（A），均为流动声源。</w:t>
      </w:r>
    </w:p>
    <w:p>
      <w:pPr>
        <w:ind w:firstLine="480"/>
        <w:contextualSpacing/>
      </w:pPr>
      <w:r>
        <w:t>（2）爆破作业</w:t>
      </w:r>
    </w:p>
    <w:p>
      <w:pPr>
        <w:ind w:firstLine="480"/>
        <w:contextualSpacing/>
      </w:pPr>
      <w:r>
        <w:t>本工程需要进行大规模爆破作业的有枢纽施工区和料场，爆破噪声强度与爆破点岩性、爆破方法及单孔装药量密切相关，最高爆破噪声强度可达到125～132dB（A）。类比同类工程，工程爆破噪声源强将达到125dB（A）。</w:t>
      </w:r>
    </w:p>
    <w:p>
      <w:pPr>
        <w:ind w:firstLine="480"/>
        <w:contextualSpacing/>
      </w:pPr>
      <w:r>
        <w:t>（3）施工区噪声</w:t>
      </w:r>
    </w:p>
    <w:p>
      <w:pPr>
        <w:ind w:firstLine="480"/>
        <w:contextualSpacing/>
      </w:pPr>
      <w:r>
        <w:t>施工区施工工厂噪声源主要来自于混凝土拌和系统、各类加工厂等施工工厂企业以及作业区施工机械噪声，均为固定声源。根据对同类工程施工期的实际监测数据，噪声源强较大的施工工厂主要为综合加工厂（包括钢筋加工和木板加工）、混凝土生产系统等，其噪声为间歇性点声源，噪声源强在90～110dB（A）之间。</w:t>
      </w:r>
    </w:p>
    <w:p>
      <w:pPr>
        <w:pStyle w:val="5"/>
        <w:ind w:firstLine="0" w:firstLineChars="0"/>
        <w:contextualSpacing/>
        <w:rPr>
          <w:rFonts w:ascii="Times New Roman" w:hAnsi="Times New Roman"/>
        </w:rPr>
      </w:pPr>
      <w:bookmarkStart w:id="390" w:name="_Toc20130"/>
      <w:bookmarkStart w:id="391" w:name="_Toc28632"/>
      <w:bookmarkStart w:id="392" w:name="_Toc29573"/>
      <w:r>
        <w:rPr>
          <w:rFonts w:ascii="Times New Roman" w:hAnsi="Times New Roman"/>
        </w:rPr>
        <w:t>3.3.4固体废物</w:t>
      </w:r>
      <w:bookmarkEnd w:id="390"/>
      <w:bookmarkEnd w:id="391"/>
      <w:bookmarkEnd w:id="392"/>
    </w:p>
    <w:p>
      <w:pPr>
        <w:ind w:firstLine="480"/>
        <w:contextualSpacing/>
      </w:pPr>
      <w:r>
        <w:t>（1）生活垃圾</w:t>
      </w:r>
    </w:p>
    <w:p>
      <w:pPr>
        <w:ind w:firstLine="480"/>
        <w:contextualSpacing/>
      </w:pPr>
      <w:r>
        <w:t>根据施工规划，</w:t>
      </w:r>
      <w:r>
        <w:rPr>
          <w:rFonts w:hint="eastAsia"/>
        </w:rPr>
        <w:t>本工程枢纽工程</w:t>
      </w:r>
      <w:r>
        <w:t>主体工程施工高峰期人数</w:t>
      </w:r>
      <w:r>
        <w:rPr>
          <w:rFonts w:hint="eastAsia"/>
        </w:rPr>
        <w:t>4</w:t>
      </w:r>
      <w:r>
        <w:t>20人；</w:t>
      </w:r>
      <w:r>
        <w:rPr>
          <w:rFonts w:hint="eastAsia"/>
        </w:rPr>
        <w:t>灌区工程</w:t>
      </w:r>
      <w:r>
        <w:t>施工高峰期人数</w:t>
      </w:r>
      <w:r>
        <w:rPr>
          <w:rFonts w:hint="eastAsia"/>
        </w:rPr>
        <w:t>20</w:t>
      </w:r>
      <w:r>
        <w:t>0人。</w:t>
      </w:r>
      <w:r>
        <w:rPr>
          <w:rFonts w:hint="eastAsia"/>
        </w:rPr>
        <w:t>按</w:t>
      </w:r>
      <w:r>
        <w:t>人均垃圾产生量约1.0kg/d</w:t>
      </w:r>
      <w:r>
        <w:rPr>
          <w:rFonts w:hint="eastAsia"/>
        </w:rPr>
        <w:t>考虑</w:t>
      </w:r>
      <w:r>
        <w:t>，估算施工期日最大垃圾产生量0.62t/d，施工期共产生垃圾</w:t>
      </w:r>
      <w:r>
        <w:rPr>
          <w:rFonts w:hint="eastAsia"/>
        </w:rPr>
        <w:t>312.6</w:t>
      </w:r>
      <w:r>
        <w:t>t（枢纽</w:t>
      </w:r>
      <w:r>
        <w:rPr>
          <w:rFonts w:hint="eastAsia"/>
        </w:rPr>
        <w:t>工程、灌区工程区</w:t>
      </w:r>
      <w:r>
        <w:t>产生垃圾</w:t>
      </w:r>
      <w:r>
        <w:rPr>
          <w:rFonts w:hint="eastAsia"/>
        </w:rPr>
        <w:t>分别为264.6t</w:t>
      </w:r>
      <w:r>
        <w:t>、</w:t>
      </w:r>
      <w:r>
        <w:rPr>
          <w:rFonts w:hint="eastAsia"/>
        </w:rPr>
        <w:t>60.0t</w:t>
      </w:r>
      <w:r>
        <w:t>），容重率以0.45t/m</w:t>
      </w:r>
      <w:r>
        <w:rPr>
          <w:vertAlign w:val="superscript"/>
        </w:rPr>
        <w:t>3</w:t>
      </w:r>
      <w:r>
        <w:t>计，共产生垃圾</w:t>
      </w:r>
      <w:r>
        <w:rPr>
          <w:rFonts w:hint="eastAsia"/>
        </w:rPr>
        <w:t>721</w:t>
      </w:r>
      <w:r>
        <w:t>m</w:t>
      </w:r>
      <w:r>
        <w:rPr>
          <w:vertAlign w:val="superscript"/>
        </w:rPr>
        <w:t>3</w:t>
      </w:r>
      <w:r>
        <w:t>。</w:t>
      </w:r>
    </w:p>
    <w:p>
      <w:pPr>
        <w:ind w:firstLine="480"/>
        <w:contextualSpacing/>
      </w:pPr>
      <w:r>
        <w:t>（2）建筑垃圾和辅助企业生产垃圾</w:t>
      </w:r>
    </w:p>
    <w:p>
      <w:pPr>
        <w:ind w:firstLine="480"/>
        <w:contextualSpacing/>
      </w:pPr>
      <w:r>
        <w:t>建筑垃圾主要是临时工程拆除和地面清理产生的砖瓦、混凝土块、弃土等。这些建筑垃圾的来源主要是场平、道路铺设和其它施工现场。施工辅助企业生产过程中产生一定数量的废物，如报废的施工机械和车辆、废旧钢材、钢管、油桶、包装袋、木材、蓄电池等。</w:t>
      </w:r>
    </w:p>
    <w:p>
      <w:pPr>
        <w:ind w:firstLine="480"/>
        <w:contextualSpacing/>
      </w:pPr>
      <w:r>
        <w:t>（3）工程弃渣</w:t>
      </w:r>
    </w:p>
    <w:p>
      <w:pPr>
        <w:pStyle w:val="65"/>
        <w:spacing w:line="360" w:lineRule="auto"/>
        <w:ind w:firstLine="480"/>
        <w:contextualSpacing/>
      </w:pPr>
      <w:r>
        <w:t>本</w:t>
      </w:r>
      <w:r>
        <w:rPr>
          <w:rFonts w:hint="eastAsia"/>
        </w:rPr>
        <w:t>工程</w:t>
      </w:r>
      <w:r>
        <w:rPr>
          <w:rFonts w:hAnsi="宋体"/>
        </w:rPr>
        <w:t>灌区开挖方量经过自身调配处理，达到平衡状态。枢纽</w:t>
      </w:r>
      <w:r>
        <w:rPr>
          <w:rFonts w:hint="eastAsia" w:hAnsi="宋体"/>
        </w:rPr>
        <w:t>工程区</w:t>
      </w:r>
      <w:r>
        <w:rPr>
          <w:rFonts w:hAnsi="宋体"/>
        </w:rPr>
        <w:t>开挖土石方分别堆放在渣场。</w:t>
      </w:r>
      <w:r>
        <w:t>本</w:t>
      </w:r>
      <w:r>
        <w:rPr>
          <w:rFonts w:hint="eastAsia"/>
        </w:rPr>
        <w:t>工程</w:t>
      </w:r>
      <w:r>
        <w:t>共规划</w:t>
      </w:r>
      <w:r>
        <w:rPr>
          <w:rFonts w:hint="eastAsia"/>
        </w:rPr>
        <w:t>有</w:t>
      </w:r>
      <w:r>
        <w:t>8个渣场，</w:t>
      </w:r>
      <w:r>
        <w:rPr>
          <w:rFonts w:hint="eastAsia"/>
        </w:rPr>
        <w:t>均布置枢纽工程区及附近</w:t>
      </w:r>
      <w:r>
        <w:t>。</w:t>
      </w:r>
    </w:p>
    <w:p>
      <w:pPr>
        <w:ind w:firstLine="480"/>
        <w:contextualSpacing/>
        <w:rPr>
          <w:szCs w:val="22"/>
        </w:rPr>
      </w:pPr>
      <w:r>
        <w:rPr>
          <w:szCs w:val="22"/>
        </w:rPr>
        <w:t>（4）危险废物</w:t>
      </w:r>
    </w:p>
    <w:p>
      <w:pPr>
        <w:widowControl/>
        <w:ind w:firstLine="480"/>
        <w:contextualSpacing/>
        <w:jc w:val="left"/>
        <w:rPr>
          <w:kern w:val="0"/>
        </w:rPr>
      </w:pPr>
      <w:r>
        <w:rPr>
          <w:kern w:val="0"/>
        </w:rPr>
        <w:t>施工期间，机械设备、空压机和液压设备</w:t>
      </w:r>
      <w:r>
        <w:rPr>
          <w:rFonts w:hint="eastAsia"/>
          <w:kern w:val="0"/>
        </w:rPr>
        <w:t>因事故</w:t>
      </w:r>
      <w:r>
        <w:rPr>
          <w:kern w:val="0"/>
        </w:rPr>
        <w:t>产生的废机油、废液压油及废机油桶、废液压油桶等属于危险废弃物（废物类别HW08，废物代码900-210-08；900-214-08），类比同类工程，该类危废产生量约为0.5t/a。该部分危废若随意堆放，将侵占土地，破坏地貌、植被和自然景观；其中的有害成分会侵蚀渗入土壤中，杀灭土壤中的微生物，使土壤丧失腐解能力，破坏植物生长环境。</w:t>
      </w:r>
    </w:p>
    <w:p>
      <w:pPr>
        <w:pStyle w:val="5"/>
        <w:ind w:firstLine="0" w:firstLineChars="0"/>
        <w:contextualSpacing/>
        <w:rPr>
          <w:rFonts w:ascii="Times New Roman" w:hAnsi="Times New Roman"/>
        </w:rPr>
      </w:pPr>
      <w:bookmarkStart w:id="393" w:name="_Toc17148"/>
      <w:bookmarkStart w:id="394" w:name="_Toc10193"/>
      <w:bookmarkStart w:id="395" w:name="_Toc18380"/>
      <w:r>
        <w:rPr>
          <w:rFonts w:ascii="Times New Roman" w:hAnsi="Times New Roman"/>
        </w:rPr>
        <w:t>3.3.5生态影响源</w:t>
      </w:r>
      <w:bookmarkEnd w:id="393"/>
      <w:bookmarkEnd w:id="394"/>
      <w:bookmarkEnd w:id="395"/>
    </w:p>
    <w:p>
      <w:pPr>
        <w:ind w:firstLine="480"/>
        <w:contextualSpacing/>
      </w:pPr>
      <w:r>
        <w:t>（1）施工占地、扰动</w:t>
      </w:r>
    </w:p>
    <w:p>
      <w:pPr>
        <w:ind w:firstLine="480"/>
        <w:contextualSpacing/>
      </w:pPr>
      <w:r>
        <w:t>工程所在区域植被以农业植被、马尾松林、杉木林和毛竹林为主，生态环境较为脆弱。工程施工开挖、回填、工程场平、占地等均将扰动占地区植被，工程占地将使区域植被面积减少，植被面积的减少和各类施工活动干扰影响工程区原有野生动物的正常活动，对其造成一定影响。</w:t>
      </w:r>
    </w:p>
    <w:p>
      <w:pPr>
        <w:ind w:firstLine="480"/>
        <w:contextualSpacing/>
      </w:pPr>
      <w:r>
        <w:t>（2）土石方开挖、弃渣</w:t>
      </w:r>
    </w:p>
    <w:p>
      <w:pPr>
        <w:ind w:firstLine="480"/>
        <w:contextualSpacing/>
      </w:pPr>
      <w:r>
        <w:t>各类施工活动将扰动占地区的地表，损坏部分水土保持设施，增加水土流失强度。</w:t>
      </w:r>
    </w:p>
    <w:p>
      <w:pPr>
        <w:ind w:firstLine="480"/>
        <w:contextualSpacing/>
      </w:pPr>
      <w:r>
        <w:t>工区场地各类建筑材料和土石方堆放，容易引发新的水土流失。弃渣和表土堆置将损坏现有植被，雨水冲刷下易造成水土流失。</w:t>
      </w:r>
    </w:p>
    <w:p>
      <w:pPr>
        <w:ind w:firstLine="480"/>
        <w:contextualSpacing/>
      </w:pPr>
      <w:r>
        <w:t>（3）水土流失影响</w:t>
      </w:r>
    </w:p>
    <w:p>
      <w:pPr>
        <w:ind w:firstLine="480"/>
        <w:contextualSpacing/>
      </w:pPr>
      <w:r>
        <w:t>本工程施工期水土流失主要由枢纽工程、输水工程以及施工公路施工开挖及各生产生活区施工占地引起的。这些区域的施工活动将损坏水土保持设施，增加水土流失强度。</w:t>
      </w:r>
    </w:p>
    <w:p>
      <w:pPr>
        <w:ind w:firstLine="480"/>
        <w:contextualSpacing/>
      </w:pPr>
      <w:r>
        <w:t>（4）动植物影响</w:t>
      </w:r>
    </w:p>
    <w:p>
      <w:pPr>
        <w:ind w:firstLine="480"/>
        <w:contextualSpacing/>
      </w:pPr>
      <w:r>
        <w:t>施工队伍进驻施工场地带来的人类活动频繁，以及各类施工活动产生的噪声、扬尘、废气等，都将对施工区及其附近的野生动物产生惊吓和干扰。</w:t>
      </w:r>
    </w:p>
    <w:p>
      <w:pPr>
        <w:ind w:firstLine="480"/>
        <w:contextualSpacing/>
      </w:pPr>
      <w:r>
        <w:t>工程施工永久及临时占地将会对农业生产造成一定的影响。工程临时和永久占用林地，占地范围内植被将遭到破坏，造成一定量的植物生物量损失。通过工程对施工临时占地的植被恢复或施工迹地复垦，工程造成的植被和农田损失可以在一定程度上得到补偿。</w:t>
      </w:r>
    </w:p>
    <w:p>
      <w:pPr>
        <w:ind w:firstLine="480"/>
        <w:contextualSpacing/>
      </w:pPr>
      <w:r>
        <w:t>（5）水生生物的影响</w:t>
      </w:r>
    </w:p>
    <w:p>
      <w:pPr>
        <w:ind w:firstLine="480"/>
        <w:contextualSpacing/>
      </w:pPr>
      <w:r>
        <w:t>施工区生产废水和生活污水将对水体造成一定程度的污染，使施工期间喜洁净水体饵料生物种类的密度和数量下降，蓝藻等种类和数量将有所增加；施工期人员、机械、车辆产生的噪音，爆破的地震波将使鱼类往上下河段迁移，使其生存空间减小。</w:t>
      </w:r>
    </w:p>
    <w:p>
      <w:pPr>
        <w:pStyle w:val="5"/>
        <w:ind w:firstLine="0" w:firstLineChars="0"/>
        <w:contextualSpacing/>
        <w:rPr>
          <w:rFonts w:ascii="Times New Roman" w:hAnsi="Times New Roman"/>
        </w:rPr>
      </w:pPr>
      <w:bookmarkStart w:id="396" w:name="_Toc18524"/>
      <w:bookmarkStart w:id="397" w:name="_Toc12194"/>
      <w:bookmarkStart w:id="398" w:name="_Toc17682"/>
      <w:r>
        <w:rPr>
          <w:rFonts w:ascii="Times New Roman" w:hAnsi="Times New Roman"/>
        </w:rPr>
        <w:t>3.3.6社会环境影响</w:t>
      </w:r>
      <w:bookmarkEnd w:id="396"/>
      <w:bookmarkEnd w:id="397"/>
      <w:bookmarkEnd w:id="398"/>
    </w:p>
    <w:p>
      <w:pPr>
        <w:ind w:firstLine="0" w:firstLineChars="0"/>
        <w:contextualSpacing/>
        <w:outlineLvl w:val="3"/>
        <w:rPr>
          <w:b/>
          <w:bCs/>
        </w:rPr>
      </w:pPr>
      <w:r>
        <w:rPr>
          <w:b/>
          <w:bCs/>
        </w:rPr>
        <w:t>3.3.6.1人群健康影响</w:t>
      </w:r>
    </w:p>
    <w:p>
      <w:pPr>
        <w:ind w:firstLine="480"/>
        <w:contextualSpacing/>
      </w:pPr>
      <w:r>
        <w:t>施工期间，施工人员容易疲累，抗病能力下降，加上人员居住密集，如果不做好卫生工作，容易产生疾病传染。施工人员产生的生活废水、生活垃圾增多因此，要严格按有关要求做好卫生防疫工作，保证施工人员及周围群众的身体健康。</w:t>
      </w:r>
    </w:p>
    <w:p>
      <w:pPr>
        <w:ind w:firstLine="0" w:firstLineChars="0"/>
        <w:contextualSpacing/>
        <w:outlineLvl w:val="3"/>
        <w:rPr>
          <w:b/>
          <w:bCs/>
        </w:rPr>
      </w:pPr>
      <w:r>
        <w:rPr>
          <w:b/>
          <w:bCs/>
        </w:rPr>
        <w:t>3.3.6.2其他影响</w:t>
      </w:r>
    </w:p>
    <w:p>
      <w:pPr>
        <w:ind w:firstLine="480"/>
        <w:contextualSpacing/>
      </w:pPr>
      <w:r>
        <w:t>工程施工物资的运输有可能会对当地的交通造成一定的干扰，特别是在运输高峰期造成当地交通堵塞。因此，在工程施工允许的情况下应选择当地交通流量低时进行物资运输。工程施工对当地交通的影响是暂时的，随着施工期的结束，这种影响也随之消失。另外，工程施工劳动力的需求及施工人员的各种生活需求将会一定程度的促进当地经济的发展；工程施工需要大量的建筑材料，基本就近从当地市场购买，可促进当地建材业的发展。</w:t>
      </w:r>
    </w:p>
    <w:p>
      <w:pPr>
        <w:pStyle w:val="5"/>
        <w:ind w:firstLine="0" w:firstLineChars="0"/>
        <w:contextualSpacing/>
        <w:rPr>
          <w:rFonts w:ascii="Times New Roman" w:hAnsi="Times New Roman"/>
        </w:rPr>
      </w:pPr>
      <w:bookmarkStart w:id="399" w:name="_Toc14851"/>
      <w:bookmarkStart w:id="400" w:name="_Toc7238"/>
      <w:bookmarkStart w:id="401" w:name="_Toc6946"/>
      <w:r>
        <w:rPr>
          <w:rFonts w:ascii="Times New Roman" w:hAnsi="Times New Roman"/>
        </w:rPr>
        <w:t>3.3.7施工期污染源汇总</w:t>
      </w:r>
      <w:bookmarkEnd w:id="399"/>
      <w:bookmarkEnd w:id="400"/>
      <w:bookmarkEnd w:id="401"/>
    </w:p>
    <w:p>
      <w:pPr>
        <w:ind w:firstLine="422"/>
        <w:contextualSpacing/>
        <w:jc w:val="center"/>
        <w:rPr>
          <w:b/>
          <w:bCs/>
          <w:sz w:val="21"/>
          <w:szCs w:val="21"/>
        </w:rPr>
      </w:pPr>
      <w:r>
        <w:rPr>
          <w:b/>
          <w:bCs/>
          <w:sz w:val="21"/>
          <w:szCs w:val="21"/>
        </w:rPr>
        <w:t>表3.3.7  施工期污染物排放汇总表</w:t>
      </w:r>
    </w:p>
    <w:tbl>
      <w:tblPr>
        <w:tblStyle w:val="3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63"/>
        <w:gridCol w:w="1852"/>
        <w:gridCol w:w="1692"/>
        <w:gridCol w:w="184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widowControl/>
              <w:spacing w:line="240" w:lineRule="auto"/>
              <w:ind w:firstLine="0" w:firstLineChars="0"/>
              <w:contextualSpacing/>
              <w:jc w:val="center"/>
              <w:rPr>
                <w:kern w:val="0"/>
                <w:sz w:val="21"/>
                <w:szCs w:val="21"/>
              </w:rPr>
            </w:pPr>
            <w:r>
              <w:rPr>
                <w:kern w:val="0"/>
                <w:sz w:val="21"/>
                <w:szCs w:val="21"/>
              </w:rPr>
              <w:t>类型</w:t>
            </w: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污染源</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主要污染物</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排放源强</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污染源位置</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restart"/>
            <w:vAlign w:val="center"/>
          </w:tcPr>
          <w:p>
            <w:pPr>
              <w:widowControl/>
              <w:spacing w:line="240" w:lineRule="auto"/>
              <w:ind w:firstLine="0" w:firstLineChars="0"/>
              <w:contextualSpacing/>
              <w:jc w:val="center"/>
              <w:rPr>
                <w:kern w:val="0"/>
                <w:sz w:val="21"/>
                <w:szCs w:val="21"/>
              </w:rPr>
            </w:pPr>
            <w:r>
              <w:rPr>
                <w:kern w:val="0"/>
                <w:sz w:val="21"/>
                <w:szCs w:val="21"/>
              </w:rPr>
              <w:t>水污染</w:t>
            </w: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混凝土拌合</w:t>
            </w:r>
            <w:r>
              <w:rPr>
                <w:rFonts w:hint="eastAsia"/>
                <w:kern w:val="0"/>
                <w:sz w:val="21"/>
                <w:szCs w:val="21"/>
              </w:rPr>
              <w:t>系统冲洗</w:t>
            </w:r>
            <w:r>
              <w:rPr>
                <w:kern w:val="0"/>
                <w:sz w:val="21"/>
                <w:szCs w:val="21"/>
              </w:rPr>
              <w:t>废水</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SS：5000mg/l</w:t>
            </w:r>
          </w:p>
          <w:p>
            <w:pPr>
              <w:widowControl/>
              <w:spacing w:line="240" w:lineRule="auto"/>
              <w:ind w:firstLine="0" w:firstLineChars="0"/>
              <w:contextualSpacing/>
              <w:jc w:val="center"/>
              <w:rPr>
                <w:kern w:val="0"/>
                <w:sz w:val="21"/>
                <w:szCs w:val="21"/>
              </w:rPr>
            </w:pPr>
            <w:r>
              <w:rPr>
                <w:kern w:val="0"/>
                <w:sz w:val="21"/>
                <w:szCs w:val="21"/>
              </w:rPr>
              <w:t>PH&gt;10</w:t>
            </w:r>
          </w:p>
        </w:tc>
        <w:tc>
          <w:tcPr>
            <w:tcW w:w="1692"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1.56</w:t>
            </w:r>
            <w:r>
              <w:rPr>
                <w:kern w:val="0"/>
                <w:sz w:val="21"/>
                <w:szCs w:val="21"/>
              </w:rPr>
              <w:t>万m</w:t>
            </w:r>
            <w:r>
              <w:rPr>
                <w:kern w:val="0"/>
                <w:sz w:val="21"/>
                <w:szCs w:val="21"/>
                <w:vertAlign w:val="superscript"/>
              </w:rPr>
              <w:t>3</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r>
              <w:rPr>
                <w:rFonts w:hint="eastAsia"/>
                <w:kern w:val="0"/>
                <w:sz w:val="21"/>
                <w:szCs w:val="21"/>
              </w:rPr>
              <w:t>灌区</w:t>
            </w:r>
            <w:r>
              <w:rPr>
                <w:kern w:val="0"/>
                <w:sz w:val="21"/>
                <w:szCs w:val="21"/>
              </w:rPr>
              <w:t>工程施工区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点源，不连续排放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含油废水</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SS，1000mg/L；石油类，100mg/L</w:t>
            </w:r>
          </w:p>
        </w:tc>
        <w:tc>
          <w:tcPr>
            <w:tcW w:w="1692" w:type="dxa"/>
            <w:vAlign w:val="center"/>
          </w:tcPr>
          <w:p>
            <w:pPr>
              <w:widowControl/>
              <w:spacing w:line="240" w:lineRule="auto"/>
              <w:ind w:firstLine="0" w:firstLineChars="0"/>
              <w:contextualSpacing/>
              <w:jc w:val="center"/>
              <w:rPr>
                <w:kern w:val="0"/>
                <w:sz w:val="21"/>
                <w:szCs w:val="21"/>
              </w:rPr>
            </w:pPr>
            <w:r>
              <w:rPr>
                <w:rFonts w:hint="eastAsia"/>
                <w:sz w:val="21"/>
                <w:szCs w:val="21"/>
              </w:rPr>
              <w:t>0.73</w:t>
            </w:r>
            <w:r>
              <w:rPr>
                <w:kern w:val="0"/>
                <w:sz w:val="21"/>
                <w:szCs w:val="21"/>
              </w:rPr>
              <w:t>万m</w:t>
            </w:r>
            <w:r>
              <w:rPr>
                <w:kern w:val="0"/>
                <w:sz w:val="21"/>
                <w:szCs w:val="21"/>
                <w:vertAlign w:val="superscript"/>
              </w:rPr>
              <w:t>3</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r>
              <w:rPr>
                <w:rFonts w:hint="eastAsia"/>
                <w:kern w:val="0"/>
                <w:sz w:val="21"/>
                <w:szCs w:val="21"/>
              </w:rPr>
              <w:t>灌区</w:t>
            </w:r>
            <w:r>
              <w:rPr>
                <w:kern w:val="0"/>
                <w:sz w:val="21"/>
                <w:szCs w:val="21"/>
              </w:rPr>
              <w:t>工程施工区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点源，不连续排放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基坑废水</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SS：5000mg/l</w:t>
            </w:r>
          </w:p>
          <w:p>
            <w:pPr>
              <w:widowControl/>
              <w:spacing w:line="240" w:lineRule="auto"/>
              <w:ind w:firstLine="0" w:firstLineChars="0"/>
              <w:contextualSpacing/>
              <w:jc w:val="center"/>
              <w:rPr>
                <w:kern w:val="0"/>
                <w:sz w:val="21"/>
                <w:szCs w:val="21"/>
              </w:rPr>
            </w:pPr>
            <w:r>
              <w:rPr>
                <w:kern w:val="0"/>
                <w:sz w:val="21"/>
                <w:szCs w:val="21"/>
              </w:rPr>
              <w:t>PH&gt;10</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8.16万m</w:t>
            </w:r>
            <w:r>
              <w:rPr>
                <w:kern w:val="0"/>
                <w:sz w:val="21"/>
                <w:szCs w:val="21"/>
                <w:vertAlign w:val="superscript"/>
              </w:rPr>
              <w:t>3</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点源，不连续排放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生活废水</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BOD，200mg/L；</w:t>
            </w:r>
          </w:p>
          <w:p>
            <w:pPr>
              <w:widowControl/>
              <w:spacing w:line="240" w:lineRule="auto"/>
              <w:ind w:firstLine="0" w:firstLineChars="0"/>
              <w:contextualSpacing/>
              <w:jc w:val="center"/>
              <w:rPr>
                <w:kern w:val="0"/>
                <w:sz w:val="21"/>
                <w:szCs w:val="21"/>
              </w:rPr>
            </w:pPr>
            <w:r>
              <w:rPr>
                <w:kern w:val="0"/>
                <w:sz w:val="21"/>
                <w:szCs w:val="21"/>
              </w:rPr>
              <w:t>COD，400mg/L；</w:t>
            </w:r>
          </w:p>
        </w:tc>
        <w:tc>
          <w:tcPr>
            <w:tcW w:w="1692"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3.12</w:t>
            </w:r>
            <w:r>
              <w:rPr>
                <w:kern w:val="0"/>
                <w:sz w:val="21"/>
                <w:szCs w:val="21"/>
              </w:rPr>
              <w:t>万m</w:t>
            </w:r>
            <w:r>
              <w:rPr>
                <w:kern w:val="0"/>
                <w:sz w:val="21"/>
                <w:szCs w:val="21"/>
                <w:vertAlign w:val="superscript"/>
              </w:rPr>
              <w:t>3</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r>
              <w:rPr>
                <w:rFonts w:hint="eastAsia"/>
                <w:kern w:val="0"/>
                <w:sz w:val="21"/>
                <w:szCs w:val="21"/>
              </w:rPr>
              <w:t>灌区</w:t>
            </w:r>
            <w:r>
              <w:rPr>
                <w:kern w:val="0"/>
                <w:sz w:val="21"/>
                <w:szCs w:val="21"/>
              </w:rPr>
              <w:t>工程施工区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点源，不连续排放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restart"/>
            <w:vAlign w:val="center"/>
          </w:tcPr>
          <w:p>
            <w:pPr>
              <w:widowControl/>
              <w:spacing w:line="240" w:lineRule="auto"/>
              <w:ind w:firstLine="0" w:firstLineChars="0"/>
              <w:contextualSpacing/>
              <w:jc w:val="center"/>
              <w:rPr>
                <w:kern w:val="0"/>
                <w:sz w:val="21"/>
                <w:szCs w:val="21"/>
              </w:rPr>
            </w:pPr>
            <w:r>
              <w:rPr>
                <w:kern w:val="0"/>
                <w:sz w:val="21"/>
                <w:szCs w:val="21"/>
              </w:rPr>
              <w:t>大气污染</w:t>
            </w: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燃油废气</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CO和NO</w:t>
            </w:r>
            <w:r>
              <w:rPr>
                <w:kern w:val="0"/>
                <w:sz w:val="21"/>
                <w:szCs w:val="21"/>
                <w:vertAlign w:val="subscript"/>
              </w:rPr>
              <w:t>X</w:t>
            </w:r>
            <w:r>
              <w:rPr>
                <w:kern w:val="0"/>
                <w:sz w:val="21"/>
                <w:szCs w:val="21"/>
              </w:rPr>
              <w:t>等废气</w:t>
            </w:r>
          </w:p>
        </w:tc>
        <w:tc>
          <w:tcPr>
            <w:tcW w:w="1692" w:type="dxa"/>
            <w:vAlign w:val="center"/>
          </w:tcPr>
          <w:p>
            <w:pPr>
              <w:widowControl/>
              <w:spacing w:line="240" w:lineRule="auto"/>
              <w:ind w:firstLine="0" w:firstLineChars="0"/>
              <w:contextualSpacing/>
              <w:jc w:val="center"/>
              <w:rPr>
                <w:kern w:val="0"/>
                <w:sz w:val="21"/>
                <w:szCs w:val="21"/>
              </w:rPr>
            </w:pPr>
            <w:r>
              <w:rPr>
                <w:sz w:val="21"/>
                <w:szCs w:val="21"/>
              </w:rPr>
              <w:t>NOx：8.3kg/h，CO：12.6kg/h</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r>
              <w:rPr>
                <w:rFonts w:hint="eastAsia"/>
                <w:kern w:val="0"/>
                <w:sz w:val="21"/>
                <w:szCs w:val="21"/>
              </w:rPr>
              <w:t>灌区</w:t>
            </w:r>
            <w:r>
              <w:rPr>
                <w:kern w:val="0"/>
                <w:sz w:val="21"/>
                <w:szCs w:val="21"/>
              </w:rPr>
              <w:t>工程施工区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施工爆破及开挖</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TSP</w:t>
            </w:r>
          </w:p>
        </w:tc>
        <w:tc>
          <w:tcPr>
            <w:tcW w:w="1692" w:type="dxa"/>
            <w:vAlign w:val="center"/>
          </w:tcPr>
          <w:p>
            <w:pPr>
              <w:widowControl/>
              <w:spacing w:line="240" w:lineRule="auto"/>
              <w:ind w:firstLine="0" w:firstLineChars="0"/>
              <w:contextualSpacing/>
              <w:jc w:val="center"/>
              <w:rPr>
                <w:kern w:val="0"/>
                <w:sz w:val="21"/>
                <w:szCs w:val="21"/>
              </w:rPr>
            </w:pPr>
            <w:r>
              <w:rPr>
                <w:sz w:val="21"/>
                <w:szCs w:val="21"/>
              </w:rPr>
              <w:t>粉尘17.24t、NOx1.27t</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运输扬尘</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扬尘</w:t>
            </w:r>
          </w:p>
        </w:tc>
        <w:tc>
          <w:tcPr>
            <w:tcW w:w="1692" w:type="dxa"/>
            <w:vAlign w:val="center"/>
          </w:tcPr>
          <w:p>
            <w:pPr>
              <w:widowControl/>
              <w:spacing w:line="240" w:lineRule="auto"/>
              <w:ind w:firstLine="0" w:firstLineChars="0"/>
              <w:contextualSpacing/>
              <w:jc w:val="center"/>
              <w:rPr>
                <w:kern w:val="0"/>
                <w:sz w:val="21"/>
                <w:szCs w:val="21"/>
              </w:rPr>
            </w:pPr>
            <w:r>
              <w:rPr>
                <w:sz w:val="21"/>
                <w:szCs w:val="21"/>
              </w:rPr>
              <w:t>10kg/d</w:t>
            </w:r>
          </w:p>
        </w:tc>
        <w:tc>
          <w:tcPr>
            <w:tcW w:w="1843" w:type="dxa"/>
            <w:vMerge w:val="restart"/>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r>
              <w:rPr>
                <w:rFonts w:hint="eastAsia"/>
                <w:kern w:val="0"/>
                <w:sz w:val="21"/>
                <w:szCs w:val="21"/>
              </w:rPr>
              <w:t>灌区</w:t>
            </w:r>
            <w:r>
              <w:rPr>
                <w:kern w:val="0"/>
                <w:sz w:val="21"/>
                <w:szCs w:val="21"/>
              </w:rPr>
              <w:t>工程施工区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无组织排放、线源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车辆尾气</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CO、THC、NO</w:t>
            </w:r>
            <w:r>
              <w:rPr>
                <w:kern w:val="0"/>
                <w:sz w:val="21"/>
                <w:szCs w:val="21"/>
                <w:vertAlign w:val="subscript"/>
              </w:rPr>
              <w:t>2</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CO：0.42t、THC：0.17t、NO</w:t>
            </w:r>
            <w:r>
              <w:rPr>
                <w:kern w:val="0"/>
                <w:sz w:val="21"/>
                <w:szCs w:val="21"/>
                <w:vertAlign w:val="subscript"/>
              </w:rPr>
              <w:t>2</w:t>
            </w:r>
            <w:r>
              <w:rPr>
                <w:kern w:val="0"/>
                <w:sz w:val="21"/>
                <w:szCs w:val="21"/>
              </w:rPr>
              <w:t>：0.84t</w:t>
            </w:r>
          </w:p>
        </w:tc>
        <w:tc>
          <w:tcPr>
            <w:tcW w:w="1843" w:type="dxa"/>
            <w:vMerge w:val="continue"/>
            <w:vAlign w:val="center"/>
          </w:tcPr>
          <w:p>
            <w:pPr>
              <w:widowControl/>
              <w:spacing w:line="240" w:lineRule="auto"/>
              <w:ind w:firstLine="0" w:firstLineChars="0"/>
              <w:contextualSpacing/>
              <w:jc w:val="center"/>
              <w:rPr>
                <w:kern w:val="0"/>
                <w:sz w:val="21"/>
                <w:szCs w:val="21"/>
              </w:rPr>
            </w:pP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无组织排放、线源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混凝土拌合系统粉尘</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粉尘</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0.36t</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施工作业面粉尘</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粉尘</w:t>
            </w:r>
          </w:p>
        </w:tc>
        <w:tc>
          <w:tcPr>
            <w:tcW w:w="1692"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193.1</w:t>
            </w:r>
            <w:r>
              <w:rPr>
                <w:kern w:val="0"/>
                <w:sz w:val="21"/>
                <w:szCs w:val="21"/>
              </w:rPr>
              <w:t>t</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无组织排放、面源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restart"/>
            <w:vAlign w:val="center"/>
          </w:tcPr>
          <w:p>
            <w:pPr>
              <w:widowControl/>
              <w:spacing w:line="240" w:lineRule="auto"/>
              <w:ind w:firstLine="0" w:firstLineChars="0"/>
              <w:contextualSpacing/>
              <w:jc w:val="center"/>
              <w:rPr>
                <w:kern w:val="0"/>
                <w:sz w:val="21"/>
                <w:szCs w:val="21"/>
              </w:rPr>
            </w:pPr>
            <w:r>
              <w:rPr>
                <w:kern w:val="0"/>
                <w:sz w:val="21"/>
                <w:szCs w:val="21"/>
              </w:rPr>
              <w:t>噪声污染</w:t>
            </w: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施工区噪声</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噪声</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90～110dB（A）</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施工场地</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施工爆破</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噪声</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125dB（A）</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间歇点源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交通噪声</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噪声</w:t>
            </w:r>
          </w:p>
        </w:tc>
        <w:tc>
          <w:tcPr>
            <w:tcW w:w="1692" w:type="dxa"/>
            <w:vAlign w:val="center"/>
          </w:tcPr>
          <w:p>
            <w:pPr>
              <w:widowControl/>
              <w:spacing w:line="240" w:lineRule="auto"/>
              <w:ind w:firstLine="0" w:firstLineChars="0"/>
              <w:contextualSpacing/>
              <w:jc w:val="center"/>
              <w:rPr>
                <w:kern w:val="0"/>
                <w:sz w:val="21"/>
                <w:szCs w:val="21"/>
              </w:rPr>
            </w:pPr>
            <w:r>
              <w:rPr>
                <w:kern w:val="0"/>
                <w:sz w:val="21"/>
                <w:szCs w:val="21"/>
              </w:rPr>
              <w:t>70～90dB（A）</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进场道路两侧</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线源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restart"/>
            <w:vAlign w:val="center"/>
          </w:tcPr>
          <w:p>
            <w:pPr>
              <w:widowControl/>
              <w:spacing w:line="240" w:lineRule="auto"/>
              <w:ind w:firstLine="0" w:firstLineChars="0"/>
              <w:contextualSpacing/>
              <w:jc w:val="center"/>
              <w:rPr>
                <w:kern w:val="0"/>
                <w:sz w:val="21"/>
                <w:szCs w:val="21"/>
              </w:rPr>
            </w:pPr>
            <w:r>
              <w:rPr>
                <w:kern w:val="0"/>
                <w:sz w:val="21"/>
                <w:szCs w:val="21"/>
              </w:rPr>
              <w:t>固废</w:t>
            </w:r>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生活办公区</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生活垃圾</w:t>
            </w:r>
          </w:p>
        </w:tc>
        <w:tc>
          <w:tcPr>
            <w:tcW w:w="1692" w:type="dxa"/>
            <w:vAlign w:val="center"/>
          </w:tcPr>
          <w:p>
            <w:pPr>
              <w:widowControl/>
              <w:spacing w:line="240" w:lineRule="auto"/>
              <w:ind w:firstLine="0" w:firstLineChars="0"/>
              <w:contextualSpacing/>
              <w:jc w:val="center"/>
              <w:rPr>
                <w:kern w:val="0"/>
                <w:sz w:val="21"/>
                <w:szCs w:val="21"/>
              </w:rPr>
            </w:pPr>
            <w:r>
              <w:rPr>
                <w:rFonts w:hint="eastAsia"/>
                <w:sz w:val="21"/>
                <w:szCs w:val="21"/>
              </w:rPr>
              <w:t>312.6</w:t>
            </w:r>
            <w:r>
              <w:rPr>
                <w:sz w:val="21"/>
                <w:szCs w:val="21"/>
              </w:rPr>
              <w:t>t</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生活营地</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间歇性排放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p>
        </w:tc>
        <w:tc>
          <w:tcPr>
            <w:tcW w:w="1163"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枢纽区及还建道路</w:t>
            </w:r>
          </w:p>
        </w:tc>
        <w:tc>
          <w:tcPr>
            <w:tcW w:w="1852" w:type="dxa"/>
            <w:vAlign w:val="center"/>
          </w:tcPr>
          <w:p>
            <w:pPr>
              <w:widowControl/>
              <w:spacing w:line="240" w:lineRule="auto"/>
              <w:ind w:firstLine="0" w:firstLineChars="0"/>
              <w:contextualSpacing/>
              <w:jc w:val="center"/>
              <w:rPr>
                <w:kern w:val="0"/>
                <w:sz w:val="21"/>
                <w:szCs w:val="21"/>
              </w:rPr>
            </w:pPr>
            <w:r>
              <w:rPr>
                <w:kern w:val="0"/>
                <w:sz w:val="21"/>
                <w:szCs w:val="21"/>
              </w:rPr>
              <w:t>弃渣</w:t>
            </w:r>
          </w:p>
        </w:tc>
        <w:tc>
          <w:tcPr>
            <w:tcW w:w="1692" w:type="dxa"/>
            <w:vAlign w:val="center"/>
          </w:tcPr>
          <w:p>
            <w:pPr>
              <w:widowControl/>
              <w:spacing w:line="240" w:lineRule="auto"/>
              <w:ind w:firstLine="0" w:firstLineChars="0"/>
              <w:contextualSpacing/>
              <w:jc w:val="center"/>
              <w:rPr>
                <w:kern w:val="0"/>
                <w:sz w:val="21"/>
                <w:szCs w:val="21"/>
              </w:rPr>
            </w:pPr>
            <w:r>
              <w:rPr>
                <w:sz w:val="21"/>
                <w:szCs w:val="21"/>
              </w:rPr>
              <w:t>9.34万m</w:t>
            </w:r>
            <w:r>
              <w:rPr>
                <w:sz w:val="21"/>
                <w:szCs w:val="21"/>
                <w:vertAlign w:val="superscript"/>
              </w:rPr>
              <w:t>3</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pPr>
              <w:widowControl/>
              <w:spacing w:line="240" w:lineRule="auto"/>
              <w:ind w:firstLine="0" w:firstLineChars="0"/>
              <w:contextualSpacing/>
              <w:jc w:val="center"/>
              <w:rPr>
                <w:kern w:val="0"/>
                <w:sz w:val="21"/>
                <w:szCs w:val="21"/>
              </w:rPr>
            </w:pPr>
            <w:bookmarkStart w:id="402" w:name="_Toc41977682"/>
          </w:p>
        </w:tc>
        <w:tc>
          <w:tcPr>
            <w:tcW w:w="1163" w:type="dxa"/>
            <w:vAlign w:val="center"/>
          </w:tcPr>
          <w:p>
            <w:pPr>
              <w:widowControl/>
              <w:spacing w:line="240" w:lineRule="auto"/>
              <w:ind w:firstLine="0" w:firstLineChars="0"/>
              <w:contextualSpacing/>
              <w:jc w:val="center"/>
              <w:rPr>
                <w:kern w:val="0"/>
                <w:sz w:val="21"/>
                <w:szCs w:val="21"/>
              </w:rPr>
            </w:pPr>
            <w:r>
              <w:rPr>
                <w:kern w:val="0"/>
                <w:sz w:val="21"/>
                <w:szCs w:val="21"/>
              </w:rPr>
              <w:t>机械</w:t>
            </w:r>
            <w:r>
              <w:rPr>
                <w:rFonts w:hint="eastAsia"/>
                <w:kern w:val="0"/>
                <w:sz w:val="21"/>
                <w:szCs w:val="21"/>
              </w:rPr>
              <w:t>保养</w:t>
            </w:r>
          </w:p>
        </w:tc>
        <w:tc>
          <w:tcPr>
            <w:tcW w:w="1852"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危险</w:t>
            </w:r>
            <w:r>
              <w:rPr>
                <w:kern w:val="0"/>
                <w:sz w:val="21"/>
                <w:szCs w:val="21"/>
              </w:rPr>
              <w:t>废物</w:t>
            </w:r>
          </w:p>
        </w:tc>
        <w:tc>
          <w:tcPr>
            <w:tcW w:w="1692" w:type="dxa"/>
            <w:vAlign w:val="center"/>
          </w:tcPr>
          <w:p>
            <w:pPr>
              <w:widowControl/>
              <w:spacing w:line="240" w:lineRule="auto"/>
              <w:ind w:firstLine="0" w:firstLineChars="0"/>
              <w:contextualSpacing/>
              <w:jc w:val="center"/>
              <w:rPr>
                <w:sz w:val="21"/>
                <w:szCs w:val="21"/>
              </w:rPr>
            </w:pPr>
            <w:r>
              <w:rPr>
                <w:sz w:val="21"/>
                <w:szCs w:val="21"/>
              </w:rPr>
              <w:t>0.</w:t>
            </w:r>
            <w:r>
              <w:rPr>
                <w:rFonts w:hint="eastAsia"/>
                <w:sz w:val="21"/>
                <w:szCs w:val="21"/>
              </w:rPr>
              <w:t>5</w:t>
            </w:r>
            <w:r>
              <w:rPr>
                <w:sz w:val="21"/>
                <w:szCs w:val="21"/>
              </w:rPr>
              <w:t>t</w:t>
            </w:r>
          </w:p>
        </w:tc>
        <w:tc>
          <w:tcPr>
            <w:tcW w:w="1843" w:type="dxa"/>
            <w:vAlign w:val="center"/>
          </w:tcPr>
          <w:p>
            <w:pPr>
              <w:widowControl/>
              <w:spacing w:line="240" w:lineRule="auto"/>
              <w:ind w:firstLine="0" w:firstLineChars="0"/>
              <w:contextualSpacing/>
              <w:jc w:val="center"/>
              <w:rPr>
                <w:kern w:val="0"/>
                <w:sz w:val="21"/>
                <w:szCs w:val="21"/>
              </w:rPr>
            </w:pPr>
            <w:r>
              <w:rPr>
                <w:kern w:val="0"/>
                <w:sz w:val="21"/>
                <w:szCs w:val="21"/>
              </w:rPr>
              <w:t>枢纽</w:t>
            </w:r>
            <w:r>
              <w:rPr>
                <w:rFonts w:hint="eastAsia"/>
                <w:kern w:val="0"/>
                <w:sz w:val="21"/>
                <w:szCs w:val="21"/>
              </w:rPr>
              <w:t>工程</w:t>
            </w:r>
            <w:r>
              <w:rPr>
                <w:kern w:val="0"/>
                <w:sz w:val="21"/>
                <w:szCs w:val="21"/>
              </w:rPr>
              <w:t>施工区</w:t>
            </w:r>
          </w:p>
        </w:tc>
        <w:tc>
          <w:tcPr>
            <w:tcW w:w="1326" w:type="dxa"/>
            <w:vAlign w:val="center"/>
          </w:tcPr>
          <w:p>
            <w:pPr>
              <w:widowControl/>
              <w:spacing w:line="240" w:lineRule="auto"/>
              <w:ind w:firstLine="0" w:firstLineChars="0"/>
              <w:contextualSpacing/>
              <w:jc w:val="center"/>
              <w:rPr>
                <w:kern w:val="0"/>
                <w:sz w:val="21"/>
                <w:szCs w:val="21"/>
              </w:rPr>
            </w:pPr>
            <w:r>
              <w:rPr>
                <w:kern w:val="0"/>
                <w:sz w:val="21"/>
                <w:szCs w:val="21"/>
              </w:rPr>
              <w:t>间歇性排放</w:t>
            </w:r>
          </w:p>
        </w:tc>
      </w:tr>
    </w:tbl>
    <w:p>
      <w:pPr>
        <w:pStyle w:val="4"/>
        <w:ind w:firstLine="0" w:firstLineChars="0"/>
        <w:contextualSpacing/>
      </w:pPr>
      <w:bookmarkStart w:id="403" w:name="_Toc17812"/>
      <w:bookmarkStart w:id="404" w:name="_Toc130753420"/>
      <w:bookmarkStart w:id="405" w:name="_Toc22202"/>
      <w:bookmarkStart w:id="406" w:name="_Toc73"/>
      <w:bookmarkStart w:id="407" w:name="_Toc4886"/>
      <w:r>
        <w:t>3.4工程运行影响源分析</w:t>
      </w:r>
      <w:bookmarkEnd w:id="402"/>
      <w:bookmarkEnd w:id="403"/>
      <w:bookmarkEnd w:id="404"/>
      <w:bookmarkEnd w:id="405"/>
      <w:bookmarkEnd w:id="406"/>
      <w:bookmarkEnd w:id="407"/>
    </w:p>
    <w:p>
      <w:pPr>
        <w:widowControl/>
        <w:ind w:firstLine="480"/>
        <w:contextualSpacing/>
        <w:jc w:val="left"/>
      </w:pPr>
      <w:bookmarkStart w:id="408" w:name="_Toc13390"/>
      <w:bookmarkStart w:id="409" w:name="_Toc4014"/>
      <w:bookmarkStart w:id="410" w:name="_Toc7894"/>
      <w:r>
        <w:rPr>
          <w:kern w:val="0"/>
        </w:rPr>
        <w:t>水库工程运行期产生的环境影响源主要为：通过水库调蓄，使得区域水资源配置发生改变，解决了灌区缺水和生活供水问题；水库调蓄引发的河流水文情势的变化，以及由此引发的下游河道水环境和生态环境变化；大坝阻隔将对鱼类的繁殖、生长产生一定的不利影响；另外，水库淹没、工程占地等将引起工程区土地利用格局变化以及由此引发的生态系统变化。拟建长征渠建成后，其外调水量至寒溪寺调蓄，对区域水资源配置、库区及坝址下游水文情势、水生生态均会产生一定的影响。</w:t>
      </w:r>
    </w:p>
    <w:p>
      <w:pPr>
        <w:pStyle w:val="5"/>
        <w:ind w:firstLine="0" w:firstLineChars="0"/>
        <w:contextualSpacing/>
        <w:rPr>
          <w:rFonts w:ascii="Times New Roman" w:hAnsi="Times New Roman"/>
        </w:rPr>
      </w:pPr>
      <w:r>
        <w:rPr>
          <w:rFonts w:ascii="Times New Roman" w:hAnsi="Times New Roman"/>
        </w:rPr>
        <w:t>3.4.1</w:t>
      </w:r>
      <w:bookmarkEnd w:id="408"/>
      <w:bookmarkEnd w:id="409"/>
      <w:bookmarkEnd w:id="410"/>
      <w:r>
        <w:rPr>
          <w:rFonts w:ascii="Times New Roman" w:hAnsi="Times New Roman"/>
        </w:rPr>
        <w:t>水文情势</w:t>
      </w:r>
    </w:p>
    <w:p>
      <w:pPr>
        <w:widowControl/>
        <w:ind w:firstLine="480"/>
        <w:contextualSpacing/>
        <w:jc w:val="left"/>
        <w:rPr>
          <w:kern w:val="0"/>
        </w:rPr>
      </w:pPr>
      <w:r>
        <w:rPr>
          <w:kern w:val="0"/>
        </w:rPr>
        <w:t>（1）库区水文情势</w:t>
      </w:r>
    </w:p>
    <w:p>
      <w:pPr>
        <w:widowControl/>
        <w:ind w:firstLine="480"/>
        <w:contextualSpacing/>
        <w:jc w:val="left"/>
      </w:pPr>
      <w:r>
        <w:t>水库建成后，大坝阻隔河道，库区水位壅高，水深增大，水面比降变缓，从库尾至坝前随着水深沿程的增加而流速减小，至坝前达到最小，在水库局部岸边可能会有回流。</w:t>
      </w:r>
    </w:p>
    <w:p>
      <w:pPr>
        <w:widowControl/>
        <w:ind w:firstLine="480"/>
        <w:contextualSpacing/>
        <w:jc w:val="left"/>
        <w:rPr>
          <w:kern w:val="0"/>
        </w:rPr>
      </w:pPr>
      <w:r>
        <w:rPr>
          <w:kern w:val="0"/>
        </w:rPr>
        <w:t>（2）坝下水文情势</w:t>
      </w:r>
    </w:p>
    <w:p>
      <w:pPr>
        <w:widowControl/>
        <w:ind w:firstLine="480"/>
        <w:contextualSpacing/>
        <w:jc w:val="left"/>
        <w:rPr>
          <w:kern w:val="0"/>
        </w:rPr>
      </w:pPr>
      <w:r>
        <w:rPr>
          <w:rFonts w:hint="eastAsia" w:ascii="宋体" w:hAnsi="宋体" w:cs="宋体"/>
          <w:kern w:val="0"/>
        </w:rPr>
        <w:t>①</w:t>
      </w:r>
      <w:r>
        <w:rPr>
          <w:kern w:val="0"/>
        </w:rPr>
        <w:t>水库初期蓄水</w:t>
      </w:r>
    </w:p>
    <w:p>
      <w:pPr>
        <w:widowControl/>
        <w:ind w:firstLine="480"/>
        <w:contextualSpacing/>
        <w:jc w:val="left"/>
        <w:rPr>
          <w:kern w:val="0"/>
        </w:rPr>
      </w:pPr>
      <w:r>
        <w:rPr>
          <w:kern w:val="0"/>
        </w:rPr>
        <w:t>根据本工程初期蓄水进度安排</w:t>
      </w:r>
      <w:r>
        <w:rPr>
          <w:rFonts w:hint="eastAsia"/>
          <w:kern w:val="0"/>
        </w:rPr>
        <w:t>：</w:t>
      </w:r>
    </w:p>
    <w:p>
      <w:pPr>
        <w:widowControl/>
        <w:ind w:firstLine="480"/>
        <w:contextualSpacing/>
        <w:jc w:val="left"/>
        <w:rPr>
          <w:rFonts w:hint="eastAsia"/>
          <w:kern w:val="0"/>
        </w:rPr>
      </w:pPr>
      <w:r>
        <w:rPr>
          <w:rFonts w:hint="eastAsia"/>
          <w:kern w:val="0"/>
        </w:rPr>
        <w:t>在P=95%枯水年份，在7月下闸蓄水，蓄水时应适度开启生态放水洞，保证下游生态用水要求（0.0084m3/s），当年8月即可蓄至死水位669.0m（库容15.8万m3），但蓄水一年后只能蓄至水位674.00m，库容约64万m3）；</w:t>
      </w:r>
    </w:p>
    <w:p>
      <w:pPr>
        <w:widowControl/>
        <w:ind w:firstLine="480"/>
        <w:contextualSpacing/>
        <w:jc w:val="left"/>
        <w:rPr>
          <w:rFonts w:hint="eastAsia"/>
          <w:kern w:val="0"/>
        </w:rPr>
      </w:pPr>
      <w:r>
        <w:rPr>
          <w:rFonts w:hint="eastAsia"/>
          <w:kern w:val="0"/>
        </w:rPr>
        <w:t>在P=70%枯水年份，在7月下闸蓄水，当年7月即可蓄至死水位669.0m（库容15.8万m3），蓄水一年后可蓄至水位685.00m，库容约157万m3；</w:t>
      </w:r>
    </w:p>
    <w:p>
      <w:pPr>
        <w:widowControl/>
        <w:ind w:firstLine="480"/>
        <w:contextualSpacing/>
        <w:jc w:val="left"/>
        <w:rPr>
          <w:rFonts w:hint="eastAsia"/>
          <w:kern w:val="0"/>
        </w:rPr>
      </w:pPr>
      <w:r>
        <w:rPr>
          <w:rFonts w:hint="eastAsia"/>
          <w:kern w:val="0"/>
        </w:rPr>
        <w:t>在P=50%平水年份，在7月下闸蓄水，当年7月即可蓄至死水位669.0m（库容15.8万m3），蓄水一年后可蓄至水位691.00m，库容约244万m3；</w:t>
      </w:r>
    </w:p>
    <w:p>
      <w:pPr>
        <w:widowControl/>
        <w:ind w:firstLine="480"/>
        <w:contextualSpacing/>
        <w:jc w:val="left"/>
        <w:rPr>
          <w:rFonts w:hint="eastAsia"/>
          <w:kern w:val="0"/>
        </w:rPr>
      </w:pPr>
      <w:r>
        <w:rPr>
          <w:rFonts w:hint="eastAsia"/>
          <w:kern w:val="0"/>
        </w:rPr>
        <w:t>在P=30%丰水年份，在7月下闸蓄水，当年7月即可蓄至死水位669.0m（库容15.8万m3），蓄水一年后可蓄至水位694.00m，库容约295万m3；</w:t>
      </w:r>
    </w:p>
    <w:p>
      <w:pPr>
        <w:widowControl/>
        <w:ind w:firstLine="480"/>
        <w:contextualSpacing/>
        <w:jc w:val="left"/>
        <w:rPr>
          <w:kern w:val="0"/>
        </w:rPr>
      </w:pPr>
      <w:r>
        <w:rPr>
          <w:rFonts w:hint="eastAsia"/>
          <w:kern w:val="0"/>
        </w:rPr>
        <w:t>在P=5%丰水年份，在7月下闸蓄水，当年7月即可蓄至死水位669.0m（库容15.8万m3），蓄水约11个月至次年5月可蓄水至正常蓄水位695.00m，库容约313.6万m3。</w:t>
      </w:r>
    </w:p>
    <w:p>
      <w:pPr>
        <w:widowControl/>
        <w:ind w:firstLine="480"/>
        <w:contextualSpacing/>
        <w:jc w:val="left"/>
        <w:rPr>
          <w:kern w:val="0"/>
        </w:rPr>
      </w:pPr>
      <w:r>
        <w:rPr>
          <w:rFonts w:hint="eastAsia" w:ascii="宋体" w:hAnsi="宋体" w:cs="宋体"/>
          <w:kern w:val="0"/>
        </w:rPr>
        <w:t>②</w:t>
      </w:r>
      <w:r>
        <w:rPr>
          <w:kern w:val="0"/>
        </w:rPr>
        <w:t>水库运行</w:t>
      </w:r>
    </w:p>
    <w:p>
      <w:pPr>
        <w:widowControl/>
        <w:ind w:firstLine="480"/>
        <w:contextualSpacing/>
        <w:jc w:val="left"/>
        <w:rPr>
          <w:rFonts w:hint="eastAsia"/>
          <w:kern w:val="0"/>
        </w:rPr>
      </w:pPr>
      <w:r>
        <w:rPr>
          <w:rFonts w:hint="eastAsia"/>
          <w:kern w:val="0"/>
        </w:rPr>
        <w:t>1）水库兴利调度</w:t>
      </w:r>
    </w:p>
    <w:p>
      <w:pPr>
        <w:widowControl/>
        <w:ind w:firstLine="480"/>
        <w:contextualSpacing/>
        <w:jc w:val="left"/>
        <w:rPr>
          <w:rFonts w:hint="eastAsia"/>
          <w:kern w:val="0"/>
        </w:rPr>
      </w:pPr>
      <w:r>
        <w:rPr>
          <w:rFonts w:hint="eastAsia"/>
          <w:kern w:val="0"/>
        </w:rPr>
        <w:t>根据水库来水和蓄水状况，在优先下泄河道内生态用水的条件下，按照水库开发任务，水库供水次序由各用水部门供水设计保证率决定，依次为场镇供水、农村人畜供水、灌溉。</w:t>
      </w:r>
    </w:p>
    <w:p>
      <w:pPr>
        <w:widowControl/>
        <w:ind w:firstLine="480"/>
        <w:contextualSpacing/>
        <w:jc w:val="left"/>
        <w:rPr>
          <w:rFonts w:hint="eastAsia"/>
          <w:kern w:val="0"/>
        </w:rPr>
      </w:pPr>
      <w:r>
        <w:rPr>
          <w:rFonts w:hint="eastAsia"/>
          <w:kern w:val="0"/>
        </w:rPr>
        <w:t>正常情况下，水库按需水过程供水，当来水大于供水，水库蓄水，库水位上升，当水库水位达到正常蓄水位695.00m时，水库按防洪运用方式运行；当来水小于供水，则动用水库库容，库水位下降，当库水位降落至死水位669.00m时，供水开始破坏。</w:t>
      </w:r>
    </w:p>
    <w:p>
      <w:pPr>
        <w:widowControl/>
        <w:ind w:firstLine="480"/>
        <w:contextualSpacing/>
        <w:jc w:val="left"/>
        <w:rPr>
          <w:rFonts w:hint="eastAsia"/>
          <w:kern w:val="0"/>
        </w:rPr>
      </w:pPr>
      <w:r>
        <w:rPr>
          <w:rFonts w:hint="eastAsia"/>
          <w:kern w:val="0"/>
        </w:rPr>
        <w:t>2）水库防洪调度</w:t>
      </w:r>
    </w:p>
    <w:p>
      <w:pPr>
        <w:widowControl/>
        <w:ind w:firstLine="480"/>
        <w:contextualSpacing/>
        <w:jc w:val="left"/>
        <w:rPr>
          <w:rFonts w:hint="eastAsia"/>
          <w:kern w:val="0"/>
        </w:rPr>
      </w:pPr>
      <w:r>
        <w:rPr>
          <w:rFonts w:hint="eastAsia"/>
          <w:kern w:val="0"/>
        </w:rPr>
        <w:t>本工程泄洪建筑采用侧槽式溢洪道，上下游无防洪保护目标，不设汛限水位。</w:t>
      </w:r>
    </w:p>
    <w:p>
      <w:pPr>
        <w:widowControl/>
        <w:ind w:firstLine="480"/>
        <w:contextualSpacing/>
        <w:jc w:val="left"/>
        <w:rPr>
          <w:rFonts w:hint="eastAsia"/>
          <w:kern w:val="0"/>
        </w:rPr>
      </w:pPr>
      <w:r>
        <w:rPr>
          <w:rFonts w:hint="eastAsia"/>
          <w:kern w:val="0"/>
        </w:rPr>
        <w:t>水库调洪从正常蓄水位起调。在涨水段，在涨水段，随来水量的增大，库水位上涨，泄流能力也增大；在退水段，当来水大于该水位的下泄能力时，库水位继续升高，当来水与泄流能力相等时，库水位达到最高，其后随来水减小，库水位降低，直至水位降至正常蓄水位，停止溢流。</w:t>
      </w:r>
    </w:p>
    <w:p>
      <w:pPr>
        <w:widowControl/>
        <w:ind w:firstLine="480"/>
        <w:contextualSpacing/>
        <w:jc w:val="left"/>
        <w:rPr>
          <w:rFonts w:hint="eastAsia"/>
          <w:kern w:val="0"/>
        </w:rPr>
      </w:pPr>
      <w:r>
        <w:rPr>
          <w:rFonts w:hint="eastAsia"/>
          <w:kern w:val="0"/>
        </w:rPr>
        <w:t>3）水库兴利调度图</w:t>
      </w:r>
    </w:p>
    <w:p>
      <w:pPr>
        <w:widowControl/>
        <w:ind w:firstLine="480"/>
        <w:contextualSpacing/>
        <w:jc w:val="left"/>
        <w:rPr>
          <w:kern w:val="0"/>
        </w:rPr>
      </w:pPr>
      <w:r>
        <w:rPr>
          <w:rFonts w:hint="eastAsia"/>
          <w:kern w:val="0"/>
        </w:rPr>
        <w:t>水库为多年调节水库，根据《水库调度设计规范》（GB/T50587-2010），多年调节水库宜按时历法绘制调度图：将长系列调节计算成果中灌溉或供水设计保证率以内年份的同时段水位，点绘在同一图上，其上包线为初步上基本调度线（保证供水线），下包线为初步下基本调度线（降低供水线），上、下包线之间即为保证供水区。</w:t>
      </w:r>
    </w:p>
    <w:p>
      <w:pPr>
        <w:pStyle w:val="5"/>
        <w:ind w:firstLine="0" w:firstLineChars="0"/>
        <w:contextualSpacing/>
        <w:rPr>
          <w:rFonts w:ascii="Times New Roman" w:hAnsi="Times New Roman"/>
        </w:rPr>
      </w:pPr>
      <w:r>
        <w:rPr>
          <w:rFonts w:ascii="Times New Roman" w:hAnsi="Times New Roman"/>
        </w:rPr>
        <w:t>3.4.2水温</w:t>
      </w:r>
    </w:p>
    <w:p>
      <w:pPr>
        <w:pStyle w:val="10"/>
        <w:ind w:firstLine="476"/>
        <w:contextualSpacing/>
      </w:pPr>
      <w:r>
        <w:rPr>
          <w:spacing w:val="-2"/>
        </w:rPr>
        <w:t>寒溪寺水库坝址处多年平均流量为0.084m</w:t>
      </w:r>
      <w:r>
        <w:rPr>
          <w:spacing w:val="-2"/>
          <w:vertAlign w:val="superscript"/>
        </w:rPr>
        <w:t>3</w:t>
      </w:r>
      <w:r>
        <w:rPr>
          <w:spacing w:val="-2"/>
        </w:rPr>
        <w:t>/s，多年平均径流量264.6万m</w:t>
      </w:r>
      <w:r>
        <w:rPr>
          <w:spacing w:val="-2"/>
          <w:vertAlign w:val="superscript"/>
        </w:rPr>
        <w:t>3</w:t>
      </w:r>
      <w:r>
        <w:rPr>
          <w:spacing w:val="-2"/>
        </w:rPr>
        <w:t>，总库容337.7万m</w:t>
      </w:r>
      <w:r>
        <w:rPr>
          <w:spacing w:val="-2"/>
          <w:vertAlign w:val="superscript"/>
        </w:rPr>
        <w:t>3</w:t>
      </w:r>
      <w:r>
        <w:rPr>
          <w:spacing w:val="-2"/>
        </w:rPr>
        <w:t>，5年一遇、20年一遇3d洪水量分别为37.4万m</w:t>
      </w:r>
      <w:r>
        <w:rPr>
          <w:spacing w:val="-2"/>
          <w:vertAlign w:val="superscript"/>
        </w:rPr>
        <w:t>3</w:t>
      </w:r>
      <w:r>
        <w:rPr>
          <w:spacing w:val="-2"/>
        </w:rPr>
        <w:t>、62.8万m</w:t>
      </w:r>
      <w:r>
        <w:rPr>
          <w:spacing w:val="-2"/>
          <w:vertAlign w:val="superscript"/>
        </w:rPr>
        <w:t>3</w:t>
      </w:r>
      <w:r>
        <w:rPr>
          <w:spacing w:val="-2"/>
        </w:rPr>
        <w:t>。</w:t>
      </w:r>
      <w:r>
        <w:t>判别指标计算式为：</w:t>
      </w:r>
    </w:p>
    <w:p>
      <w:pPr>
        <w:pStyle w:val="83"/>
        <w:adjustRightInd/>
        <w:snapToGrid/>
        <w:spacing w:line="240" w:lineRule="auto"/>
        <w:ind w:right="238" w:firstLine="480"/>
        <w:contextualSpacing/>
        <w:jc w:val="center"/>
        <w:rPr>
          <w:rFonts w:cs="Times New Roman"/>
          <w:szCs w:val="24"/>
        </w:rPr>
      </w:pPr>
      <w:r>
        <w:rPr>
          <w:rFonts w:cs="Times New Roman"/>
        </w:rPr>
        <w:pict>
          <v:shape id="_x0000_i1026" o:spt="75" type="#_x0000_t75" style="height:30.1pt;width:95.55pt;" filled="f" o:preferrelative="t" stroked="f" coordsize="21600,21600">
            <v:path/>
            <v:fill on="f" focussize="0,0"/>
            <v:stroke on="f" joinstyle="miter"/>
            <v:imagedata r:id="rId46" chromakey="#FFFFFF" o:title=""/>
            <o:lock v:ext="edit" aspectratio="t"/>
            <w10:wrap type="none"/>
            <w10:anchorlock/>
          </v:shape>
        </w:pict>
      </w:r>
      <w:r>
        <w:rPr>
          <w:rFonts w:cs="Times New Roman"/>
        </w:rPr>
        <w:pict>
          <v:shape id="_x0000_i1027" o:spt="75" type="#_x0000_t75" style="height:27.5pt;width:66.1pt;" filled="f" o:preferrelative="t" stroked="f" coordsize="21600,21600">
            <v:path/>
            <v:fill on="f" focussize="0,0"/>
            <v:stroke on="f" joinstyle="miter"/>
            <v:imagedata r:id="rId47" chromakey="#FFFFFF" o:title=""/>
            <o:lock v:ext="edit" aspectratio="t"/>
            <w10:wrap type="none"/>
            <w10:anchorlock/>
          </v:shape>
        </w:pict>
      </w:r>
    </w:p>
    <w:p>
      <w:pPr>
        <w:tabs>
          <w:tab w:val="left" w:pos="6237"/>
        </w:tabs>
        <w:ind w:firstLine="480"/>
        <w:contextualSpacing/>
      </w:pPr>
      <w:r>
        <w:t>当α&lt;10时，水库水温为分层型；当10&lt;α&lt;20时，水库水温为过渡型；当α&gt;20时，水库水温为混合型。</w:t>
      </w:r>
    </w:p>
    <w:p>
      <w:pPr>
        <w:tabs>
          <w:tab w:val="left" w:pos="6237"/>
        </w:tabs>
        <w:ind w:firstLine="480"/>
        <w:contextualSpacing/>
      </w:pPr>
      <w:r>
        <w:t>经计算，寒溪寺水库α=0.78，可判断水库水温为分层型。遇5年一遇、20年一遇3d洪水量时，其相应β值分别为0.11、0.19，均小于1。水库具有多年调节性能。预测水库水温分层，</w:t>
      </w:r>
      <w:r>
        <w:rPr>
          <w:lang w:bidi="en-US"/>
        </w:rPr>
        <w:t>水温在3～9月分层较强，其余月份分层较弱，</w:t>
      </w:r>
      <w:r>
        <w:t>升温期水库表面水温明显高于中下层水温，而出现温度分层。</w:t>
      </w:r>
    </w:p>
    <w:p>
      <w:pPr>
        <w:tabs>
          <w:tab w:val="left" w:pos="6237"/>
        </w:tabs>
        <w:ind w:firstLine="480"/>
        <w:contextualSpacing/>
      </w:pPr>
      <w:r>
        <w:rPr>
          <w:rFonts w:hint="eastAsia"/>
        </w:rPr>
        <w:t>经过初设阶段左岸取水放空隧洞的水力计算，其取水能力完全能满足灌区用水要求，对于分层取水，在灌区春灌时，左右岸取水隧洞取水口基本都是在水下20m以下，水温基本恒定，分层取水作用不大。因此项目未采取分层取水措施。</w:t>
      </w:r>
    </w:p>
    <w:p>
      <w:pPr>
        <w:pStyle w:val="5"/>
        <w:ind w:firstLine="0" w:firstLineChars="0"/>
        <w:contextualSpacing/>
        <w:rPr>
          <w:rFonts w:ascii="Times New Roman" w:hAnsi="Times New Roman"/>
        </w:rPr>
      </w:pPr>
      <w:bookmarkStart w:id="411" w:name="_Toc25642"/>
      <w:bookmarkStart w:id="412" w:name="_Toc19822"/>
      <w:bookmarkStart w:id="413" w:name="_Toc13135"/>
      <w:r>
        <w:rPr>
          <w:rFonts w:ascii="Times New Roman" w:hAnsi="Times New Roman"/>
        </w:rPr>
        <w:t>3.4.3地表水环境</w:t>
      </w:r>
    </w:p>
    <w:p>
      <w:pPr>
        <w:ind w:firstLine="0" w:firstLineChars="0"/>
        <w:contextualSpacing/>
        <w:outlineLvl w:val="3"/>
        <w:rPr>
          <w:b/>
          <w:bCs/>
        </w:rPr>
      </w:pPr>
      <w:r>
        <w:rPr>
          <w:b/>
          <w:bCs/>
        </w:rPr>
        <w:t>3.4.3.1初期蓄水库区水质影响</w:t>
      </w:r>
    </w:p>
    <w:p>
      <w:pPr>
        <w:ind w:firstLine="480"/>
        <w:contextualSpacing/>
      </w:pPr>
      <w:r>
        <w:rPr>
          <w:kern w:val="10"/>
        </w:rPr>
        <w:t>水库蓄水将淹没正常蓄水位以下的植被、土地，植物腐烂等将释放出有机物质，土地浸泡而使化肥和农药流失，增加水库 N、P 等有机污染物。由于大坝阻隔，河流的漂浮物、悬浮物等积存在水库内或沉入库底，物质腐烂将释放出有机物质。水库营养物质的增加，对水体水质将可能产生影响。</w:t>
      </w:r>
    </w:p>
    <w:p>
      <w:pPr>
        <w:ind w:firstLine="0" w:firstLineChars="0"/>
        <w:contextualSpacing/>
        <w:outlineLvl w:val="3"/>
        <w:rPr>
          <w:b/>
          <w:bCs/>
        </w:rPr>
      </w:pPr>
      <w:r>
        <w:rPr>
          <w:b/>
          <w:bCs/>
        </w:rPr>
        <w:t>3.4.3.2水库水质影响</w:t>
      </w:r>
    </w:p>
    <w:p>
      <w:pPr>
        <w:pStyle w:val="10"/>
        <w:ind w:firstLine="480"/>
        <w:contextualSpacing/>
      </w:pPr>
      <w:r>
        <w:rPr>
          <w:kern w:val="10"/>
        </w:rPr>
        <w:t>运行期枢纽工程本身不存在污染物排放，水库蓄水后一方面水面变宽，水体流速变缓，水中悬浮物沉降较快，水体透明度会增大；另一方面，由于库区水体水深增大，流速变缓，水面坡降变小，横向扩散系数和污染物降解系数都相应减小，从而降低污染物的扩散、净化能力，污染物排放后污染带的长度将变长，排放口下游断面浓度平均值较建库前会有小幅提高，但在经过一段距离的扩散后，与建库前基本趋向一致。受库水顶托作用，在库尾局部河段和支流汇合口区域可能形成岸边污染带，水质状况较天然状态稍有下降。但总体上寒溪寺</w:t>
      </w:r>
      <w:r>
        <w:t>水库水质不会向富营养程度状态转化。</w:t>
      </w:r>
    </w:p>
    <w:p>
      <w:pPr>
        <w:ind w:firstLine="0" w:firstLineChars="0"/>
        <w:contextualSpacing/>
        <w:outlineLvl w:val="3"/>
        <w:rPr>
          <w:b/>
          <w:bCs/>
        </w:rPr>
      </w:pPr>
      <w:r>
        <w:rPr>
          <w:b/>
          <w:bCs/>
        </w:rPr>
        <w:t>3.4.3.3下游河道水质影响</w:t>
      </w:r>
    </w:p>
    <w:p>
      <w:pPr>
        <w:pStyle w:val="10"/>
        <w:ind w:firstLine="480"/>
        <w:contextualSpacing/>
      </w:pPr>
      <w:r>
        <w:rPr>
          <w:rFonts w:hint="eastAsia"/>
          <w:kern w:val="10"/>
        </w:rPr>
        <w:t>寒溪寺</w:t>
      </w:r>
      <w:r>
        <w:rPr>
          <w:kern w:val="10"/>
        </w:rPr>
        <w:t>水库</w:t>
      </w:r>
      <w:r>
        <w:t>具有多年调节性能</w:t>
      </w:r>
      <w:r>
        <w:rPr>
          <w:kern w:val="10"/>
        </w:rPr>
        <w:t>。工程运行后，通过水库枢纽取水，向受水区提供灌溉和生活用水，</w:t>
      </w:r>
      <w:r>
        <w:t>丰、平、枯代表年下游河道各月均发生减水，河道内水体水深减少，流速降低，自净能力下降，水环境容量受到影响。主要受影响的河段为坝址至下游</w:t>
      </w:r>
      <w:r>
        <w:rPr>
          <w:rFonts w:hint="eastAsia"/>
        </w:rPr>
        <w:t>寒溪寺水库</w:t>
      </w:r>
      <w:r>
        <w:t>之间的河段，</w:t>
      </w:r>
      <w:r>
        <w:rPr>
          <w:rFonts w:hint="eastAsia"/>
        </w:rPr>
        <w:t>寒溪寺水库</w:t>
      </w:r>
      <w:r>
        <w:t>下游河道流量得到一定程度改善。</w:t>
      </w:r>
    </w:p>
    <w:p>
      <w:pPr>
        <w:ind w:firstLine="480"/>
        <w:contextualSpacing/>
        <w:rPr>
          <w:kern w:val="10"/>
        </w:rPr>
      </w:pPr>
      <w:r>
        <w:rPr>
          <w:kern w:val="10"/>
        </w:rPr>
        <w:t>水库坝址下游蔡家河沿岸分布的污染源以农村生活污染源以及农业面源为主，没有集中排放的工业污染源。总体上坝址下游河道污染负荷较小，水库建成后，运行期间，通过水库调度，保证下游环境需水要求，可减缓河道水环境的影响。</w:t>
      </w:r>
    </w:p>
    <w:p>
      <w:pPr>
        <w:ind w:firstLine="0" w:firstLineChars="0"/>
        <w:contextualSpacing/>
        <w:outlineLvl w:val="3"/>
        <w:rPr>
          <w:b/>
          <w:bCs/>
        </w:rPr>
      </w:pPr>
      <w:r>
        <w:rPr>
          <w:b/>
          <w:bCs/>
        </w:rPr>
        <w:t>3.4.3.4工程管理区生活污水排放影响</w:t>
      </w:r>
    </w:p>
    <w:p>
      <w:pPr>
        <w:ind w:firstLine="480"/>
        <w:contextualSpacing/>
        <w:rPr>
          <w:kern w:val="10"/>
        </w:rPr>
      </w:pPr>
      <w:r>
        <w:rPr>
          <w:kern w:val="10"/>
        </w:rPr>
        <w:t>水库管理生活区主要污染源为管理人员产生的生活污水、生活垃圾等。寒溪寺水库运行期水库管理所人员27人，管理人员生活污水量产生量按120L/人·d考虑，运行期全部管理人员生活污水产生量为3.24m</w:t>
      </w:r>
      <w:r>
        <w:rPr>
          <w:kern w:val="10"/>
          <w:vertAlign w:val="superscript"/>
        </w:rPr>
        <w:t>3</w:t>
      </w:r>
      <w:r>
        <w:rPr>
          <w:kern w:val="10"/>
        </w:rPr>
        <w:t>/d。参照城市生活污水指标，主要污染物BOD</w:t>
      </w:r>
      <w:r>
        <w:rPr>
          <w:kern w:val="10"/>
          <w:vertAlign w:val="subscript"/>
        </w:rPr>
        <w:t>5</w:t>
      </w:r>
      <w:r>
        <w:rPr>
          <w:kern w:val="10"/>
        </w:rPr>
        <w:t>浓度值150mg/L，COD浓度值250mg/L，</w:t>
      </w:r>
      <w:r>
        <w:t>NH</w:t>
      </w:r>
      <w:r>
        <w:rPr>
          <w:vertAlign w:val="subscript"/>
        </w:rPr>
        <w:t>3</w:t>
      </w:r>
      <w:r>
        <w:t>-N浓度值20mg/L，TP浓度值4.5mg/L。则</w:t>
      </w:r>
      <w:r>
        <w:rPr>
          <w:kern w:val="10"/>
        </w:rPr>
        <w:t>BOD</w:t>
      </w:r>
      <w:r>
        <w:rPr>
          <w:kern w:val="10"/>
          <w:vertAlign w:val="subscript"/>
        </w:rPr>
        <w:t>5</w:t>
      </w:r>
      <w:r>
        <w:rPr>
          <w:kern w:val="10"/>
        </w:rPr>
        <w:t>产生量0.49kg/d，COD产生量0.81kg/d，</w:t>
      </w:r>
      <w:r>
        <w:t>NH</w:t>
      </w:r>
      <w:r>
        <w:rPr>
          <w:vertAlign w:val="subscript"/>
        </w:rPr>
        <w:t>3</w:t>
      </w:r>
      <w:r>
        <w:t>-N</w:t>
      </w:r>
      <w:r>
        <w:rPr>
          <w:kern w:val="10"/>
        </w:rPr>
        <w:t>产生量0.065kg/d</w:t>
      </w:r>
      <w:r>
        <w:t>，TP</w:t>
      </w:r>
      <w:r>
        <w:rPr>
          <w:kern w:val="10"/>
        </w:rPr>
        <w:t>产生量0.014kg/d。</w:t>
      </w:r>
    </w:p>
    <w:p>
      <w:pPr>
        <w:ind w:firstLine="0" w:firstLineChars="0"/>
        <w:contextualSpacing/>
        <w:outlineLvl w:val="3"/>
        <w:rPr>
          <w:b/>
          <w:bCs/>
        </w:rPr>
      </w:pPr>
      <w:r>
        <w:rPr>
          <w:b/>
          <w:bCs/>
        </w:rPr>
        <w:t>3.4.3.5灌溉退水环境影响</w:t>
      </w:r>
    </w:p>
    <w:p>
      <w:pPr>
        <w:pStyle w:val="63"/>
        <w:spacing w:after="0"/>
        <w:ind w:firstLine="480" w:firstLineChars="200"/>
        <w:contextualSpacing/>
      </w:pPr>
      <w:r>
        <w:t>灌溉回归水水质主要受农业生产的影响，一般由各级渠道退水和农田排水组成。设计水平年寒溪寺水库灌区设计灌溉面积2.25万亩，农田灌溉回归水可能使灌区退水受纳水体水质、水量发生改变。农田灌溉后产生的回归水流回附近河流水域，灌溉前期，主要是由于灌溉前期施用大量氮肥、磷肥等做基肥和追肥，加上该时期正值雨季，使大量农田水回流河流，以及水土流失携带地表污染物进入水体等综合作用所造成的。总体而言，本工程实施后灌区灌溉回归水量的增加，将可能对灌区附近河道等地表水体水质带来一定不利影响。</w:t>
      </w:r>
    </w:p>
    <w:p>
      <w:pPr>
        <w:ind w:firstLine="0" w:firstLineChars="0"/>
        <w:contextualSpacing/>
        <w:outlineLvl w:val="3"/>
        <w:rPr>
          <w:b/>
          <w:bCs/>
        </w:rPr>
      </w:pPr>
      <w:r>
        <w:rPr>
          <w:b/>
          <w:bCs/>
        </w:rPr>
        <w:t>3.4.3.6城市供水退水环境影响</w:t>
      </w:r>
    </w:p>
    <w:p>
      <w:pPr>
        <w:widowControl/>
        <w:ind w:firstLine="480"/>
        <w:contextualSpacing/>
        <w:jc w:val="left"/>
        <w:rPr>
          <w:kern w:val="0"/>
        </w:rPr>
      </w:pPr>
      <w:r>
        <w:rPr>
          <w:rFonts w:hint="eastAsia"/>
        </w:rPr>
        <w:t>本项目不涉及</w:t>
      </w:r>
      <w:r>
        <w:t>。</w:t>
      </w:r>
    </w:p>
    <w:p>
      <w:pPr>
        <w:ind w:firstLine="0" w:firstLineChars="0"/>
        <w:contextualSpacing/>
        <w:outlineLvl w:val="3"/>
        <w:rPr>
          <w:b/>
          <w:bCs/>
        </w:rPr>
      </w:pPr>
      <w:r>
        <w:rPr>
          <w:b/>
          <w:bCs/>
        </w:rPr>
        <w:t>3.4.3.7农村城镇供水退水影响</w:t>
      </w:r>
    </w:p>
    <w:p>
      <w:pPr>
        <w:pStyle w:val="65"/>
        <w:spacing w:line="360" w:lineRule="auto"/>
        <w:ind w:firstLine="480"/>
        <w:contextualSpacing/>
      </w:pPr>
      <w:r>
        <w:rPr>
          <w:rFonts w:hint="eastAsia"/>
        </w:rPr>
        <w:t>寒溪寺</w:t>
      </w:r>
      <w:r>
        <w:t>水库场镇生活供水退水去向为</w:t>
      </w:r>
      <w:r>
        <w:rPr>
          <w:rFonts w:hint="eastAsia"/>
        </w:rPr>
        <w:t>龙滩河与天星桥水库</w:t>
      </w:r>
      <w:r>
        <w:t>。农村废污水排放量相对较小，排放分散，目前无污水处理系统，如果直接排放，将对水质产生一定的影响，需建设污水处理站进行处理。场镇则依托现有污水处理站处理达标外排。</w:t>
      </w:r>
    </w:p>
    <w:p>
      <w:pPr>
        <w:pStyle w:val="5"/>
        <w:ind w:firstLine="0" w:firstLineChars="0"/>
        <w:contextualSpacing/>
        <w:rPr>
          <w:rFonts w:ascii="Times New Roman" w:hAnsi="Times New Roman"/>
        </w:rPr>
      </w:pPr>
      <w:r>
        <w:rPr>
          <w:rFonts w:ascii="Times New Roman" w:hAnsi="Times New Roman"/>
        </w:rPr>
        <w:t>3.4.4生态环境</w:t>
      </w:r>
      <w:bookmarkEnd w:id="411"/>
      <w:bookmarkEnd w:id="412"/>
      <w:bookmarkEnd w:id="413"/>
    </w:p>
    <w:p>
      <w:pPr>
        <w:ind w:firstLine="0" w:firstLineChars="0"/>
        <w:contextualSpacing/>
        <w:outlineLvl w:val="3"/>
        <w:rPr>
          <w:b/>
          <w:bCs/>
        </w:rPr>
      </w:pPr>
      <w:r>
        <w:rPr>
          <w:b/>
          <w:bCs/>
        </w:rPr>
        <w:t>3.4.4.1陆生生态</w:t>
      </w:r>
    </w:p>
    <w:p>
      <w:pPr>
        <w:pStyle w:val="114"/>
        <w:snapToGrid/>
        <w:ind w:firstLine="480"/>
        <w:contextualSpacing/>
        <w:rPr>
          <w:rFonts w:ascii="Times New Roman" w:hAnsi="Times New Roman" w:cs="Times New Roman"/>
        </w:rPr>
      </w:pPr>
      <w:r>
        <w:rPr>
          <w:rFonts w:ascii="Times New Roman" w:hAnsi="Times New Roman" w:cs="Times New Roman"/>
        </w:rPr>
        <w:t>运行期对陆生生态环境的影响主要是水库淹没森林植被、野生动物生境和土地资源等，改变栖息地生物多样性性质，不仅使区域自然体系的生产能力受到一定程度影响，也使生物组分自身的异质性构成发生改变，使动植物资源受到影响。供水灌溉对农业生态环境及其周边水生生态环境也会产生一定影响。</w:t>
      </w:r>
    </w:p>
    <w:p>
      <w:pPr>
        <w:ind w:firstLine="0" w:firstLineChars="0"/>
        <w:contextualSpacing/>
        <w:outlineLvl w:val="3"/>
        <w:rPr>
          <w:b/>
          <w:bCs/>
        </w:rPr>
      </w:pPr>
      <w:r>
        <w:rPr>
          <w:b/>
          <w:bCs/>
        </w:rPr>
        <w:t>3.4.4.2水生生态</w:t>
      </w:r>
    </w:p>
    <w:p>
      <w:pPr>
        <w:pStyle w:val="114"/>
        <w:snapToGrid/>
        <w:ind w:firstLine="476"/>
        <w:contextualSpacing/>
        <w:rPr>
          <w:rFonts w:ascii="Times New Roman" w:hAnsi="Times New Roman" w:cs="Times New Roman"/>
          <w:spacing w:val="-2"/>
        </w:rPr>
      </w:pPr>
      <w:r>
        <w:rPr>
          <w:rFonts w:ascii="Times New Roman" w:hAnsi="Times New Roman" w:cs="Times New Roman"/>
          <w:spacing w:val="-2"/>
        </w:rPr>
        <w:t>大坝建成后，使坝址上下游原有连续的河流生态系统被分隔成不连续的2个河段，使河流生态的完整性、连续性受到影响。水库蓄水将改变库区水域生境条件，由原来的河流型变为缓流或静水型，将引起水生生物及鱼类资源种类和分布的变化，使静水、缓水生活的鱼类将成为优势种，喜急流的鱼类可能向库尾和支流迁移。</w:t>
      </w:r>
    </w:p>
    <w:p>
      <w:pPr>
        <w:pStyle w:val="114"/>
        <w:snapToGrid/>
        <w:ind w:firstLine="480"/>
        <w:contextualSpacing/>
        <w:rPr>
          <w:rFonts w:ascii="Times New Roman" w:hAnsi="Times New Roman" w:cs="Times New Roman"/>
        </w:rPr>
      </w:pPr>
      <w:r>
        <w:rPr>
          <w:rFonts w:ascii="Times New Roman" w:hAnsi="Times New Roman" w:cs="Times New Roman"/>
        </w:rPr>
        <w:t>初期蓄水期，坝址下游水生生物用水受到影响，在保证一定的生态流量下泄后，可一定程度减缓对下游鱼类的影响。</w:t>
      </w:r>
    </w:p>
    <w:p>
      <w:pPr>
        <w:pStyle w:val="114"/>
        <w:snapToGrid/>
        <w:ind w:firstLine="476"/>
        <w:contextualSpacing/>
        <w:rPr>
          <w:rFonts w:ascii="Times New Roman" w:hAnsi="Times New Roman" w:cs="Times New Roman"/>
          <w:spacing w:val="-2"/>
        </w:rPr>
      </w:pPr>
      <w:r>
        <w:rPr>
          <w:rFonts w:ascii="Times New Roman" w:hAnsi="Times New Roman" w:cs="Times New Roman"/>
          <w:spacing w:val="-2"/>
        </w:rPr>
        <w:t>寒溪寺水库运行期，应考虑采取措施尽可能减缓水库建库对下游河道鱼类繁殖的影响，通过保证生态流量等方式，保障坝下游保护区河道内鱼类的产卵繁殖。</w:t>
      </w:r>
    </w:p>
    <w:p>
      <w:pPr>
        <w:pStyle w:val="5"/>
        <w:ind w:firstLine="0" w:firstLineChars="0"/>
        <w:contextualSpacing/>
        <w:rPr>
          <w:rFonts w:ascii="Times New Roman" w:hAnsi="Times New Roman"/>
        </w:rPr>
      </w:pPr>
      <w:bookmarkStart w:id="414" w:name="_Toc22167"/>
      <w:bookmarkStart w:id="415" w:name="_Toc30062"/>
      <w:bookmarkStart w:id="416" w:name="_Toc4050"/>
      <w:r>
        <w:rPr>
          <w:rFonts w:ascii="Times New Roman" w:hAnsi="Times New Roman"/>
        </w:rPr>
        <w:t>3.4.5地下水环境</w:t>
      </w:r>
      <w:bookmarkEnd w:id="414"/>
      <w:bookmarkEnd w:id="415"/>
      <w:bookmarkEnd w:id="416"/>
    </w:p>
    <w:p>
      <w:pPr>
        <w:pStyle w:val="114"/>
        <w:snapToGrid/>
        <w:ind w:firstLine="480"/>
        <w:contextualSpacing/>
        <w:rPr>
          <w:rFonts w:ascii="Times New Roman" w:hAnsi="Times New Roman" w:cs="Times New Roman"/>
        </w:rPr>
      </w:pPr>
      <w:r>
        <w:rPr>
          <w:rFonts w:ascii="Times New Roman" w:hAnsi="Times New Roman" w:cs="Times New Roman"/>
          <w:kern w:val="10"/>
        </w:rPr>
        <w:t>水库蓄水，库区水位抬升，对地下水产生补给，可能会引起库周局部地下水位的升高，但库区两岸水文地质条件总体较简单，水库蓄水后，库区两岸地下水补、径、排方式不变，工程建设对库周地下水影响很小。</w:t>
      </w:r>
    </w:p>
    <w:p>
      <w:pPr>
        <w:pStyle w:val="5"/>
        <w:ind w:firstLine="0" w:firstLineChars="0"/>
        <w:contextualSpacing/>
        <w:rPr>
          <w:rFonts w:ascii="Times New Roman" w:hAnsi="Times New Roman"/>
        </w:rPr>
      </w:pPr>
      <w:bookmarkStart w:id="417" w:name="_Toc19878"/>
      <w:bookmarkStart w:id="418" w:name="_Toc18929"/>
      <w:bookmarkStart w:id="419" w:name="_Toc10453"/>
      <w:r>
        <w:rPr>
          <w:rFonts w:ascii="Times New Roman" w:hAnsi="Times New Roman"/>
        </w:rPr>
        <w:t>3.4.6土壤环境</w:t>
      </w:r>
      <w:bookmarkEnd w:id="417"/>
      <w:bookmarkEnd w:id="418"/>
      <w:bookmarkEnd w:id="419"/>
    </w:p>
    <w:p>
      <w:pPr>
        <w:pStyle w:val="114"/>
        <w:snapToGrid/>
        <w:ind w:firstLine="480"/>
        <w:contextualSpacing/>
        <w:rPr>
          <w:rFonts w:ascii="Times New Roman" w:hAnsi="Times New Roman" w:cs="Times New Roman"/>
          <w:kern w:val="10"/>
        </w:rPr>
      </w:pPr>
      <w:r>
        <w:rPr>
          <w:rFonts w:ascii="Times New Roman" w:hAnsi="Times New Roman" w:cs="Times New Roman"/>
        </w:rPr>
        <w:t>水库蓄水导致库周土壤潜水位提高，但发生盐渍化现象的可能性较低。</w:t>
      </w:r>
      <w:r>
        <w:rPr>
          <w:rFonts w:ascii="Times New Roman" w:hAnsi="Times New Roman" w:cs="Times New Roman"/>
          <w:kern w:val="10"/>
        </w:rPr>
        <w:t>另外，水库建成后，形成宽阔水面，库区湿度增加，昼夜温差小，抑制土壤有机质的矿化过程，有利于土壤有机质的积累，同时土壤有机质的增加又有利于植物的生长，增加库周的森林植被，增加枯枝落叶，可以增加库周土壤的有机质含量。</w:t>
      </w:r>
    </w:p>
    <w:p>
      <w:pPr>
        <w:pStyle w:val="114"/>
        <w:snapToGrid/>
        <w:ind w:firstLine="476"/>
        <w:contextualSpacing/>
        <w:rPr>
          <w:rFonts w:ascii="Times New Roman" w:hAnsi="Times New Roman" w:cs="Times New Roman"/>
        </w:rPr>
      </w:pPr>
      <w:r>
        <w:rPr>
          <w:rFonts w:ascii="Times New Roman" w:hAnsi="Times New Roman" w:cs="Times New Roman"/>
          <w:spacing w:val="-2"/>
        </w:rPr>
        <w:t>灌区及其周边范围排水条件较好，能控制地下水位，有效地防止土壤过湿和次生盐渍化的发生。</w:t>
      </w:r>
      <w:r>
        <w:rPr>
          <w:rFonts w:ascii="Times New Roman" w:hAnsi="Times New Roman" w:cs="Times New Roman"/>
          <w:kern w:val="10"/>
        </w:rPr>
        <w:t>只要采取科学合理的灌溉方式，灌区发生大面积土壤次生盐渍化的可能性很小。</w:t>
      </w:r>
    </w:p>
    <w:p>
      <w:pPr>
        <w:pStyle w:val="5"/>
        <w:ind w:firstLine="0" w:firstLineChars="0"/>
        <w:contextualSpacing/>
        <w:rPr>
          <w:rFonts w:ascii="Times New Roman" w:hAnsi="Times New Roman"/>
        </w:rPr>
      </w:pPr>
      <w:bookmarkStart w:id="420" w:name="_Toc26327"/>
      <w:bookmarkStart w:id="421" w:name="_Toc16177"/>
      <w:bookmarkStart w:id="422" w:name="_Toc17897"/>
      <w:r>
        <w:rPr>
          <w:rFonts w:ascii="Times New Roman" w:hAnsi="Times New Roman"/>
        </w:rPr>
        <w:t>3.4.7移民安置</w:t>
      </w:r>
      <w:bookmarkEnd w:id="420"/>
      <w:bookmarkEnd w:id="421"/>
      <w:bookmarkEnd w:id="422"/>
    </w:p>
    <w:p>
      <w:pPr>
        <w:ind w:firstLine="0" w:firstLineChars="0"/>
        <w:contextualSpacing/>
        <w:outlineLvl w:val="3"/>
        <w:rPr>
          <w:b/>
          <w:bCs/>
        </w:rPr>
      </w:pPr>
      <w:r>
        <w:rPr>
          <w:b/>
          <w:bCs/>
        </w:rPr>
        <w:t>3.4.7.1移民安置环境影响</w:t>
      </w:r>
    </w:p>
    <w:p>
      <w:pPr>
        <w:ind w:firstLine="480"/>
        <w:contextualSpacing/>
      </w:pPr>
      <w:r>
        <w:t>寒溪寺水库移民安置工程包括农村移民安置点的建设、生产用地开发，以及专项设施的复建工程。上述活动将对移民安置环境带来一系列影响，主要表现在分散安置建设和生产开发对土地利用现状的改变，不可避免对部分植被及野生动物生境造成破坏，安置过程中土石方开挖、弃渣堆存及地表裸露将造成新增水土流失影响等。另一方面，针对移民所进行的交通、通讯、卫生等基础设施配套建设也会为当地居民生活带来便利，项目的建设还将刺激经济发展、促进就业。</w:t>
      </w:r>
    </w:p>
    <w:p>
      <w:pPr>
        <w:ind w:firstLine="480"/>
        <w:contextualSpacing/>
      </w:pPr>
      <w:r>
        <w:t>此外，分散移民安置的长期环境影响还表现在废污水和固体废物的排放。农民移民安置生活污水主要来源于人畜粪便，以及日常洗涤等用水。</w:t>
      </w:r>
    </w:p>
    <w:p>
      <w:pPr>
        <w:ind w:firstLine="0" w:firstLineChars="0"/>
        <w:contextualSpacing/>
        <w:outlineLvl w:val="3"/>
        <w:rPr>
          <w:b/>
          <w:bCs/>
        </w:rPr>
      </w:pPr>
      <w:r>
        <w:rPr>
          <w:b/>
          <w:bCs/>
        </w:rPr>
        <w:t>3.4.7.2专项改复建工程环境影响</w:t>
      </w:r>
    </w:p>
    <w:p>
      <w:pPr>
        <w:ind w:firstLine="480"/>
        <w:contextualSpacing/>
      </w:pPr>
      <w:r>
        <w:t>寒溪寺水库工程专项设施复建</w:t>
      </w:r>
      <w:r>
        <w:rPr>
          <w:rFonts w:hint="eastAsia"/>
        </w:rPr>
        <w:t>主要为</w:t>
      </w:r>
      <w:r>
        <w:t>交通设施</w:t>
      </w:r>
      <w:r>
        <w:rPr>
          <w:rFonts w:hint="eastAsia"/>
        </w:rPr>
        <w:t>，经与权属人协商，不对该处设施进行处理。</w:t>
      </w:r>
    </w:p>
    <w:p>
      <w:pPr>
        <w:pStyle w:val="4"/>
        <w:ind w:firstLine="0" w:firstLineChars="0"/>
        <w:contextualSpacing/>
      </w:pPr>
      <w:bookmarkStart w:id="423" w:name="_Toc130753421"/>
      <w:bookmarkStart w:id="424" w:name="_Toc16012"/>
      <w:bookmarkStart w:id="425" w:name="_Toc41977683"/>
      <w:bookmarkStart w:id="426" w:name="_Toc22669"/>
      <w:bookmarkStart w:id="427" w:name="_Toc30593"/>
      <w:bookmarkStart w:id="428" w:name="_Toc30293"/>
      <w:r>
        <w:t>3.5环境影响识别和评价因子筛选</w:t>
      </w:r>
      <w:bookmarkEnd w:id="423"/>
    </w:p>
    <w:p>
      <w:pPr>
        <w:pStyle w:val="5"/>
        <w:ind w:firstLine="0" w:firstLineChars="0"/>
        <w:contextualSpacing/>
        <w:rPr>
          <w:rFonts w:ascii="Times New Roman" w:hAnsi="Times New Roman"/>
        </w:rPr>
      </w:pPr>
      <w:r>
        <w:rPr>
          <w:rFonts w:ascii="Times New Roman" w:hAnsi="Times New Roman"/>
        </w:rPr>
        <w:t>3.5.1环境影响识别</w:t>
      </w:r>
    </w:p>
    <w:p>
      <w:pPr>
        <w:ind w:firstLine="480"/>
        <w:contextualSpacing/>
      </w:pPr>
      <w:r>
        <w:t>（1）施工期</w:t>
      </w:r>
    </w:p>
    <w:p>
      <w:pPr>
        <w:ind w:firstLine="480"/>
        <w:contextualSpacing/>
      </w:pPr>
      <w:r>
        <w:t>工程施工期对生态环境的影响主要为施工活动及施工占地扰动破坏植被，对陆生植物和陆生动物产生影响；</w:t>
      </w:r>
    </w:p>
    <w:p>
      <w:pPr>
        <w:ind w:firstLine="480"/>
        <w:contextualSpacing/>
      </w:pPr>
      <w:r>
        <w:t>水环境的影响主要为施工期混凝土拌和系统冲洗废水、机械设备停放场含油污水、基坑排水、施工人员生活污水排放对河流水质的影响；</w:t>
      </w:r>
    </w:p>
    <w:p>
      <w:pPr>
        <w:ind w:firstLine="480"/>
        <w:contextualSpacing/>
      </w:pPr>
      <w:r>
        <w:t>环境空气的影响主要为基础开挖、炸药爆破、弃渣场弃渣以及车辆运输等产生的粉尘、扬尘、施工机械尾气等，对周边居民点产生影响；</w:t>
      </w:r>
    </w:p>
    <w:p>
      <w:pPr>
        <w:ind w:firstLine="480"/>
        <w:contextualSpacing/>
      </w:pPr>
      <w:r>
        <w:t>声环境的影响主要为施工机械作业、车辆运输、炸药爆破等噪声，对施工人员及周边居民点产生影响；</w:t>
      </w:r>
    </w:p>
    <w:p>
      <w:pPr>
        <w:ind w:firstLine="480"/>
        <w:contextualSpacing/>
      </w:pPr>
      <w:r>
        <w:t>固体废物主要来自土石方开挖等施工活动中所产生的弃渣以及施工人员的生活垃圾等，可能对施工环境产生影响。</w:t>
      </w:r>
    </w:p>
    <w:p>
      <w:pPr>
        <w:ind w:firstLine="480"/>
        <w:contextualSpacing/>
      </w:pPr>
      <w:r>
        <w:t>（2）运行期</w:t>
      </w:r>
    </w:p>
    <w:p>
      <w:pPr>
        <w:ind w:firstLine="480"/>
        <w:contextualSpacing/>
      </w:pPr>
      <w:r>
        <w:t>运行期，寒溪寺水库库区及坝址下游水资源、水文情势发生变化，进而对库区及下游河流、退水受纳水体的水环境、地下水、陆生生态、水生生态、土壤环境等产生影响。</w:t>
      </w:r>
    </w:p>
    <w:p>
      <w:pPr>
        <w:pStyle w:val="5"/>
        <w:ind w:firstLine="0" w:firstLineChars="0"/>
        <w:contextualSpacing/>
        <w:rPr>
          <w:rFonts w:ascii="Times New Roman" w:hAnsi="Times New Roman"/>
        </w:rPr>
      </w:pPr>
      <w:r>
        <w:rPr>
          <w:rFonts w:ascii="Times New Roman" w:hAnsi="Times New Roman"/>
        </w:rPr>
        <w:t>3.5.2评价因子筛选</w:t>
      </w:r>
    </w:p>
    <w:p>
      <w:pPr>
        <w:ind w:firstLine="480"/>
        <w:contextualSpacing/>
        <w:rPr>
          <w:snapToGrid w:val="0"/>
        </w:rPr>
      </w:pPr>
      <w:r>
        <w:rPr>
          <w:snapToGrid w:val="0"/>
        </w:rPr>
        <w:t>将工程环境影响评价因子按要素划分为水文情势、水环境、水生生态、陆生生态、大气环境、声环境、环境地质和社会环境；按影响范围划分为淹没区、施工区、移民安置区、坝上河段、坝下游河段和受水退水区；将工程作用因素划分为工程施工、淹没与占地、移民安置、水库运行、灌溉供水和城乡供水。</w:t>
      </w:r>
    </w:p>
    <w:p>
      <w:pPr>
        <w:ind w:firstLine="480"/>
        <w:contextualSpacing/>
      </w:pPr>
      <w:r>
        <w:rPr>
          <w:snapToGrid w:val="0"/>
        </w:rPr>
        <w:t>通过评价因子识别分析，根据工程任务和特性，结合工程影响区的环境背景状况，确定将水库运行对水文情势变化和地表水环境的影响、水生生态环境的影响、施工对地表水环境的影响、水库蓄水对生态环境和社会环境的影响、移民安置的环境影响等作为本次影响评价的重点评价内容；将施工期的大气环境和声环境影响、工程运行对环境地质的影响、施工期的人群健康影响、施工对生态环境的影响等作为本次影响评价的一般评价内容。</w:t>
      </w:r>
    </w:p>
    <w:p>
      <w:pPr>
        <w:ind w:firstLine="0" w:firstLineChars="0"/>
        <w:contextualSpacing/>
        <w:jc w:val="center"/>
        <w:rPr>
          <w:b/>
          <w:sz w:val="21"/>
          <w:szCs w:val="21"/>
        </w:rPr>
      </w:pPr>
      <w:r>
        <w:rPr>
          <w:b/>
          <w:sz w:val="21"/>
          <w:szCs w:val="21"/>
        </w:rPr>
        <w:t>表3.5.2-1  寒溪寺水库工程环境影响识别矩阵表</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19"/>
        <w:gridCol w:w="1063"/>
        <w:gridCol w:w="354"/>
        <w:gridCol w:w="367"/>
        <w:gridCol w:w="368"/>
        <w:gridCol w:w="345"/>
        <w:gridCol w:w="332"/>
        <w:gridCol w:w="368"/>
        <w:gridCol w:w="356"/>
        <w:gridCol w:w="368"/>
        <w:gridCol w:w="350"/>
        <w:gridCol w:w="374"/>
        <w:gridCol w:w="344"/>
        <w:gridCol w:w="350"/>
        <w:gridCol w:w="386"/>
        <w:gridCol w:w="345"/>
        <w:gridCol w:w="345"/>
        <w:gridCol w:w="379"/>
        <w:gridCol w:w="379"/>
        <w:gridCol w:w="356"/>
        <w:gridCol w:w="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Merge w:val="restart"/>
            <w:vAlign w:val="center"/>
          </w:tcPr>
          <w:p>
            <w:pPr>
              <w:spacing w:line="240" w:lineRule="auto"/>
              <w:ind w:firstLine="0" w:firstLineChars="0"/>
              <w:contextualSpacing/>
              <w:jc w:val="center"/>
              <w:rPr>
                <w:sz w:val="18"/>
                <w:szCs w:val="18"/>
              </w:rPr>
            </w:pPr>
            <w:r>
              <w:rPr>
                <w:sz w:val="18"/>
                <w:szCs w:val="18"/>
              </w:rPr>
              <w:t>环境要素</w:t>
            </w:r>
          </w:p>
        </w:tc>
        <w:tc>
          <w:tcPr>
            <w:tcW w:w="4613" w:type="dxa"/>
            <w:gridSpan w:val="13"/>
            <w:vAlign w:val="center"/>
          </w:tcPr>
          <w:p>
            <w:pPr>
              <w:spacing w:line="240" w:lineRule="auto"/>
              <w:ind w:firstLine="0" w:firstLineChars="0"/>
              <w:contextualSpacing/>
              <w:jc w:val="center"/>
              <w:rPr>
                <w:sz w:val="18"/>
                <w:szCs w:val="18"/>
              </w:rPr>
            </w:pPr>
            <w:r>
              <w:rPr>
                <w:sz w:val="18"/>
                <w:szCs w:val="18"/>
              </w:rPr>
              <w:t>工程作用因素</w:t>
            </w:r>
          </w:p>
        </w:tc>
        <w:tc>
          <w:tcPr>
            <w:tcW w:w="2127" w:type="dxa"/>
            <w:gridSpan w:val="6"/>
            <w:vMerge w:val="restart"/>
            <w:vAlign w:val="center"/>
          </w:tcPr>
          <w:p>
            <w:pPr>
              <w:spacing w:line="240" w:lineRule="auto"/>
              <w:ind w:firstLine="0" w:firstLineChars="0"/>
              <w:contextualSpacing/>
              <w:jc w:val="center"/>
              <w:rPr>
                <w:sz w:val="18"/>
                <w:szCs w:val="18"/>
              </w:rPr>
            </w:pPr>
            <w:r>
              <w:rPr>
                <w:sz w:val="18"/>
                <w:szCs w:val="18"/>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Merge w:val="continue"/>
            <w:vAlign w:val="center"/>
          </w:tcPr>
          <w:p>
            <w:pPr>
              <w:widowControl/>
              <w:spacing w:line="240" w:lineRule="auto"/>
              <w:ind w:firstLine="0" w:firstLineChars="0"/>
              <w:contextualSpacing/>
              <w:jc w:val="center"/>
              <w:rPr>
                <w:sz w:val="18"/>
                <w:szCs w:val="18"/>
              </w:rPr>
            </w:pPr>
          </w:p>
        </w:tc>
        <w:tc>
          <w:tcPr>
            <w:tcW w:w="1749" w:type="dxa"/>
            <w:gridSpan w:val="5"/>
            <w:vAlign w:val="center"/>
          </w:tcPr>
          <w:p>
            <w:pPr>
              <w:widowControl/>
              <w:spacing w:line="240" w:lineRule="auto"/>
              <w:ind w:firstLine="0" w:firstLineChars="0"/>
              <w:contextualSpacing/>
              <w:jc w:val="center"/>
              <w:rPr>
                <w:sz w:val="18"/>
                <w:szCs w:val="18"/>
              </w:rPr>
            </w:pPr>
            <w:r>
              <w:rPr>
                <w:sz w:val="18"/>
                <w:szCs w:val="18"/>
              </w:rPr>
              <w:t>工程施工</w:t>
            </w:r>
          </w:p>
        </w:tc>
        <w:tc>
          <w:tcPr>
            <w:tcW w:w="716" w:type="dxa"/>
            <w:gridSpan w:val="2"/>
            <w:vAlign w:val="center"/>
          </w:tcPr>
          <w:p>
            <w:pPr>
              <w:widowControl/>
              <w:spacing w:line="240" w:lineRule="auto"/>
              <w:ind w:firstLine="0" w:firstLineChars="0"/>
              <w:contextualSpacing/>
              <w:jc w:val="center"/>
              <w:rPr>
                <w:sz w:val="18"/>
                <w:szCs w:val="18"/>
              </w:rPr>
            </w:pPr>
            <w:r>
              <w:rPr>
                <w:sz w:val="18"/>
                <w:szCs w:val="18"/>
              </w:rPr>
              <w:t>淹没</w:t>
            </w:r>
          </w:p>
          <w:p>
            <w:pPr>
              <w:widowControl/>
              <w:spacing w:line="240" w:lineRule="auto"/>
              <w:ind w:firstLine="0" w:firstLineChars="0"/>
              <w:contextualSpacing/>
              <w:jc w:val="center"/>
              <w:rPr>
                <w:sz w:val="18"/>
                <w:szCs w:val="18"/>
              </w:rPr>
            </w:pPr>
            <w:r>
              <w:rPr>
                <w:sz w:val="18"/>
                <w:szCs w:val="18"/>
              </w:rPr>
              <w:t>与占地</w:t>
            </w:r>
          </w:p>
        </w:tc>
        <w:tc>
          <w:tcPr>
            <w:tcW w:w="1080" w:type="dxa"/>
            <w:gridSpan w:val="3"/>
            <w:vAlign w:val="center"/>
          </w:tcPr>
          <w:p>
            <w:pPr>
              <w:widowControl/>
              <w:spacing w:line="240" w:lineRule="auto"/>
              <w:ind w:firstLine="0" w:firstLineChars="0"/>
              <w:contextualSpacing/>
              <w:jc w:val="center"/>
              <w:rPr>
                <w:sz w:val="18"/>
                <w:szCs w:val="18"/>
              </w:rPr>
            </w:pPr>
            <w:r>
              <w:rPr>
                <w:sz w:val="18"/>
                <w:szCs w:val="18"/>
              </w:rPr>
              <w:t>移民安置</w:t>
            </w:r>
          </w:p>
        </w:tc>
        <w:tc>
          <w:tcPr>
            <w:tcW w:w="1068" w:type="dxa"/>
            <w:gridSpan w:val="3"/>
            <w:vAlign w:val="center"/>
          </w:tcPr>
          <w:p>
            <w:pPr>
              <w:widowControl/>
              <w:spacing w:line="240" w:lineRule="auto"/>
              <w:ind w:firstLine="0" w:firstLineChars="0"/>
              <w:contextualSpacing/>
              <w:jc w:val="center"/>
              <w:rPr>
                <w:sz w:val="18"/>
                <w:szCs w:val="18"/>
              </w:rPr>
            </w:pPr>
            <w:r>
              <w:rPr>
                <w:sz w:val="18"/>
                <w:szCs w:val="18"/>
              </w:rPr>
              <w:t>水库运行</w:t>
            </w:r>
          </w:p>
        </w:tc>
        <w:tc>
          <w:tcPr>
            <w:tcW w:w="2127" w:type="dxa"/>
            <w:gridSpan w:val="6"/>
            <w:vMerge w:val="continue"/>
            <w:vAlign w:val="center"/>
          </w:tcPr>
          <w:p>
            <w:pPr>
              <w:widowControl/>
              <w:spacing w:line="240" w:lineRule="auto"/>
              <w:ind w:firstLine="0" w:firstLineChars="0"/>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Merge w:val="continue"/>
            <w:vAlign w:val="center"/>
          </w:tcPr>
          <w:p>
            <w:pPr>
              <w:widowControl/>
              <w:spacing w:line="240" w:lineRule="auto"/>
              <w:ind w:firstLine="0" w:firstLineChars="0"/>
              <w:contextualSpacing/>
              <w:jc w:val="center"/>
              <w:rPr>
                <w:sz w:val="18"/>
                <w:szCs w:val="18"/>
              </w:rPr>
            </w:pPr>
          </w:p>
        </w:tc>
        <w:tc>
          <w:tcPr>
            <w:tcW w:w="351" w:type="dxa"/>
            <w:vAlign w:val="center"/>
          </w:tcPr>
          <w:p>
            <w:pPr>
              <w:spacing w:line="240" w:lineRule="auto"/>
              <w:ind w:firstLine="0" w:firstLineChars="0"/>
              <w:contextualSpacing/>
              <w:jc w:val="center"/>
              <w:rPr>
                <w:sz w:val="18"/>
                <w:szCs w:val="18"/>
              </w:rPr>
            </w:pPr>
            <w:r>
              <w:rPr>
                <w:sz w:val="18"/>
                <w:szCs w:val="18"/>
              </w:rPr>
              <w:t>弃渣</w:t>
            </w:r>
          </w:p>
        </w:tc>
        <w:tc>
          <w:tcPr>
            <w:tcW w:w="364" w:type="dxa"/>
            <w:vAlign w:val="center"/>
          </w:tcPr>
          <w:p>
            <w:pPr>
              <w:spacing w:line="240" w:lineRule="auto"/>
              <w:ind w:firstLine="0" w:firstLineChars="0"/>
              <w:contextualSpacing/>
              <w:jc w:val="center"/>
              <w:rPr>
                <w:sz w:val="18"/>
                <w:szCs w:val="18"/>
              </w:rPr>
            </w:pPr>
            <w:r>
              <w:rPr>
                <w:sz w:val="18"/>
                <w:szCs w:val="18"/>
              </w:rPr>
              <w:t>施工导流</w:t>
            </w:r>
          </w:p>
        </w:tc>
        <w:tc>
          <w:tcPr>
            <w:tcW w:w="364" w:type="dxa"/>
            <w:vAlign w:val="center"/>
          </w:tcPr>
          <w:p>
            <w:pPr>
              <w:spacing w:line="240" w:lineRule="auto"/>
              <w:ind w:firstLine="0" w:firstLineChars="0"/>
              <w:contextualSpacing/>
              <w:jc w:val="center"/>
              <w:rPr>
                <w:sz w:val="18"/>
                <w:szCs w:val="18"/>
              </w:rPr>
            </w:pPr>
            <w:r>
              <w:rPr>
                <w:sz w:val="18"/>
                <w:szCs w:val="18"/>
              </w:rPr>
              <w:t>土石方开挖</w:t>
            </w:r>
          </w:p>
        </w:tc>
        <w:tc>
          <w:tcPr>
            <w:tcW w:w="341" w:type="dxa"/>
            <w:vAlign w:val="center"/>
          </w:tcPr>
          <w:p>
            <w:pPr>
              <w:spacing w:line="240" w:lineRule="auto"/>
              <w:ind w:firstLine="0" w:firstLineChars="0"/>
              <w:contextualSpacing/>
              <w:jc w:val="center"/>
              <w:rPr>
                <w:sz w:val="18"/>
                <w:szCs w:val="18"/>
              </w:rPr>
            </w:pPr>
            <w:r>
              <w:rPr>
                <w:sz w:val="18"/>
                <w:szCs w:val="18"/>
              </w:rPr>
              <w:t>混凝土工程</w:t>
            </w:r>
          </w:p>
        </w:tc>
        <w:tc>
          <w:tcPr>
            <w:tcW w:w="329" w:type="dxa"/>
            <w:vAlign w:val="center"/>
          </w:tcPr>
          <w:p>
            <w:pPr>
              <w:spacing w:line="240" w:lineRule="auto"/>
              <w:ind w:firstLine="0" w:firstLineChars="0"/>
              <w:contextualSpacing/>
              <w:jc w:val="center"/>
              <w:rPr>
                <w:sz w:val="18"/>
                <w:szCs w:val="18"/>
              </w:rPr>
            </w:pPr>
            <w:r>
              <w:rPr>
                <w:sz w:val="18"/>
                <w:szCs w:val="18"/>
              </w:rPr>
              <w:t>施工活动</w:t>
            </w:r>
          </w:p>
        </w:tc>
        <w:tc>
          <w:tcPr>
            <w:tcW w:w="364" w:type="dxa"/>
            <w:vAlign w:val="center"/>
          </w:tcPr>
          <w:p>
            <w:pPr>
              <w:spacing w:line="240" w:lineRule="auto"/>
              <w:ind w:firstLine="0" w:firstLineChars="0"/>
              <w:contextualSpacing/>
              <w:jc w:val="center"/>
              <w:rPr>
                <w:sz w:val="18"/>
                <w:szCs w:val="18"/>
              </w:rPr>
            </w:pPr>
            <w:r>
              <w:rPr>
                <w:sz w:val="18"/>
                <w:szCs w:val="18"/>
              </w:rPr>
              <w:t>工程占地</w:t>
            </w:r>
          </w:p>
        </w:tc>
        <w:tc>
          <w:tcPr>
            <w:tcW w:w="352" w:type="dxa"/>
            <w:vAlign w:val="center"/>
          </w:tcPr>
          <w:p>
            <w:pPr>
              <w:spacing w:line="240" w:lineRule="auto"/>
              <w:ind w:firstLine="0" w:firstLineChars="0"/>
              <w:contextualSpacing/>
              <w:jc w:val="center"/>
              <w:rPr>
                <w:sz w:val="18"/>
                <w:szCs w:val="18"/>
              </w:rPr>
            </w:pPr>
            <w:r>
              <w:rPr>
                <w:sz w:val="18"/>
                <w:szCs w:val="18"/>
              </w:rPr>
              <w:t>水库淹没</w:t>
            </w:r>
          </w:p>
        </w:tc>
        <w:tc>
          <w:tcPr>
            <w:tcW w:w="364" w:type="dxa"/>
            <w:vAlign w:val="center"/>
          </w:tcPr>
          <w:p>
            <w:pPr>
              <w:spacing w:line="240" w:lineRule="auto"/>
              <w:ind w:firstLine="0" w:firstLineChars="0"/>
              <w:contextualSpacing/>
              <w:jc w:val="center"/>
              <w:rPr>
                <w:sz w:val="18"/>
                <w:szCs w:val="18"/>
              </w:rPr>
            </w:pPr>
            <w:r>
              <w:rPr>
                <w:sz w:val="18"/>
                <w:szCs w:val="18"/>
              </w:rPr>
              <w:t>生产安置</w:t>
            </w:r>
          </w:p>
        </w:tc>
        <w:tc>
          <w:tcPr>
            <w:tcW w:w="346" w:type="dxa"/>
            <w:vAlign w:val="center"/>
          </w:tcPr>
          <w:p>
            <w:pPr>
              <w:spacing w:line="240" w:lineRule="auto"/>
              <w:ind w:firstLine="0" w:firstLineChars="0"/>
              <w:contextualSpacing/>
              <w:jc w:val="center"/>
              <w:rPr>
                <w:sz w:val="18"/>
                <w:szCs w:val="18"/>
              </w:rPr>
            </w:pPr>
            <w:r>
              <w:rPr>
                <w:sz w:val="18"/>
                <w:szCs w:val="18"/>
              </w:rPr>
              <w:t>搬迁安置</w:t>
            </w:r>
          </w:p>
        </w:tc>
        <w:tc>
          <w:tcPr>
            <w:tcW w:w="370" w:type="dxa"/>
            <w:vAlign w:val="center"/>
          </w:tcPr>
          <w:p>
            <w:pPr>
              <w:spacing w:line="240" w:lineRule="auto"/>
              <w:ind w:firstLine="0" w:firstLineChars="0"/>
              <w:contextualSpacing/>
              <w:jc w:val="center"/>
              <w:rPr>
                <w:sz w:val="18"/>
                <w:szCs w:val="18"/>
              </w:rPr>
            </w:pPr>
            <w:r>
              <w:rPr>
                <w:sz w:val="18"/>
                <w:szCs w:val="18"/>
              </w:rPr>
              <w:t>专业项目</w:t>
            </w:r>
          </w:p>
        </w:tc>
        <w:tc>
          <w:tcPr>
            <w:tcW w:w="340" w:type="dxa"/>
            <w:vAlign w:val="center"/>
          </w:tcPr>
          <w:p>
            <w:pPr>
              <w:spacing w:line="240" w:lineRule="auto"/>
              <w:ind w:firstLine="0" w:firstLineChars="0"/>
              <w:contextualSpacing/>
              <w:jc w:val="center"/>
              <w:rPr>
                <w:sz w:val="18"/>
                <w:szCs w:val="18"/>
              </w:rPr>
            </w:pPr>
            <w:r>
              <w:rPr>
                <w:sz w:val="18"/>
                <w:szCs w:val="18"/>
              </w:rPr>
              <w:t>水库蓄水</w:t>
            </w:r>
          </w:p>
        </w:tc>
        <w:tc>
          <w:tcPr>
            <w:tcW w:w="346" w:type="dxa"/>
            <w:vAlign w:val="center"/>
          </w:tcPr>
          <w:p>
            <w:pPr>
              <w:spacing w:line="240" w:lineRule="auto"/>
              <w:ind w:firstLine="0" w:firstLineChars="0"/>
              <w:contextualSpacing/>
              <w:jc w:val="center"/>
              <w:rPr>
                <w:sz w:val="18"/>
                <w:szCs w:val="18"/>
              </w:rPr>
            </w:pPr>
            <w:r>
              <w:rPr>
                <w:sz w:val="18"/>
                <w:szCs w:val="18"/>
              </w:rPr>
              <w:t>灌溉供水</w:t>
            </w:r>
          </w:p>
        </w:tc>
        <w:tc>
          <w:tcPr>
            <w:tcW w:w="382" w:type="dxa"/>
            <w:vAlign w:val="center"/>
          </w:tcPr>
          <w:p>
            <w:pPr>
              <w:spacing w:line="240" w:lineRule="auto"/>
              <w:ind w:firstLine="0" w:firstLineChars="0"/>
              <w:contextualSpacing/>
              <w:jc w:val="center"/>
              <w:rPr>
                <w:sz w:val="18"/>
                <w:szCs w:val="18"/>
              </w:rPr>
            </w:pPr>
            <w:r>
              <w:rPr>
                <w:sz w:val="18"/>
                <w:szCs w:val="18"/>
              </w:rPr>
              <w:t>城镇供水</w:t>
            </w:r>
          </w:p>
        </w:tc>
        <w:tc>
          <w:tcPr>
            <w:tcW w:w="341" w:type="dxa"/>
            <w:vAlign w:val="center"/>
          </w:tcPr>
          <w:p>
            <w:pPr>
              <w:spacing w:line="240" w:lineRule="auto"/>
              <w:ind w:firstLine="0" w:firstLineChars="0"/>
              <w:contextualSpacing/>
              <w:jc w:val="center"/>
              <w:rPr>
                <w:sz w:val="18"/>
                <w:szCs w:val="18"/>
              </w:rPr>
            </w:pPr>
            <w:r>
              <w:rPr>
                <w:sz w:val="18"/>
                <w:szCs w:val="18"/>
              </w:rPr>
              <w:t>淹没区</w:t>
            </w:r>
          </w:p>
        </w:tc>
        <w:tc>
          <w:tcPr>
            <w:tcW w:w="341" w:type="dxa"/>
            <w:vAlign w:val="center"/>
          </w:tcPr>
          <w:p>
            <w:pPr>
              <w:spacing w:line="240" w:lineRule="auto"/>
              <w:ind w:firstLine="0" w:firstLineChars="0"/>
              <w:contextualSpacing/>
              <w:jc w:val="center"/>
              <w:rPr>
                <w:sz w:val="18"/>
                <w:szCs w:val="18"/>
              </w:rPr>
            </w:pPr>
            <w:r>
              <w:rPr>
                <w:sz w:val="18"/>
                <w:szCs w:val="18"/>
              </w:rPr>
              <w:t>施工区</w:t>
            </w:r>
          </w:p>
        </w:tc>
        <w:tc>
          <w:tcPr>
            <w:tcW w:w="375" w:type="dxa"/>
            <w:vAlign w:val="center"/>
          </w:tcPr>
          <w:p>
            <w:pPr>
              <w:spacing w:line="240" w:lineRule="auto"/>
              <w:ind w:firstLine="0" w:firstLineChars="0"/>
              <w:contextualSpacing/>
              <w:jc w:val="center"/>
              <w:rPr>
                <w:sz w:val="18"/>
                <w:szCs w:val="18"/>
              </w:rPr>
            </w:pPr>
            <w:r>
              <w:rPr>
                <w:sz w:val="18"/>
                <w:szCs w:val="18"/>
              </w:rPr>
              <w:t>移民安置区</w:t>
            </w:r>
          </w:p>
        </w:tc>
        <w:tc>
          <w:tcPr>
            <w:tcW w:w="375" w:type="dxa"/>
            <w:vAlign w:val="center"/>
          </w:tcPr>
          <w:p>
            <w:pPr>
              <w:spacing w:line="240" w:lineRule="auto"/>
              <w:ind w:firstLine="0" w:firstLineChars="0"/>
              <w:contextualSpacing/>
              <w:jc w:val="center"/>
              <w:rPr>
                <w:sz w:val="18"/>
                <w:szCs w:val="18"/>
              </w:rPr>
            </w:pPr>
            <w:r>
              <w:rPr>
                <w:sz w:val="18"/>
                <w:szCs w:val="18"/>
              </w:rPr>
              <w:t>坝上河段</w:t>
            </w:r>
          </w:p>
        </w:tc>
        <w:tc>
          <w:tcPr>
            <w:tcW w:w="352" w:type="dxa"/>
            <w:vAlign w:val="center"/>
          </w:tcPr>
          <w:p>
            <w:pPr>
              <w:spacing w:line="240" w:lineRule="auto"/>
              <w:ind w:firstLine="0" w:firstLineChars="0"/>
              <w:contextualSpacing/>
              <w:jc w:val="center"/>
              <w:rPr>
                <w:sz w:val="18"/>
                <w:szCs w:val="18"/>
              </w:rPr>
            </w:pPr>
            <w:r>
              <w:rPr>
                <w:sz w:val="18"/>
                <w:szCs w:val="18"/>
              </w:rPr>
              <w:t>坝下河段</w:t>
            </w:r>
          </w:p>
        </w:tc>
        <w:tc>
          <w:tcPr>
            <w:tcW w:w="343" w:type="dxa"/>
            <w:vAlign w:val="center"/>
          </w:tcPr>
          <w:p>
            <w:pPr>
              <w:spacing w:line="240" w:lineRule="auto"/>
              <w:ind w:firstLine="0" w:firstLineChars="0"/>
              <w:contextualSpacing/>
              <w:jc w:val="center"/>
              <w:rPr>
                <w:sz w:val="18"/>
                <w:szCs w:val="18"/>
              </w:rPr>
            </w:pPr>
            <w:r>
              <w:rPr>
                <w:sz w:val="18"/>
                <w:szCs w:val="18"/>
              </w:rPr>
              <w:t>受水退水区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restart"/>
            <w:vAlign w:val="center"/>
          </w:tcPr>
          <w:p>
            <w:pPr>
              <w:widowControl/>
              <w:spacing w:line="240" w:lineRule="auto"/>
              <w:ind w:firstLine="0" w:firstLineChars="0"/>
              <w:contextualSpacing/>
              <w:jc w:val="center"/>
              <w:rPr>
                <w:sz w:val="18"/>
                <w:szCs w:val="18"/>
              </w:rPr>
            </w:pPr>
            <w:r>
              <w:rPr>
                <w:sz w:val="18"/>
                <w:szCs w:val="18"/>
              </w:rPr>
              <w:t>水文情势</w:t>
            </w:r>
          </w:p>
        </w:tc>
        <w:tc>
          <w:tcPr>
            <w:tcW w:w="1053" w:type="dxa"/>
            <w:vAlign w:val="center"/>
          </w:tcPr>
          <w:p>
            <w:pPr>
              <w:widowControl/>
              <w:spacing w:line="240" w:lineRule="auto"/>
              <w:ind w:firstLine="0" w:firstLineChars="0"/>
              <w:contextualSpacing/>
              <w:jc w:val="center"/>
              <w:rPr>
                <w:sz w:val="18"/>
                <w:szCs w:val="18"/>
              </w:rPr>
            </w:pPr>
            <w:r>
              <w:rPr>
                <w:sz w:val="18"/>
                <w:szCs w:val="18"/>
              </w:rPr>
              <w:t>水文</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z w:val="18"/>
                <w:szCs w:val="18"/>
              </w:rPr>
            </w:pPr>
            <w:r>
              <w:rPr>
                <w:sz w:val="18"/>
                <w:szCs w:val="18"/>
              </w:rPr>
              <w:t>泥沙</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z w:val="18"/>
                <w:szCs w:val="18"/>
              </w:rPr>
            </w:pPr>
            <w:r>
              <w:rPr>
                <w:sz w:val="18"/>
                <w:szCs w:val="18"/>
              </w:rPr>
              <w:t>水温</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restart"/>
            <w:vAlign w:val="center"/>
          </w:tcPr>
          <w:p>
            <w:pPr>
              <w:widowControl/>
              <w:spacing w:line="240" w:lineRule="auto"/>
              <w:ind w:firstLine="0" w:firstLineChars="0"/>
              <w:contextualSpacing/>
              <w:jc w:val="center"/>
              <w:rPr>
                <w:sz w:val="18"/>
                <w:szCs w:val="18"/>
              </w:rPr>
            </w:pPr>
            <w:r>
              <w:rPr>
                <w:sz w:val="18"/>
                <w:szCs w:val="18"/>
              </w:rPr>
              <w:t>水环境</w:t>
            </w:r>
          </w:p>
        </w:tc>
        <w:tc>
          <w:tcPr>
            <w:tcW w:w="1053" w:type="dxa"/>
            <w:vAlign w:val="center"/>
          </w:tcPr>
          <w:p>
            <w:pPr>
              <w:widowControl/>
              <w:spacing w:line="240" w:lineRule="auto"/>
              <w:ind w:firstLine="0" w:firstLineChars="0"/>
              <w:contextualSpacing/>
              <w:jc w:val="center"/>
              <w:rPr>
                <w:sz w:val="18"/>
                <w:szCs w:val="18"/>
              </w:rPr>
            </w:pPr>
            <w:r>
              <w:rPr>
                <w:sz w:val="18"/>
                <w:szCs w:val="18"/>
              </w:rPr>
              <w:t>地表水</w:t>
            </w:r>
          </w:p>
        </w:tc>
        <w:tc>
          <w:tcPr>
            <w:tcW w:w="351"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sz w:val="18"/>
                <w:szCs w:val="18"/>
              </w:rPr>
              <w:t>●</w:t>
            </w:r>
          </w:p>
        </w:tc>
        <w:tc>
          <w:tcPr>
            <w:tcW w:w="329"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z w:val="18"/>
                <w:szCs w:val="18"/>
              </w:rPr>
            </w:pPr>
            <w:r>
              <w:rPr>
                <w:sz w:val="18"/>
                <w:szCs w:val="18"/>
              </w:rPr>
              <w:t>地下水</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Align w:val="center"/>
          </w:tcPr>
          <w:p>
            <w:pPr>
              <w:widowControl/>
              <w:spacing w:line="240" w:lineRule="auto"/>
              <w:ind w:firstLine="0" w:firstLineChars="0"/>
              <w:contextualSpacing/>
              <w:jc w:val="center"/>
              <w:rPr>
                <w:sz w:val="18"/>
                <w:szCs w:val="18"/>
              </w:rPr>
            </w:pPr>
            <w:r>
              <w:rPr>
                <w:sz w:val="18"/>
                <w:szCs w:val="18"/>
              </w:rPr>
              <w:t>环境地质</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Align w:val="center"/>
          </w:tcPr>
          <w:p>
            <w:pPr>
              <w:widowControl/>
              <w:spacing w:line="240" w:lineRule="auto"/>
              <w:ind w:firstLine="0" w:firstLineChars="0"/>
              <w:contextualSpacing/>
              <w:jc w:val="center"/>
              <w:rPr>
                <w:sz w:val="18"/>
                <w:szCs w:val="18"/>
              </w:rPr>
            </w:pPr>
            <w:r>
              <w:rPr>
                <w:sz w:val="18"/>
                <w:szCs w:val="18"/>
              </w:rPr>
              <w:t>社会环境</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70" w:type="dxa"/>
            <w:vAlign w:val="center"/>
          </w:tcPr>
          <w:p>
            <w:pPr>
              <w:widowControl/>
              <w:spacing w:line="240" w:lineRule="auto"/>
              <w:ind w:firstLine="0" w:firstLineChars="0"/>
              <w:contextualSpacing/>
              <w:jc w:val="center"/>
              <w:rPr>
                <w:sz w:val="18"/>
                <w:szCs w:val="18"/>
              </w:rPr>
            </w:pPr>
            <w:r>
              <w:rPr>
                <w:sz w:val="18"/>
                <w:szCs w:val="18"/>
              </w:rPr>
              <w:t>●</w:t>
            </w: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restart"/>
            <w:vAlign w:val="center"/>
          </w:tcPr>
          <w:p>
            <w:pPr>
              <w:widowControl/>
              <w:spacing w:line="240" w:lineRule="auto"/>
              <w:ind w:firstLine="0" w:firstLineChars="0"/>
              <w:contextualSpacing/>
              <w:jc w:val="center"/>
              <w:rPr>
                <w:sz w:val="18"/>
                <w:szCs w:val="18"/>
              </w:rPr>
            </w:pPr>
            <w:r>
              <w:rPr>
                <w:sz w:val="18"/>
                <w:szCs w:val="18"/>
              </w:rPr>
              <w:t>水生生态</w:t>
            </w:r>
          </w:p>
        </w:tc>
        <w:tc>
          <w:tcPr>
            <w:tcW w:w="1053" w:type="dxa"/>
            <w:vAlign w:val="center"/>
          </w:tcPr>
          <w:p>
            <w:pPr>
              <w:widowControl/>
              <w:spacing w:line="240" w:lineRule="auto"/>
              <w:ind w:firstLine="0" w:firstLineChars="0"/>
              <w:contextualSpacing/>
              <w:jc w:val="center"/>
              <w:rPr>
                <w:spacing w:val="-6"/>
                <w:sz w:val="18"/>
                <w:szCs w:val="18"/>
              </w:rPr>
            </w:pPr>
            <w:r>
              <w:rPr>
                <w:spacing w:val="-6"/>
                <w:sz w:val="18"/>
                <w:szCs w:val="18"/>
              </w:rPr>
              <w:t>水生生境</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pacing w:val="-6"/>
                <w:sz w:val="18"/>
                <w:szCs w:val="18"/>
              </w:rPr>
            </w:pPr>
            <w:r>
              <w:rPr>
                <w:spacing w:val="-6"/>
                <w:sz w:val="18"/>
                <w:szCs w:val="18"/>
              </w:rPr>
              <w:t>饵料生物</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pacing w:val="-6"/>
                <w:sz w:val="18"/>
                <w:szCs w:val="18"/>
              </w:rPr>
            </w:pPr>
            <w:r>
              <w:rPr>
                <w:spacing w:val="-6"/>
                <w:sz w:val="18"/>
                <w:szCs w:val="18"/>
              </w:rPr>
              <w:t>鱼类</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52"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restart"/>
            <w:vAlign w:val="center"/>
          </w:tcPr>
          <w:p>
            <w:pPr>
              <w:widowControl/>
              <w:spacing w:line="240" w:lineRule="auto"/>
              <w:ind w:firstLine="0" w:firstLineChars="0"/>
              <w:contextualSpacing/>
              <w:jc w:val="center"/>
              <w:rPr>
                <w:sz w:val="18"/>
                <w:szCs w:val="18"/>
              </w:rPr>
            </w:pPr>
            <w:r>
              <w:rPr>
                <w:sz w:val="18"/>
                <w:szCs w:val="18"/>
              </w:rPr>
              <w:t>陆生生态</w:t>
            </w:r>
          </w:p>
        </w:tc>
        <w:tc>
          <w:tcPr>
            <w:tcW w:w="1053" w:type="dxa"/>
            <w:vAlign w:val="center"/>
          </w:tcPr>
          <w:p>
            <w:pPr>
              <w:widowControl/>
              <w:spacing w:line="240" w:lineRule="auto"/>
              <w:ind w:firstLine="0" w:firstLineChars="0"/>
              <w:contextualSpacing/>
              <w:jc w:val="center"/>
              <w:rPr>
                <w:spacing w:val="-6"/>
                <w:sz w:val="18"/>
                <w:szCs w:val="18"/>
              </w:rPr>
            </w:pPr>
            <w:r>
              <w:rPr>
                <w:spacing w:val="-6"/>
                <w:sz w:val="18"/>
                <w:szCs w:val="18"/>
              </w:rPr>
              <w:t>陆生植物</w:t>
            </w:r>
          </w:p>
        </w:tc>
        <w:tc>
          <w:tcPr>
            <w:tcW w:w="351"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70" w:type="dxa"/>
            <w:vAlign w:val="center"/>
          </w:tcPr>
          <w:p>
            <w:pPr>
              <w:widowControl/>
              <w:spacing w:line="240" w:lineRule="auto"/>
              <w:ind w:firstLine="0" w:firstLineChars="0"/>
              <w:contextualSpacing/>
              <w:jc w:val="center"/>
              <w:rPr>
                <w:sz w:val="18"/>
                <w:szCs w:val="18"/>
              </w:rPr>
            </w:pPr>
            <w:r>
              <w:rPr>
                <w:sz w:val="18"/>
                <w:szCs w:val="18"/>
              </w:rPr>
              <w:t>●</w:t>
            </w: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pacing w:val="-6"/>
                <w:sz w:val="18"/>
                <w:szCs w:val="18"/>
              </w:rPr>
            </w:pPr>
            <w:r>
              <w:rPr>
                <w:spacing w:val="-6"/>
                <w:sz w:val="18"/>
                <w:szCs w:val="18"/>
              </w:rPr>
              <w:t>陆生动物</w:t>
            </w:r>
          </w:p>
        </w:tc>
        <w:tc>
          <w:tcPr>
            <w:tcW w:w="351"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52"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17" w:type="dxa"/>
            <w:vMerge w:val="continue"/>
            <w:vAlign w:val="center"/>
          </w:tcPr>
          <w:p>
            <w:pPr>
              <w:widowControl/>
              <w:spacing w:line="240" w:lineRule="auto"/>
              <w:ind w:firstLine="0" w:firstLineChars="0"/>
              <w:contextualSpacing/>
              <w:jc w:val="center"/>
              <w:rPr>
                <w:sz w:val="18"/>
                <w:szCs w:val="18"/>
              </w:rPr>
            </w:pPr>
          </w:p>
        </w:tc>
        <w:tc>
          <w:tcPr>
            <w:tcW w:w="1053" w:type="dxa"/>
            <w:vAlign w:val="center"/>
          </w:tcPr>
          <w:p>
            <w:pPr>
              <w:widowControl/>
              <w:spacing w:line="240" w:lineRule="auto"/>
              <w:ind w:firstLine="0" w:firstLineChars="0"/>
              <w:contextualSpacing/>
              <w:jc w:val="center"/>
              <w:rPr>
                <w:spacing w:val="-22"/>
                <w:sz w:val="18"/>
                <w:szCs w:val="18"/>
              </w:rPr>
            </w:pPr>
            <w:r>
              <w:rPr>
                <w:spacing w:val="-22"/>
                <w:sz w:val="18"/>
                <w:szCs w:val="18"/>
              </w:rPr>
              <w:t>重点保护物种</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r>
              <w:rPr>
                <w:sz w:val="18"/>
                <w:szCs w:val="18"/>
              </w:rPr>
              <w:t>●</w:t>
            </w:r>
          </w:p>
        </w:tc>
        <w:tc>
          <w:tcPr>
            <w:tcW w:w="346" w:type="dxa"/>
            <w:vAlign w:val="center"/>
          </w:tcPr>
          <w:p>
            <w:pPr>
              <w:widowControl/>
              <w:spacing w:line="240" w:lineRule="auto"/>
              <w:ind w:firstLine="0" w:firstLineChars="0"/>
              <w:contextualSpacing/>
              <w:jc w:val="center"/>
              <w:rPr>
                <w:sz w:val="18"/>
                <w:szCs w:val="18"/>
              </w:rPr>
            </w:pPr>
          </w:p>
        </w:tc>
        <w:tc>
          <w:tcPr>
            <w:tcW w:w="382"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70" w:type="dxa"/>
            <w:gridSpan w:val="2"/>
            <w:vAlign w:val="center"/>
          </w:tcPr>
          <w:p>
            <w:pPr>
              <w:widowControl/>
              <w:spacing w:line="240" w:lineRule="auto"/>
              <w:ind w:firstLine="0" w:firstLineChars="0"/>
              <w:contextualSpacing/>
              <w:jc w:val="center"/>
              <w:rPr>
                <w:sz w:val="18"/>
                <w:szCs w:val="18"/>
              </w:rPr>
            </w:pPr>
            <w:r>
              <w:rPr>
                <w:sz w:val="18"/>
                <w:szCs w:val="18"/>
              </w:rPr>
              <w:t>大气、声环境</w:t>
            </w:r>
          </w:p>
        </w:tc>
        <w:tc>
          <w:tcPr>
            <w:tcW w:w="351"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29" w:type="dxa"/>
            <w:vAlign w:val="center"/>
          </w:tcPr>
          <w:p>
            <w:pPr>
              <w:widowControl/>
              <w:spacing w:line="240" w:lineRule="auto"/>
              <w:ind w:firstLine="0" w:firstLineChars="0"/>
              <w:contextualSpacing/>
              <w:jc w:val="center"/>
              <w:rPr>
                <w:sz w:val="18"/>
                <w:szCs w:val="18"/>
              </w:rPr>
            </w:pPr>
            <w:r>
              <w:rPr>
                <w:sz w:val="18"/>
                <w:szCs w:val="18"/>
              </w:rPr>
              <w:t>▲</w:t>
            </w:r>
          </w:p>
        </w:tc>
        <w:tc>
          <w:tcPr>
            <w:tcW w:w="364"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64"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70" w:type="dxa"/>
            <w:vAlign w:val="center"/>
          </w:tcPr>
          <w:p>
            <w:pPr>
              <w:widowControl/>
              <w:spacing w:line="240" w:lineRule="auto"/>
              <w:ind w:firstLine="0" w:firstLineChars="0"/>
              <w:contextualSpacing/>
              <w:jc w:val="center"/>
              <w:rPr>
                <w:sz w:val="18"/>
                <w:szCs w:val="18"/>
              </w:rPr>
            </w:pPr>
          </w:p>
        </w:tc>
        <w:tc>
          <w:tcPr>
            <w:tcW w:w="340" w:type="dxa"/>
            <w:vAlign w:val="center"/>
          </w:tcPr>
          <w:p>
            <w:pPr>
              <w:widowControl/>
              <w:spacing w:line="240" w:lineRule="auto"/>
              <w:ind w:firstLine="0" w:firstLineChars="0"/>
              <w:contextualSpacing/>
              <w:jc w:val="center"/>
              <w:rPr>
                <w:sz w:val="18"/>
                <w:szCs w:val="18"/>
              </w:rPr>
            </w:pPr>
          </w:p>
        </w:tc>
        <w:tc>
          <w:tcPr>
            <w:tcW w:w="346" w:type="dxa"/>
            <w:vAlign w:val="center"/>
          </w:tcPr>
          <w:p>
            <w:pPr>
              <w:widowControl/>
              <w:spacing w:line="240" w:lineRule="auto"/>
              <w:ind w:firstLine="0" w:firstLineChars="0"/>
              <w:contextualSpacing/>
              <w:jc w:val="center"/>
              <w:rPr>
                <w:sz w:val="18"/>
                <w:szCs w:val="18"/>
              </w:rPr>
            </w:pPr>
            <w:r>
              <w:rPr>
                <w:sz w:val="18"/>
                <w:szCs w:val="18"/>
              </w:rPr>
              <w:t>●</w:t>
            </w:r>
          </w:p>
        </w:tc>
        <w:tc>
          <w:tcPr>
            <w:tcW w:w="382" w:type="dxa"/>
            <w:vAlign w:val="center"/>
          </w:tcPr>
          <w:p>
            <w:pPr>
              <w:widowControl/>
              <w:spacing w:line="240" w:lineRule="auto"/>
              <w:ind w:firstLine="0" w:firstLineChars="0"/>
              <w:contextualSpacing/>
              <w:jc w:val="center"/>
              <w:rPr>
                <w:sz w:val="18"/>
                <w:szCs w:val="18"/>
              </w:rPr>
            </w:pPr>
            <w:r>
              <w:rPr>
                <w:sz w:val="18"/>
                <w:szCs w:val="18"/>
              </w:rPr>
              <w:t>●</w:t>
            </w:r>
          </w:p>
        </w:tc>
        <w:tc>
          <w:tcPr>
            <w:tcW w:w="341" w:type="dxa"/>
            <w:vAlign w:val="center"/>
          </w:tcPr>
          <w:p>
            <w:pPr>
              <w:widowControl/>
              <w:spacing w:line="240" w:lineRule="auto"/>
              <w:ind w:firstLine="0" w:firstLineChars="0"/>
              <w:contextualSpacing/>
              <w:jc w:val="center"/>
              <w:rPr>
                <w:sz w:val="18"/>
                <w:szCs w:val="18"/>
              </w:rPr>
            </w:pPr>
          </w:p>
        </w:tc>
        <w:tc>
          <w:tcPr>
            <w:tcW w:w="341" w:type="dxa"/>
            <w:vAlign w:val="center"/>
          </w:tcPr>
          <w:p>
            <w:pPr>
              <w:widowControl/>
              <w:spacing w:line="240" w:lineRule="auto"/>
              <w:ind w:firstLine="0" w:firstLineChars="0"/>
              <w:contextualSpacing/>
              <w:jc w:val="center"/>
              <w:rPr>
                <w:sz w:val="18"/>
                <w:szCs w:val="18"/>
              </w:rPr>
            </w:pPr>
            <w:r>
              <w:rPr>
                <w:rFonts w:hint="eastAsia" w:ascii="宋体" w:hAnsi="宋体" w:cs="宋体"/>
                <w:sz w:val="18"/>
                <w:szCs w:val="18"/>
              </w:rPr>
              <w:t>☆</w:t>
            </w:r>
          </w:p>
        </w:tc>
        <w:tc>
          <w:tcPr>
            <w:tcW w:w="375" w:type="dxa"/>
            <w:vAlign w:val="center"/>
          </w:tcPr>
          <w:p>
            <w:pPr>
              <w:widowControl/>
              <w:spacing w:line="240" w:lineRule="auto"/>
              <w:ind w:firstLine="0" w:firstLineChars="0"/>
              <w:contextualSpacing/>
              <w:jc w:val="center"/>
              <w:rPr>
                <w:sz w:val="18"/>
                <w:szCs w:val="18"/>
              </w:rPr>
            </w:pPr>
          </w:p>
        </w:tc>
        <w:tc>
          <w:tcPr>
            <w:tcW w:w="375" w:type="dxa"/>
            <w:vAlign w:val="center"/>
          </w:tcPr>
          <w:p>
            <w:pPr>
              <w:widowControl/>
              <w:spacing w:line="240" w:lineRule="auto"/>
              <w:ind w:firstLine="0" w:firstLineChars="0"/>
              <w:contextualSpacing/>
              <w:jc w:val="center"/>
              <w:rPr>
                <w:sz w:val="18"/>
                <w:szCs w:val="18"/>
              </w:rPr>
            </w:pPr>
          </w:p>
        </w:tc>
        <w:tc>
          <w:tcPr>
            <w:tcW w:w="352" w:type="dxa"/>
            <w:vAlign w:val="center"/>
          </w:tcPr>
          <w:p>
            <w:pPr>
              <w:widowControl/>
              <w:spacing w:line="240" w:lineRule="auto"/>
              <w:ind w:firstLine="0" w:firstLineChars="0"/>
              <w:contextualSpacing/>
              <w:jc w:val="center"/>
              <w:rPr>
                <w:sz w:val="18"/>
                <w:szCs w:val="18"/>
              </w:rPr>
            </w:pPr>
          </w:p>
        </w:tc>
        <w:tc>
          <w:tcPr>
            <w:tcW w:w="343" w:type="dxa"/>
            <w:vAlign w:val="center"/>
          </w:tcPr>
          <w:p>
            <w:pPr>
              <w:widowControl/>
              <w:spacing w:line="240" w:lineRule="auto"/>
              <w:ind w:firstLine="0" w:firstLineChars="0"/>
              <w:contextualSpacing/>
              <w:jc w:val="center"/>
              <w:rPr>
                <w:sz w:val="18"/>
                <w:szCs w:val="18"/>
              </w:rPr>
            </w:pPr>
          </w:p>
        </w:tc>
      </w:tr>
    </w:tbl>
    <w:p>
      <w:pPr>
        <w:pStyle w:val="114"/>
        <w:snapToGrid/>
        <w:spacing w:line="240" w:lineRule="auto"/>
        <w:ind w:firstLine="0" w:firstLineChars="0"/>
        <w:contextualSpacing/>
        <w:jc w:val="left"/>
        <w:rPr>
          <w:rFonts w:ascii="Times New Roman" w:hAnsi="Times New Roman" w:cs="Times New Roman"/>
          <w:sz w:val="18"/>
          <w:szCs w:val="18"/>
        </w:rPr>
      </w:pPr>
      <w:r>
        <w:rPr>
          <w:rFonts w:ascii="Times New Roman" w:hAnsi="Times New Roman" w:cs="Times New Roman"/>
          <w:sz w:val="18"/>
          <w:szCs w:val="18"/>
        </w:rPr>
        <w:t>说明：▲：影响显著；●：影响一般；空白：影响轻微或无；</w:t>
      </w:r>
      <w:r>
        <w:rPr>
          <w:rFonts w:hint="eastAsia"/>
          <w:sz w:val="18"/>
          <w:szCs w:val="18"/>
        </w:rPr>
        <w:t>☆</w:t>
      </w:r>
      <w:r>
        <w:rPr>
          <w:rFonts w:ascii="Times New Roman" w:hAnsi="Times New Roman" w:cs="Times New Roman"/>
          <w:sz w:val="18"/>
          <w:szCs w:val="18"/>
        </w:rPr>
        <w:t>：影响区</w:t>
      </w:r>
    </w:p>
    <w:p>
      <w:pPr>
        <w:spacing w:line="160" w:lineRule="exact"/>
        <w:ind w:firstLine="482"/>
        <w:contextualSpacing/>
        <w:rPr>
          <w:b/>
        </w:rPr>
      </w:pPr>
    </w:p>
    <w:p>
      <w:pPr>
        <w:pStyle w:val="4"/>
        <w:ind w:firstLine="0" w:firstLineChars="0"/>
        <w:contextualSpacing/>
      </w:pPr>
      <w:bookmarkStart w:id="429" w:name="_Toc130753422"/>
      <w:r>
        <w:t>3.6工程分析结论</w:t>
      </w:r>
      <w:bookmarkEnd w:id="424"/>
      <w:bookmarkEnd w:id="425"/>
      <w:bookmarkEnd w:id="426"/>
      <w:bookmarkEnd w:id="427"/>
      <w:bookmarkEnd w:id="428"/>
      <w:bookmarkEnd w:id="429"/>
    </w:p>
    <w:p>
      <w:pPr>
        <w:pStyle w:val="116"/>
        <w:spacing w:line="360" w:lineRule="auto"/>
        <w:contextualSpacing/>
        <w:rPr>
          <w:rFonts w:eastAsia="宋体"/>
          <w:snapToGrid w:val="0"/>
        </w:rPr>
      </w:pPr>
      <w:r>
        <w:rPr>
          <w:rFonts w:eastAsia="宋体"/>
          <w:snapToGrid w:val="0"/>
        </w:rPr>
        <w:t>通过工程分析，结合工程区的环境现状特征，可以认为：寒溪寺水库工程建设符合国家产业政策要求，与地方相关规划也是协调一致的。工程建设十分必要，工程选择的调水规模等设计方案是环境合理的。</w:t>
      </w:r>
    </w:p>
    <w:p>
      <w:pPr>
        <w:pStyle w:val="116"/>
        <w:spacing w:line="360" w:lineRule="auto"/>
        <w:contextualSpacing/>
        <w:rPr>
          <w:rFonts w:eastAsia="宋体"/>
          <w:snapToGrid w:val="0"/>
        </w:rPr>
      </w:pPr>
      <w:r>
        <w:rPr>
          <w:rFonts w:eastAsia="宋体"/>
          <w:snapToGrid w:val="0"/>
        </w:rPr>
        <w:t>工程施工期的环境影响主要有：工程占地对地表植被、陆生动植物等生态环境的影响；工程开挖与弃渣堆放产生的水土流失问题；输水线路施工对地下水的影响；施工“三废一噪”对环境的影响。施工期环境影响是暂时的、局部的。</w:t>
      </w:r>
    </w:p>
    <w:p>
      <w:pPr>
        <w:ind w:firstLine="480"/>
        <w:contextualSpacing/>
      </w:pPr>
      <w:r>
        <w:rPr>
          <w:snapToGrid w:val="0"/>
        </w:rPr>
        <w:t>工程运行基本不产生污染物，但水库调水对水源区、受水区的水资源利用产生影响。水库蓄水会对水库库区、坝下河道的水文情势、水生生境产生影响；水库调水对蔡家河流域的地表水资源量，对坝下河道水文泥沙情势、水生生境产生一定影响，可能对坝下的用水户用水产生一定的影响，从而对坝下河道的地表水环境、水生生态环境等将产生影响；水库调水对受水区、退水区的水环境可能产生影响。水库运行期对地表水环境、水生生态环境产生影响是主要的、长远的。</w:t>
      </w:r>
    </w:p>
    <w:p>
      <w:pPr>
        <w:ind w:firstLine="480"/>
        <w:contextualSpacing/>
        <w:sectPr>
          <w:pgSz w:w="11906" w:h="16838"/>
          <w:pgMar w:top="1440" w:right="1800" w:bottom="1440" w:left="1800" w:header="851" w:footer="992" w:gutter="0"/>
          <w:cols w:space="720" w:num="1"/>
          <w:docGrid w:type="lines" w:linePitch="312" w:charSpace="0"/>
        </w:sectPr>
      </w:pPr>
    </w:p>
    <w:p>
      <w:pPr>
        <w:pStyle w:val="3"/>
        <w:ind w:firstLine="883"/>
        <w:contextualSpacing/>
        <w:rPr>
          <w:rFonts w:ascii="Times New Roman" w:hAnsi="Times New Roman"/>
        </w:rPr>
      </w:pPr>
      <w:bookmarkStart w:id="430" w:name="_Toc20471"/>
      <w:bookmarkStart w:id="431" w:name="_Toc130753423"/>
      <w:r>
        <w:rPr>
          <w:rFonts w:ascii="Times New Roman" w:hAnsi="Times New Roman"/>
        </w:rPr>
        <w:t>4环境现状</w:t>
      </w:r>
      <w:bookmarkEnd w:id="430"/>
      <w:bookmarkEnd w:id="431"/>
    </w:p>
    <w:p>
      <w:pPr>
        <w:pStyle w:val="4"/>
        <w:ind w:firstLine="0" w:firstLineChars="0"/>
        <w:contextualSpacing/>
      </w:pPr>
      <w:bookmarkStart w:id="432" w:name="_Toc30724"/>
      <w:bookmarkStart w:id="433" w:name="_Toc130753424"/>
      <w:r>
        <w:t>4.1</w:t>
      </w:r>
      <w:bookmarkEnd w:id="432"/>
      <w:r>
        <w:t>地质</w:t>
      </w:r>
      <w:bookmarkEnd w:id="433"/>
    </w:p>
    <w:p>
      <w:pPr>
        <w:pStyle w:val="5"/>
        <w:ind w:firstLine="0" w:firstLineChars="0"/>
        <w:contextualSpacing/>
        <w:rPr>
          <w:rFonts w:ascii="Times New Roman" w:hAnsi="Times New Roman"/>
        </w:rPr>
      </w:pPr>
      <w:r>
        <w:rPr>
          <w:rFonts w:ascii="Times New Roman" w:hAnsi="Times New Roman"/>
        </w:rPr>
        <w:t>4.1.1区域地质</w:t>
      </w:r>
    </w:p>
    <w:p>
      <w:pPr>
        <w:ind w:firstLine="0" w:firstLineChars="0"/>
        <w:contextualSpacing/>
        <w:outlineLvl w:val="3"/>
        <w:rPr>
          <w:b/>
          <w:bCs/>
        </w:rPr>
      </w:pPr>
      <w:r>
        <w:rPr>
          <w:b/>
          <w:bCs/>
        </w:rPr>
        <w:t>4.1.1.1地形地貌</w:t>
      </w:r>
    </w:p>
    <w:p>
      <w:pPr>
        <w:pStyle w:val="103"/>
        <w:adjustRightInd/>
        <w:snapToGrid/>
        <w:ind w:firstLine="480"/>
        <w:contextualSpacing/>
      </w:pPr>
      <w:r>
        <w:t>工区属川北中山～低山丘陵区，地势北高南低。区内巴中以北山脊标高多在800m以上，望香台一带1316</w:t>
      </w:r>
      <w:r>
        <w:rPr>
          <w:rFonts w:hint="eastAsia"/>
        </w:rPr>
        <w:t>m</w:t>
      </w:r>
      <w:r>
        <w:t>～1460m，以单面山为主的中山地形；巴中以南由褶谷桌状山和深谷梁状山组成的低山丘陵地形，山脊标高多在500</w:t>
      </w:r>
      <w:r>
        <w:rPr>
          <w:rFonts w:hint="eastAsia"/>
        </w:rPr>
        <w:t>m</w:t>
      </w:r>
      <w:r>
        <w:t>～800m，相对高差200</w:t>
      </w:r>
      <w:r>
        <w:rPr>
          <w:rFonts w:hint="eastAsia"/>
        </w:rPr>
        <w:t>m</w:t>
      </w:r>
      <w:r>
        <w:t>～500m，最低侵蚀基准面为巴河，海拔335</w:t>
      </w:r>
      <w:r>
        <w:rPr>
          <w:rFonts w:hint="eastAsia"/>
        </w:rPr>
        <w:t>m</w:t>
      </w:r>
      <w:r>
        <w:t>～360m。地貌单元主要为构造侵蚀、侵蚀堆积地貌。</w:t>
      </w:r>
    </w:p>
    <w:p>
      <w:pPr>
        <w:pStyle w:val="103"/>
        <w:adjustRightInd/>
        <w:snapToGrid/>
        <w:ind w:firstLine="480"/>
        <w:contextualSpacing/>
      </w:pPr>
      <w:r>
        <w:t>构造剥蚀地貌：分布于工区的河流两岸坡及外围，河谷一般呈不对称</w:t>
      </w:r>
      <w:r>
        <w:rPr>
          <w:rFonts w:hint="eastAsia"/>
        </w:rPr>
        <w:t>“</w:t>
      </w:r>
      <w:r>
        <w:rPr>
          <w:cs/>
        </w:rPr>
        <w:t>U</w:t>
      </w:r>
      <w:r>
        <w:rPr>
          <w:rFonts w:hint="eastAsia"/>
        </w:rPr>
        <w:t>”</w:t>
      </w:r>
      <w:r>
        <w:t>字型谷地，局部呈</w:t>
      </w:r>
      <w:r>
        <w:rPr>
          <w:rFonts w:hint="eastAsia"/>
        </w:rPr>
        <w:t>“</w:t>
      </w:r>
      <w:r>
        <w:t>V</w:t>
      </w:r>
      <w:r>
        <w:rPr>
          <w:rFonts w:hint="eastAsia"/>
        </w:rPr>
        <w:t>”</w:t>
      </w:r>
      <w:r>
        <w:t>字型谷地。在构造作用下，河谷下切较深，河流蜿蜒曲折，两岸沟谷较发育，形成树枝状。受岩性控制，砂岩常形成陡崖，粉砂质泥岩、泥质粉砂岩常形成斜坡和多级小平台或平顶山、桌状山。</w:t>
      </w:r>
    </w:p>
    <w:p>
      <w:pPr>
        <w:pStyle w:val="103"/>
        <w:adjustRightInd/>
        <w:snapToGrid/>
        <w:ind w:firstLine="480"/>
        <w:contextualSpacing/>
      </w:pPr>
      <w:r>
        <w:t>侵蚀堆积地貌：区内不甚发育，主要沿巴河两岸小面积分布，由于构造运动作用，地壳上升与河流下切沿河两岸分布Ⅰ～Ⅲ级阶地。</w:t>
      </w:r>
    </w:p>
    <w:p>
      <w:pPr>
        <w:ind w:firstLine="0" w:firstLineChars="0"/>
        <w:contextualSpacing/>
        <w:outlineLvl w:val="3"/>
        <w:rPr>
          <w:b/>
          <w:bCs/>
        </w:rPr>
      </w:pPr>
      <w:r>
        <w:rPr>
          <w:b/>
          <w:bCs/>
        </w:rPr>
        <w:t>4.1.1.2地质特征</w:t>
      </w:r>
    </w:p>
    <w:p>
      <w:pPr>
        <w:pStyle w:val="103"/>
        <w:adjustRightInd/>
        <w:snapToGrid/>
        <w:ind w:firstLine="480"/>
        <w:contextualSpacing/>
      </w:pPr>
      <w:r>
        <w:t>工区大地构造单元属扬子地台之四川台坳的北缘，地处北北东向华蓥山断裂带、大巴山南缘推覆构造带和北东向龙门山断裂带围成的块体内</w:t>
      </w:r>
      <w:r>
        <w:rPr>
          <w:rFonts w:hint="eastAsia"/>
        </w:rPr>
        <w:t>。</w:t>
      </w:r>
    </w:p>
    <w:p>
      <w:pPr>
        <w:ind w:firstLine="0" w:firstLineChars="0"/>
        <w:contextualSpacing/>
        <w:jc w:val="center"/>
      </w:pPr>
      <w:r>
        <w:drawing>
          <wp:inline distT="0" distB="0" distL="0" distR="0">
            <wp:extent cx="3401695" cy="5291455"/>
            <wp:effectExtent l="7620" t="0" r="0" b="0"/>
            <wp:docPr id="12" name="图片 49" descr="12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1223_00"/>
                    <pic:cNvPicPr>
                      <a:picLocks noChangeAspect="1" noChangeArrowheads="1"/>
                    </pic:cNvPicPr>
                  </pic:nvPicPr>
                  <pic:blipFill>
                    <a:blip r:embed="rId48" cstate="print">
                      <a:extLst>
                        <a:ext uri="{28A0092B-C50C-407E-A947-70E740481C1C}">
                          <a14:useLocalDpi xmlns:a14="http://schemas.microsoft.com/office/drawing/2010/main" val="0"/>
                        </a:ext>
                      </a:extLst>
                    </a:blip>
                    <a:srcRect l="27431" t="713" r="27808" b="827"/>
                    <a:stretch>
                      <a:fillRect/>
                    </a:stretch>
                  </pic:blipFill>
                  <pic:spPr>
                    <a:xfrm rot="-5400000">
                      <a:off x="0" y="0"/>
                      <a:ext cx="3401695" cy="5291455"/>
                    </a:xfrm>
                    <a:prstGeom prst="rect">
                      <a:avLst/>
                    </a:prstGeom>
                    <a:noFill/>
                    <a:ln>
                      <a:noFill/>
                    </a:ln>
                  </pic:spPr>
                </pic:pic>
              </a:graphicData>
            </a:graphic>
          </wp:inline>
        </w:drawing>
      </w:r>
    </w:p>
    <w:p>
      <w:pPr>
        <w:ind w:firstLine="0" w:firstLineChars="0"/>
        <w:contextualSpacing/>
        <w:jc w:val="center"/>
        <w:rPr>
          <w:b/>
          <w:sz w:val="21"/>
          <w:szCs w:val="21"/>
        </w:rPr>
      </w:pPr>
      <w:r>
        <w:rPr>
          <w:rFonts w:hint="eastAsia"/>
          <w:b/>
          <w:sz w:val="21"/>
          <w:szCs w:val="21"/>
        </w:rPr>
        <w:t>图4</w:t>
      </w:r>
      <w:r>
        <w:rPr>
          <w:b/>
          <w:sz w:val="21"/>
          <w:szCs w:val="21"/>
        </w:rPr>
        <w:t>.1.1</w:t>
      </w:r>
      <w:r>
        <w:rPr>
          <w:rFonts w:hint="eastAsia"/>
          <w:b/>
          <w:sz w:val="21"/>
          <w:szCs w:val="21"/>
        </w:rPr>
        <w:t>-</w:t>
      </w:r>
      <w:r>
        <w:rPr>
          <w:b/>
          <w:sz w:val="21"/>
          <w:szCs w:val="21"/>
        </w:rPr>
        <w:t xml:space="preserve">1 </w:t>
      </w:r>
      <w:r>
        <w:rPr>
          <w:rFonts w:hint="eastAsia"/>
          <w:b/>
          <w:sz w:val="21"/>
          <w:szCs w:val="21"/>
        </w:rPr>
        <w:t>构造纲要图</w:t>
      </w:r>
    </w:p>
    <w:p>
      <w:pPr>
        <w:ind w:firstLine="480"/>
        <w:contextualSpacing/>
      </w:pPr>
      <w:r>
        <w:rPr>
          <w:rFonts w:hint="eastAsia"/>
        </w:rPr>
        <w:t>a）</w:t>
      </w:r>
      <w:r>
        <w:t>大巴山南缘推覆构造带</w:t>
      </w:r>
    </w:p>
    <w:p>
      <w:pPr>
        <w:ind w:firstLine="480"/>
        <w:contextualSpacing/>
      </w:pPr>
      <w:r>
        <w:t>大巴山南缘推覆构造带由一系列弧顶向南凸出的弧形断裂组成，在研究区范围内由北向南主要有安康—竹山断裂（6</w:t>
      </w:r>
      <w:r>
        <w:rPr>
          <w:rFonts w:hint="eastAsia"/>
        </w:rPr>
        <w:t>）</w:t>
      </w:r>
      <w:r>
        <w:t>红椿坝—岚皋断裂（7</w:t>
      </w:r>
      <w:r>
        <w:rPr>
          <w:rFonts w:hint="eastAsia"/>
        </w:rPr>
        <w:t>）</w:t>
      </w:r>
      <w:r>
        <w:t>城口—房县断裂（8</w:t>
      </w:r>
      <w:r>
        <w:rPr>
          <w:rFonts w:hint="eastAsia"/>
        </w:rPr>
        <w:t>）</w:t>
      </w:r>
      <w:r>
        <w:t>万源—红池坝断裂（9）和九盘石—巫溪断裂（10）等，在剖面上构成一系列铲式逆冲断裂叠瓦系的逆冲构造岩片（推覆体），叠置而成构造形态北厚南薄的逆冲楔，系秦岭造山带印支期以来向四川盆地推覆逆掩运动的结果。其中尤以城口—房县断裂规模最大，与北川—洋县断裂共同构成了秦岭造山带与扬子准地台边界。距工程区的最近距离约110km，</w:t>
      </w:r>
    </w:p>
    <w:p>
      <w:pPr>
        <w:ind w:firstLine="480"/>
        <w:contextualSpacing/>
      </w:pPr>
      <w:r>
        <w:t>在城口县龙田，城口—房县断裂的基岩破碎带宽达60</w:t>
      </w:r>
      <w:r>
        <w:rPr>
          <w:rFonts w:hint="eastAsia"/>
        </w:rPr>
        <w:t>m</w:t>
      </w:r>
      <w:r>
        <w:t>～70m，为震旦纪上统（Zb）硅质灰岩逆冲在寒武纪下统鲁家坪组（</w:t>
      </w:r>
      <w:r>
        <w:object>
          <v:shape id="_x0000_i1028" o:spt="75" type="#_x0000_t75" style="height:17.65pt;width:15.05pt;" o:ole="t" filled="f" o:preferrelative="t" stroked="f" coordsize="21600,21600">
            <v:path/>
            <v:fill on="f" focussize="0,0"/>
            <v:stroke on="f" joinstyle="miter"/>
            <v:imagedata r:id="rId50" o:title=""/>
            <o:lock v:ext="edit" aspectratio="t"/>
            <w10:wrap type="none"/>
            <w10:anchorlock/>
          </v:shape>
          <o:OLEObject Type="Embed" ProgID="Equation.3" ShapeID="_x0000_i1028" DrawAspect="Content" ObjectID="_1468075726" r:id="rId49">
            <o:LockedField>false</o:LockedField>
          </o:OLEObject>
        </w:object>
      </w:r>
      <w:r>
        <w:t>）硅质板岩之上。主断面产状为走向N60°W，倾向NE，倾角45°，显示由北东向南西的逆冲性质。断裂破裂带主要由构造角砾岩、糜棱岩、劈理带及断层泥组成，呈压性特征。在主断面上取断层泥经热释光（T</w:t>
      </w:r>
      <w:r>
        <w:rPr>
          <w:vertAlign w:val="subscript"/>
        </w:rPr>
        <w:t>L</w:t>
      </w:r>
      <w:r>
        <w:t>）法测定的年龄值为176000±26200a，表明断裂为第四纪一般性活动断裂。</w:t>
      </w:r>
    </w:p>
    <w:p>
      <w:pPr>
        <w:ind w:firstLine="480"/>
        <w:contextualSpacing/>
      </w:pPr>
      <w:r>
        <w:t>于万源大竹镇，见城口—房县断裂的另一基岩破碎带露头，为震旦纪下统南山组（Z</w:t>
      </w:r>
      <w:r>
        <w:rPr>
          <w:vertAlign w:val="subscript"/>
        </w:rPr>
        <w:t>n</w:t>
      </w:r>
      <w:r>
        <w:t>）砂板岩逆冲在二叠纪上统阳新组（P</w:t>
      </w:r>
      <w:r>
        <w:rPr>
          <w:vertAlign w:val="subscript"/>
        </w:rPr>
        <w:t>2y</w:t>
      </w:r>
      <w:r>
        <w:t>）灰岩之上。断裂破碎带宽约20m，由构造角砾岩、糜棱岩等组成，显压性特征。主断面产状为走向N40°W，倾NE，倾角57°，在次级断裂上取断层泥经热释光（T</w:t>
      </w:r>
      <w:r>
        <w:rPr>
          <w:vertAlign w:val="subscript"/>
        </w:rPr>
        <w:t>L</w:t>
      </w:r>
      <w:r>
        <w:t>）法测定的年龄值为117000±16500a，为第四纪一般性活动断裂。</w:t>
      </w:r>
    </w:p>
    <w:p>
      <w:pPr>
        <w:ind w:firstLine="480"/>
        <w:contextualSpacing/>
      </w:pPr>
      <w:r>
        <w:t>庙坝南西约2km处，可以见到万源—红池坝断裂的基岩破碎带，为二叠纪（P2）砂页岩逆冲在下三叠纪大冶组（T1d）灰岩地层之上。破碎带宽度在15～20m左右。次级小断层产状为走向N40°W，倾角70°，取断层泥经热释光（T</w:t>
      </w:r>
      <w:r>
        <w:rPr>
          <w:vertAlign w:val="subscript"/>
        </w:rPr>
        <w:t>L</w:t>
      </w:r>
      <w:r>
        <w:t>）法测定的年龄值为825200±61100a，为第四纪一般性活动断裂。</w:t>
      </w:r>
    </w:p>
    <w:p>
      <w:pPr>
        <w:ind w:firstLine="480"/>
        <w:contextualSpacing/>
      </w:pPr>
      <w:r>
        <w:t>在双河竹园，九盘石—巫溪断裂断于寒武纪（Є）灰岩地层与志留纪（S）砂页岩地层间，由3条逆断层组成约50</w:t>
      </w:r>
      <w:r>
        <w:rPr>
          <w:rFonts w:hint="eastAsia"/>
        </w:rPr>
        <w:t>m</w:t>
      </w:r>
      <w:r>
        <w:t>～60m的冲断带。断裂产状为走向N50～70°W，倾向SW，倾角在65°以上，为高角度逆冲断裂。在主断面上取断层泥经热释光（T</w:t>
      </w:r>
      <w:r>
        <w:rPr>
          <w:vertAlign w:val="subscript"/>
        </w:rPr>
        <w:t>L</w:t>
      </w:r>
      <w:r>
        <w:t>）法测得的年龄值为174900±14300a，为第四纪一般性活动断裂。</w:t>
      </w:r>
    </w:p>
    <w:p>
      <w:pPr>
        <w:ind w:firstLine="480"/>
        <w:contextualSpacing/>
      </w:pPr>
      <w:r>
        <w:t>安康—竹山断裂总体呈N40～50°W方向延伸，总长约250km，由一系列近于平行的分支断层组成羽状斜列的剪切带，伴随断裂的左行剪切活动，形成有一系列拉分盆地，如石泉、安康、汉阴、宝丰、溢水第四纪盆地和挤压隆起等，如陈家铺、擂鼓台和前池隆起。沿断裂线形成有断层三角面、断层崖，多级河流裂点与活动构造标志。于安康—汉阴段，发源于凤凰山和牛山的水系在流经断层线时，呈现出有规律的左旋错动，并在许多地段形成有第四纪新断层，如良花沟一带，下更新统中发育的断层走向为N70～85°W，倾向NE，断距2.5～3.9m等。该断裂上发生过公元前143年竹山5.0级地震、788年房县西北6</w:t>
      </w:r>
      <w:r>
        <w:object>
          <v:shape id="_x0000_i1029" o:spt="75" type="#_x0000_t75" style="height:17.65pt;width:9.8pt;" o:ole="t" filled="f" o:preferrelative="t" stroked="f" coordsize="21600,21600">
            <v:path/>
            <v:fill on="f" focussize="0,0"/>
            <v:stroke on="f" joinstyle="miter"/>
            <v:imagedata r:id="rId52" o:title=""/>
            <o:lock v:ext="edit" aspectratio="t"/>
            <w10:wrap type="none"/>
            <w10:anchorlock/>
          </v:shape>
          <o:OLEObject Type="Embed" ProgID="Equation.3" ShapeID="_x0000_i1029" DrawAspect="Content" ObjectID="_1468075727" r:id="rId51">
            <o:LockedField>false</o:LockedField>
          </o:OLEObject>
        </w:object>
      </w:r>
      <w:r>
        <w:t>级地震和1742年房县5级地震等，显示出一定的近代活动性。综上认为，安康—竹山断裂为一条晚更新世活动断裂。</w:t>
      </w:r>
    </w:p>
    <w:p>
      <w:pPr>
        <w:ind w:firstLine="480"/>
        <w:contextualSpacing/>
      </w:pPr>
      <w:r>
        <w:t>综上以为，除安康—竹山断裂为一条晚更新世活动断裂，表现为左旋剪切运动外，大巴山南缘推覆构造带的几条主干断裂皆显示为由北向南逆冲的逆断层性质。根据断裂破碎带内断层物质的年代学测定结果，这些断裂的最晚一次活动时间皆在10万年以上，为第四纪一般性活动断裂，地表上亦无活动构造地貌形迹显示，现今以一些零星的5级左右中强地震活动为主。</w:t>
      </w:r>
    </w:p>
    <w:p>
      <w:pPr>
        <w:ind w:firstLine="480"/>
        <w:contextualSpacing/>
      </w:pPr>
      <w:r>
        <w:rPr>
          <w:rFonts w:hint="eastAsia"/>
        </w:rPr>
        <w:t>b）</w:t>
      </w:r>
      <w:r>
        <w:t>华蓥山断裂带</w:t>
      </w:r>
    </w:p>
    <w:p>
      <w:pPr>
        <w:ind w:firstLine="480"/>
        <w:contextualSpacing/>
      </w:pPr>
      <w:r>
        <w:t>该断裂带北起达县北、向南西经大竹、邻水、合川、铜梁、荣昌至宜宾南，长约460Km，是四川盆地内规模最大的断裂带，也是地震构造意义最为重要的一条断裂带。距工程区的最近距离约89km，断裂带总体走向N40～45°E，倾向SE，倾角30～70°，具挤压逆冲性质。断裂发育于背斜轴部或陡翼，由一系列长数千米～数十千米的断裂斜列或平行展布而成。深部在相应位置则存在华蓥山基底断裂。</w:t>
      </w:r>
    </w:p>
    <w:p>
      <w:pPr>
        <w:ind w:firstLine="480"/>
        <w:contextualSpacing/>
      </w:pPr>
      <w:r>
        <w:t>华蓥山断裂带在第四纪有一定的活动性，在北西西向主压应力场作用下，显示为挤压逆冲性质，并具有一定的右旋滑动分量。从断裂带的平面展布形态、几何组合特征、地表背斜与断裂构造的规模、基底断裂特征、断裂活动性及其地震空间分布图象和地球物理场特征来看，华蓥山断裂带大致以合川和邻水为界，可分为南段、中段和北段。</w:t>
      </w:r>
    </w:p>
    <w:p>
      <w:pPr>
        <w:ind w:firstLine="480"/>
        <w:contextualSpacing/>
      </w:pPr>
      <w:r>
        <w:t>1）南段（宜宾南—合川段）</w:t>
      </w:r>
    </w:p>
    <w:p>
      <w:pPr>
        <w:ind w:firstLine="480"/>
        <w:contextualSpacing/>
      </w:pPr>
      <w:r>
        <w:t>该段南起宜宾南，北止于合川附近，全长约250余km，走向N45°E左右。该段由5</w:t>
      </w:r>
      <w:r>
        <w:rPr>
          <w:rFonts w:hint="eastAsia"/>
        </w:rPr>
        <w:t>条</w:t>
      </w:r>
      <w:r>
        <w:t>～6条规模不等的背斜构造呈右阶羽列而成，断裂常发育于背斜的轴部或靠近轴部的陡翼一侧，呈压性特征。背斜长度不等，长约10</w:t>
      </w:r>
      <w:r>
        <w:rPr>
          <w:rFonts w:hint="eastAsia"/>
        </w:rPr>
        <w:t>km</w:t>
      </w:r>
      <w:r>
        <w:t>～60km，断裂规模不等，长数千米至30余km。在荣昌、宜宾、高县及富顺等地，断裂破碎带中的断层泥、方解石等样品经热释光（T</w:t>
      </w:r>
      <w:r>
        <w:rPr>
          <w:vertAlign w:val="subscript"/>
        </w:rPr>
        <w:t>L</w:t>
      </w:r>
      <w:r>
        <w:t>）法测定的年龄值在102200±60000年～702400±38400年之间。SEM法鉴定结果也表明，断裂晚更新世以来无明显的活动性，且以蠕滑活动方式为主。</w:t>
      </w:r>
    </w:p>
    <w:p>
      <w:pPr>
        <w:ind w:firstLine="480"/>
        <w:contextualSpacing/>
      </w:pPr>
      <w:r>
        <w:t>该段断裂曾发生过5级左右的地震，如公元前26年宜宾—带5</w:t>
      </w:r>
      <w:r>
        <w:object>
          <v:shape id="_x0000_i1030" o:spt="75" type="#_x0000_t75" style="height:17.65pt;width:9.8pt;" o:ole="t" filled="f" o:preferrelative="t" stroked="f" coordsize="21600,21600">
            <v:path/>
            <v:fill on="f" focussize="0,0"/>
            <v:stroke on="f" joinstyle="miter"/>
            <v:imagedata r:id="rId54" o:title=""/>
            <o:lock v:ext="edit" aspectratio="t"/>
            <w10:wrap type="none"/>
            <w10:anchorlock/>
          </v:shape>
          <o:OLEObject Type="Embed" ProgID="Equation.3" ShapeID="_x0000_i1030" DrawAspect="Content" ObjectID="_1468075728" r:id="rId53">
            <o:LockedField>false</o:LockedField>
          </o:OLEObject>
        </w:object>
      </w:r>
      <w:r>
        <w:t>级地震，1610年高县庆符5</w:t>
      </w:r>
      <w:r>
        <w:object>
          <v:shape id="_x0000_i1031" o:spt="75" type="#_x0000_t75" style="height:17.65pt;width:9.8pt;" o:ole="t" filled="f" o:preferrelative="t" stroked="f" coordsize="21600,21600">
            <v:path/>
            <v:fill on="f" focussize="0,0"/>
            <v:stroke on="f" joinstyle="miter"/>
            <v:imagedata r:id="rId56" o:title=""/>
            <o:lock v:ext="edit" aspectratio="t"/>
            <w10:wrap type="none"/>
            <w10:anchorlock/>
          </v:shape>
          <o:OLEObject Type="Embed" ProgID="Equation.3" ShapeID="_x0000_i1031" DrawAspect="Content" ObjectID="_1468075729" r:id="rId55">
            <o:LockedField>false</o:LockedField>
          </o:OLEObject>
        </w:object>
      </w:r>
      <w:r>
        <w:t>级地震等，小震亦沿断裂密集成带分布，表明该段断裂现今仍具有一定活动性。</w:t>
      </w:r>
    </w:p>
    <w:p>
      <w:pPr>
        <w:ind w:firstLine="480"/>
        <w:contextualSpacing/>
      </w:pPr>
      <w:r>
        <w:t>2）中段（合川—邻水北段）</w:t>
      </w:r>
    </w:p>
    <w:p>
      <w:pPr>
        <w:ind w:firstLine="480"/>
        <w:contextualSpacing/>
      </w:pPr>
      <w:r>
        <w:t>该段南起合川，北至邻水北，全长约80余km，走向N30°E左右。该段断裂发育于华蓥山复式背斜的西翼，在平面上由3～4条断裂近于平行展布、剖面上构成迭瓦状构造，并出现有反向冲断层。华蓥山复式背斜轴部高点达1700m左右，高出四川盆地1300～1400m，显示出较强的差异运动。从合川至邻水，断裂破碎带经热释光（T</w:t>
      </w:r>
      <w:r>
        <w:rPr>
          <w:vertAlign w:val="subscript"/>
        </w:rPr>
        <w:t>L</w:t>
      </w:r>
      <w:r>
        <w:t>）法测定的年龄值在140900±11800年～262400±20700年之间。SEM法鉴定结果表明活动亦在中更新世中晚期，以粘滑活动方式为主。现今有弱震沿断裂零星分布。最大地震为1986年邻水3</w:t>
      </w:r>
      <w:r>
        <w:object>
          <v:shape id="_x0000_i1032" o:spt="75" type="#_x0000_t75" style="height:17.65pt;width:9.8pt;" o:ole="t" filled="f" o:preferrelative="t" stroked="f" coordsize="21600,21600">
            <v:path/>
            <v:fill on="f" focussize="0,0"/>
            <v:stroke on="f" joinstyle="miter"/>
            <v:imagedata r:id="rId58" o:title=""/>
            <o:lock v:ext="edit" aspectratio="t"/>
            <w10:wrap type="none"/>
            <w10:anchorlock/>
          </v:shape>
          <o:OLEObject Type="Embed" ProgID="Equation.3" ShapeID="_x0000_i1032" DrawAspect="Content" ObjectID="_1468075730" r:id="rId57">
            <o:LockedField>false</o:LockedField>
          </o:OLEObject>
        </w:object>
      </w:r>
      <w:r>
        <w:t>级地震。</w:t>
      </w:r>
    </w:p>
    <w:p>
      <w:pPr>
        <w:ind w:firstLine="480"/>
        <w:contextualSpacing/>
      </w:pPr>
      <w:r>
        <w:t>3）北段（邻水北—达县北段）</w:t>
      </w:r>
    </w:p>
    <w:p>
      <w:pPr>
        <w:ind w:firstLine="480"/>
        <w:contextualSpacing/>
      </w:pPr>
      <w:r>
        <w:t>该段南起邻水北，北至达县以北，全长约120km，走向N30°E左右。该段主干断裂未出露地表，仅天池—桂兴北之间露有20～30km长的次级断裂。背斜构造形迹亦呈减弱的趋势，轴部高点降低，但深部的基底断裂依然显示清晰。在桂兴乡所取断层泥经热释光（T</w:t>
      </w:r>
      <w:r>
        <w:rPr>
          <w:vertAlign w:val="subscript"/>
        </w:rPr>
        <w:t>L</w:t>
      </w:r>
      <w:r>
        <w:t>）法测得的年龄值为404700±29100年。现今地震活动呈零星状分布。</w:t>
      </w:r>
    </w:p>
    <w:p>
      <w:pPr>
        <w:ind w:firstLine="480"/>
        <w:contextualSpacing/>
      </w:pPr>
      <w:r>
        <w:t>综上所述，华蓥山断裂带地表可以比较明显的分为上述三段，从断裂和背斜构造的地表形态上来看，中段差异活动幅度最大，南、北两段次之。现今地震活动则是南段最强，中段次之，北段最弱。</w:t>
      </w:r>
    </w:p>
    <w:p>
      <w:pPr>
        <w:ind w:firstLine="480"/>
        <w:contextualSpacing/>
      </w:pPr>
      <w:r>
        <w:rPr>
          <w:rFonts w:hint="eastAsia"/>
        </w:rPr>
        <w:t>c）</w:t>
      </w:r>
      <w:r>
        <w:t>龙门山断裂带</w:t>
      </w:r>
    </w:p>
    <w:p>
      <w:pPr>
        <w:ind w:firstLine="480"/>
        <w:contextualSpacing/>
      </w:pPr>
      <w:r>
        <w:t>龙门山断裂带呈N40—50</w:t>
      </w:r>
      <w:r>
        <w:rPr>
          <w:rFonts w:hint="eastAsia"/>
        </w:rPr>
        <w:t>（</w:t>
      </w:r>
      <w:r>
        <w:t>E方向展布于泸定、天全与陕西勉县间，长约500km，断面倾NW，倾角不定，是一条重要的活动断裂带。主要由茂汶—汶川断裂、洋县—北川—中滩铺断裂、彭县—灌县断裂和龙门山山前隐伏断裂等四条主干断裂组成宽约30</w:t>
      </w:r>
      <w:r>
        <w:rPr>
          <w:rFonts w:hint="eastAsia"/>
        </w:rPr>
        <w:t>km</w:t>
      </w:r>
      <w:r>
        <w:t>～40km的冲断带，发育有数量众多，大小不一的飞来峰构造。</w:t>
      </w:r>
    </w:p>
    <w:p>
      <w:pPr>
        <w:ind w:firstLine="480"/>
        <w:contextualSpacing/>
      </w:pPr>
      <w:r>
        <w:t>1）平武一青川断裂②</w:t>
      </w:r>
    </w:p>
    <w:p>
      <w:pPr>
        <w:ind w:firstLine="480"/>
        <w:contextualSpacing/>
      </w:pPr>
      <w:r>
        <w:t>属于龙门山后山断层的北中段，是摩天岭地块与龙门山构造带的分界断层，断层由四川平武、青川，经陕西宁强延入勉县境内，全长250km左右，总体走向N50～60ºE，倾向NW，倾角50º～80º。平武—青川断层带在局部地段形成有较平缓的槽谷和陡崖等地貌，断层破碎带的宽度在数十米～百余米不等，压性特征明显。</w:t>
      </w:r>
    </w:p>
    <w:p>
      <w:pPr>
        <w:ind w:firstLine="480"/>
        <w:contextualSpacing/>
      </w:pPr>
      <w:r>
        <w:t>根据目前的调查资料，平武—青川断裂不具备晚第四纪以来活动的地质地貌证据。但是2008年05月12日汶川8.0级大地震的余震沿该断裂的北中段密集成带分布，最大余震达6.4级，虽然在地表未见本次地震的破裂，地震学证据亦表明平武—青川断裂在本次地震中深部亦同时产生了破裂。因此，推测该断裂系活动断裂。该断裂组距工程场地最近距离为125km。</w:t>
      </w:r>
    </w:p>
    <w:p>
      <w:pPr>
        <w:ind w:firstLine="480"/>
        <w:contextualSpacing/>
      </w:pPr>
      <w:r>
        <w:t>2）茶坝—林庵寺断裂③</w:t>
      </w:r>
    </w:p>
    <w:p>
      <w:pPr>
        <w:ind w:firstLine="480"/>
        <w:contextualSpacing/>
      </w:pPr>
      <w:r>
        <w:t>该断裂属北川—映秀断裂的北东段，走向N40°E，倾角北西，倾角50～60°，航卫片上线性影像不明显，活动构造地貌不发育。在北川太平村可见到震旦系上统邱家河组灰岩逆冲在志留系中～上统罗惹坪+沙帽群之上，破碎带由糜棱岩、断层泥和构造透镜体等组成，宽度在100m左右，显示压性构造特征。于断层带内取断层泥物质经T</w:t>
      </w:r>
      <w:r>
        <w:rPr>
          <w:vertAlign w:val="subscript"/>
        </w:rPr>
        <w:t>L</w:t>
      </w:r>
      <w:r>
        <w:t>测龄结果为（11.40±0.93）×104年，而作SEM法结果为：N2晚期～Q2。在2008年5月12日汶川8.0级大地震中，该断裂的南西段亦同时产生了地表破裂，地表破裂终止于南坝东的石坎子附近，余震亦沿茶坝以西段具有密集成带现象。因此，综合判定茶坝—林庵寺断裂的石坎子以西段为全新世活动断裂，石坎子—茶坝段为晚更新世活动断裂，茶坝以东段为早、中更新世断裂。该断裂组距工程场地最近距离为106.2km。</w:t>
      </w:r>
    </w:p>
    <w:p>
      <w:pPr>
        <w:ind w:firstLine="480"/>
        <w:contextualSpacing/>
      </w:pPr>
      <w:bookmarkStart w:id="434" w:name="_Toc517188322"/>
      <w:bookmarkStart w:id="435" w:name="_Toc517192368"/>
      <w:bookmarkStart w:id="436" w:name="_Toc517192219"/>
      <w:r>
        <w:t>场址区构造</w:t>
      </w:r>
      <w:bookmarkEnd w:id="434"/>
      <w:bookmarkEnd w:id="435"/>
      <w:bookmarkEnd w:id="436"/>
    </w:p>
    <w:p>
      <w:pPr>
        <w:ind w:firstLine="480"/>
        <w:contextualSpacing/>
      </w:pPr>
      <w:r>
        <w:t>工程场址区内构造较为简单、变形微弱，以褶皱构造为为主，地表未见具规模的断裂构造形迹。工区近场构造主要由区域NEE向构造组成，与工程有关的近场褶皱主要是南阳背斜</w:t>
      </w:r>
      <w:r>
        <w:rPr>
          <w:rFonts w:hint="eastAsia"/>
        </w:rPr>
        <w:t>（</w:t>
      </w:r>
      <w:r>
        <w:t>见</w:t>
      </w:r>
      <w:r>
        <w:rPr>
          <w:rFonts w:hint="eastAsia"/>
        </w:rPr>
        <w:t>图3.2.1-2</w:t>
      </w:r>
      <w:r>
        <w:t>）。南阳背斜（7）：轴线在凤仪场～南阳场附近通过，轴向N47～69°E，长度68km，距工区最近约3.2km，发育在J</w:t>
      </w:r>
      <w:r>
        <w:rPr>
          <w:vertAlign w:val="subscript"/>
        </w:rPr>
        <w:t>3p</w:t>
      </w:r>
      <w:r>
        <w:t>中，两翼对称，，为一平缓背斜。场址区位于南阳背斜SE翼，为单斜构造，岩层倾角平缓，未见断层分布。</w:t>
      </w:r>
    </w:p>
    <w:p>
      <w:pPr>
        <w:ind w:firstLine="0" w:firstLineChars="0"/>
        <w:contextualSpacing/>
        <w:outlineLvl w:val="3"/>
        <w:rPr>
          <w:rFonts w:hint="eastAsia"/>
          <w:b/>
          <w:bCs/>
        </w:rPr>
      </w:pPr>
      <w:r>
        <w:rPr>
          <w:b/>
          <w:bCs/>
        </w:rPr>
        <w:t>4.1.1.3</w:t>
      </w:r>
      <w:r>
        <w:rPr>
          <w:rFonts w:hint="eastAsia"/>
          <w:b/>
          <w:bCs/>
        </w:rPr>
        <w:t>地震</w:t>
      </w:r>
    </w:p>
    <w:p>
      <w:pPr>
        <w:ind w:firstLine="480"/>
        <w:contextualSpacing/>
      </w:pPr>
      <w:r>
        <w:rPr>
          <w:rFonts w:hint="eastAsia"/>
        </w:rPr>
        <w:t>a）</w:t>
      </w:r>
      <w:r>
        <w:t>历史地震及对工程区的影响</w:t>
      </w:r>
    </w:p>
    <w:p>
      <w:pPr>
        <w:ind w:firstLine="480"/>
        <w:contextualSpacing/>
      </w:pPr>
      <w:r>
        <w:t>有史料记载以来，工区及其附近未发生过中强性破坏地震，对工区造成影响的是来自外围地区发生的多次中、强性破坏地震。这些地震对四川省巴中市黄石盘水库工程场地均造成了不同程度的影响和破坏（表3.2.2-1）。从表3.2.2-1中可看出，历史上对四川省巴中市黄石盘水库工程场地产生较大影响的地震主要有7次，即1654年天水南8级地震、1713年茂县叠溪7级地震、1879年甘肃武都南8级地震、1920年宁夏海原8½级地震、1933年茂县叠溪7½级地震、1976年松潘、平武间7.2级震群型地震和2008年汶川8级地震。除1879年7月1日甘肃文县—武都8级地震和2008年5月12日四川汶川8级地震，对工程场地的影响烈度均为Ⅵ～Ⅶ度。其他地震对工程场地的地震影响烈度一般不超过Ⅴ度。</w:t>
      </w:r>
    </w:p>
    <w:p>
      <w:pPr>
        <w:ind w:firstLine="0" w:firstLineChars="0"/>
        <w:contextualSpacing/>
        <w:jc w:val="center"/>
        <w:rPr>
          <w:b/>
          <w:sz w:val="21"/>
          <w:szCs w:val="21"/>
        </w:rPr>
      </w:pPr>
      <w:r>
        <w:rPr>
          <w:b/>
          <w:sz w:val="21"/>
          <w:szCs w:val="21"/>
        </w:rPr>
        <w:t>表4.1.1-1  区域主要历史地震对工程场地的最大影响烈度表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05"/>
        <w:gridCol w:w="799"/>
        <w:gridCol w:w="899"/>
        <w:gridCol w:w="1509"/>
        <w:gridCol w:w="697"/>
        <w:gridCol w:w="1102"/>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restart"/>
            <w:vAlign w:val="center"/>
          </w:tcPr>
          <w:p>
            <w:pPr>
              <w:pStyle w:val="139"/>
              <w:spacing w:line="240" w:lineRule="auto"/>
              <w:rPr>
                <w:rFonts w:cs="Times New Roman"/>
              </w:rPr>
            </w:pPr>
            <w:r>
              <w:rPr>
                <w:rFonts w:cs="Times New Roman"/>
              </w:rPr>
              <w:t>编号</w:t>
            </w:r>
          </w:p>
        </w:tc>
        <w:tc>
          <w:tcPr>
            <w:tcW w:w="766" w:type="pct"/>
            <w:vMerge w:val="restart"/>
            <w:vAlign w:val="center"/>
          </w:tcPr>
          <w:p>
            <w:pPr>
              <w:pStyle w:val="139"/>
              <w:spacing w:line="240" w:lineRule="auto"/>
              <w:rPr>
                <w:rFonts w:cs="Times New Roman"/>
              </w:rPr>
            </w:pPr>
            <w:r>
              <w:rPr>
                <w:rFonts w:cs="Times New Roman"/>
              </w:rPr>
              <w:t>时 间</w:t>
            </w:r>
          </w:p>
        </w:tc>
        <w:tc>
          <w:tcPr>
            <w:tcW w:w="1883" w:type="pct"/>
            <w:gridSpan w:val="3"/>
            <w:vAlign w:val="center"/>
          </w:tcPr>
          <w:p>
            <w:pPr>
              <w:pStyle w:val="139"/>
              <w:spacing w:line="240" w:lineRule="auto"/>
              <w:rPr>
                <w:rFonts w:cs="Times New Roman"/>
              </w:rPr>
            </w:pPr>
            <w:r>
              <w:rPr>
                <w:rFonts w:cs="Times New Roman"/>
              </w:rPr>
              <w:t>震 中 位 置</w:t>
            </w:r>
          </w:p>
        </w:tc>
        <w:tc>
          <w:tcPr>
            <w:tcW w:w="409" w:type="pct"/>
            <w:vMerge w:val="restart"/>
            <w:vAlign w:val="center"/>
          </w:tcPr>
          <w:p>
            <w:pPr>
              <w:pStyle w:val="139"/>
              <w:spacing w:line="240" w:lineRule="auto"/>
              <w:rPr>
                <w:rFonts w:cs="Times New Roman"/>
              </w:rPr>
            </w:pPr>
            <w:r>
              <w:rPr>
                <w:rFonts w:cs="Times New Roman"/>
              </w:rPr>
              <w:t>震级</w:t>
            </w:r>
          </w:p>
        </w:tc>
        <w:tc>
          <w:tcPr>
            <w:tcW w:w="647" w:type="pct"/>
            <w:vMerge w:val="restart"/>
            <w:vAlign w:val="center"/>
          </w:tcPr>
          <w:p>
            <w:pPr>
              <w:pStyle w:val="139"/>
              <w:spacing w:line="240" w:lineRule="auto"/>
              <w:rPr>
                <w:rFonts w:cs="Times New Roman"/>
              </w:rPr>
            </w:pPr>
            <w:r>
              <w:rPr>
                <w:rFonts w:cs="Times New Roman"/>
              </w:rPr>
              <w:t>震中烈度</w:t>
            </w:r>
          </w:p>
        </w:tc>
        <w:tc>
          <w:tcPr>
            <w:tcW w:w="885" w:type="pct"/>
            <w:vMerge w:val="restart"/>
            <w:vAlign w:val="center"/>
          </w:tcPr>
          <w:p>
            <w:pPr>
              <w:pStyle w:val="139"/>
              <w:spacing w:line="240" w:lineRule="auto"/>
              <w:rPr>
                <w:rFonts w:cs="Times New Roman"/>
              </w:rPr>
            </w:pPr>
            <w:r>
              <w:rPr>
                <w:rFonts w:cs="Times New Roman"/>
              </w:rPr>
              <w:t>最大影响烈度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continue"/>
            <w:vAlign w:val="center"/>
          </w:tcPr>
          <w:p>
            <w:pPr>
              <w:pStyle w:val="139"/>
              <w:spacing w:line="240" w:lineRule="auto"/>
              <w:rPr>
                <w:rFonts w:cs="Times New Roman"/>
              </w:rPr>
            </w:pPr>
          </w:p>
        </w:tc>
        <w:tc>
          <w:tcPr>
            <w:tcW w:w="766" w:type="pct"/>
            <w:vMerge w:val="continue"/>
            <w:vAlign w:val="center"/>
          </w:tcPr>
          <w:p>
            <w:pPr>
              <w:pStyle w:val="139"/>
              <w:spacing w:line="240" w:lineRule="auto"/>
              <w:rPr>
                <w:rFonts w:cs="Times New Roman"/>
              </w:rPr>
            </w:pPr>
          </w:p>
        </w:tc>
        <w:tc>
          <w:tcPr>
            <w:tcW w:w="469" w:type="pct"/>
            <w:vAlign w:val="center"/>
          </w:tcPr>
          <w:p>
            <w:pPr>
              <w:pStyle w:val="139"/>
              <w:spacing w:line="240" w:lineRule="auto"/>
              <w:rPr>
                <w:rFonts w:cs="Times New Roman"/>
              </w:rPr>
            </w:pPr>
            <w:r>
              <w:rPr>
                <w:rFonts w:cs="Times New Roman"/>
              </w:rPr>
              <w:t>纬度</w:t>
            </w:r>
          </w:p>
        </w:tc>
        <w:tc>
          <w:tcPr>
            <w:tcW w:w="528" w:type="pct"/>
            <w:vAlign w:val="center"/>
          </w:tcPr>
          <w:p>
            <w:pPr>
              <w:pStyle w:val="139"/>
              <w:spacing w:line="240" w:lineRule="auto"/>
              <w:rPr>
                <w:rFonts w:cs="Times New Roman"/>
              </w:rPr>
            </w:pPr>
            <w:r>
              <w:rPr>
                <w:rFonts w:cs="Times New Roman"/>
              </w:rPr>
              <w:t>经度</w:t>
            </w:r>
          </w:p>
        </w:tc>
        <w:tc>
          <w:tcPr>
            <w:tcW w:w="886" w:type="pct"/>
            <w:vAlign w:val="center"/>
          </w:tcPr>
          <w:p>
            <w:pPr>
              <w:pStyle w:val="139"/>
              <w:spacing w:line="240" w:lineRule="auto"/>
              <w:rPr>
                <w:rFonts w:cs="Times New Roman"/>
              </w:rPr>
            </w:pPr>
            <w:r>
              <w:rPr>
                <w:rFonts w:cs="Times New Roman"/>
              </w:rPr>
              <w:t>地  点</w:t>
            </w:r>
          </w:p>
        </w:tc>
        <w:tc>
          <w:tcPr>
            <w:tcW w:w="409" w:type="pct"/>
            <w:vMerge w:val="continue"/>
            <w:vAlign w:val="center"/>
          </w:tcPr>
          <w:p>
            <w:pPr>
              <w:pStyle w:val="139"/>
              <w:spacing w:line="240" w:lineRule="auto"/>
              <w:rPr>
                <w:rFonts w:cs="Times New Roman"/>
              </w:rPr>
            </w:pPr>
          </w:p>
        </w:tc>
        <w:tc>
          <w:tcPr>
            <w:tcW w:w="647" w:type="pct"/>
            <w:vMerge w:val="continue"/>
            <w:vAlign w:val="center"/>
          </w:tcPr>
          <w:p>
            <w:pPr>
              <w:pStyle w:val="139"/>
              <w:spacing w:line="240" w:lineRule="auto"/>
              <w:rPr>
                <w:rFonts w:cs="Times New Roman"/>
              </w:rPr>
            </w:pPr>
          </w:p>
        </w:tc>
        <w:tc>
          <w:tcPr>
            <w:tcW w:w="885" w:type="pct"/>
            <w:vMerge w:val="continue"/>
            <w:vAlign w:val="center"/>
          </w:tcPr>
          <w:p>
            <w:pPr>
              <w:pStyle w:val="139"/>
              <w:spacing w:line="240" w:lineRule="auto"/>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1</w:t>
            </w:r>
          </w:p>
        </w:tc>
        <w:tc>
          <w:tcPr>
            <w:tcW w:w="766" w:type="pct"/>
            <w:vAlign w:val="center"/>
          </w:tcPr>
          <w:p>
            <w:pPr>
              <w:pStyle w:val="139"/>
              <w:spacing w:line="240" w:lineRule="auto"/>
              <w:rPr>
                <w:rFonts w:cs="Times New Roman"/>
              </w:rPr>
            </w:pPr>
            <w:r>
              <w:rPr>
                <w:rFonts w:cs="Times New Roman"/>
              </w:rPr>
              <w:t>1654.7.21</w:t>
            </w:r>
          </w:p>
        </w:tc>
        <w:tc>
          <w:tcPr>
            <w:tcW w:w="469" w:type="pct"/>
            <w:vAlign w:val="center"/>
          </w:tcPr>
          <w:p>
            <w:pPr>
              <w:pStyle w:val="139"/>
              <w:spacing w:line="240" w:lineRule="auto"/>
              <w:rPr>
                <w:rFonts w:cs="Times New Roman"/>
              </w:rPr>
            </w:pPr>
            <w:r>
              <w:rPr>
                <w:rFonts w:cs="Times New Roman"/>
              </w:rPr>
              <w:t>34.3</w:t>
            </w:r>
          </w:p>
        </w:tc>
        <w:tc>
          <w:tcPr>
            <w:tcW w:w="528" w:type="pct"/>
            <w:vAlign w:val="center"/>
          </w:tcPr>
          <w:p>
            <w:pPr>
              <w:pStyle w:val="139"/>
              <w:spacing w:line="240" w:lineRule="auto"/>
              <w:rPr>
                <w:rFonts w:cs="Times New Roman"/>
              </w:rPr>
            </w:pPr>
            <w:r>
              <w:rPr>
                <w:rFonts w:cs="Times New Roman"/>
              </w:rPr>
              <w:t>105.5</w:t>
            </w:r>
          </w:p>
        </w:tc>
        <w:tc>
          <w:tcPr>
            <w:tcW w:w="886" w:type="pct"/>
            <w:vAlign w:val="center"/>
          </w:tcPr>
          <w:p>
            <w:pPr>
              <w:pStyle w:val="139"/>
              <w:spacing w:line="240" w:lineRule="auto"/>
              <w:rPr>
                <w:rFonts w:cs="Times New Roman"/>
              </w:rPr>
            </w:pPr>
            <w:r>
              <w:rPr>
                <w:rFonts w:cs="Times New Roman"/>
              </w:rPr>
              <w:t>甘肃天水南</w:t>
            </w:r>
          </w:p>
        </w:tc>
        <w:tc>
          <w:tcPr>
            <w:tcW w:w="409" w:type="pct"/>
            <w:vAlign w:val="center"/>
          </w:tcPr>
          <w:p>
            <w:pPr>
              <w:pStyle w:val="139"/>
              <w:spacing w:line="240" w:lineRule="auto"/>
              <w:rPr>
                <w:rFonts w:cs="Times New Roman"/>
              </w:rPr>
            </w:pPr>
            <w:r>
              <w:rPr>
                <w:rFonts w:cs="Times New Roman"/>
              </w:rPr>
              <w:t>8</w:t>
            </w:r>
          </w:p>
        </w:tc>
        <w:tc>
          <w:tcPr>
            <w:tcW w:w="647" w:type="pct"/>
            <w:vAlign w:val="center"/>
          </w:tcPr>
          <w:p>
            <w:pPr>
              <w:pStyle w:val="139"/>
              <w:spacing w:line="240" w:lineRule="auto"/>
              <w:rPr>
                <w:rFonts w:cs="Times New Roman"/>
              </w:rPr>
            </w:pPr>
            <w:r>
              <w:rPr>
                <w:rFonts w:cs="Times New Roman"/>
              </w:rPr>
              <w:t>Ⅺ</w:t>
            </w:r>
          </w:p>
        </w:tc>
        <w:tc>
          <w:tcPr>
            <w:tcW w:w="885" w:type="pct"/>
            <w:vAlign w:val="center"/>
          </w:tcPr>
          <w:p>
            <w:pPr>
              <w:pStyle w:val="139"/>
              <w:spacing w:line="240" w:lineRule="auto"/>
              <w:rPr>
                <w:rFonts w:cs="Times New Roman"/>
              </w:rPr>
            </w:pPr>
            <w:r>
              <w:rPr>
                <w:rFonts w:cs="Times New Roman"/>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2</w:t>
            </w:r>
          </w:p>
        </w:tc>
        <w:tc>
          <w:tcPr>
            <w:tcW w:w="766" w:type="pct"/>
            <w:vAlign w:val="center"/>
          </w:tcPr>
          <w:p>
            <w:pPr>
              <w:pStyle w:val="139"/>
              <w:spacing w:line="240" w:lineRule="auto"/>
              <w:rPr>
                <w:rFonts w:cs="Times New Roman"/>
              </w:rPr>
            </w:pPr>
            <w:r>
              <w:rPr>
                <w:rFonts w:cs="Times New Roman"/>
              </w:rPr>
              <w:t>1713.9.4</w:t>
            </w:r>
          </w:p>
        </w:tc>
        <w:tc>
          <w:tcPr>
            <w:tcW w:w="469" w:type="pct"/>
            <w:vAlign w:val="center"/>
          </w:tcPr>
          <w:p>
            <w:pPr>
              <w:pStyle w:val="139"/>
              <w:spacing w:line="240" w:lineRule="auto"/>
              <w:rPr>
                <w:rFonts w:cs="Times New Roman"/>
              </w:rPr>
            </w:pPr>
            <w:r>
              <w:rPr>
                <w:rFonts w:cs="Times New Roman"/>
              </w:rPr>
              <w:t>32.0</w:t>
            </w:r>
          </w:p>
        </w:tc>
        <w:tc>
          <w:tcPr>
            <w:tcW w:w="528" w:type="pct"/>
            <w:vAlign w:val="center"/>
          </w:tcPr>
          <w:p>
            <w:pPr>
              <w:pStyle w:val="139"/>
              <w:spacing w:line="240" w:lineRule="auto"/>
              <w:rPr>
                <w:rFonts w:cs="Times New Roman"/>
              </w:rPr>
            </w:pPr>
            <w:r>
              <w:rPr>
                <w:rFonts w:cs="Times New Roman"/>
              </w:rPr>
              <w:t>103.7</w:t>
            </w:r>
          </w:p>
        </w:tc>
        <w:tc>
          <w:tcPr>
            <w:tcW w:w="886" w:type="pct"/>
            <w:vAlign w:val="center"/>
          </w:tcPr>
          <w:p>
            <w:pPr>
              <w:pStyle w:val="139"/>
              <w:spacing w:line="240" w:lineRule="auto"/>
              <w:rPr>
                <w:rFonts w:cs="Times New Roman"/>
              </w:rPr>
            </w:pPr>
            <w:r>
              <w:rPr>
                <w:rFonts w:cs="Times New Roman"/>
              </w:rPr>
              <w:t>茂县叠溪</w:t>
            </w:r>
          </w:p>
        </w:tc>
        <w:tc>
          <w:tcPr>
            <w:tcW w:w="409" w:type="pct"/>
            <w:vAlign w:val="center"/>
          </w:tcPr>
          <w:p>
            <w:pPr>
              <w:pStyle w:val="139"/>
              <w:spacing w:line="240" w:lineRule="auto"/>
              <w:rPr>
                <w:rFonts w:cs="Times New Roman"/>
              </w:rPr>
            </w:pPr>
            <w:r>
              <w:rPr>
                <w:rFonts w:cs="Times New Roman"/>
              </w:rPr>
              <w:t>7</w:t>
            </w:r>
          </w:p>
        </w:tc>
        <w:tc>
          <w:tcPr>
            <w:tcW w:w="647" w:type="pct"/>
            <w:vAlign w:val="center"/>
          </w:tcPr>
          <w:p>
            <w:pPr>
              <w:pStyle w:val="139"/>
              <w:spacing w:line="240" w:lineRule="auto"/>
              <w:rPr>
                <w:rFonts w:cs="Times New Roman"/>
              </w:rPr>
            </w:pPr>
            <w:r>
              <w:rPr>
                <w:rFonts w:cs="Times New Roman"/>
              </w:rPr>
              <w:t>Ⅸ</w:t>
            </w:r>
          </w:p>
        </w:tc>
        <w:tc>
          <w:tcPr>
            <w:tcW w:w="885" w:type="pct"/>
            <w:vAlign w:val="center"/>
          </w:tcPr>
          <w:p>
            <w:pPr>
              <w:pStyle w:val="139"/>
              <w:spacing w:line="240" w:lineRule="auto"/>
              <w:rPr>
                <w:rFonts w:cs="Times New Roman"/>
              </w:rPr>
            </w:pPr>
            <w:r>
              <w:rPr>
                <w:rFonts w:cs="Times New Roman"/>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3</w:t>
            </w:r>
          </w:p>
        </w:tc>
        <w:tc>
          <w:tcPr>
            <w:tcW w:w="766" w:type="pct"/>
            <w:vAlign w:val="center"/>
          </w:tcPr>
          <w:p>
            <w:pPr>
              <w:pStyle w:val="139"/>
              <w:spacing w:line="240" w:lineRule="auto"/>
              <w:rPr>
                <w:rFonts w:cs="Times New Roman"/>
              </w:rPr>
            </w:pPr>
            <w:r>
              <w:rPr>
                <w:rFonts w:cs="Times New Roman"/>
              </w:rPr>
              <w:t>1879.7.1</w:t>
            </w:r>
          </w:p>
        </w:tc>
        <w:tc>
          <w:tcPr>
            <w:tcW w:w="469" w:type="pct"/>
            <w:vAlign w:val="center"/>
          </w:tcPr>
          <w:p>
            <w:pPr>
              <w:pStyle w:val="139"/>
              <w:spacing w:line="240" w:lineRule="auto"/>
              <w:rPr>
                <w:rFonts w:cs="Times New Roman"/>
              </w:rPr>
            </w:pPr>
            <w:r>
              <w:rPr>
                <w:rFonts w:cs="Times New Roman"/>
              </w:rPr>
              <w:t>33.2</w:t>
            </w:r>
          </w:p>
        </w:tc>
        <w:tc>
          <w:tcPr>
            <w:tcW w:w="528" w:type="pct"/>
            <w:vAlign w:val="center"/>
          </w:tcPr>
          <w:p>
            <w:pPr>
              <w:pStyle w:val="139"/>
              <w:spacing w:line="240" w:lineRule="auto"/>
              <w:rPr>
                <w:rFonts w:cs="Times New Roman"/>
              </w:rPr>
            </w:pPr>
            <w:r>
              <w:rPr>
                <w:rFonts w:cs="Times New Roman"/>
              </w:rPr>
              <w:t>104.7</w:t>
            </w:r>
          </w:p>
        </w:tc>
        <w:tc>
          <w:tcPr>
            <w:tcW w:w="886" w:type="pct"/>
            <w:vAlign w:val="center"/>
          </w:tcPr>
          <w:p>
            <w:pPr>
              <w:pStyle w:val="139"/>
              <w:spacing w:line="240" w:lineRule="auto"/>
              <w:rPr>
                <w:rFonts w:cs="Times New Roman"/>
              </w:rPr>
            </w:pPr>
            <w:r>
              <w:rPr>
                <w:rFonts w:cs="Times New Roman"/>
              </w:rPr>
              <w:t>甘肃武都南</w:t>
            </w:r>
          </w:p>
        </w:tc>
        <w:tc>
          <w:tcPr>
            <w:tcW w:w="409" w:type="pct"/>
            <w:vAlign w:val="center"/>
          </w:tcPr>
          <w:p>
            <w:pPr>
              <w:pStyle w:val="139"/>
              <w:spacing w:line="240" w:lineRule="auto"/>
              <w:rPr>
                <w:rFonts w:cs="Times New Roman"/>
              </w:rPr>
            </w:pPr>
            <w:r>
              <w:rPr>
                <w:rFonts w:cs="Times New Roman"/>
              </w:rPr>
              <w:t>8</w:t>
            </w:r>
          </w:p>
        </w:tc>
        <w:tc>
          <w:tcPr>
            <w:tcW w:w="647" w:type="pct"/>
            <w:vAlign w:val="center"/>
          </w:tcPr>
          <w:p>
            <w:pPr>
              <w:pStyle w:val="139"/>
              <w:spacing w:line="240" w:lineRule="auto"/>
              <w:rPr>
                <w:rFonts w:cs="Times New Roman"/>
              </w:rPr>
            </w:pPr>
            <w:r>
              <w:rPr>
                <w:rFonts w:cs="Times New Roman"/>
              </w:rPr>
              <w:t>Ⅺ</w:t>
            </w:r>
          </w:p>
        </w:tc>
        <w:tc>
          <w:tcPr>
            <w:tcW w:w="885" w:type="pct"/>
            <w:vAlign w:val="center"/>
          </w:tcPr>
          <w:p>
            <w:pPr>
              <w:pStyle w:val="139"/>
              <w:spacing w:line="240" w:lineRule="auto"/>
              <w:rPr>
                <w:rFonts w:cs="Times New Roman"/>
              </w:rPr>
            </w:pPr>
            <w:r>
              <w:rPr>
                <w:rFonts w:cs="Times New Roman"/>
              </w:rPr>
              <w:t>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4</w:t>
            </w:r>
          </w:p>
        </w:tc>
        <w:tc>
          <w:tcPr>
            <w:tcW w:w="766" w:type="pct"/>
            <w:vAlign w:val="center"/>
          </w:tcPr>
          <w:p>
            <w:pPr>
              <w:pStyle w:val="139"/>
              <w:spacing w:line="240" w:lineRule="auto"/>
              <w:rPr>
                <w:rFonts w:cs="Times New Roman"/>
              </w:rPr>
            </w:pPr>
            <w:r>
              <w:rPr>
                <w:rFonts w:cs="Times New Roman"/>
              </w:rPr>
              <w:t>1920.12.16</w:t>
            </w:r>
          </w:p>
        </w:tc>
        <w:tc>
          <w:tcPr>
            <w:tcW w:w="469" w:type="pct"/>
            <w:vAlign w:val="center"/>
          </w:tcPr>
          <w:p>
            <w:pPr>
              <w:pStyle w:val="139"/>
              <w:spacing w:line="240" w:lineRule="auto"/>
              <w:rPr>
                <w:rFonts w:cs="Times New Roman"/>
              </w:rPr>
            </w:pPr>
            <w:r>
              <w:rPr>
                <w:rFonts w:cs="Times New Roman"/>
              </w:rPr>
              <w:t>36.5</w:t>
            </w:r>
          </w:p>
        </w:tc>
        <w:tc>
          <w:tcPr>
            <w:tcW w:w="528" w:type="pct"/>
            <w:vAlign w:val="center"/>
          </w:tcPr>
          <w:p>
            <w:pPr>
              <w:pStyle w:val="139"/>
              <w:spacing w:line="240" w:lineRule="auto"/>
              <w:rPr>
                <w:rFonts w:cs="Times New Roman"/>
              </w:rPr>
            </w:pPr>
            <w:r>
              <w:rPr>
                <w:rFonts w:cs="Times New Roman"/>
              </w:rPr>
              <w:t>105.7</w:t>
            </w:r>
          </w:p>
        </w:tc>
        <w:tc>
          <w:tcPr>
            <w:tcW w:w="886" w:type="pct"/>
            <w:vAlign w:val="center"/>
          </w:tcPr>
          <w:p>
            <w:pPr>
              <w:pStyle w:val="139"/>
              <w:spacing w:line="240" w:lineRule="auto"/>
              <w:rPr>
                <w:rFonts w:cs="Times New Roman"/>
              </w:rPr>
            </w:pPr>
            <w:r>
              <w:rPr>
                <w:rFonts w:cs="Times New Roman"/>
              </w:rPr>
              <w:t>宁夏海原</w:t>
            </w:r>
          </w:p>
        </w:tc>
        <w:tc>
          <w:tcPr>
            <w:tcW w:w="409" w:type="pct"/>
            <w:vAlign w:val="center"/>
          </w:tcPr>
          <w:p>
            <w:pPr>
              <w:pStyle w:val="139"/>
              <w:spacing w:line="240" w:lineRule="auto"/>
              <w:rPr>
                <w:rFonts w:cs="Times New Roman"/>
              </w:rPr>
            </w:pPr>
            <w:r>
              <w:rPr>
                <w:rFonts w:cs="Times New Roman"/>
              </w:rPr>
              <w:t>8½</w:t>
            </w:r>
          </w:p>
        </w:tc>
        <w:tc>
          <w:tcPr>
            <w:tcW w:w="647" w:type="pct"/>
            <w:vAlign w:val="center"/>
          </w:tcPr>
          <w:p>
            <w:pPr>
              <w:pStyle w:val="139"/>
              <w:spacing w:line="240" w:lineRule="auto"/>
              <w:rPr>
                <w:rFonts w:cs="Times New Roman"/>
              </w:rPr>
            </w:pPr>
            <w:r>
              <w:rPr>
                <w:rFonts w:cs="Times New Roman"/>
              </w:rPr>
              <w:t>Ⅻ</w:t>
            </w:r>
          </w:p>
        </w:tc>
        <w:tc>
          <w:tcPr>
            <w:tcW w:w="885" w:type="pct"/>
            <w:vAlign w:val="center"/>
          </w:tcPr>
          <w:p>
            <w:pPr>
              <w:pStyle w:val="139"/>
              <w:spacing w:line="240" w:lineRule="auto"/>
              <w:rPr>
                <w:rFonts w:cs="Times New Roman"/>
              </w:rPr>
            </w:pPr>
            <w:r>
              <w:rPr>
                <w:rFonts w:cs="Times New Roman"/>
              </w:rPr>
              <w:t>Ⅳ—Ⅴ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5</w:t>
            </w:r>
          </w:p>
        </w:tc>
        <w:tc>
          <w:tcPr>
            <w:tcW w:w="766" w:type="pct"/>
            <w:vAlign w:val="center"/>
          </w:tcPr>
          <w:p>
            <w:pPr>
              <w:pStyle w:val="139"/>
              <w:spacing w:line="240" w:lineRule="auto"/>
              <w:rPr>
                <w:rFonts w:cs="Times New Roman"/>
              </w:rPr>
            </w:pPr>
            <w:r>
              <w:rPr>
                <w:rFonts w:cs="Times New Roman"/>
              </w:rPr>
              <w:t>1933.8.25</w:t>
            </w:r>
          </w:p>
        </w:tc>
        <w:tc>
          <w:tcPr>
            <w:tcW w:w="469" w:type="pct"/>
            <w:vAlign w:val="center"/>
          </w:tcPr>
          <w:p>
            <w:pPr>
              <w:pStyle w:val="139"/>
              <w:spacing w:line="240" w:lineRule="auto"/>
              <w:rPr>
                <w:rFonts w:cs="Times New Roman"/>
              </w:rPr>
            </w:pPr>
            <w:r>
              <w:rPr>
                <w:rFonts w:cs="Times New Roman"/>
              </w:rPr>
              <w:t>32.0</w:t>
            </w:r>
          </w:p>
        </w:tc>
        <w:tc>
          <w:tcPr>
            <w:tcW w:w="528" w:type="pct"/>
            <w:vAlign w:val="center"/>
          </w:tcPr>
          <w:p>
            <w:pPr>
              <w:pStyle w:val="139"/>
              <w:spacing w:line="240" w:lineRule="auto"/>
              <w:rPr>
                <w:rFonts w:cs="Times New Roman"/>
              </w:rPr>
            </w:pPr>
            <w:r>
              <w:rPr>
                <w:rFonts w:cs="Times New Roman"/>
              </w:rPr>
              <w:t>103.7</w:t>
            </w:r>
          </w:p>
        </w:tc>
        <w:tc>
          <w:tcPr>
            <w:tcW w:w="886" w:type="pct"/>
            <w:vAlign w:val="center"/>
          </w:tcPr>
          <w:p>
            <w:pPr>
              <w:pStyle w:val="139"/>
              <w:spacing w:line="240" w:lineRule="auto"/>
              <w:rPr>
                <w:rFonts w:cs="Times New Roman"/>
              </w:rPr>
            </w:pPr>
            <w:r>
              <w:rPr>
                <w:rFonts w:cs="Times New Roman"/>
              </w:rPr>
              <w:t>茂县叠溪</w:t>
            </w:r>
          </w:p>
        </w:tc>
        <w:tc>
          <w:tcPr>
            <w:tcW w:w="409" w:type="pct"/>
            <w:vAlign w:val="center"/>
          </w:tcPr>
          <w:p>
            <w:pPr>
              <w:pStyle w:val="139"/>
              <w:spacing w:line="240" w:lineRule="auto"/>
              <w:rPr>
                <w:rFonts w:cs="Times New Roman"/>
              </w:rPr>
            </w:pPr>
            <w:r>
              <w:rPr>
                <w:rFonts w:cs="Times New Roman"/>
              </w:rPr>
              <w:t>7½</w:t>
            </w:r>
          </w:p>
        </w:tc>
        <w:tc>
          <w:tcPr>
            <w:tcW w:w="647" w:type="pct"/>
            <w:vAlign w:val="center"/>
          </w:tcPr>
          <w:p>
            <w:pPr>
              <w:pStyle w:val="139"/>
              <w:spacing w:line="240" w:lineRule="auto"/>
              <w:rPr>
                <w:rFonts w:cs="Times New Roman"/>
              </w:rPr>
            </w:pPr>
            <w:r>
              <w:rPr>
                <w:rFonts w:cs="Times New Roman"/>
              </w:rPr>
              <w:t>Ⅹ</w:t>
            </w:r>
          </w:p>
        </w:tc>
        <w:tc>
          <w:tcPr>
            <w:tcW w:w="885" w:type="pct"/>
            <w:vAlign w:val="center"/>
          </w:tcPr>
          <w:p>
            <w:pPr>
              <w:pStyle w:val="139"/>
              <w:spacing w:line="240" w:lineRule="auto"/>
              <w:rPr>
                <w:rFonts w:cs="Times New Roman"/>
              </w:rPr>
            </w:pPr>
            <w:r>
              <w:rPr>
                <w:rFonts w:cs="Times New Roman"/>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6</w:t>
            </w:r>
          </w:p>
        </w:tc>
        <w:tc>
          <w:tcPr>
            <w:tcW w:w="766" w:type="pct"/>
            <w:vAlign w:val="center"/>
          </w:tcPr>
          <w:p>
            <w:pPr>
              <w:pStyle w:val="139"/>
              <w:spacing w:line="240" w:lineRule="auto"/>
              <w:rPr>
                <w:rFonts w:cs="Times New Roman"/>
              </w:rPr>
            </w:pPr>
            <w:r>
              <w:rPr>
                <w:rFonts w:cs="Times New Roman"/>
              </w:rPr>
              <w:t>1976.8.16</w:t>
            </w:r>
          </w:p>
          <w:p>
            <w:pPr>
              <w:pStyle w:val="139"/>
              <w:spacing w:line="240" w:lineRule="auto"/>
              <w:rPr>
                <w:rFonts w:cs="Times New Roman"/>
              </w:rPr>
            </w:pPr>
            <w:r>
              <w:rPr>
                <w:rFonts w:cs="Times New Roman"/>
              </w:rPr>
              <w:t>1976.8.22</w:t>
            </w:r>
          </w:p>
          <w:p>
            <w:pPr>
              <w:pStyle w:val="139"/>
              <w:spacing w:line="240" w:lineRule="auto"/>
              <w:rPr>
                <w:rFonts w:cs="Times New Roman"/>
              </w:rPr>
            </w:pPr>
            <w:r>
              <w:rPr>
                <w:rFonts w:cs="Times New Roman"/>
              </w:rPr>
              <w:t>1976.8.23</w:t>
            </w:r>
          </w:p>
        </w:tc>
        <w:tc>
          <w:tcPr>
            <w:tcW w:w="469" w:type="pct"/>
            <w:vAlign w:val="center"/>
          </w:tcPr>
          <w:p>
            <w:pPr>
              <w:pStyle w:val="139"/>
              <w:spacing w:line="240" w:lineRule="auto"/>
              <w:rPr>
                <w:rFonts w:cs="Times New Roman"/>
              </w:rPr>
            </w:pPr>
            <w:r>
              <w:rPr>
                <w:rFonts w:cs="Times New Roman"/>
              </w:rPr>
              <w:t>32.7</w:t>
            </w:r>
          </w:p>
        </w:tc>
        <w:tc>
          <w:tcPr>
            <w:tcW w:w="528" w:type="pct"/>
            <w:vAlign w:val="center"/>
          </w:tcPr>
          <w:p>
            <w:pPr>
              <w:pStyle w:val="139"/>
              <w:spacing w:line="240" w:lineRule="auto"/>
              <w:rPr>
                <w:rFonts w:cs="Times New Roman"/>
              </w:rPr>
            </w:pPr>
            <w:r>
              <w:rPr>
                <w:rFonts w:cs="Times New Roman"/>
              </w:rPr>
              <w:t>104.1</w:t>
            </w:r>
          </w:p>
        </w:tc>
        <w:tc>
          <w:tcPr>
            <w:tcW w:w="886" w:type="pct"/>
            <w:vAlign w:val="center"/>
          </w:tcPr>
          <w:p>
            <w:pPr>
              <w:pStyle w:val="139"/>
              <w:spacing w:line="240" w:lineRule="auto"/>
              <w:rPr>
                <w:rFonts w:cs="Times New Roman"/>
              </w:rPr>
            </w:pPr>
            <w:r>
              <w:rPr>
                <w:rFonts w:cs="Times New Roman"/>
              </w:rPr>
              <w:t>松潘、平武间</w:t>
            </w:r>
          </w:p>
        </w:tc>
        <w:tc>
          <w:tcPr>
            <w:tcW w:w="409" w:type="pct"/>
            <w:vAlign w:val="center"/>
          </w:tcPr>
          <w:p>
            <w:pPr>
              <w:pStyle w:val="139"/>
              <w:spacing w:line="240" w:lineRule="auto"/>
              <w:rPr>
                <w:rFonts w:cs="Times New Roman"/>
              </w:rPr>
            </w:pPr>
            <w:r>
              <w:rPr>
                <w:rFonts w:cs="Times New Roman"/>
              </w:rPr>
              <w:t>7.2</w:t>
            </w:r>
          </w:p>
          <w:p>
            <w:pPr>
              <w:pStyle w:val="139"/>
              <w:spacing w:line="240" w:lineRule="auto"/>
              <w:rPr>
                <w:rFonts w:cs="Times New Roman"/>
              </w:rPr>
            </w:pPr>
            <w:r>
              <w:rPr>
                <w:rFonts w:cs="Times New Roman"/>
              </w:rPr>
              <w:t>6.7</w:t>
            </w:r>
          </w:p>
          <w:p>
            <w:pPr>
              <w:pStyle w:val="139"/>
              <w:spacing w:line="240" w:lineRule="auto"/>
              <w:rPr>
                <w:rFonts w:cs="Times New Roman"/>
              </w:rPr>
            </w:pPr>
            <w:r>
              <w:rPr>
                <w:rFonts w:cs="Times New Roman"/>
              </w:rPr>
              <w:t>7.2</w:t>
            </w:r>
          </w:p>
        </w:tc>
        <w:tc>
          <w:tcPr>
            <w:tcW w:w="647" w:type="pct"/>
            <w:vAlign w:val="center"/>
          </w:tcPr>
          <w:p>
            <w:pPr>
              <w:pStyle w:val="139"/>
              <w:spacing w:line="240" w:lineRule="auto"/>
              <w:rPr>
                <w:rFonts w:cs="Times New Roman"/>
              </w:rPr>
            </w:pPr>
            <w:r>
              <w:rPr>
                <w:rFonts w:cs="Times New Roman"/>
              </w:rPr>
              <w:t>Ⅸ</w:t>
            </w:r>
          </w:p>
        </w:tc>
        <w:tc>
          <w:tcPr>
            <w:tcW w:w="885" w:type="pct"/>
            <w:vAlign w:val="center"/>
          </w:tcPr>
          <w:p>
            <w:pPr>
              <w:pStyle w:val="139"/>
              <w:spacing w:line="240" w:lineRule="auto"/>
              <w:rPr>
                <w:rFonts w:cs="Times New Roman"/>
              </w:rPr>
            </w:pPr>
            <w:r>
              <w:rPr>
                <w:rFonts w:cs="Times New Roman"/>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7</w:t>
            </w:r>
          </w:p>
        </w:tc>
        <w:tc>
          <w:tcPr>
            <w:tcW w:w="766" w:type="pct"/>
            <w:vAlign w:val="center"/>
          </w:tcPr>
          <w:p>
            <w:pPr>
              <w:pStyle w:val="139"/>
              <w:spacing w:line="240" w:lineRule="auto"/>
              <w:rPr>
                <w:rFonts w:cs="Times New Roman"/>
              </w:rPr>
            </w:pPr>
            <w:r>
              <w:rPr>
                <w:rFonts w:cs="Times New Roman"/>
              </w:rPr>
              <w:t>2008.5.12</w:t>
            </w:r>
          </w:p>
        </w:tc>
        <w:tc>
          <w:tcPr>
            <w:tcW w:w="469" w:type="pct"/>
            <w:vAlign w:val="center"/>
          </w:tcPr>
          <w:p>
            <w:pPr>
              <w:pStyle w:val="139"/>
              <w:spacing w:line="240" w:lineRule="auto"/>
              <w:rPr>
                <w:rFonts w:cs="Times New Roman"/>
              </w:rPr>
            </w:pPr>
            <w:r>
              <w:rPr>
                <w:rFonts w:cs="Times New Roman"/>
              </w:rPr>
              <w:t>31.02</w:t>
            </w:r>
          </w:p>
        </w:tc>
        <w:tc>
          <w:tcPr>
            <w:tcW w:w="528" w:type="pct"/>
            <w:vAlign w:val="center"/>
          </w:tcPr>
          <w:p>
            <w:pPr>
              <w:pStyle w:val="139"/>
              <w:spacing w:line="240" w:lineRule="auto"/>
              <w:rPr>
                <w:rFonts w:cs="Times New Roman"/>
              </w:rPr>
            </w:pPr>
            <w:r>
              <w:rPr>
                <w:rFonts w:cs="Times New Roman"/>
              </w:rPr>
              <w:t>103.42</w:t>
            </w:r>
          </w:p>
        </w:tc>
        <w:tc>
          <w:tcPr>
            <w:tcW w:w="886" w:type="pct"/>
            <w:vAlign w:val="center"/>
          </w:tcPr>
          <w:p>
            <w:pPr>
              <w:pStyle w:val="139"/>
              <w:spacing w:line="240" w:lineRule="auto"/>
              <w:rPr>
                <w:rFonts w:cs="Times New Roman"/>
              </w:rPr>
            </w:pPr>
            <w:r>
              <w:rPr>
                <w:rFonts w:cs="Times New Roman"/>
              </w:rPr>
              <w:t>汶川</w:t>
            </w:r>
          </w:p>
        </w:tc>
        <w:tc>
          <w:tcPr>
            <w:tcW w:w="409" w:type="pct"/>
            <w:vAlign w:val="center"/>
          </w:tcPr>
          <w:p>
            <w:pPr>
              <w:pStyle w:val="139"/>
              <w:spacing w:line="240" w:lineRule="auto"/>
              <w:rPr>
                <w:rFonts w:cs="Times New Roman"/>
              </w:rPr>
            </w:pPr>
            <w:r>
              <w:rPr>
                <w:rFonts w:cs="Times New Roman"/>
              </w:rPr>
              <w:t>8</w:t>
            </w:r>
          </w:p>
        </w:tc>
        <w:tc>
          <w:tcPr>
            <w:tcW w:w="647" w:type="pct"/>
            <w:vAlign w:val="center"/>
          </w:tcPr>
          <w:p>
            <w:pPr>
              <w:pStyle w:val="139"/>
              <w:spacing w:line="240" w:lineRule="auto"/>
              <w:rPr>
                <w:rFonts w:cs="Times New Roman"/>
              </w:rPr>
            </w:pPr>
            <w:r>
              <w:rPr>
                <w:rFonts w:cs="Times New Roman"/>
              </w:rPr>
              <w:t>Ⅺ</w:t>
            </w:r>
          </w:p>
        </w:tc>
        <w:tc>
          <w:tcPr>
            <w:tcW w:w="885" w:type="pct"/>
            <w:vAlign w:val="center"/>
          </w:tcPr>
          <w:p>
            <w:pPr>
              <w:pStyle w:val="139"/>
              <w:spacing w:line="240" w:lineRule="auto"/>
              <w:rPr>
                <w:rFonts w:cs="Times New Roman"/>
              </w:rPr>
            </w:pPr>
            <w:r>
              <w:rPr>
                <w:rFonts w:cs="Times New Roman"/>
              </w:rPr>
              <w:t>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Align w:val="center"/>
          </w:tcPr>
          <w:p>
            <w:pPr>
              <w:pStyle w:val="139"/>
              <w:spacing w:line="240" w:lineRule="auto"/>
              <w:rPr>
                <w:rFonts w:cs="Times New Roman"/>
              </w:rPr>
            </w:pPr>
            <w:r>
              <w:rPr>
                <w:rFonts w:cs="Times New Roman"/>
              </w:rPr>
              <w:t>8</w:t>
            </w:r>
          </w:p>
        </w:tc>
        <w:tc>
          <w:tcPr>
            <w:tcW w:w="766" w:type="pct"/>
            <w:vAlign w:val="center"/>
          </w:tcPr>
          <w:p>
            <w:pPr>
              <w:pStyle w:val="139"/>
              <w:spacing w:line="240" w:lineRule="auto"/>
              <w:rPr>
                <w:rFonts w:cs="Times New Roman"/>
              </w:rPr>
            </w:pPr>
            <w:r>
              <w:rPr>
                <w:rFonts w:cs="Times New Roman"/>
              </w:rPr>
              <w:t>2018.8.8</w:t>
            </w:r>
          </w:p>
        </w:tc>
        <w:tc>
          <w:tcPr>
            <w:tcW w:w="469" w:type="pct"/>
            <w:vAlign w:val="center"/>
          </w:tcPr>
          <w:p>
            <w:pPr>
              <w:pStyle w:val="139"/>
              <w:spacing w:line="240" w:lineRule="auto"/>
              <w:rPr>
                <w:rFonts w:cs="Times New Roman"/>
              </w:rPr>
            </w:pPr>
            <w:r>
              <w:rPr>
                <w:rFonts w:cs="Times New Roman"/>
              </w:rPr>
              <w:t>33.2</w:t>
            </w:r>
          </w:p>
        </w:tc>
        <w:tc>
          <w:tcPr>
            <w:tcW w:w="528" w:type="pct"/>
            <w:vAlign w:val="center"/>
          </w:tcPr>
          <w:p>
            <w:pPr>
              <w:pStyle w:val="139"/>
              <w:spacing w:line="240" w:lineRule="auto"/>
              <w:rPr>
                <w:rFonts w:cs="Times New Roman"/>
              </w:rPr>
            </w:pPr>
            <w:r>
              <w:rPr>
                <w:rFonts w:cs="Times New Roman"/>
              </w:rPr>
              <w:t>103.82</w:t>
            </w:r>
          </w:p>
        </w:tc>
        <w:tc>
          <w:tcPr>
            <w:tcW w:w="886" w:type="pct"/>
            <w:vAlign w:val="center"/>
          </w:tcPr>
          <w:p>
            <w:pPr>
              <w:pStyle w:val="139"/>
              <w:spacing w:line="240" w:lineRule="auto"/>
              <w:rPr>
                <w:rFonts w:cs="Times New Roman"/>
              </w:rPr>
            </w:pPr>
            <w:r>
              <w:rPr>
                <w:rFonts w:cs="Times New Roman"/>
              </w:rPr>
              <w:t>九寨沟县</w:t>
            </w:r>
          </w:p>
        </w:tc>
        <w:tc>
          <w:tcPr>
            <w:tcW w:w="409" w:type="pct"/>
            <w:vAlign w:val="center"/>
          </w:tcPr>
          <w:p>
            <w:pPr>
              <w:pStyle w:val="139"/>
              <w:spacing w:line="240" w:lineRule="auto"/>
              <w:rPr>
                <w:rFonts w:cs="Times New Roman"/>
              </w:rPr>
            </w:pPr>
            <w:r>
              <w:rPr>
                <w:rFonts w:cs="Times New Roman"/>
              </w:rPr>
              <w:t>7.0</w:t>
            </w:r>
          </w:p>
        </w:tc>
        <w:tc>
          <w:tcPr>
            <w:tcW w:w="647" w:type="pct"/>
            <w:vAlign w:val="center"/>
          </w:tcPr>
          <w:p>
            <w:pPr>
              <w:pStyle w:val="139"/>
              <w:spacing w:line="240" w:lineRule="auto"/>
              <w:rPr>
                <w:rFonts w:cs="Times New Roman"/>
              </w:rPr>
            </w:pPr>
            <w:r>
              <w:rPr>
                <w:rFonts w:cs="Times New Roman"/>
              </w:rPr>
              <w:t>Ⅸ</w:t>
            </w:r>
          </w:p>
        </w:tc>
        <w:tc>
          <w:tcPr>
            <w:tcW w:w="885" w:type="pct"/>
            <w:vAlign w:val="center"/>
          </w:tcPr>
          <w:p>
            <w:pPr>
              <w:pStyle w:val="139"/>
              <w:spacing w:line="240" w:lineRule="auto"/>
              <w:rPr>
                <w:rFonts w:cs="Times New Roman"/>
              </w:rPr>
            </w:pPr>
            <w:r>
              <w:rPr>
                <w:rFonts w:cs="Times New Roman"/>
              </w:rPr>
              <w:t>＜Ⅴ</w:t>
            </w:r>
          </w:p>
        </w:tc>
      </w:tr>
    </w:tbl>
    <w:p>
      <w:pPr>
        <w:ind w:firstLine="480"/>
        <w:contextualSpacing/>
      </w:pPr>
      <w:r>
        <w:rPr>
          <w:rFonts w:hint="eastAsia"/>
        </w:rPr>
        <w:t>b）</w:t>
      </w:r>
      <w:r>
        <w:t>区域稳定性评价</w:t>
      </w:r>
    </w:p>
    <w:p>
      <w:pPr>
        <w:ind w:firstLine="480"/>
        <w:contextualSpacing/>
      </w:pPr>
      <w:r>
        <w:t>工区位于四川盆地北部边缘，大地构造位置属于扬子准地台四川台坳的北部边缘，北西、北东方向与龙门山—大巴山台缘褶断带相邻，处于龙门山断裂带、秦岭大巴山断裂带、华莹山断裂带所围限块体内，工区内无区域性断裂构造，其构造稳定性主要受工程区外围龙门山断裂带、秦岭大巴山断裂带、华蓥山断裂带中强地震活动波及影响。有史料记载以来，对工程场地影响最大的是1879年7月1日甘肃文县—武都8级地震和2008年5月12日四川汶川8级地震，对工程场地的影响烈度均为Ⅴ度。</w:t>
      </w:r>
    </w:p>
    <w:p>
      <w:pPr>
        <w:pStyle w:val="103"/>
        <w:adjustRightInd/>
        <w:snapToGrid/>
        <w:ind w:firstLine="480"/>
        <w:contextualSpacing/>
      </w:pPr>
      <w:r>
        <w:t>根据《中国地震动参数区划图》（GB18306-2015）工程区地震动峰值加速度为0.05g，地震动反应谱特征周期为0.35s，相应地震基本烈度为Ⅵ度；根据《水电工程区域构造稳定性勘察规程》（NB/T35098-2017）判断，工程区域构造稳定性较好。</w:t>
      </w:r>
    </w:p>
    <w:p>
      <w:pPr>
        <w:pStyle w:val="5"/>
        <w:ind w:firstLine="0" w:firstLineChars="0"/>
        <w:contextualSpacing/>
        <w:rPr>
          <w:rFonts w:ascii="Times New Roman" w:hAnsi="Times New Roman"/>
        </w:rPr>
      </w:pPr>
      <w:r>
        <w:rPr>
          <w:rFonts w:ascii="Times New Roman" w:hAnsi="Times New Roman"/>
        </w:rPr>
        <w:t>4.1.2水库工程地质</w:t>
      </w:r>
    </w:p>
    <w:p>
      <w:pPr>
        <w:pStyle w:val="65"/>
        <w:spacing w:line="360" w:lineRule="auto"/>
        <w:ind w:firstLine="0" w:firstLineChars="0"/>
        <w:contextualSpacing/>
        <w:outlineLvl w:val="3"/>
        <w:rPr>
          <w:b/>
          <w:bCs/>
        </w:rPr>
      </w:pPr>
      <w:r>
        <w:rPr>
          <w:b/>
          <w:bCs/>
        </w:rPr>
        <w:t>4.1.2.1地形地貌</w:t>
      </w:r>
    </w:p>
    <w:p>
      <w:pPr>
        <w:pStyle w:val="103"/>
        <w:adjustRightInd/>
        <w:snapToGrid/>
        <w:ind w:firstLine="480"/>
        <w:contextualSpacing/>
        <w:rPr>
          <w:rFonts w:hint="eastAsia"/>
        </w:rPr>
      </w:pPr>
      <w:r>
        <w:rPr>
          <w:rFonts w:hint="eastAsia"/>
        </w:rPr>
        <w:t>寒溪寺水库库区属于构造侵蚀低山峡谷地形，河谷形态以“V”型谷为主，库区中部呈不对称“U”型谷，河床两岸地形陡峻，相对高差＞200m。</w:t>
      </w:r>
    </w:p>
    <w:p>
      <w:pPr>
        <w:pStyle w:val="103"/>
        <w:adjustRightInd/>
        <w:snapToGrid/>
        <w:ind w:firstLine="480"/>
        <w:contextualSpacing/>
      </w:pPr>
      <w:r>
        <w:rPr>
          <w:rFonts w:hint="eastAsia"/>
        </w:rPr>
        <w:t>水库库区平面上呈直线型，库区两岸地形较完整。现代沟床水流向总体为S15～27°E；库区内沟床地面高程为663.12m～695m，平均坡降为2.1%；原水库现代沟床宽51m～73m；扩建水库正常蓄水位附近河谷宽度为179～360m。近坝段库区两岸地形陡峻，地形坡度一般为35°～44°，正常蓄水位附近基岩裸露；库区中段蒋家河、龙神榜、党家榜一带分布由阶梯状状斜坡，地形坡度一般为11°～20°，正常蓄水位附近见大面积分布的崩塌堆积体，其上分布有居民点、耕地；库尾河道狭窄，库区两岸地形中倾，正常蓄水位附近基岩裸露。</w:t>
      </w:r>
    </w:p>
    <w:p>
      <w:pPr>
        <w:pStyle w:val="65"/>
        <w:spacing w:line="360" w:lineRule="auto"/>
        <w:ind w:firstLine="0" w:firstLineChars="0"/>
        <w:contextualSpacing/>
        <w:rPr>
          <w:b/>
          <w:bCs/>
        </w:rPr>
      </w:pPr>
      <w:r>
        <w:rPr>
          <w:b/>
          <w:bCs/>
        </w:rPr>
        <w:t>4.1.2.2地质构造</w:t>
      </w:r>
    </w:p>
    <w:p>
      <w:pPr>
        <w:pStyle w:val="103"/>
        <w:adjustRightInd/>
        <w:snapToGrid/>
        <w:ind w:firstLine="480"/>
        <w:contextualSpacing/>
        <w:rPr>
          <w:rFonts w:hint="eastAsia"/>
        </w:rPr>
      </w:pPr>
      <w:r>
        <w:rPr>
          <w:rFonts w:hint="eastAsia"/>
        </w:rPr>
        <w:t>水库区位于南阳背斜SE翼，库内无断裂构造，构造简单。</w:t>
      </w:r>
    </w:p>
    <w:p>
      <w:pPr>
        <w:pStyle w:val="103"/>
        <w:adjustRightInd/>
        <w:snapToGrid/>
        <w:ind w:firstLine="480"/>
        <w:contextualSpacing/>
      </w:pPr>
      <w:r>
        <w:rPr>
          <w:rFonts w:hint="eastAsia"/>
        </w:rPr>
        <w:t>库区内岩层产状为N63～76°E/NW∠18～24°，岩层走向和河流流向大角度相交，整体倾下游、偏左岸。岩体中发育两组构造裂隙，产状分别为：①N10°～15°W/SW∠60°～65°，间距0.3m～0.5m，长4m～7m，裂面平直粗糙，张开0.1cm～0.4cm，充填岩粉、岩屑；②N70°～80°E/NW∠55°～60°，间距0.6m～0.8m，延伸长1m～3m，裂面起伏粗糙，微张。</w:t>
      </w:r>
    </w:p>
    <w:p>
      <w:pPr>
        <w:pStyle w:val="65"/>
        <w:spacing w:line="360" w:lineRule="auto"/>
        <w:ind w:firstLine="0" w:firstLineChars="0"/>
        <w:contextualSpacing/>
        <w:outlineLvl w:val="3"/>
        <w:rPr>
          <w:b/>
          <w:bCs/>
        </w:rPr>
      </w:pPr>
      <w:r>
        <w:rPr>
          <w:b/>
          <w:bCs/>
        </w:rPr>
        <w:t>4.1.2.3水文地质</w:t>
      </w:r>
    </w:p>
    <w:p>
      <w:pPr>
        <w:pStyle w:val="103"/>
        <w:adjustRightInd/>
        <w:snapToGrid/>
        <w:ind w:firstLine="480"/>
        <w:contextualSpacing/>
      </w:pPr>
      <w:bookmarkStart w:id="437" w:name="_Toc278530146"/>
      <w:bookmarkStart w:id="438" w:name="_Toc278531609"/>
      <w:bookmarkStart w:id="439" w:name="_Toc278531868"/>
      <w:r>
        <w:t>库区内地下水按含水介质及埋藏条件，可分为第四系松散堆积层孔隙潜水和基岩裂隙水两大类。</w:t>
      </w:r>
    </w:p>
    <w:p>
      <w:pPr>
        <w:pStyle w:val="103"/>
        <w:adjustRightInd/>
        <w:snapToGrid/>
        <w:ind w:firstLine="480"/>
        <w:contextualSpacing/>
      </w:pPr>
      <w:r>
        <w:rPr>
          <w:rFonts w:hint="eastAsia"/>
        </w:rPr>
        <w:t>a）</w:t>
      </w:r>
      <w:r>
        <w:t>孔隙潜水</w:t>
      </w:r>
    </w:p>
    <w:p>
      <w:pPr>
        <w:pStyle w:val="103"/>
        <w:adjustRightInd/>
        <w:snapToGrid/>
        <w:ind w:firstLine="480"/>
        <w:contextualSpacing/>
      </w:pPr>
      <w:r>
        <w:t>主要赋存在第四系冲、洪积和崩、坡积堆积层中，接受大气降水和地表水补给，排泄于河流和冲沟，水量不丰，地下水位受季节影响较大。</w:t>
      </w:r>
    </w:p>
    <w:p>
      <w:pPr>
        <w:pStyle w:val="103"/>
        <w:adjustRightInd/>
        <w:snapToGrid/>
        <w:ind w:firstLine="480"/>
        <w:contextualSpacing/>
      </w:pPr>
      <w:r>
        <w:rPr>
          <w:rFonts w:hint="eastAsia"/>
        </w:rPr>
        <w:t>b）</w:t>
      </w:r>
      <w:r>
        <w:t>基岩裂隙水</w:t>
      </w:r>
    </w:p>
    <w:p>
      <w:pPr>
        <w:pStyle w:val="103"/>
        <w:adjustRightInd/>
        <w:snapToGrid/>
        <w:ind w:firstLine="480"/>
        <w:contextualSpacing/>
      </w:pPr>
      <w:r>
        <w:t>由于库区两岸地形陡峻，岸坡岩体卸荷相对较显著，基岩裂隙水埋藏较深 ，多位于风化卸荷岩体中，库内局部泉水出露，以下降泉型式排泄于岸坡沟谷及河流，主要接受大气降水补给流量季节变化较大。</w:t>
      </w:r>
      <w:bookmarkEnd w:id="437"/>
      <w:bookmarkEnd w:id="438"/>
      <w:bookmarkEnd w:id="439"/>
    </w:p>
    <w:p>
      <w:pPr>
        <w:pStyle w:val="5"/>
        <w:ind w:firstLine="0" w:firstLineChars="0"/>
        <w:contextualSpacing/>
        <w:rPr>
          <w:rFonts w:ascii="Times New Roman" w:hAnsi="Times New Roman"/>
        </w:rPr>
      </w:pPr>
      <w:r>
        <w:rPr>
          <w:rFonts w:ascii="Times New Roman" w:hAnsi="Times New Roman"/>
        </w:rPr>
        <w:t>4.1.3灌区工程地质</w:t>
      </w:r>
    </w:p>
    <w:p>
      <w:pPr>
        <w:pStyle w:val="65"/>
        <w:spacing w:line="360" w:lineRule="auto"/>
        <w:ind w:firstLine="0" w:firstLineChars="0"/>
        <w:contextualSpacing/>
        <w:outlineLvl w:val="3"/>
        <w:rPr>
          <w:b/>
          <w:bCs/>
        </w:rPr>
      </w:pPr>
      <w:r>
        <w:rPr>
          <w:b/>
          <w:bCs/>
        </w:rPr>
        <w:t>4.1.3.1地形地貌</w:t>
      </w:r>
    </w:p>
    <w:p>
      <w:pPr>
        <w:pStyle w:val="65"/>
        <w:spacing w:line="360" w:lineRule="auto"/>
        <w:ind w:firstLine="480"/>
        <w:contextualSpacing/>
      </w:pPr>
      <w:r>
        <w:t>渠道沿线属中、深切割构造剥蚀地貌，渠道沿线山顶高程一般728</w:t>
      </w:r>
      <w:r>
        <w:rPr>
          <w:rFonts w:hint="eastAsia"/>
        </w:rPr>
        <w:t>m</w:t>
      </w:r>
      <w:r>
        <w:t>～792m，沟底高程546</w:t>
      </w:r>
      <w:r>
        <w:rPr>
          <w:rFonts w:hint="eastAsia"/>
        </w:rPr>
        <w:t>m</w:t>
      </w:r>
      <w:r>
        <w:t>～653m，相对高差180</w:t>
      </w:r>
      <w:r>
        <w:rPr>
          <w:rFonts w:hint="eastAsia"/>
        </w:rPr>
        <w:t>m</w:t>
      </w:r>
      <w:r>
        <w:t>～260m；地形起伏、沟谷纵横。山顶多为单斜山、条状山地貌形态，山间树枝状沟谷发育，沟谷一般呈不对称的</w:t>
      </w:r>
      <w:r>
        <w:rPr>
          <w:rFonts w:hint="eastAsia"/>
        </w:rPr>
        <w:t>“</w:t>
      </w:r>
      <w:r>
        <w:t>V</w:t>
      </w:r>
      <w:r>
        <w:rPr>
          <w:rFonts w:hint="eastAsia"/>
        </w:rPr>
        <w:t>”</w:t>
      </w:r>
      <w:r>
        <w:t>形谷，受岩性控制，砂岩常形成陡崖，粉砂质泥岩、泥质粉砂岩常形成斜坡和多级窄小阶梯状斜坡。管线沿线次级小支流水系及冲沟较呈树枝状发育。</w:t>
      </w:r>
    </w:p>
    <w:p>
      <w:pPr>
        <w:pStyle w:val="65"/>
        <w:spacing w:line="360" w:lineRule="auto"/>
        <w:ind w:firstLine="0" w:firstLineChars="0"/>
        <w:contextualSpacing/>
        <w:outlineLvl w:val="3"/>
        <w:rPr>
          <w:b/>
          <w:bCs/>
        </w:rPr>
      </w:pPr>
      <w:r>
        <w:rPr>
          <w:b/>
          <w:bCs/>
        </w:rPr>
        <w:t>4.1.3.2地质构造</w:t>
      </w:r>
    </w:p>
    <w:p>
      <w:pPr>
        <w:pStyle w:val="65"/>
        <w:spacing w:line="360" w:lineRule="auto"/>
        <w:ind w:firstLine="480"/>
        <w:contextualSpacing/>
      </w:pPr>
      <w:r>
        <w:t>渠道沿线无断裂构造通过，为单斜构造，整体岩层产状为N63～71°E/SE∠4～23°。整体倾向下游，岩层倾角沿轴线逐渐变缓。</w:t>
      </w:r>
    </w:p>
    <w:p>
      <w:pPr>
        <w:pStyle w:val="65"/>
        <w:spacing w:line="360" w:lineRule="auto"/>
        <w:ind w:firstLine="0" w:firstLineChars="0"/>
        <w:contextualSpacing/>
        <w:outlineLvl w:val="3"/>
        <w:rPr>
          <w:b/>
          <w:bCs/>
        </w:rPr>
      </w:pPr>
      <w:r>
        <w:rPr>
          <w:b/>
          <w:bCs/>
        </w:rPr>
        <w:t>4.1.3.3</w:t>
      </w:r>
      <w:r>
        <w:rPr>
          <w:rFonts w:hint="eastAsia"/>
          <w:b/>
          <w:bCs/>
        </w:rPr>
        <w:t>地层</w:t>
      </w:r>
    </w:p>
    <w:p>
      <w:pPr>
        <w:pStyle w:val="65"/>
        <w:spacing w:line="360" w:lineRule="auto"/>
        <w:ind w:firstLine="480"/>
        <w:contextualSpacing/>
      </w:pPr>
      <w:r>
        <w:t>渠道沿线山体分布有第四系全新统崩坡积（Q</w:t>
      </w:r>
      <w:r>
        <w:rPr>
          <w:vertAlign w:val="subscript"/>
        </w:rPr>
        <w:t>4</w:t>
      </w:r>
      <w:r>
        <w:rPr>
          <w:vertAlign w:val="superscript"/>
        </w:rPr>
        <w:t>col+dl</w:t>
      </w:r>
      <w:r>
        <w:t>）之孤块碎石土、第四系全新统坡、残积（Q</w:t>
      </w:r>
      <w:r>
        <w:rPr>
          <w:vertAlign w:val="subscript"/>
        </w:rPr>
        <w:t>4</w:t>
      </w:r>
      <w:r>
        <w:rPr>
          <w:vertAlign w:val="superscript"/>
        </w:rPr>
        <w:t>dl+el</w:t>
      </w:r>
      <w:r>
        <w:t>）之粉质粘土夹碎石，第四系全新统冲、洪积堆积层（Q</w:t>
      </w:r>
      <w:r>
        <w:rPr>
          <w:vertAlign w:val="subscript"/>
        </w:rPr>
        <w:t>4</w:t>
      </w:r>
      <w:r>
        <w:rPr>
          <w:vertAlign w:val="superscript"/>
        </w:rPr>
        <w:t>al+pl</w:t>
      </w:r>
      <w:r>
        <w:t>）之卵砾石砂。沿线出露基岩地层为侏罗系上统蓬莱镇组上段（J</w:t>
      </w:r>
      <w:r>
        <w:rPr>
          <w:vertAlign w:val="subscript"/>
        </w:rPr>
        <w:t>3p</w:t>
      </w:r>
      <w:r>
        <w:rPr>
          <w:vertAlign w:val="superscript"/>
        </w:rPr>
        <w:t>2</w:t>
      </w:r>
      <w:r>
        <w:rPr>
          <w:rFonts w:hint="eastAsia"/>
        </w:rPr>
        <w:t>）</w:t>
      </w:r>
      <w:r>
        <w:t>白垩系白垩系下统苍溪组（K</w:t>
      </w:r>
      <w:r>
        <w:rPr>
          <w:vertAlign w:val="subscript"/>
        </w:rPr>
        <w:t>1c</w:t>
      </w:r>
      <w:r>
        <w:rPr>
          <w:rFonts w:hint="eastAsia"/>
        </w:rPr>
        <w:t>）</w:t>
      </w:r>
      <w:r>
        <w:t>白垩系下统白龙族（K</w:t>
      </w:r>
      <w:r>
        <w:rPr>
          <w:vertAlign w:val="subscript"/>
        </w:rPr>
        <w:t>1b</w:t>
      </w:r>
      <w:r>
        <w:rPr>
          <w:rFonts w:hint="eastAsia"/>
        </w:rPr>
        <w:t>）</w:t>
      </w:r>
      <w:r>
        <w:t>白垩系下统七曲寺组（K</w:t>
      </w:r>
      <w:r>
        <w:rPr>
          <w:vertAlign w:val="subscript"/>
        </w:rPr>
        <w:t>1q</w:t>
      </w:r>
      <w:r>
        <w:t>）。现由新至老分述如下：</w:t>
      </w:r>
    </w:p>
    <w:p>
      <w:pPr>
        <w:pStyle w:val="65"/>
        <w:spacing w:line="360" w:lineRule="auto"/>
        <w:ind w:firstLine="480"/>
        <w:contextualSpacing/>
      </w:pPr>
      <w:r>
        <w:t>第四系全新统冲、洪积堆积层（Q</w:t>
      </w:r>
      <w:r>
        <w:rPr>
          <w:vertAlign w:val="subscript"/>
        </w:rPr>
        <w:t>4</w:t>
      </w:r>
      <w:r>
        <w:rPr>
          <w:vertAlign w:val="superscript"/>
        </w:rPr>
        <w:t>al+pl</w:t>
      </w:r>
      <w:r>
        <w:t>）：分布于现代河床、沟床中，主要由孤漂卵砾石砂组成，漂卵石成分以成份为砂岩为主，多呈次棱角状，偶见次浑圆状，分选性差，其间充填砂、富含泥质物；分布在河流沟谷一带，厚度2.3</w:t>
      </w:r>
      <w:r>
        <w:rPr>
          <w:rFonts w:hint="eastAsia"/>
        </w:rPr>
        <w:t>m</w:t>
      </w:r>
      <w:r>
        <w:t>～4.9m。管道沿线主要分布于陈家山排架所在沟床中。</w:t>
      </w:r>
    </w:p>
    <w:p>
      <w:pPr>
        <w:pStyle w:val="65"/>
        <w:spacing w:line="360" w:lineRule="auto"/>
        <w:ind w:firstLine="480"/>
        <w:contextualSpacing/>
      </w:pPr>
      <w:r>
        <w:t>第四系全新统坡残积（Q</w:t>
      </w:r>
      <w:r>
        <w:rPr>
          <w:vertAlign w:val="subscript"/>
        </w:rPr>
        <w:t>4</w:t>
      </w:r>
      <w:r>
        <w:rPr>
          <w:vertAlign w:val="superscript"/>
        </w:rPr>
        <w:t>dl+el</w:t>
      </w:r>
      <w:r>
        <w:t>）：主要由褐黄色、棕红色粉质粘土夹碎石构成，粉质粘土以可塑状为主，一般厚1.7</w:t>
      </w:r>
      <w:r>
        <w:rPr>
          <w:rFonts w:hint="eastAsia"/>
        </w:rPr>
        <w:t>m</w:t>
      </w:r>
      <w:r>
        <w:t>～3.8m，多分布于管线沿线缓坡台地中。</w:t>
      </w:r>
    </w:p>
    <w:p>
      <w:pPr>
        <w:pStyle w:val="65"/>
        <w:spacing w:line="360" w:lineRule="auto"/>
        <w:ind w:firstLine="480"/>
        <w:contextualSpacing/>
      </w:pPr>
      <w:r>
        <w:t>第四系全新统崩、坡积堆积层（Q</w:t>
      </w:r>
      <w:r>
        <w:rPr>
          <w:vertAlign w:val="subscript"/>
        </w:rPr>
        <w:t>4</w:t>
      </w:r>
      <w:r>
        <w:rPr>
          <w:vertAlign w:val="superscript"/>
        </w:rPr>
        <w:t>col+dl</w:t>
      </w:r>
      <w:r>
        <w:t>）：主要分布于输水管线沿线缓倾平台及河谷两岸山体坡脚，主要由含孤块石粉质粘土夹碎石及孤块碎石土构成。孤块碎石土中孤块石成分以砂岩、粉砂岩为主，含量约占40</w:t>
      </w:r>
      <w:r>
        <w:rPr>
          <w:rFonts w:hint="eastAsia"/>
        </w:rPr>
        <w:t>%</w:t>
      </w:r>
      <w:r>
        <w:t>～50%，粉质粘土一般呈棕红色，可塑状，整体结构稍密，主要分布于输水管线沿线缓倾平台；粉质粘土夹碎石中粉质粘土一般呈棕红色、可塑状，其内充填少许孤块石，含量约占20</w:t>
      </w:r>
      <w:r>
        <w:rPr>
          <w:rFonts w:hint="eastAsia"/>
        </w:rPr>
        <w:t>%</w:t>
      </w:r>
      <w:r>
        <w:t>～30%；主要分布于输水管道沿线缓倾平台。一般厚度为3.4</w:t>
      </w:r>
      <w:r>
        <w:rPr>
          <w:rFonts w:hint="eastAsia"/>
        </w:rPr>
        <w:t>m</w:t>
      </w:r>
      <w:r>
        <w:t>～12.6m。</w:t>
      </w:r>
    </w:p>
    <w:p>
      <w:pPr>
        <w:pStyle w:val="65"/>
        <w:spacing w:line="360" w:lineRule="auto"/>
        <w:ind w:firstLine="480"/>
        <w:contextualSpacing/>
      </w:pPr>
      <w:r>
        <w:t>第四系全新统地滑堆积层（Q</w:t>
      </w:r>
      <w:r>
        <w:rPr>
          <w:vertAlign w:val="subscript"/>
        </w:rPr>
        <w:t>4</w:t>
      </w:r>
      <w:r>
        <w:rPr>
          <w:vertAlign w:val="superscript"/>
        </w:rPr>
        <w:t>del</w:t>
      </w:r>
      <w:r>
        <w:t>）：主要分布于坝区下游1#滑坡体中，其多呈二元结构，表层多为厚1</w:t>
      </w:r>
      <w:r>
        <w:rPr>
          <w:rFonts w:hint="eastAsia"/>
        </w:rPr>
        <w:t>m</w:t>
      </w:r>
      <w:r>
        <w:t>～3m的粉质粘土夹块碎石，中下部主要由孤块碎石土构成，孤块石含量约占65%，其母岩多为棕红色粉砂质泥岩、粉砂岩，孤块石间多充填粉质粘土。工区滑体土厚5.2</w:t>
      </w:r>
      <w:r>
        <w:rPr>
          <w:rFonts w:hint="eastAsia"/>
        </w:rPr>
        <w:t>m</w:t>
      </w:r>
      <w:r>
        <w:t>～8.1m。</w:t>
      </w:r>
    </w:p>
    <w:p>
      <w:pPr>
        <w:pStyle w:val="65"/>
        <w:spacing w:line="360" w:lineRule="auto"/>
        <w:ind w:firstLine="480"/>
        <w:contextualSpacing/>
      </w:pPr>
      <w:r>
        <w:t>白垩系下统七曲寺组（K</w:t>
      </w:r>
      <w:r>
        <w:rPr>
          <w:vertAlign w:val="subscript"/>
        </w:rPr>
        <w:t>1q</w:t>
      </w:r>
      <w:r>
        <w:t>）： 青灰、灰白色厚层状细粒长石细砂岩夹砖红色粉砂质泥岩，粉砂质泥岩含钙质，砂岩为孔隙式和接触式胶结。主要分布于桩号4+905.4</w:t>
      </w:r>
      <w:r>
        <w:rPr>
          <w:rFonts w:hint="eastAsia"/>
        </w:rPr>
        <w:t>m</w:t>
      </w:r>
      <w:r>
        <w:t>以后段管道沿线山体。输水管线渠道沿线共分八层（K</w:t>
      </w:r>
      <w:r>
        <w:rPr>
          <w:vertAlign w:val="subscript"/>
        </w:rPr>
        <w:t>1q</w:t>
      </w:r>
      <w:r>
        <w:t>①～K</w:t>
      </w:r>
      <w:r>
        <w:rPr>
          <w:vertAlign w:val="subscript"/>
        </w:rPr>
        <w:t>1q</w:t>
      </w:r>
      <w:r>
        <w:t>⑧），其中工区分层第一、三、五、七层以灰白色砂岩为主，偶夹薄层状砂岩，呈厚层状，单层厚度约13</w:t>
      </w:r>
      <w:r>
        <w:rPr>
          <w:rFonts w:hint="eastAsia"/>
        </w:rPr>
        <w:t>m</w:t>
      </w:r>
      <w:r>
        <w:t>～30m，工区分层第二、四、六、八偶数层以粉砂岩、粉砂质泥岩为主，呈薄层～互层状，单层厚度约14</w:t>
      </w:r>
      <w:r>
        <w:rPr>
          <w:rFonts w:hint="eastAsia"/>
        </w:rPr>
        <w:t>m</w:t>
      </w:r>
      <w:r>
        <w:t>～20m为主。整体厚度＞150m。</w:t>
      </w:r>
    </w:p>
    <w:p>
      <w:pPr>
        <w:pStyle w:val="65"/>
        <w:spacing w:line="360" w:lineRule="auto"/>
        <w:ind w:firstLine="480"/>
        <w:contextualSpacing/>
      </w:pPr>
      <w:r>
        <w:t>白垩系下统白龙组（K</w:t>
      </w:r>
      <w:r>
        <w:rPr>
          <w:vertAlign w:val="subscript"/>
        </w:rPr>
        <w:t>1b</w:t>
      </w:r>
      <w:r>
        <w:t>）：青灰色厚层状细粒长石细砂岩与砖红色粉砂质泥岩互层，粉砂质泥岩含钙质，砂岩为孔隙式和接触式胶结。砂岩和粉砂质泥岩呈厚互层，上部和下部砂岩较厚，底部有10m左右厚的砾岩。主要分布于桩号2+450</w:t>
      </w:r>
      <w:r>
        <w:rPr>
          <w:rFonts w:hint="eastAsia"/>
        </w:rPr>
        <w:t>m</w:t>
      </w:r>
      <w:r>
        <w:t>～4+905.4</w:t>
      </w:r>
      <w:r>
        <w:rPr>
          <w:rFonts w:hint="eastAsia"/>
        </w:rPr>
        <w:t>m</w:t>
      </w:r>
      <w:r>
        <w:t>以后段管道沿线山体。输水管线渠道沿线共分八层（K</w:t>
      </w:r>
      <w:r>
        <w:rPr>
          <w:vertAlign w:val="subscript"/>
        </w:rPr>
        <w:t>1b</w:t>
      </w:r>
      <w:r>
        <w:t>①～K</w:t>
      </w:r>
      <w:r>
        <w:rPr>
          <w:vertAlign w:val="subscript"/>
        </w:rPr>
        <w:t>1b</w:t>
      </w:r>
      <w:r>
        <w:t>⑧），其中工区分层第一、三、五、七层以灰白色砂岩为主，偶夹薄层状砂岩，呈厚层状，单层厚度约18</w:t>
      </w:r>
      <w:r>
        <w:rPr>
          <w:rFonts w:hint="eastAsia"/>
        </w:rPr>
        <w:t>m</w:t>
      </w:r>
      <w:r>
        <w:t>～25m，工区分层第二、四、六、八偶数层以粉砂岩、粉砂质泥岩为主，呈薄层～互层状，单层厚度约15</w:t>
      </w:r>
      <w:r>
        <w:rPr>
          <w:rFonts w:hint="eastAsia"/>
        </w:rPr>
        <w:t>m</w:t>
      </w:r>
      <w:r>
        <w:t>～30m为主。整体厚度260</w:t>
      </w:r>
      <w:r>
        <w:rPr>
          <w:rFonts w:hint="eastAsia"/>
        </w:rPr>
        <w:t>m</w:t>
      </w:r>
      <w:r>
        <w:t>～428m。</w:t>
      </w:r>
    </w:p>
    <w:p>
      <w:pPr>
        <w:pStyle w:val="65"/>
        <w:spacing w:line="360" w:lineRule="auto"/>
        <w:ind w:firstLine="480"/>
        <w:contextualSpacing/>
      </w:pPr>
      <w:r>
        <w:t>白垩系下统苍溪组（K</w:t>
      </w:r>
      <w:r>
        <w:rPr>
          <w:vertAlign w:val="subscript"/>
        </w:rPr>
        <w:t>1c</w:t>
      </w:r>
      <w:r>
        <w:t>）：青灰色块状中～细粒长石细砂岩夹砖红色粉砂质泥岩，底部有一层厚1.0m左右的砾岩，自下而上砂岩厚度由厚变薄，层次减少。主要分布于桩号0+876</w:t>
      </w:r>
      <w:r>
        <w:rPr>
          <w:rFonts w:hint="eastAsia"/>
        </w:rPr>
        <w:t>m</w:t>
      </w:r>
      <w:r>
        <w:t>～2+450</w:t>
      </w:r>
      <w:r>
        <w:rPr>
          <w:rFonts w:hint="eastAsia"/>
        </w:rPr>
        <w:t>m</w:t>
      </w:r>
      <w:r>
        <w:t>以后段管道沿线山体。输水管线渠道沿线共分八层（K</w:t>
      </w:r>
      <w:r>
        <w:rPr>
          <w:vertAlign w:val="subscript"/>
        </w:rPr>
        <w:t>1b</w:t>
      </w:r>
      <w:r>
        <w:t>①～K</w:t>
      </w:r>
      <w:r>
        <w:rPr>
          <w:vertAlign w:val="subscript"/>
        </w:rPr>
        <w:t>1b</w:t>
      </w:r>
      <w:r>
        <w:t>⑧），其中工区分层第一、三、五、七、层以灰白色砂岩为主，偶夹薄层状砂岩，呈厚层状，单层厚度约10</w:t>
      </w:r>
      <w:r>
        <w:rPr>
          <w:rFonts w:hint="eastAsia"/>
        </w:rPr>
        <w:t>m</w:t>
      </w:r>
      <w:r>
        <w:t>～19m，工区分层第二、四、六、八偶数层以粉砂岩、粉砂质泥岩为主，呈薄层～互层状，其内夹薄层状砂岩，单层厚度约15</w:t>
      </w:r>
      <w:r>
        <w:rPr>
          <w:rFonts w:hint="eastAsia"/>
        </w:rPr>
        <w:t>m</w:t>
      </w:r>
      <w:r>
        <w:t>～40m为主。整体厚度336</w:t>
      </w:r>
      <w:r>
        <w:rPr>
          <w:rFonts w:hint="eastAsia"/>
        </w:rPr>
        <w:t>m</w:t>
      </w:r>
      <w:r>
        <w:t>～539m。</w:t>
      </w:r>
    </w:p>
    <w:p>
      <w:pPr>
        <w:pStyle w:val="65"/>
        <w:spacing w:line="360" w:lineRule="auto"/>
        <w:ind w:firstLine="480"/>
        <w:contextualSpacing/>
      </w:pPr>
      <w:r>
        <w:t>侏罗系上统蓬莱镇组上段（J</w:t>
      </w:r>
      <w:r>
        <w:rPr>
          <w:vertAlign w:val="subscript"/>
        </w:rPr>
        <w:t>3p</w:t>
      </w:r>
      <w:r>
        <w:rPr>
          <w:vertAlign w:val="superscript"/>
        </w:rPr>
        <w:t>2</w:t>
      </w:r>
      <w:r>
        <w:t>）：以棕红色粉砂质泥岩、泥质粉砂岩夹细粒长石石英砂岩为主，整体厚266</w:t>
      </w:r>
      <w:r>
        <w:rPr>
          <w:rFonts w:hint="eastAsia"/>
        </w:rPr>
        <w:t>m</w:t>
      </w:r>
      <w:r>
        <w:t>～368m。本阶段按其岩性特点及组合，将坝址岩体进行工程岩组划分、共分为为6个工区分层，其特征如下：</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1</w:t>
      </w:r>
      <w:r>
        <w:t>：以棕红色、浅灰色泥质粉砂岩为主、夹数层薄层状粉砂质泥岩、砂岩，其中粉砂质泥岩单层厚度一般为0.4</w:t>
      </w:r>
      <w:r>
        <w:rPr>
          <w:rFonts w:hint="eastAsia"/>
        </w:rPr>
        <w:t>mm</w:t>
      </w:r>
      <w:r>
        <w:t>～2.3m。整体厚度＞80m。</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2</w:t>
      </w:r>
      <w:r>
        <w:t>：以互层状泥质粉砂岩、粉砂质泥岩为主、其中粉砂质泥岩单层厚度一般为2.6</w:t>
      </w:r>
      <w:r>
        <w:rPr>
          <w:rFonts w:hint="eastAsia"/>
        </w:rPr>
        <w:t>m</w:t>
      </w:r>
      <w:r>
        <w:t>～3.7m。整体厚度约35m。</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3</w:t>
      </w:r>
      <w:r>
        <w:t>：紫灰色中细粒长石石英砂岩为主，其内偶见透镜体状粉砂岩、粉砂质泥岩。整体厚度10</w:t>
      </w:r>
      <w:r>
        <w:rPr>
          <w:rFonts w:hint="eastAsia"/>
        </w:rPr>
        <w:t>m</w:t>
      </w:r>
      <w:r>
        <w:t>～12m。</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4</w:t>
      </w:r>
      <w:r>
        <w:t>：以泥质粉砂岩、粉砂质泥岩不等厚互层为主、其中粉砂质泥岩单层厚度一般为1.8</w:t>
      </w:r>
      <w:r>
        <w:rPr>
          <w:rFonts w:hint="eastAsia"/>
        </w:rPr>
        <w:t>m</w:t>
      </w:r>
      <w:r>
        <w:t>～4.5m。整体厚度约56m。</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5</w:t>
      </w:r>
      <w:r>
        <w:t>：紫灰色中细粒长石石英砂岩为主，其内偶见透镜体状粉砂岩、粉砂质泥岩。整体厚度12</w:t>
      </w:r>
      <w:r>
        <w:rPr>
          <w:rFonts w:hint="eastAsia"/>
        </w:rPr>
        <w:t>m</w:t>
      </w:r>
      <w:r>
        <w:t>～15m。</w:t>
      </w:r>
    </w:p>
    <w:p>
      <w:pPr>
        <w:pStyle w:val="65"/>
        <w:spacing w:line="360" w:lineRule="auto"/>
        <w:ind w:firstLine="480"/>
        <w:contextualSpacing/>
      </w:pPr>
      <w:r>
        <w:t>J</w:t>
      </w:r>
      <w:r>
        <w:rPr>
          <w:vertAlign w:val="subscript"/>
        </w:rPr>
        <w:t>3p</w:t>
      </w:r>
      <w:r>
        <w:rPr>
          <w:vertAlign w:val="superscript"/>
        </w:rPr>
        <w:t>2-</w:t>
      </w:r>
      <w:r>
        <w:rPr>
          <w:rFonts w:hint="eastAsia"/>
          <w:vertAlign w:val="superscript"/>
        </w:rPr>
        <w:t>6</w:t>
      </w:r>
      <w:r>
        <w:t>：以棕红色粉砂质泥岩、粉砂岩不等厚互层主。整体厚度约＞100m。</w:t>
      </w:r>
    </w:p>
    <w:p>
      <w:pPr>
        <w:pStyle w:val="65"/>
        <w:spacing w:line="360" w:lineRule="auto"/>
        <w:ind w:firstLine="0" w:firstLineChars="0"/>
        <w:contextualSpacing/>
        <w:outlineLvl w:val="3"/>
        <w:rPr>
          <w:b/>
          <w:bCs/>
        </w:rPr>
      </w:pPr>
      <w:r>
        <w:rPr>
          <w:rFonts w:hint="eastAsia"/>
          <w:b/>
          <w:bCs/>
        </w:rPr>
        <w:t>4</w:t>
      </w:r>
      <w:r>
        <w:rPr>
          <w:b/>
          <w:bCs/>
        </w:rPr>
        <w:t>.1.3.4</w:t>
      </w:r>
      <w:r>
        <w:rPr>
          <w:rFonts w:hint="eastAsia"/>
          <w:b/>
          <w:bCs/>
        </w:rPr>
        <w:t>水文地质</w:t>
      </w:r>
    </w:p>
    <w:p>
      <w:pPr>
        <w:pStyle w:val="65"/>
        <w:spacing w:line="360" w:lineRule="auto"/>
        <w:ind w:firstLine="480"/>
        <w:contextualSpacing/>
      </w:pPr>
      <w:r>
        <w:rPr>
          <w:rFonts w:hint="eastAsia"/>
        </w:rPr>
        <w:t>a）</w:t>
      </w:r>
      <w:r>
        <w:t>地下水类型</w:t>
      </w:r>
    </w:p>
    <w:p>
      <w:pPr>
        <w:pStyle w:val="65"/>
        <w:spacing w:line="360" w:lineRule="auto"/>
        <w:ind w:firstLine="480"/>
        <w:contextualSpacing/>
      </w:pPr>
      <w:r>
        <w:t>地下水类型按埋藏条件分为覆盖层中孔隙潜水、基岩裂隙潜水两种类型。</w:t>
      </w:r>
    </w:p>
    <w:p>
      <w:pPr>
        <w:pStyle w:val="65"/>
        <w:spacing w:line="360" w:lineRule="auto"/>
        <w:ind w:firstLine="480"/>
        <w:contextualSpacing/>
      </w:pPr>
      <w:r>
        <w:t>孔隙潜水埋藏于第四系覆盖层中，主要分布于冲沟、侵蚀凹地内粘性土及漂卵砾石夹砂中，其中粘性土透水性弱，漂卵砾，含水相对较丰，受大气降水及坡体内基岩裂隙水补给，水量随季节性变化较大。</w:t>
      </w:r>
    </w:p>
    <w:p>
      <w:pPr>
        <w:pStyle w:val="65"/>
        <w:spacing w:line="360" w:lineRule="auto"/>
        <w:ind w:firstLine="480"/>
        <w:contextualSpacing/>
      </w:pPr>
      <w:r>
        <w:t>基岩裂隙水：含水地层为侏罗系、白垩系地层，主要赋存于构造裂隙和风化、卸荷带岩体裂隙中，含水不丰，主要接受大气降水的补给，排泄于沟谷，季节影响明显，以泉的形式溢出地表。基岩裂隙水一般分布于地面浅表层，含水层不厚，旱季一般无水，在雨季含水层可能存在短时饱水。</w:t>
      </w:r>
    </w:p>
    <w:p>
      <w:pPr>
        <w:pStyle w:val="4"/>
        <w:ind w:firstLine="0" w:firstLineChars="0"/>
        <w:contextualSpacing/>
      </w:pPr>
      <w:bookmarkStart w:id="440" w:name="_Toc130753425"/>
      <w:r>
        <w:t>4.2气象</w:t>
      </w:r>
      <w:bookmarkEnd w:id="440"/>
    </w:p>
    <w:p>
      <w:pPr>
        <w:pStyle w:val="65"/>
        <w:spacing w:line="360" w:lineRule="auto"/>
        <w:ind w:firstLine="480"/>
        <w:contextualSpacing/>
      </w:pPr>
      <w:r>
        <w:t>巴州区属亚热带大陆性湿润季风气候区，区内气候具有冬暖、春旱、夏热、秋凉；四季分明、无霜期长、雨量充沛；秋冬多绵雨、多雾、寡日照、霜雪较少的特点。据巴州区气象站1966</w:t>
      </w:r>
      <w:r>
        <w:rPr>
          <w:rFonts w:hint="eastAsia"/>
        </w:rPr>
        <w:t>年</w:t>
      </w:r>
      <w:r>
        <w:t>～2016年实测资料统计，多年平均气温16.7℃，多年平均相对湿度76%，极端最高气温40.3℃，最低－5.3℃；多年平均降水量1157.2mm，多年平均水面蒸发量500</w:t>
      </w:r>
      <w:r>
        <w:rPr>
          <w:rFonts w:hint="eastAsia"/>
        </w:rPr>
        <w:t>mm</w:t>
      </w:r>
      <w:r>
        <w:t>～800mm，平均637.5mm；多年平均日照时数1471h；多年平均风速0.8m/s，实测最大风速28.0m/s，风向多为南西风。</w:t>
      </w:r>
    </w:p>
    <w:p>
      <w:pPr>
        <w:pStyle w:val="65"/>
        <w:spacing w:line="360" w:lineRule="auto"/>
        <w:ind w:firstLine="480"/>
        <w:contextualSpacing/>
      </w:pPr>
      <w:r>
        <w:t>区域处大巴山暴雨区，降雨量丰沛，但具有年际变化大，年内分配极不均匀的特点，雨量主要集中在汛期5</w:t>
      </w:r>
      <w:r>
        <w:rPr>
          <w:rFonts w:hint="eastAsia"/>
        </w:rPr>
        <w:t>月</w:t>
      </w:r>
      <w:r>
        <w:t>～10月，占年雨量的83%，枯水期11</w:t>
      </w:r>
      <w:r>
        <w:rPr>
          <w:rFonts w:hint="eastAsia"/>
        </w:rPr>
        <w:t>月</w:t>
      </w:r>
      <w:r>
        <w:t>～次年4月降雨量仅占17%。每年夏秋暴雨频繁，大暴雨一般具有强度大、历时短的特点。</w:t>
      </w:r>
    </w:p>
    <w:p>
      <w:pPr>
        <w:pStyle w:val="4"/>
        <w:ind w:firstLine="0" w:firstLineChars="0"/>
        <w:contextualSpacing/>
      </w:pPr>
      <w:bookmarkStart w:id="441" w:name="_Toc130753426"/>
      <w:r>
        <w:t>4.3水文泥沙</w:t>
      </w:r>
      <w:bookmarkEnd w:id="441"/>
    </w:p>
    <w:p>
      <w:pPr>
        <w:pStyle w:val="5"/>
        <w:ind w:firstLine="0" w:firstLineChars="0"/>
        <w:contextualSpacing/>
        <w:rPr>
          <w:rFonts w:ascii="Times New Roman" w:hAnsi="Times New Roman"/>
        </w:rPr>
      </w:pPr>
      <w:r>
        <w:rPr>
          <w:rFonts w:ascii="Times New Roman" w:hAnsi="Times New Roman"/>
        </w:rPr>
        <w:t>4.3.1径流</w:t>
      </w:r>
    </w:p>
    <w:p>
      <w:pPr>
        <w:pStyle w:val="65"/>
        <w:spacing w:line="360" w:lineRule="auto"/>
        <w:ind w:firstLine="480"/>
        <w:contextualSpacing/>
        <w:rPr>
          <w:kern w:val="144"/>
        </w:rPr>
      </w:pPr>
      <w:r>
        <w:rPr>
          <w:kern w:val="144"/>
        </w:rPr>
        <w:t>寒溪寺水库推荐坝线以</w:t>
      </w:r>
      <w:r>
        <w:t>上集</w:t>
      </w:r>
      <w:r>
        <w:rPr>
          <w:kern w:val="144"/>
        </w:rPr>
        <w:t>雨面积4.53km</w:t>
      </w:r>
      <w:r>
        <w:rPr>
          <w:kern w:val="144"/>
          <w:vertAlign w:val="superscript"/>
        </w:rPr>
        <w:t>2</w:t>
      </w:r>
      <w:r>
        <w:rPr>
          <w:kern w:val="144"/>
        </w:rPr>
        <w:t>，比较坝线以上集雨面积5.13km</w:t>
      </w:r>
      <w:r>
        <w:rPr>
          <w:kern w:val="144"/>
          <w:vertAlign w:val="superscript"/>
        </w:rPr>
        <w:t>2</w:t>
      </w:r>
      <w:r>
        <w:rPr>
          <w:kern w:val="144"/>
        </w:rPr>
        <w:t>。为补充水库水量，在临近流域两长河的左右支沟建坝取水，其中左支沟谭家河取水枢纽以上集雨面积5.68km</w:t>
      </w:r>
      <w:r>
        <w:rPr>
          <w:kern w:val="144"/>
          <w:vertAlign w:val="superscript"/>
        </w:rPr>
        <w:t>2</w:t>
      </w:r>
      <w:r>
        <w:rPr>
          <w:kern w:val="144"/>
        </w:rPr>
        <w:t>，右支沟刘家河取水枢纽以上集雨面积3.0km</w:t>
      </w:r>
      <w:r>
        <w:rPr>
          <w:kern w:val="144"/>
          <w:vertAlign w:val="superscript"/>
        </w:rPr>
        <w:t>2</w:t>
      </w:r>
      <w:r>
        <w:rPr>
          <w:kern w:val="144"/>
        </w:rPr>
        <w:t>。根据可行性研究报告审查结论，将参证站蔡家河水文站径流分析计算成果通过面积与雨量修正计算各坝线径流。</w:t>
      </w:r>
      <w:r>
        <w:rPr>
          <w:rFonts w:hint="eastAsia"/>
          <w:kern w:val="144"/>
        </w:rPr>
        <w:t>初设</w:t>
      </w:r>
      <w:r>
        <w:rPr>
          <w:kern w:val="144"/>
        </w:rPr>
        <w:t>阶段仍然采用该方法计算各坝线的径流。</w:t>
      </w:r>
    </w:p>
    <w:p>
      <w:pPr>
        <w:ind w:firstLine="0" w:firstLineChars="0"/>
        <w:contextualSpacing/>
        <w:jc w:val="center"/>
        <w:rPr>
          <w:b/>
          <w:bCs/>
          <w:sz w:val="21"/>
          <w:szCs w:val="21"/>
        </w:rPr>
      </w:pPr>
      <w:r>
        <w:rPr>
          <w:b/>
          <w:bCs/>
          <w:sz w:val="21"/>
          <w:szCs w:val="21"/>
        </w:rPr>
        <w:t>表4.3.1-1  寒溪寺水库推荐坝线及补水枢纽径流成果见表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654"/>
        <w:gridCol w:w="711"/>
        <w:gridCol w:w="531"/>
        <w:gridCol w:w="667"/>
        <w:gridCol w:w="738"/>
        <w:gridCol w:w="738"/>
        <w:gridCol w:w="738"/>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pPr>
              <w:pStyle w:val="139"/>
              <w:spacing w:line="240" w:lineRule="auto"/>
              <w:rPr>
                <w:rFonts w:cs="Times New Roman"/>
              </w:rPr>
            </w:pPr>
            <w:r>
              <w:rPr>
                <w:rFonts w:cs="Times New Roman"/>
              </w:rPr>
              <w:t>工程位置</w:t>
            </w:r>
          </w:p>
        </w:tc>
        <w:tc>
          <w:tcPr>
            <w:tcW w:w="0" w:type="auto"/>
            <w:vMerge w:val="restart"/>
            <w:vAlign w:val="center"/>
          </w:tcPr>
          <w:p>
            <w:pPr>
              <w:pStyle w:val="139"/>
              <w:spacing w:line="240" w:lineRule="auto"/>
              <w:rPr>
                <w:rFonts w:cs="Times New Roman"/>
              </w:rPr>
            </w:pPr>
            <w:r>
              <w:rPr>
                <w:rFonts w:cs="Times New Roman"/>
              </w:rPr>
              <w:t>参数计算方法</w:t>
            </w:r>
          </w:p>
        </w:tc>
        <w:tc>
          <w:tcPr>
            <w:tcW w:w="0" w:type="auto"/>
            <w:vMerge w:val="restart"/>
            <w:vAlign w:val="center"/>
          </w:tcPr>
          <w:p>
            <w:pPr>
              <w:pStyle w:val="139"/>
              <w:spacing w:line="240" w:lineRule="auto"/>
              <w:rPr>
                <w:rFonts w:cs="Times New Roman"/>
              </w:rPr>
            </w:pPr>
            <w:r>
              <w:rPr>
                <w:rFonts w:cs="Times New Roman"/>
              </w:rPr>
              <w:t>均值</w:t>
            </w:r>
          </w:p>
        </w:tc>
        <w:tc>
          <w:tcPr>
            <w:tcW w:w="0" w:type="auto"/>
            <w:vMerge w:val="restart"/>
            <w:vAlign w:val="center"/>
          </w:tcPr>
          <w:p>
            <w:pPr>
              <w:pStyle w:val="139"/>
              <w:spacing w:line="240" w:lineRule="auto"/>
              <w:rPr>
                <w:rFonts w:cs="Times New Roman"/>
              </w:rPr>
            </w:pPr>
            <w:r>
              <w:rPr>
                <w:rFonts w:cs="Times New Roman"/>
              </w:rPr>
              <w:t>Cv</w:t>
            </w:r>
          </w:p>
        </w:tc>
        <w:tc>
          <w:tcPr>
            <w:tcW w:w="0" w:type="auto"/>
            <w:vMerge w:val="restart"/>
            <w:vAlign w:val="center"/>
          </w:tcPr>
          <w:p>
            <w:pPr>
              <w:pStyle w:val="139"/>
              <w:spacing w:line="240" w:lineRule="auto"/>
              <w:rPr>
                <w:rFonts w:cs="Times New Roman"/>
              </w:rPr>
            </w:pPr>
            <w:r>
              <w:rPr>
                <w:rFonts w:cs="Times New Roman"/>
              </w:rPr>
              <w:t>Cs/Cv</w:t>
            </w:r>
          </w:p>
        </w:tc>
        <w:tc>
          <w:tcPr>
            <w:tcW w:w="0" w:type="auto"/>
            <w:gridSpan w:val="4"/>
            <w:vAlign w:val="center"/>
          </w:tcPr>
          <w:p>
            <w:pPr>
              <w:pStyle w:val="139"/>
              <w:spacing w:line="240" w:lineRule="auto"/>
              <w:rPr>
                <w:rFonts w:cs="Times New Roman"/>
              </w:rPr>
            </w:pPr>
            <w:r>
              <w:rPr>
                <w:rFonts w:cs="Times New Roman"/>
              </w:rPr>
              <w:t>各 频 率 设 计 值 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139"/>
              <w:spacing w:line="240" w:lineRule="auto"/>
              <w:rPr>
                <w:rFonts w:cs="Times New Roman"/>
              </w:rPr>
            </w:pPr>
          </w:p>
        </w:tc>
        <w:tc>
          <w:tcPr>
            <w:tcW w:w="0" w:type="auto"/>
            <w:vMerge w:val="continue"/>
            <w:vAlign w:val="center"/>
          </w:tcPr>
          <w:p>
            <w:pPr>
              <w:pStyle w:val="139"/>
              <w:spacing w:line="240" w:lineRule="auto"/>
              <w:rPr>
                <w:rFonts w:cs="Times New Roman"/>
              </w:rPr>
            </w:pPr>
          </w:p>
        </w:tc>
        <w:tc>
          <w:tcPr>
            <w:tcW w:w="0" w:type="auto"/>
            <w:vMerge w:val="continue"/>
            <w:vAlign w:val="center"/>
          </w:tcPr>
          <w:p>
            <w:pPr>
              <w:pStyle w:val="139"/>
              <w:spacing w:line="240" w:lineRule="auto"/>
              <w:rPr>
                <w:rFonts w:cs="Times New Roman"/>
              </w:rPr>
            </w:pPr>
          </w:p>
        </w:tc>
        <w:tc>
          <w:tcPr>
            <w:tcW w:w="0" w:type="auto"/>
            <w:vMerge w:val="continue"/>
            <w:vAlign w:val="center"/>
          </w:tcPr>
          <w:p>
            <w:pPr>
              <w:pStyle w:val="139"/>
              <w:spacing w:line="240" w:lineRule="auto"/>
              <w:rPr>
                <w:rFonts w:cs="Times New Roman"/>
              </w:rPr>
            </w:pPr>
          </w:p>
        </w:tc>
        <w:tc>
          <w:tcPr>
            <w:tcW w:w="0" w:type="auto"/>
            <w:vMerge w:val="continue"/>
            <w:vAlign w:val="center"/>
          </w:tcPr>
          <w:p>
            <w:pPr>
              <w:pStyle w:val="139"/>
              <w:spacing w:line="240" w:lineRule="auto"/>
              <w:rPr>
                <w:rFonts w:cs="Times New Roman"/>
              </w:rPr>
            </w:pPr>
          </w:p>
        </w:tc>
        <w:tc>
          <w:tcPr>
            <w:tcW w:w="0" w:type="auto"/>
            <w:vAlign w:val="center"/>
          </w:tcPr>
          <w:p>
            <w:pPr>
              <w:pStyle w:val="139"/>
              <w:spacing w:line="240" w:lineRule="auto"/>
              <w:rPr>
                <w:rFonts w:cs="Times New Roman"/>
              </w:rPr>
            </w:pPr>
            <w:r>
              <w:rPr>
                <w:rFonts w:cs="Times New Roman"/>
              </w:rPr>
              <w:t>p=30%</w:t>
            </w:r>
          </w:p>
        </w:tc>
        <w:tc>
          <w:tcPr>
            <w:tcW w:w="0" w:type="auto"/>
            <w:vAlign w:val="center"/>
          </w:tcPr>
          <w:p>
            <w:pPr>
              <w:pStyle w:val="139"/>
              <w:spacing w:line="240" w:lineRule="auto"/>
              <w:rPr>
                <w:rFonts w:cs="Times New Roman"/>
              </w:rPr>
            </w:pPr>
            <w:r>
              <w:rPr>
                <w:rFonts w:cs="Times New Roman"/>
              </w:rPr>
              <w:t>p=50%</w:t>
            </w:r>
          </w:p>
        </w:tc>
        <w:tc>
          <w:tcPr>
            <w:tcW w:w="0" w:type="auto"/>
            <w:vAlign w:val="center"/>
          </w:tcPr>
          <w:p>
            <w:pPr>
              <w:pStyle w:val="139"/>
              <w:spacing w:line="240" w:lineRule="auto"/>
              <w:rPr>
                <w:rFonts w:cs="Times New Roman"/>
              </w:rPr>
            </w:pPr>
            <w:r>
              <w:rPr>
                <w:rFonts w:cs="Times New Roman"/>
              </w:rPr>
              <w:t>p=70%</w:t>
            </w:r>
          </w:p>
        </w:tc>
        <w:tc>
          <w:tcPr>
            <w:tcW w:w="0" w:type="auto"/>
            <w:vAlign w:val="center"/>
          </w:tcPr>
          <w:p>
            <w:pPr>
              <w:pStyle w:val="139"/>
              <w:spacing w:line="240" w:lineRule="auto"/>
              <w:rPr>
                <w:rFonts w:cs="Times New Roman"/>
              </w:rPr>
            </w:pPr>
            <w:r>
              <w:rPr>
                <w:rFonts w:cs="Times New Roman"/>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pPr>
              <w:pStyle w:val="139"/>
              <w:spacing w:line="240" w:lineRule="auto"/>
              <w:rPr>
                <w:rFonts w:cs="Times New Roman"/>
              </w:rPr>
            </w:pPr>
            <w:r>
              <w:rPr>
                <w:rFonts w:cs="Times New Roman"/>
              </w:rPr>
              <w:t>上坝线（推荐）</w:t>
            </w:r>
          </w:p>
        </w:tc>
        <w:tc>
          <w:tcPr>
            <w:tcW w:w="0" w:type="auto"/>
            <w:vAlign w:val="center"/>
          </w:tcPr>
          <w:p>
            <w:pPr>
              <w:pStyle w:val="139"/>
              <w:spacing w:line="240" w:lineRule="auto"/>
              <w:rPr>
                <w:rFonts w:cs="Times New Roman"/>
              </w:rPr>
            </w:pPr>
            <w:r>
              <w:rPr>
                <w:rFonts w:cs="Times New Roman"/>
              </w:rPr>
              <w:t>水利年</w:t>
            </w:r>
          </w:p>
          <w:p>
            <w:pPr>
              <w:pStyle w:val="139"/>
              <w:spacing w:line="240" w:lineRule="auto"/>
              <w:rPr>
                <w:rFonts w:cs="Times New Roman"/>
              </w:rPr>
            </w:pPr>
            <w:r>
              <w:rPr>
                <w:rFonts w:cs="Times New Roman"/>
              </w:rPr>
              <w:t>（7月-翌年6月）</w:t>
            </w:r>
          </w:p>
        </w:tc>
        <w:tc>
          <w:tcPr>
            <w:tcW w:w="0" w:type="auto"/>
            <w:tcMar>
              <w:top w:w="0" w:type="dxa"/>
              <w:left w:w="85" w:type="dxa"/>
              <w:bottom w:w="0" w:type="dxa"/>
              <w:right w:w="85" w:type="dxa"/>
            </w:tcMar>
            <w:vAlign w:val="center"/>
          </w:tcPr>
          <w:p>
            <w:pPr>
              <w:pStyle w:val="139"/>
              <w:spacing w:line="240" w:lineRule="auto"/>
              <w:rPr>
                <w:rFonts w:cs="Times New Roman"/>
              </w:rPr>
            </w:pPr>
            <w:r>
              <w:rPr>
                <w:rFonts w:cs="Times New Roman"/>
              </w:rPr>
              <w:t>0.084</w:t>
            </w:r>
          </w:p>
        </w:tc>
        <w:tc>
          <w:tcPr>
            <w:tcW w:w="0" w:type="auto"/>
            <w:vAlign w:val="center"/>
          </w:tcPr>
          <w:p>
            <w:pPr>
              <w:pStyle w:val="139"/>
              <w:spacing w:line="240" w:lineRule="auto"/>
              <w:rPr>
                <w:rFonts w:cs="Times New Roman"/>
              </w:rPr>
            </w:pPr>
            <w:r>
              <w:rPr>
                <w:rFonts w:cs="Times New Roman"/>
              </w:rPr>
              <w:t>0.49</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0.099</w:t>
            </w:r>
          </w:p>
        </w:tc>
        <w:tc>
          <w:tcPr>
            <w:tcW w:w="0" w:type="auto"/>
            <w:vAlign w:val="center"/>
          </w:tcPr>
          <w:p>
            <w:pPr>
              <w:pStyle w:val="139"/>
              <w:spacing w:line="240" w:lineRule="auto"/>
              <w:rPr>
                <w:rFonts w:cs="Times New Roman"/>
              </w:rPr>
            </w:pPr>
            <w:r>
              <w:rPr>
                <w:rFonts w:cs="Times New Roman"/>
              </w:rPr>
              <w:t>0.077</w:t>
            </w:r>
          </w:p>
        </w:tc>
        <w:tc>
          <w:tcPr>
            <w:tcW w:w="0" w:type="auto"/>
            <w:vAlign w:val="center"/>
          </w:tcPr>
          <w:p>
            <w:pPr>
              <w:pStyle w:val="139"/>
              <w:spacing w:line="240" w:lineRule="auto"/>
              <w:rPr>
                <w:rFonts w:cs="Times New Roman"/>
              </w:rPr>
            </w:pPr>
            <w:r>
              <w:rPr>
                <w:rFonts w:cs="Times New Roman"/>
              </w:rPr>
              <w:t>0.058</w:t>
            </w:r>
          </w:p>
        </w:tc>
        <w:tc>
          <w:tcPr>
            <w:tcW w:w="0" w:type="auto"/>
            <w:vAlign w:val="center"/>
          </w:tcPr>
          <w:p>
            <w:pPr>
              <w:pStyle w:val="139"/>
              <w:spacing w:line="240" w:lineRule="auto"/>
              <w:rPr>
                <w:rFonts w:cs="Times New Roman"/>
              </w:rPr>
            </w:pPr>
            <w:r>
              <w:rPr>
                <w:rFonts w:cs="Times New Roma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139"/>
              <w:spacing w:line="240" w:lineRule="auto"/>
              <w:rPr>
                <w:rFonts w:cs="Times New Roman"/>
              </w:rPr>
            </w:pPr>
          </w:p>
        </w:tc>
        <w:tc>
          <w:tcPr>
            <w:tcW w:w="0" w:type="auto"/>
            <w:noWrap/>
            <w:vAlign w:val="center"/>
          </w:tcPr>
          <w:p>
            <w:pPr>
              <w:pStyle w:val="139"/>
              <w:spacing w:line="240" w:lineRule="auto"/>
              <w:rPr>
                <w:rFonts w:cs="Times New Roman"/>
              </w:rPr>
            </w:pPr>
            <w:r>
              <w:rPr>
                <w:rFonts w:cs="Times New Roman"/>
              </w:rPr>
              <w:t>12月-翌年3月</w:t>
            </w:r>
          </w:p>
        </w:tc>
        <w:tc>
          <w:tcPr>
            <w:tcW w:w="0" w:type="auto"/>
            <w:vAlign w:val="center"/>
          </w:tcPr>
          <w:p>
            <w:pPr>
              <w:pStyle w:val="139"/>
              <w:spacing w:line="240" w:lineRule="auto"/>
              <w:rPr>
                <w:rFonts w:cs="Times New Roman"/>
              </w:rPr>
            </w:pPr>
            <w:r>
              <w:rPr>
                <w:rFonts w:cs="Times New Roman"/>
              </w:rPr>
              <w:t>0.0119</w:t>
            </w:r>
          </w:p>
        </w:tc>
        <w:tc>
          <w:tcPr>
            <w:tcW w:w="0" w:type="auto"/>
            <w:vAlign w:val="center"/>
          </w:tcPr>
          <w:p>
            <w:pPr>
              <w:pStyle w:val="139"/>
              <w:spacing w:line="240" w:lineRule="auto"/>
              <w:rPr>
                <w:rFonts w:cs="Times New Roman"/>
              </w:rPr>
            </w:pPr>
            <w:r>
              <w:rPr>
                <w:rFonts w:cs="Times New Roman"/>
              </w:rPr>
              <w:t>0.95</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0.0144</w:t>
            </w:r>
          </w:p>
        </w:tc>
        <w:tc>
          <w:tcPr>
            <w:tcW w:w="0" w:type="auto"/>
            <w:vAlign w:val="center"/>
          </w:tcPr>
          <w:p>
            <w:pPr>
              <w:pStyle w:val="139"/>
              <w:spacing w:line="240" w:lineRule="auto"/>
              <w:rPr>
                <w:rFonts w:cs="Times New Roman"/>
              </w:rPr>
            </w:pPr>
            <w:r>
              <w:rPr>
                <w:rFonts w:cs="Times New Roman"/>
              </w:rPr>
              <w:t>0.0086</w:t>
            </w:r>
          </w:p>
        </w:tc>
        <w:tc>
          <w:tcPr>
            <w:tcW w:w="0" w:type="auto"/>
            <w:vAlign w:val="center"/>
          </w:tcPr>
          <w:p>
            <w:pPr>
              <w:pStyle w:val="139"/>
              <w:spacing w:line="240" w:lineRule="auto"/>
              <w:rPr>
                <w:rFonts w:cs="Times New Roman"/>
              </w:rPr>
            </w:pPr>
            <w:r>
              <w:rPr>
                <w:rFonts w:cs="Times New Roman"/>
              </w:rPr>
              <w:t>0.0046</w:t>
            </w:r>
          </w:p>
        </w:tc>
        <w:tc>
          <w:tcPr>
            <w:tcW w:w="0" w:type="auto"/>
            <w:vAlign w:val="center"/>
          </w:tcPr>
          <w:p>
            <w:pPr>
              <w:pStyle w:val="139"/>
              <w:spacing w:line="240" w:lineRule="auto"/>
              <w:rPr>
                <w:rFonts w:cs="Times New Roman"/>
              </w:rPr>
            </w:pPr>
            <w:r>
              <w:rPr>
                <w:rFonts w:cs="Times New Roma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pPr>
              <w:pStyle w:val="139"/>
              <w:spacing w:line="240" w:lineRule="auto"/>
              <w:rPr>
                <w:rFonts w:cs="Times New Roman"/>
              </w:rPr>
            </w:pPr>
            <w:r>
              <w:rPr>
                <w:rFonts w:cs="Times New Roman"/>
              </w:rPr>
              <w:t>下坝线</w:t>
            </w:r>
          </w:p>
        </w:tc>
        <w:tc>
          <w:tcPr>
            <w:tcW w:w="0" w:type="auto"/>
            <w:vAlign w:val="center"/>
          </w:tcPr>
          <w:p>
            <w:pPr>
              <w:pStyle w:val="139"/>
              <w:spacing w:line="240" w:lineRule="auto"/>
              <w:rPr>
                <w:rFonts w:cs="Times New Roman"/>
              </w:rPr>
            </w:pPr>
            <w:r>
              <w:rPr>
                <w:rFonts w:cs="Times New Roman"/>
              </w:rPr>
              <w:t>水利年</w:t>
            </w:r>
          </w:p>
          <w:p>
            <w:pPr>
              <w:pStyle w:val="139"/>
              <w:spacing w:line="240" w:lineRule="auto"/>
              <w:rPr>
                <w:rFonts w:cs="Times New Roman"/>
              </w:rPr>
            </w:pPr>
            <w:r>
              <w:rPr>
                <w:rFonts w:cs="Times New Roman"/>
              </w:rPr>
              <w:t>（7月-翌年6月）</w:t>
            </w:r>
          </w:p>
        </w:tc>
        <w:tc>
          <w:tcPr>
            <w:tcW w:w="0" w:type="auto"/>
            <w:vAlign w:val="center"/>
          </w:tcPr>
          <w:p>
            <w:pPr>
              <w:pStyle w:val="139"/>
              <w:spacing w:line="240" w:lineRule="auto"/>
              <w:rPr>
                <w:rFonts w:cs="Times New Roman"/>
              </w:rPr>
            </w:pPr>
            <w:r>
              <w:rPr>
                <w:rFonts w:cs="Times New Roman"/>
              </w:rPr>
              <w:t>0.097</w:t>
            </w:r>
          </w:p>
        </w:tc>
        <w:tc>
          <w:tcPr>
            <w:tcW w:w="0" w:type="auto"/>
            <w:vAlign w:val="center"/>
          </w:tcPr>
          <w:p>
            <w:pPr>
              <w:pStyle w:val="139"/>
              <w:spacing w:line="240" w:lineRule="auto"/>
              <w:rPr>
                <w:rFonts w:cs="Times New Roman"/>
              </w:rPr>
            </w:pPr>
            <w:r>
              <w:rPr>
                <w:rFonts w:cs="Times New Roman"/>
              </w:rPr>
              <w:t>0.49</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0.116</w:t>
            </w:r>
          </w:p>
        </w:tc>
        <w:tc>
          <w:tcPr>
            <w:tcW w:w="0" w:type="auto"/>
            <w:vAlign w:val="center"/>
          </w:tcPr>
          <w:p>
            <w:pPr>
              <w:pStyle w:val="139"/>
              <w:spacing w:line="240" w:lineRule="auto"/>
              <w:rPr>
                <w:rFonts w:cs="Times New Roman"/>
              </w:rPr>
            </w:pPr>
            <w:r>
              <w:rPr>
                <w:rFonts w:cs="Times New Roman"/>
              </w:rPr>
              <w:t>0.090</w:t>
            </w:r>
          </w:p>
        </w:tc>
        <w:tc>
          <w:tcPr>
            <w:tcW w:w="0" w:type="auto"/>
            <w:vAlign w:val="center"/>
          </w:tcPr>
          <w:p>
            <w:pPr>
              <w:pStyle w:val="139"/>
              <w:spacing w:line="240" w:lineRule="auto"/>
              <w:rPr>
                <w:rFonts w:cs="Times New Roman"/>
              </w:rPr>
            </w:pPr>
            <w:r>
              <w:rPr>
                <w:rFonts w:cs="Times New Roman"/>
              </w:rPr>
              <w:t>0.068</w:t>
            </w:r>
          </w:p>
        </w:tc>
        <w:tc>
          <w:tcPr>
            <w:tcW w:w="0" w:type="auto"/>
            <w:vAlign w:val="center"/>
          </w:tcPr>
          <w:p>
            <w:pPr>
              <w:pStyle w:val="139"/>
              <w:spacing w:line="240" w:lineRule="auto"/>
              <w:rPr>
                <w:rFonts w:cs="Times New Roman"/>
              </w:rPr>
            </w:pPr>
            <w:r>
              <w:rPr>
                <w:rFonts w:cs="Times New Roma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139"/>
              <w:spacing w:line="240" w:lineRule="auto"/>
              <w:rPr>
                <w:rFonts w:cs="Times New Roman"/>
              </w:rPr>
            </w:pPr>
          </w:p>
        </w:tc>
        <w:tc>
          <w:tcPr>
            <w:tcW w:w="0" w:type="auto"/>
            <w:noWrap/>
            <w:vAlign w:val="center"/>
          </w:tcPr>
          <w:p>
            <w:pPr>
              <w:pStyle w:val="139"/>
              <w:spacing w:line="240" w:lineRule="auto"/>
              <w:rPr>
                <w:rFonts w:cs="Times New Roman"/>
              </w:rPr>
            </w:pPr>
            <w:r>
              <w:rPr>
                <w:rFonts w:cs="Times New Roman"/>
              </w:rPr>
              <w:t>12月-翌年3月</w:t>
            </w:r>
          </w:p>
        </w:tc>
        <w:tc>
          <w:tcPr>
            <w:tcW w:w="0" w:type="auto"/>
            <w:vAlign w:val="center"/>
          </w:tcPr>
          <w:p>
            <w:pPr>
              <w:pStyle w:val="139"/>
              <w:spacing w:line="240" w:lineRule="auto"/>
              <w:rPr>
                <w:rFonts w:cs="Times New Roman"/>
              </w:rPr>
            </w:pPr>
            <w:r>
              <w:rPr>
                <w:rFonts w:cs="Times New Roman"/>
              </w:rPr>
              <w:t>0.0139</w:t>
            </w:r>
          </w:p>
        </w:tc>
        <w:tc>
          <w:tcPr>
            <w:tcW w:w="0" w:type="auto"/>
            <w:vAlign w:val="center"/>
          </w:tcPr>
          <w:p>
            <w:pPr>
              <w:pStyle w:val="139"/>
              <w:spacing w:line="240" w:lineRule="auto"/>
              <w:rPr>
                <w:rFonts w:cs="Times New Roman"/>
              </w:rPr>
            </w:pPr>
            <w:r>
              <w:rPr>
                <w:rFonts w:cs="Times New Roman"/>
              </w:rPr>
              <w:t>0.95</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0.0168</w:t>
            </w:r>
          </w:p>
        </w:tc>
        <w:tc>
          <w:tcPr>
            <w:tcW w:w="0" w:type="auto"/>
            <w:vAlign w:val="center"/>
          </w:tcPr>
          <w:p>
            <w:pPr>
              <w:pStyle w:val="139"/>
              <w:spacing w:line="240" w:lineRule="auto"/>
              <w:rPr>
                <w:rFonts w:cs="Times New Roman"/>
              </w:rPr>
            </w:pPr>
            <w:r>
              <w:rPr>
                <w:rFonts w:cs="Times New Roman"/>
              </w:rPr>
              <w:t>0.0100</w:t>
            </w:r>
          </w:p>
        </w:tc>
        <w:tc>
          <w:tcPr>
            <w:tcW w:w="0" w:type="auto"/>
            <w:vAlign w:val="center"/>
          </w:tcPr>
          <w:p>
            <w:pPr>
              <w:pStyle w:val="139"/>
              <w:spacing w:line="240" w:lineRule="auto"/>
              <w:rPr>
                <w:rFonts w:cs="Times New Roman"/>
              </w:rPr>
            </w:pPr>
            <w:r>
              <w:rPr>
                <w:rFonts w:cs="Times New Roman"/>
              </w:rPr>
              <w:t>0.0054</w:t>
            </w:r>
          </w:p>
        </w:tc>
        <w:tc>
          <w:tcPr>
            <w:tcW w:w="0" w:type="auto"/>
            <w:vAlign w:val="center"/>
          </w:tcPr>
          <w:p>
            <w:pPr>
              <w:pStyle w:val="139"/>
              <w:spacing w:line="240" w:lineRule="auto"/>
              <w:rPr>
                <w:rFonts w:cs="Times New Roman"/>
              </w:rPr>
            </w:pPr>
            <w:r>
              <w:rPr>
                <w:rFonts w:cs="Times New Roman"/>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pPr>
              <w:pStyle w:val="139"/>
              <w:spacing w:line="240" w:lineRule="auto"/>
              <w:rPr>
                <w:rFonts w:cs="Times New Roman"/>
              </w:rPr>
            </w:pPr>
            <w:r>
              <w:rPr>
                <w:rFonts w:cs="Times New Roman"/>
              </w:rPr>
              <w:t>谭家河补水枢纽</w:t>
            </w:r>
          </w:p>
        </w:tc>
        <w:tc>
          <w:tcPr>
            <w:tcW w:w="0" w:type="auto"/>
            <w:vAlign w:val="center"/>
          </w:tcPr>
          <w:p>
            <w:pPr>
              <w:pStyle w:val="139"/>
              <w:spacing w:line="240" w:lineRule="auto"/>
              <w:rPr>
                <w:rFonts w:cs="Times New Roman"/>
              </w:rPr>
            </w:pPr>
            <w:r>
              <w:rPr>
                <w:rFonts w:cs="Times New Roman"/>
              </w:rPr>
              <w:t>水利年</w:t>
            </w:r>
          </w:p>
          <w:p>
            <w:pPr>
              <w:pStyle w:val="139"/>
              <w:spacing w:line="240" w:lineRule="auto"/>
              <w:rPr>
                <w:rFonts w:cs="Times New Roman"/>
              </w:rPr>
            </w:pPr>
            <w:r>
              <w:rPr>
                <w:rFonts w:cs="Times New Roman"/>
              </w:rPr>
              <w:t>（7月-翌年6月）</w:t>
            </w:r>
          </w:p>
        </w:tc>
        <w:tc>
          <w:tcPr>
            <w:tcW w:w="0" w:type="auto"/>
            <w:vAlign w:val="center"/>
          </w:tcPr>
          <w:p>
            <w:pPr>
              <w:pStyle w:val="139"/>
              <w:spacing w:line="240" w:lineRule="auto"/>
              <w:rPr>
                <w:rFonts w:cs="Times New Roman"/>
              </w:rPr>
            </w:pPr>
            <w:r>
              <w:rPr>
                <w:rFonts w:cs="Times New Roman"/>
              </w:rPr>
              <w:t>0.122</w:t>
            </w:r>
          </w:p>
        </w:tc>
        <w:tc>
          <w:tcPr>
            <w:tcW w:w="0" w:type="auto"/>
            <w:vAlign w:val="center"/>
          </w:tcPr>
          <w:p>
            <w:pPr>
              <w:pStyle w:val="139"/>
              <w:spacing w:line="240" w:lineRule="auto"/>
              <w:rPr>
                <w:rFonts w:cs="Times New Roman"/>
              </w:rPr>
            </w:pPr>
            <w:r>
              <w:rPr>
                <w:rFonts w:cs="Times New Roman"/>
              </w:rPr>
              <w:t>0.49</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0.145</w:t>
            </w:r>
          </w:p>
        </w:tc>
        <w:tc>
          <w:tcPr>
            <w:tcW w:w="0" w:type="auto"/>
            <w:vAlign w:val="center"/>
          </w:tcPr>
          <w:p>
            <w:pPr>
              <w:pStyle w:val="139"/>
              <w:spacing w:line="240" w:lineRule="auto"/>
              <w:rPr>
                <w:rFonts w:cs="Times New Roman"/>
              </w:rPr>
            </w:pPr>
            <w:r>
              <w:rPr>
                <w:rFonts w:cs="Times New Roman"/>
              </w:rPr>
              <w:t>0.112</w:t>
            </w:r>
          </w:p>
        </w:tc>
        <w:tc>
          <w:tcPr>
            <w:tcW w:w="0" w:type="auto"/>
            <w:vAlign w:val="center"/>
          </w:tcPr>
          <w:p>
            <w:pPr>
              <w:pStyle w:val="139"/>
              <w:spacing w:line="240" w:lineRule="auto"/>
              <w:rPr>
                <w:rFonts w:cs="Times New Roman"/>
              </w:rPr>
            </w:pPr>
            <w:r>
              <w:rPr>
                <w:rFonts w:cs="Times New Roman"/>
              </w:rPr>
              <w:t>0.085</w:t>
            </w:r>
          </w:p>
        </w:tc>
        <w:tc>
          <w:tcPr>
            <w:tcW w:w="0" w:type="auto"/>
            <w:vAlign w:val="center"/>
          </w:tcPr>
          <w:p>
            <w:pPr>
              <w:pStyle w:val="139"/>
              <w:spacing w:line="240" w:lineRule="auto"/>
              <w:rPr>
                <w:rFonts w:cs="Times New Roman"/>
              </w:rPr>
            </w:pPr>
            <w:r>
              <w:rPr>
                <w:rFonts w:cs="Times New Roman"/>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139"/>
              <w:spacing w:line="240" w:lineRule="auto"/>
              <w:rPr>
                <w:rFonts w:cs="Times New Roman"/>
              </w:rPr>
            </w:pPr>
          </w:p>
        </w:tc>
        <w:tc>
          <w:tcPr>
            <w:tcW w:w="0" w:type="auto"/>
            <w:noWrap/>
            <w:vAlign w:val="center"/>
          </w:tcPr>
          <w:p>
            <w:pPr>
              <w:pStyle w:val="139"/>
              <w:spacing w:line="240" w:lineRule="auto"/>
              <w:rPr>
                <w:rFonts w:cs="Times New Roman"/>
              </w:rPr>
            </w:pPr>
            <w:r>
              <w:rPr>
                <w:rFonts w:cs="Times New Roman"/>
              </w:rPr>
              <w:t>12月-翌年3月</w:t>
            </w:r>
          </w:p>
        </w:tc>
        <w:tc>
          <w:tcPr>
            <w:tcW w:w="0" w:type="auto"/>
            <w:vAlign w:val="center"/>
          </w:tcPr>
          <w:p>
            <w:pPr>
              <w:pStyle w:val="139"/>
              <w:spacing w:line="240" w:lineRule="auto"/>
              <w:rPr>
                <w:rFonts w:cs="Times New Roman"/>
              </w:rPr>
            </w:pPr>
            <w:r>
              <w:rPr>
                <w:rFonts w:cs="Times New Roman"/>
              </w:rPr>
              <w:t>0.0174</w:t>
            </w:r>
          </w:p>
        </w:tc>
        <w:tc>
          <w:tcPr>
            <w:tcW w:w="0" w:type="auto"/>
            <w:vAlign w:val="center"/>
          </w:tcPr>
          <w:p>
            <w:pPr>
              <w:pStyle w:val="139"/>
              <w:spacing w:line="240" w:lineRule="auto"/>
              <w:rPr>
                <w:rFonts w:cs="Times New Roman"/>
              </w:rPr>
            </w:pPr>
            <w:r>
              <w:rPr>
                <w:rFonts w:cs="Times New Roman"/>
              </w:rPr>
              <w:t>0.95</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0.0210</w:t>
            </w:r>
          </w:p>
        </w:tc>
        <w:tc>
          <w:tcPr>
            <w:tcW w:w="0" w:type="auto"/>
            <w:vAlign w:val="center"/>
          </w:tcPr>
          <w:p>
            <w:pPr>
              <w:pStyle w:val="139"/>
              <w:spacing w:line="240" w:lineRule="auto"/>
              <w:rPr>
                <w:rFonts w:cs="Times New Roman"/>
              </w:rPr>
            </w:pPr>
            <w:r>
              <w:rPr>
                <w:rFonts w:cs="Times New Roman"/>
              </w:rPr>
              <w:t>0.0125</w:t>
            </w:r>
          </w:p>
        </w:tc>
        <w:tc>
          <w:tcPr>
            <w:tcW w:w="0" w:type="auto"/>
            <w:vAlign w:val="center"/>
          </w:tcPr>
          <w:p>
            <w:pPr>
              <w:pStyle w:val="139"/>
              <w:spacing w:line="240" w:lineRule="auto"/>
              <w:rPr>
                <w:rFonts w:cs="Times New Roman"/>
              </w:rPr>
            </w:pPr>
            <w:r>
              <w:rPr>
                <w:rFonts w:cs="Times New Roman"/>
              </w:rPr>
              <w:t>0.0067</w:t>
            </w:r>
          </w:p>
        </w:tc>
        <w:tc>
          <w:tcPr>
            <w:tcW w:w="0" w:type="auto"/>
            <w:vAlign w:val="center"/>
          </w:tcPr>
          <w:p>
            <w:pPr>
              <w:pStyle w:val="139"/>
              <w:spacing w:line="240" w:lineRule="auto"/>
              <w:rPr>
                <w:rFonts w:cs="Times New Roman"/>
              </w:rPr>
            </w:pPr>
            <w:r>
              <w:rPr>
                <w:rFonts w:cs="Times New Roma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pPr>
              <w:pStyle w:val="139"/>
              <w:spacing w:line="240" w:lineRule="auto"/>
              <w:rPr>
                <w:rFonts w:cs="Times New Roman"/>
              </w:rPr>
            </w:pPr>
            <w:r>
              <w:rPr>
                <w:rFonts w:cs="Times New Roman"/>
              </w:rPr>
              <w:t>刘家河补水枢纽</w:t>
            </w:r>
          </w:p>
        </w:tc>
        <w:tc>
          <w:tcPr>
            <w:tcW w:w="0" w:type="auto"/>
            <w:vAlign w:val="center"/>
          </w:tcPr>
          <w:p>
            <w:pPr>
              <w:pStyle w:val="139"/>
              <w:spacing w:line="240" w:lineRule="auto"/>
              <w:rPr>
                <w:rFonts w:cs="Times New Roman"/>
              </w:rPr>
            </w:pPr>
            <w:r>
              <w:rPr>
                <w:rFonts w:cs="Times New Roman"/>
              </w:rPr>
              <w:t>水利年</w:t>
            </w:r>
          </w:p>
          <w:p>
            <w:pPr>
              <w:pStyle w:val="139"/>
              <w:spacing w:line="240" w:lineRule="auto"/>
              <w:rPr>
                <w:rFonts w:cs="Times New Roman"/>
              </w:rPr>
            </w:pPr>
            <w:r>
              <w:rPr>
                <w:rFonts w:cs="Times New Roman"/>
              </w:rPr>
              <w:t>（7月-翌年6月）</w:t>
            </w:r>
          </w:p>
        </w:tc>
        <w:tc>
          <w:tcPr>
            <w:tcW w:w="0" w:type="auto"/>
            <w:vAlign w:val="center"/>
          </w:tcPr>
          <w:p>
            <w:pPr>
              <w:pStyle w:val="139"/>
              <w:spacing w:line="240" w:lineRule="auto"/>
              <w:rPr>
                <w:rFonts w:cs="Times New Roman"/>
              </w:rPr>
            </w:pPr>
            <w:r>
              <w:rPr>
                <w:rFonts w:cs="Times New Roman"/>
              </w:rPr>
              <w:t>0.064</w:t>
            </w:r>
          </w:p>
        </w:tc>
        <w:tc>
          <w:tcPr>
            <w:tcW w:w="0" w:type="auto"/>
            <w:vAlign w:val="center"/>
          </w:tcPr>
          <w:p>
            <w:pPr>
              <w:pStyle w:val="139"/>
              <w:spacing w:line="240" w:lineRule="auto"/>
              <w:rPr>
                <w:rFonts w:cs="Times New Roman"/>
              </w:rPr>
            </w:pPr>
            <w:r>
              <w:rPr>
                <w:rFonts w:cs="Times New Roman"/>
              </w:rPr>
              <w:t>0.49</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0.077</w:t>
            </w:r>
          </w:p>
        </w:tc>
        <w:tc>
          <w:tcPr>
            <w:tcW w:w="0" w:type="auto"/>
            <w:vAlign w:val="center"/>
          </w:tcPr>
          <w:p>
            <w:pPr>
              <w:pStyle w:val="139"/>
              <w:spacing w:line="240" w:lineRule="auto"/>
              <w:rPr>
                <w:rFonts w:cs="Times New Roman"/>
              </w:rPr>
            </w:pPr>
            <w:r>
              <w:rPr>
                <w:rFonts w:cs="Times New Roman"/>
              </w:rPr>
              <w:t>0.059</w:t>
            </w:r>
          </w:p>
        </w:tc>
        <w:tc>
          <w:tcPr>
            <w:tcW w:w="0" w:type="auto"/>
            <w:vAlign w:val="center"/>
          </w:tcPr>
          <w:p>
            <w:pPr>
              <w:pStyle w:val="139"/>
              <w:spacing w:line="240" w:lineRule="auto"/>
              <w:rPr>
                <w:rFonts w:cs="Times New Roman"/>
              </w:rPr>
            </w:pPr>
            <w:r>
              <w:rPr>
                <w:rFonts w:cs="Times New Roman"/>
              </w:rPr>
              <w:t>0.045</w:t>
            </w:r>
          </w:p>
        </w:tc>
        <w:tc>
          <w:tcPr>
            <w:tcW w:w="0" w:type="auto"/>
            <w:vAlign w:val="center"/>
          </w:tcPr>
          <w:p>
            <w:pPr>
              <w:pStyle w:val="139"/>
              <w:spacing w:line="240" w:lineRule="auto"/>
              <w:rPr>
                <w:rFonts w:cs="Times New Roman"/>
              </w:rPr>
            </w:pPr>
            <w:r>
              <w:rPr>
                <w:rFonts w:cs="Times New Roma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pPr>
              <w:pStyle w:val="139"/>
              <w:spacing w:line="240" w:lineRule="auto"/>
              <w:rPr>
                <w:rFonts w:cs="Times New Roman"/>
              </w:rPr>
            </w:pPr>
          </w:p>
        </w:tc>
        <w:tc>
          <w:tcPr>
            <w:tcW w:w="0" w:type="auto"/>
            <w:noWrap/>
            <w:vAlign w:val="center"/>
          </w:tcPr>
          <w:p>
            <w:pPr>
              <w:pStyle w:val="139"/>
              <w:spacing w:line="240" w:lineRule="auto"/>
              <w:rPr>
                <w:rFonts w:cs="Times New Roman"/>
              </w:rPr>
            </w:pPr>
            <w:r>
              <w:rPr>
                <w:rFonts w:cs="Times New Roman"/>
              </w:rPr>
              <w:t>12月-翌年3月</w:t>
            </w:r>
          </w:p>
        </w:tc>
        <w:tc>
          <w:tcPr>
            <w:tcW w:w="0" w:type="auto"/>
            <w:vAlign w:val="center"/>
          </w:tcPr>
          <w:p>
            <w:pPr>
              <w:pStyle w:val="139"/>
              <w:spacing w:line="240" w:lineRule="auto"/>
              <w:rPr>
                <w:rFonts w:cs="Times New Roman"/>
              </w:rPr>
            </w:pPr>
            <w:r>
              <w:rPr>
                <w:rFonts w:cs="Times New Roman"/>
              </w:rPr>
              <w:t>0.0092</w:t>
            </w:r>
          </w:p>
        </w:tc>
        <w:tc>
          <w:tcPr>
            <w:tcW w:w="0" w:type="auto"/>
            <w:vAlign w:val="center"/>
          </w:tcPr>
          <w:p>
            <w:pPr>
              <w:pStyle w:val="139"/>
              <w:spacing w:line="240" w:lineRule="auto"/>
              <w:rPr>
                <w:rFonts w:cs="Times New Roman"/>
              </w:rPr>
            </w:pPr>
            <w:r>
              <w:rPr>
                <w:rFonts w:cs="Times New Roman"/>
              </w:rPr>
              <w:t>0.95</w:t>
            </w:r>
          </w:p>
        </w:tc>
        <w:tc>
          <w:tcPr>
            <w:tcW w:w="0" w:type="auto"/>
            <w:vAlign w:val="center"/>
          </w:tcPr>
          <w:p>
            <w:pPr>
              <w:pStyle w:val="139"/>
              <w:spacing w:line="240" w:lineRule="auto"/>
              <w:rPr>
                <w:rFonts w:cs="Times New Roman"/>
              </w:rPr>
            </w:pPr>
            <w:r>
              <w:rPr>
                <w:rFonts w:cs="Times New Roman"/>
              </w:rPr>
              <w:t>2.00</w:t>
            </w:r>
          </w:p>
        </w:tc>
        <w:tc>
          <w:tcPr>
            <w:tcW w:w="0" w:type="auto"/>
            <w:vAlign w:val="center"/>
          </w:tcPr>
          <w:p>
            <w:pPr>
              <w:pStyle w:val="139"/>
              <w:spacing w:line="240" w:lineRule="auto"/>
              <w:rPr>
                <w:rFonts w:cs="Times New Roman"/>
              </w:rPr>
            </w:pPr>
            <w:r>
              <w:rPr>
                <w:rFonts w:cs="Times New Roman"/>
              </w:rPr>
              <w:t>0.0111</w:t>
            </w:r>
          </w:p>
        </w:tc>
        <w:tc>
          <w:tcPr>
            <w:tcW w:w="0" w:type="auto"/>
            <w:vAlign w:val="center"/>
          </w:tcPr>
          <w:p>
            <w:pPr>
              <w:pStyle w:val="139"/>
              <w:spacing w:line="240" w:lineRule="auto"/>
              <w:rPr>
                <w:rFonts w:cs="Times New Roman"/>
              </w:rPr>
            </w:pPr>
            <w:r>
              <w:rPr>
                <w:rFonts w:cs="Times New Roman"/>
              </w:rPr>
              <w:t>0.0066</w:t>
            </w:r>
          </w:p>
        </w:tc>
        <w:tc>
          <w:tcPr>
            <w:tcW w:w="0" w:type="auto"/>
            <w:vAlign w:val="center"/>
          </w:tcPr>
          <w:p>
            <w:pPr>
              <w:pStyle w:val="139"/>
              <w:spacing w:line="240" w:lineRule="auto"/>
              <w:rPr>
                <w:rFonts w:cs="Times New Roman"/>
              </w:rPr>
            </w:pPr>
            <w:r>
              <w:rPr>
                <w:rFonts w:cs="Times New Roman"/>
              </w:rPr>
              <w:t>0.0036</w:t>
            </w:r>
          </w:p>
        </w:tc>
        <w:tc>
          <w:tcPr>
            <w:tcW w:w="0" w:type="auto"/>
            <w:vAlign w:val="center"/>
          </w:tcPr>
          <w:p>
            <w:pPr>
              <w:pStyle w:val="139"/>
              <w:spacing w:line="240" w:lineRule="auto"/>
              <w:rPr>
                <w:rFonts w:cs="Times New Roman"/>
              </w:rPr>
            </w:pPr>
            <w:r>
              <w:rPr>
                <w:rFonts w:cs="Times New Roman"/>
              </w:rPr>
              <w:t>0.0006</w:t>
            </w:r>
          </w:p>
        </w:tc>
      </w:tr>
    </w:tbl>
    <w:p>
      <w:pPr>
        <w:pStyle w:val="65"/>
        <w:spacing w:line="360" w:lineRule="auto"/>
        <w:ind w:firstLine="480"/>
        <w:contextualSpacing/>
        <w:rPr>
          <w:kern w:val="144"/>
        </w:rPr>
      </w:pPr>
      <w:r>
        <w:rPr>
          <w:kern w:val="144"/>
        </w:rPr>
        <w:t>寒溪寺水库灌区范围主要分布在蔡家河以西、檬子河以东，涉及凌云、化成两个乡镇。灌区附近有凌云雨量站，其气候条件、径流特征、下垫面条件与灌区基本一致。因此本阶段采用凌云雨量站多年平均降雨量作为灌区面雨量，即1136.2mm。</w:t>
      </w:r>
    </w:p>
    <w:p>
      <w:pPr>
        <w:pStyle w:val="65"/>
        <w:spacing w:line="360" w:lineRule="auto"/>
        <w:ind w:firstLine="480"/>
        <w:contextualSpacing/>
        <w:rPr>
          <w:kern w:val="144"/>
        </w:rPr>
      </w:pPr>
      <w:r>
        <w:rPr>
          <w:kern w:val="144"/>
        </w:rPr>
        <w:t>将参证站蔡家河水文站径流分析计算成果移用至灌区，从而推求处寒溪寺水库灌区径流统计参数及设计成果。</w:t>
      </w:r>
    </w:p>
    <w:p>
      <w:pPr>
        <w:ind w:firstLine="0" w:firstLineChars="0"/>
        <w:contextualSpacing/>
        <w:jc w:val="center"/>
        <w:rPr>
          <w:b/>
          <w:bCs/>
          <w:sz w:val="21"/>
          <w:szCs w:val="21"/>
        </w:rPr>
      </w:pPr>
      <w:r>
        <w:rPr>
          <w:b/>
          <w:bCs/>
          <w:sz w:val="21"/>
          <w:szCs w:val="21"/>
        </w:rPr>
        <w:t>表2.5.7-1  寒溪寺水库灌区径流计算成果表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1027"/>
        <w:gridCol w:w="1165"/>
        <w:gridCol w:w="1165"/>
        <w:gridCol w:w="1167"/>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0" w:type="pct"/>
            <w:vMerge w:val="restart"/>
            <w:vAlign w:val="center"/>
          </w:tcPr>
          <w:p>
            <w:pPr>
              <w:pStyle w:val="139"/>
              <w:spacing w:line="240" w:lineRule="auto"/>
              <w:rPr>
                <w:rFonts w:cs="Times New Roman"/>
              </w:rPr>
            </w:pPr>
            <w:r>
              <w:rPr>
                <w:rFonts w:cs="Times New Roman"/>
              </w:rPr>
              <w:t>时段</w:t>
            </w:r>
          </w:p>
        </w:tc>
        <w:tc>
          <w:tcPr>
            <w:tcW w:w="603" w:type="pct"/>
            <w:vMerge w:val="restart"/>
            <w:vAlign w:val="center"/>
          </w:tcPr>
          <w:p>
            <w:pPr>
              <w:pStyle w:val="139"/>
              <w:spacing w:line="240" w:lineRule="auto"/>
              <w:rPr>
                <w:rFonts w:cs="Times New Roman"/>
              </w:rPr>
            </w:pPr>
            <w:r>
              <w:rPr>
                <w:rFonts w:cs="Times New Roman"/>
              </w:rPr>
              <w:t>均值</w:t>
            </w:r>
          </w:p>
          <w:p>
            <w:pPr>
              <w:pStyle w:val="139"/>
              <w:spacing w:line="240" w:lineRule="auto"/>
              <w:rPr>
                <w:rFonts w:cs="Times New Roman"/>
              </w:rPr>
            </w:pPr>
            <w:r>
              <w:rPr>
                <w:rFonts w:cs="Times New Roman"/>
              </w:rPr>
              <w:t>mm</w:t>
            </w:r>
          </w:p>
        </w:tc>
        <w:tc>
          <w:tcPr>
            <w:tcW w:w="2736" w:type="pct"/>
            <w:gridSpan w:val="4"/>
            <w:vAlign w:val="center"/>
          </w:tcPr>
          <w:p>
            <w:pPr>
              <w:pStyle w:val="139"/>
              <w:spacing w:line="240" w:lineRule="auto"/>
              <w:rPr>
                <w:rFonts w:cs="Times New Roman"/>
              </w:rPr>
            </w:pPr>
            <w:r>
              <w:rPr>
                <w:rFonts w:cs="Times New Roman"/>
              </w:rPr>
              <w:t>各频率设计值 Rp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0" w:type="pct"/>
            <w:vMerge w:val="continue"/>
            <w:vAlign w:val="center"/>
          </w:tcPr>
          <w:p>
            <w:pPr>
              <w:pStyle w:val="139"/>
              <w:spacing w:line="240" w:lineRule="auto"/>
              <w:rPr>
                <w:rFonts w:cs="Times New Roman"/>
              </w:rPr>
            </w:pPr>
          </w:p>
        </w:tc>
        <w:tc>
          <w:tcPr>
            <w:tcW w:w="603" w:type="pct"/>
            <w:vMerge w:val="continue"/>
            <w:vAlign w:val="center"/>
          </w:tcPr>
          <w:p>
            <w:pPr>
              <w:pStyle w:val="139"/>
              <w:spacing w:line="240" w:lineRule="auto"/>
              <w:rPr>
                <w:rFonts w:cs="Times New Roman"/>
              </w:rPr>
            </w:pPr>
          </w:p>
        </w:tc>
        <w:tc>
          <w:tcPr>
            <w:tcW w:w="684" w:type="pct"/>
            <w:vAlign w:val="center"/>
          </w:tcPr>
          <w:p>
            <w:pPr>
              <w:pStyle w:val="139"/>
              <w:spacing w:line="240" w:lineRule="auto"/>
              <w:rPr>
                <w:rFonts w:cs="Times New Roman"/>
              </w:rPr>
            </w:pPr>
            <w:r>
              <w:rPr>
                <w:rFonts w:cs="Times New Roman"/>
              </w:rPr>
              <w:t>p=30%</w:t>
            </w:r>
          </w:p>
        </w:tc>
        <w:tc>
          <w:tcPr>
            <w:tcW w:w="684" w:type="pct"/>
            <w:vAlign w:val="center"/>
          </w:tcPr>
          <w:p>
            <w:pPr>
              <w:pStyle w:val="139"/>
              <w:spacing w:line="240" w:lineRule="auto"/>
              <w:rPr>
                <w:rFonts w:cs="Times New Roman"/>
              </w:rPr>
            </w:pPr>
            <w:r>
              <w:rPr>
                <w:rFonts w:cs="Times New Roman"/>
              </w:rPr>
              <w:t>p=50%</w:t>
            </w:r>
          </w:p>
        </w:tc>
        <w:tc>
          <w:tcPr>
            <w:tcW w:w="685" w:type="pct"/>
            <w:vAlign w:val="center"/>
          </w:tcPr>
          <w:p>
            <w:pPr>
              <w:pStyle w:val="139"/>
              <w:spacing w:line="240" w:lineRule="auto"/>
              <w:rPr>
                <w:rFonts w:cs="Times New Roman"/>
              </w:rPr>
            </w:pPr>
            <w:r>
              <w:rPr>
                <w:rFonts w:cs="Times New Roman"/>
              </w:rPr>
              <w:t>p=70%</w:t>
            </w:r>
          </w:p>
        </w:tc>
        <w:tc>
          <w:tcPr>
            <w:tcW w:w="685" w:type="pct"/>
            <w:vAlign w:val="center"/>
          </w:tcPr>
          <w:p>
            <w:pPr>
              <w:pStyle w:val="139"/>
              <w:spacing w:line="240" w:lineRule="auto"/>
              <w:rPr>
                <w:rFonts w:cs="Times New Roman"/>
              </w:rPr>
            </w:pPr>
            <w:r>
              <w:rPr>
                <w:rFonts w:cs="Times New Roman"/>
              </w:rPr>
              <w:t>p=95%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0" w:type="pct"/>
            <w:vAlign w:val="center"/>
          </w:tcPr>
          <w:p>
            <w:pPr>
              <w:pStyle w:val="139"/>
              <w:spacing w:line="240" w:lineRule="auto"/>
              <w:rPr>
                <w:rFonts w:cs="Times New Roman"/>
              </w:rPr>
            </w:pPr>
            <w:r>
              <w:rPr>
                <w:rFonts w:cs="Times New Roman"/>
              </w:rPr>
              <w:t>水利年</w:t>
            </w:r>
            <w:r>
              <w:rPr>
                <w:rFonts w:hint="eastAsia" w:cs="Times New Roman"/>
              </w:rPr>
              <w:t>（</w:t>
            </w:r>
            <w:r>
              <w:rPr>
                <w:rFonts w:cs="Times New Roman"/>
              </w:rPr>
              <w:t>7月-翌年6月</w:t>
            </w:r>
            <w:r>
              <w:rPr>
                <w:rFonts w:hint="eastAsia" w:cs="Times New Roman"/>
              </w:rPr>
              <w:t>）</w:t>
            </w:r>
          </w:p>
        </w:tc>
        <w:tc>
          <w:tcPr>
            <w:tcW w:w="603" w:type="pct"/>
            <w:vAlign w:val="center"/>
          </w:tcPr>
          <w:p>
            <w:pPr>
              <w:pStyle w:val="139"/>
              <w:spacing w:line="240" w:lineRule="auto"/>
              <w:rPr>
                <w:rFonts w:cs="Times New Roman"/>
              </w:rPr>
            </w:pPr>
            <w:r>
              <w:rPr>
                <w:rFonts w:cs="Times New Roman"/>
              </w:rPr>
              <w:t>572.4</w:t>
            </w:r>
          </w:p>
        </w:tc>
        <w:tc>
          <w:tcPr>
            <w:tcW w:w="684" w:type="pct"/>
            <w:vAlign w:val="center"/>
          </w:tcPr>
          <w:p>
            <w:pPr>
              <w:pStyle w:val="139"/>
              <w:spacing w:line="240" w:lineRule="auto"/>
              <w:rPr>
                <w:rFonts w:cs="Times New Roman"/>
              </w:rPr>
            </w:pPr>
            <w:r>
              <w:rPr>
                <w:rFonts w:cs="Times New Roman"/>
              </w:rPr>
              <w:t>729.1</w:t>
            </w:r>
          </w:p>
        </w:tc>
        <w:tc>
          <w:tcPr>
            <w:tcW w:w="684" w:type="pct"/>
            <w:vAlign w:val="center"/>
          </w:tcPr>
          <w:p>
            <w:pPr>
              <w:pStyle w:val="139"/>
              <w:spacing w:line="240" w:lineRule="auto"/>
              <w:rPr>
                <w:rFonts w:cs="Times New Roman"/>
              </w:rPr>
            </w:pPr>
            <w:r>
              <w:rPr>
                <w:rFonts w:cs="Times New Roman"/>
              </w:rPr>
              <w:t>681.1</w:t>
            </w:r>
          </w:p>
        </w:tc>
        <w:tc>
          <w:tcPr>
            <w:tcW w:w="685" w:type="pct"/>
            <w:vAlign w:val="center"/>
          </w:tcPr>
          <w:p>
            <w:pPr>
              <w:pStyle w:val="139"/>
              <w:spacing w:line="240" w:lineRule="auto"/>
              <w:rPr>
                <w:rFonts w:cs="Times New Roman"/>
              </w:rPr>
            </w:pPr>
            <w:r>
              <w:rPr>
                <w:rFonts w:cs="Times New Roman"/>
              </w:rPr>
              <w:t>526.5</w:t>
            </w:r>
          </w:p>
        </w:tc>
        <w:tc>
          <w:tcPr>
            <w:tcW w:w="685" w:type="pct"/>
            <w:vAlign w:val="center"/>
          </w:tcPr>
          <w:p>
            <w:pPr>
              <w:pStyle w:val="139"/>
              <w:spacing w:line="240" w:lineRule="auto"/>
              <w:rPr>
                <w:rFonts w:cs="Times New Roman"/>
              </w:rPr>
            </w:pPr>
            <w:r>
              <w:rPr>
                <w:rFonts w:cs="Times New Roman"/>
              </w:rPr>
              <w:t>399.0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0" w:type="pct"/>
            <w:vAlign w:val="center"/>
          </w:tcPr>
          <w:p>
            <w:pPr>
              <w:pStyle w:val="139"/>
              <w:spacing w:line="240" w:lineRule="auto"/>
              <w:rPr>
                <w:rFonts w:cs="Times New Roman"/>
              </w:rPr>
            </w:pPr>
            <w:r>
              <w:rPr>
                <w:rFonts w:cs="Times New Roman"/>
              </w:rPr>
              <w:t>枯期（12月-翌年3月）</w:t>
            </w:r>
          </w:p>
        </w:tc>
        <w:tc>
          <w:tcPr>
            <w:tcW w:w="603" w:type="pct"/>
            <w:vAlign w:val="center"/>
          </w:tcPr>
          <w:p>
            <w:pPr>
              <w:pStyle w:val="139"/>
              <w:spacing w:line="240" w:lineRule="auto"/>
              <w:rPr>
                <w:rFonts w:cs="Times New Roman"/>
              </w:rPr>
            </w:pPr>
            <w:r>
              <w:rPr>
                <w:rFonts w:cs="Times New Roman"/>
              </w:rPr>
              <w:t>81.5</w:t>
            </w:r>
          </w:p>
        </w:tc>
        <w:tc>
          <w:tcPr>
            <w:tcW w:w="684" w:type="pct"/>
            <w:vAlign w:val="center"/>
          </w:tcPr>
          <w:p>
            <w:pPr>
              <w:pStyle w:val="139"/>
              <w:spacing w:line="240" w:lineRule="auto"/>
              <w:rPr>
                <w:rFonts w:cs="Times New Roman"/>
              </w:rPr>
            </w:pPr>
            <w:r>
              <w:rPr>
                <w:rFonts w:cs="Times New Roman"/>
              </w:rPr>
              <w:t>112.8</w:t>
            </w:r>
          </w:p>
        </w:tc>
        <w:tc>
          <w:tcPr>
            <w:tcW w:w="684" w:type="pct"/>
            <w:vAlign w:val="center"/>
          </w:tcPr>
          <w:p>
            <w:pPr>
              <w:pStyle w:val="139"/>
              <w:spacing w:line="240" w:lineRule="auto"/>
              <w:rPr>
                <w:rFonts w:cs="Times New Roman"/>
              </w:rPr>
            </w:pPr>
            <w:r>
              <w:rPr>
                <w:rFonts w:cs="Times New Roman"/>
              </w:rPr>
              <w:t>98.6</w:t>
            </w:r>
          </w:p>
        </w:tc>
        <w:tc>
          <w:tcPr>
            <w:tcW w:w="685" w:type="pct"/>
            <w:vAlign w:val="center"/>
          </w:tcPr>
          <w:p>
            <w:pPr>
              <w:pStyle w:val="139"/>
              <w:spacing w:line="240" w:lineRule="auto"/>
              <w:rPr>
                <w:rFonts w:cs="Times New Roman"/>
              </w:rPr>
            </w:pPr>
            <w:r>
              <w:rPr>
                <w:rFonts w:cs="Times New Roman"/>
              </w:rPr>
              <w:t>58.7</w:t>
            </w:r>
          </w:p>
        </w:tc>
        <w:tc>
          <w:tcPr>
            <w:tcW w:w="685" w:type="pct"/>
            <w:vAlign w:val="center"/>
          </w:tcPr>
          <w:p>
            <w:pPr>
              <w:pStyle w:val="139"/>
              <w:spacing w:line="240" w:lineRule="auto"/>
              <w:rPr>
                <w:rFonts w:cs="Times New Roman"/>
              </w:rPr>
            </w:pPr>
            <w:r>
              <w:rPr>
                <w:rFonts w:cs="Times New Roman"/>
              </w:rPr>
              <w:t>31.5</w:t>
            </w:r>
          </w:p>
        </w:tc>
      </w:tr>
    </w:tbl>
    <w:p>
      <w:pPr>
        <w:pStyle w:val="5"/>
        <w:ind w:firstLine="0" w:firstLineChars="0"/>
        <w:contextualSpacing/>
        <w:rPr>
          <w:rFonts w:ascii="Times New Roman" w:hAnsi="Times New Roman"/>
        </w:rPr>
      </w:pPr>
      <w:r>
        <w:rPr>
          <w:rFonts w:ascii="Times New Roman" w:hAnsi="Times New Roman"/>
        </w:rPr>
        <w:t>4.3.2洪水</w:t>
      </w:r>
    </w:p>
    <w:p>
      <w:pPr>
        <w:adjustRightInd w:val="0"/>
        <w:snapToGrid w:val="0"/>
        <w:spacing w:line="560" w:lineRule="exact"/>
        <w:ind w:firstLine="480"/>
        <w:rPr>
          <w:kern w:val="144"/>
        </w:rPr>
      </w:pPr>
      <w:r>
        <w:rPr>
          <w:kern w:val="144"/>
        </w:rPr>
        <w:t>寒溪寺水库设计洪量成果见</w:t>
      </w:r>
      <w:r>
        <w:rPr>
          <w:rFonts w:hint="eastAsia"/>
          <w:kern w:val="144"/>
        </w:rPr>
        <w:t>下表</w:t>
      </w:r>
      <w:r>
        <w:rPr>
          <w:kern w:val="144"/>
        </w:rPr>
        <w:t>。</w:t>
      </w:r>
    </w:p>
    <w:p>
      <w:pPr>
        <w:ind w:firstLine="0" w:firstLineChars="0"/>
        <w:contextualSpacing/>
        <w:jc w:val="center"/>
        <w:rPr>
          <w:b/>
          <w:bCs/>
          <w:sz w:val="21"/>
          <w:szCs w:val="21"/>
        </w:rPr>
      </w:pPr>
      <w:r>
        <w:rPr>
          <w:b/>
          <w:bCs/>
          <w:sz w:val="21"/>
          <w:szCs w:val="21"/>
        </w:rPr>
        <w:t>表4.3.2</w:t>
      </w:r>
      <w:r>
        <w:rPr>
          <w:rFonts w:hint="eastAsia"/>
          <w:b/>
          <w:bCs/>
          <w:sz w:val="21"/>
          <w:szCs w:val="21"/>
        </w:rPr>
        <w:t>-</w:t>
      </w:r>
      <w:r>
        <w:rPr>
          <w:b/>
          <w:bCs/>
          <w:sz w:val="21"/>
          <w:szCs w:val="21"/>
        </w:rPr>
        <w:t>1  寒溪寺水库设计洪量成果表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444"/>
        <w:gridCol w:w="1293"/>
        <w:gridCol w:w="1155"/>
        <w:gridCol w:w="1216"/>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Merge w:val="restart"/>
            <w:vAlign w:val="center"/>
          </w:tcPr>
          <w:p>
            <w:pPr>
              <w:pStyle w:val="139"/>
              <w:ind w:firstLine="360"/>
              <w:rPr>
                <w:rFonts w:cs="Times New Roman"/>
              </w:rPr>
            </w:pPr>
            <w:r>
              <w:rPr>
                <w:rFonts w:cs="Times New Roman"/>
              </w:rPr>
              <w:t>名称</w:t>
            </w:r>
          </w:p>
        </w:tc>
        <w:tc>
          <w:tcPr>
            <w:tcW w:w="3718" w:type="pct"/>
            <w:gridSpan w:val="5"/>
            <w:vAlign w:val="center"/>
          </w:tcPr>
          <w:p>
            <w:pPr>
              <w:pStyle w:val="139"/>
              <w:ind w:firstLine="360"/>
              <w:rPr>
                <w:rFonts w:cs="Times New Roman"/>
              </w:rPr>
            </w:pPr>
            <w:r>
              <w:rPr>
                <w:rFonts w:cs="Times New Roman"/>
              </w:rPr>
              <w:t>各频率设计洪量</w:t>
            </w:r>
            <w:r>
              <w:rPr>
                <w:rFonts w:hint="eastAsia" w:cs="Times New Roman"/>
              </w:rPr>
              <w:t xml:space="preserve"> </w:t>
            </w:r>
            <w:r>
              <w:rPr>
                <w:rFonts w:cs="Times New Roman"/>
              </w:rPr>
              <w:t xml:space="preserve"> 万 m</w:t>
            </w:r>
            <w:r>
              <w:rPr>
                <w:rFonts w:cs="Times New Roman"/>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Merge w:val="continue"/>
            <w:vAlign w:val="center"/>
          </w:tcPr>
          <w:p>
            <w:pPr>
              <w:pStyle w:val="139"/>
              <w:ind w:firstLine="360"/>
              <w:rPr>
                <w:rFonts w:cs="Times New Roman"/>
              </w:rPr>
            </w:pPr>
          </w:p>
        </w:tc>
        <w:tc>
          <w:tcPr>
            <w:tcW w:w="848" w:type="pct"/>
            <w:vAlign w:val="center"/>
          </w:tcPr>
          <w:p>
            <w:pPr>
              <w:pStyle w:val="139"/>
              <w:ind w:firstLine="360"/>
              <w:rPr>
                <w:rFonts w:cs="Times New Roman"/>
              </w:rPr>
            </w:pPr>
            <w:r>
              <w:rPr>
                <w:rFonts w:cs="Times New Roman"/>
              </w:rPr>
              <w:t>P=0.33%</w:t>
            </w:r>
          </w:p>
        </w:tc>
        <w:tc>
          <w:tcPr>
            <w:tcW w:w="759" w:type="pct"/>
            <w:vAlign w:val="center"/>
          </w:tcPr>
          <w:p>
            <w:pPr>
              <w:pStyle w:val="139"/>
              <w:ind w:firstLine="360"/>
              <w:rPr>
                <w:rFonts w:cs="Times New Roman"/>
              </w:rPr>
            </w:pPr>
            <w:r>
              <w:rPr>
                <w:rFonts w:cs="Times New Roman"/>
              </w:rPr>
              <w:t>P=3.3%</w:t>
            </w:r>
          </w:p>
        </w:tc>
        <w:tc>
          <w:tcPr>
            <w:tcW w:w="678" w:type="pct"/>
            <w:vAlign w:val="center"/>
          </w:tcPr>
          <w:p>
            <w:pPr>
              <w:pStyle w:val="139"/>
              <w:ind w:firstLine="360"/>
              <w:rPr>
                <w:rFonts w:cs="Times New Roman"/>
              </w:rPr>
            </w:pPr>
            <w:r>
              <w:rPr>
                <w:rFonts w:cs="Times New Roman"/>
              </w:rPr>
              <w:t>P=5%</w:t>
            </w:r>
          </w:p>
        </w:tc>
        <w:tc>
          <w:tcPr>
            <w:tcW w:w="714" w:type="pct"/>
            <w:vAlign w:val="center"/>
          </w:tcPr>
          <w:p>
            <w:pPr>
              <w:pStyle w:val="139"/>
              <w:ind w:firstLine="360"/>
              <w:rPr>
                <w:rFonts w:cs="Times New Roman"/>
              </w:rPr>
            </w:pPr>
            <w:r>
              <w:rPr>
                <w:rFonts w:cs="Times New Roman"/>
              </w:rPr>
              <w:t>P=10%</w:t>
            </w:r>
          </w:p>
        </w:tc>
        <w:tc>
          <w:tcPr>
            <w:tcW w:w="718" w:type="pct"/>
            <w:vAlign w:val="center"/>
          </w:tcPr>
          <w:p>
            <w:pPr>
              <w:pStyle w:val="139"/>
              <w:ind w:firstLine="360"/>
              <w:rPr>
                <w:rFonts w:cs="Times New Roman"/>
              </w:rPr>
            </w:pPr>
            <w:r>
              <w:rPr>
                <w:rFonts w:cs="Times New Roman"/>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Align w:val="center"/>
          </w:tcPr>
          <w:p>
            <w:pPr>
              <w:pStyle w:val="139"/>
              <w:ind w:firstLine="360"/>
              <w:rPr>
                <w:rFonts w:cs="Times New Roman"/>
              </w:rPr>
            </w:pPr>
            <w:r>
              <w:rPr>
                <w:rFonts w:cs="Times New Roman"/>
              </w:rPr>
              <w:t>上坝线（推荐坝线）</w:t>
            </w:r>
          </w:p>
        </w:tc>
        <w:tc>
          <w:tcPr>
            <w:tcW w:w="848" w:type="pct"/>
            <w:vAlign w:val="center"/>
          </w:tcPr>
          <w:p>
            <w:pPr>
              <w:pStyle w:val="139"/>
              <w:ind w:firstLine="360"/>
              <w:rPr>
                <w:rFonts w:cs="Times New Roman"/>
              </w:rPr>
            </w:pPr>
            <w:r>
              <w:rPr>
                <w:rFonts w:cs="Times New Roman"/>
              </w:rPr>
              <w:t>208.79</w:t>
            </w:r>
          </w:p>
        </w:tc>
        <w:tc>
          <w:tcPr>
            <w:tcW w:w="759" w:type="pct"/>
            <w:vAlign w:val="center"/>
          </w:tcPr>
          <w:p>
            <w:pPr>
              <w:pStyle w:val="139"/>
              <w:ind w:firstLine="360"/>
              <w:rPr>
                <w:rFonts w:cs="Times New Roman"/>
              </w:rPr>
            </w:pPr>
            <w:r>
              <w:rPr>
                <w:rFonts w:cs="Times New Roman"/>
              </w:rPr>
              <w:t>129.82</w:t>
            </w:r>
          </w:p>
        </w:tc>
        <w:tc>
          <w:tcPr>
            <w:tcW w:w="678" w:type="pct"/>
            <w:vAlign w:val="center"/>
          </w:tcPr>
          <w:p>
            <w:pPr>
              <w:pStyle w:val="139"/>
              <w:ind w:firstLine="360"/>
              <w:rPr>
                <w:rFonts w:cs="Times New Roman"/>
              </w:rPr>
            </w:pPr>
            <w:r>
              <w:rPr>
                <w:rFonts w:cs="Times New Roman"/>
              </w:rPr>
              <w:t>116.09</w:t>
            </w:r>
          </w:p>
        </w:tc>
        <w:tc>
          <w:tcPr>
            <w:tcW w:w="714" w:type="pct"/>
            <w:vAlign w:val="center"/>
          </w:tcPr>
          <w:p>
            <w:pPr>
              <w:pStyle w:val="139"/>
              <w:ind w:firstLine="360"/>
              <w:rPr>
                <w:rFonts w:cs="Times New Roman"/>
              </w:rPr>
            </w:pPr>
            <w:r>
              <w:rPr>
                <w:rFonts w:cs="Times New Roman"/>
              </w:rPr>
              <w:t>92.95</w:t>
            </w:r>
          </w:p>
        </w:tc>
        <w:tc>
          <w:tcPr>
            <w:tcW w:w="718" w:type="pct"/>
            <w:vAlign w:val="center"/>
          </w:tcPr>
          <w:p>
            <w:pPr>
              <w:pStyle w:val="139"/>
              <w:ind w:firstLine="360"/>
              <w:rPr>
                <w:rFonts w:cs="Times New Roman"/>
              </w:rPr>
            </w:pPr>
            <w:r>
              <w:rPr>
                <w:rFonts w:cs="Times New Roman"/>
              </w:rPr>
              <w:t>70.69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Align w:val="center"/>
          </w:tcPr>
          <w:p>
            <w:pPr>
              <w:pStyle w:val="139"/>
              <w:ind w:firstLine="360"/>
              <w:rPr>
                <w:rFonts w:cs="Times New Roman"/>
              </w:rPr>
            </w:pPr>
            <w:r>
              <w:rPr>
                <w:rFonts w:cs="Times New Roman"/>
              </w:rPr>
              <w:t>下坝线</w:t>
            </w:r>
          </w:p>
        </w:tc>
        <w:tc>
          <w:tcPr>
            <w:tcW w:w="848" w:type="pct"/>
            <w:vAlign w:val="center"/>
          </w:tcPr>
          <w:p>
            <w:pPr>
              <w:pStyle w:val="139"/>
              <w:ind w:firstLine="360"/>
              <w:rPr>
                <w:rFonts w:cs="Times New Roman"/>
              </w:rPr>
            </w:pPr>
            <w:r>
              <w:rPr>
                <w:rFonts w:cs="Times New Roman"/>
              </w:rPr>
              <w:t>239.78</w:t>
            </w:r>
          </w:p>
        </w:tc>
        <w:tc>
          <w:tcPr>
            <w:tcW w:w="759" w:type="pct"/>
            <w:vAlign w:val="center"/>
          </w:tcPr>
          <w:p>
            <w:pPr>
              <w:pStyle w:val="139"/>
              <w:ind w:firstLine="360"/>
              <w:rPr>
                <w:rFonts w:cs="Times New Roman"/>
              </w:rPr>
            </w:pPr>
            <w:r>
              <w:rPr>
                <w:rFonts w:cs="Times New Roman"/>
              </w:rPr>
              <w:t>149.13</w:t>
            </w:r>
          </w:p>
        </w:tc>
        <w:tc>
          <w:tcPr>
            <w:tcW w:w="678" w:type="pct"/>
            <w:vAlign w:val="center"/>
          </w:tcPr>
          <w:p>
            <w:pPr>
              <w:pStyle w:val="139"/>
              <w:ind w:firstLine="360"/>
              <w:rPr>
                <w:rFonts w:cs="Times New Roman"/>
              </w:rPr>
            </w:pPr>
            <w:r>
              <w:rPr>
                <w:rFonts w:cs="Times New Roman"/>
              </w:rPr>
              <w:t>133.39</w:t>
            </w:r>
          </w:p>
        </w:tc>
        <w:tc>
          <w:tcPr>
            <w:tcW w:w="714" w:type="pct"/>
            <w:vAlign w:val="center"/>
          </w:tcPr>
          <w:p>
            <w:pPr>
              <w:pStyle w:val="139"/>
              <w:ind w:firstLine="360"/>
              <w:rPr>
                <w:rFonts w:cs="Times New Roman"/>
              </w:rPr>
            </w:pPr>
            <w:r>
              <w:rPr>
                <w:rFonts w:cs="Times New Roman"/>
              </w:rPr>
              <w:t>106.73</w:t>
            </w:r>
          </w:p>
        </w:tc>
        <w:tc>
          <w:tcPr>
            <w:tcW w:w="718" w:type="pct"/>
            <w:vAlign w:val="center"/>
          </w:tcPr>
          <w:p>
            <w:pPr>
              <w:pStyle w:val="139"/>
              <w:ind w:firstLine="360"/>
              <w:rPr>
                <w:rFonts w:cs="Times New Roman"/>
              </w:rPr>
            </w:pPr>
            <w:r>
              <w:rPr>
                <w:rFonts w:cs="Times New Roman"/>
              </w:rPr>
              <w:t>81.12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Align w:val="center"/>
          </w:tcPr>
          <w:p>
            <w:pPr>
              <w:pStyle w:val="139"/>
              <w:ind w:firstLine="360"/>
              <w:rPr>
                <w:rFonts w:cs="Times New Roman"/>
              </w:rPr>
            </w:pPr>
            <w:r>
              <w:rPr>
                <w:rFonts w:cs="Times New Roman"/>
              </w:rPr>
              <w:t>谭家河补水枢纽</w:t>
            </w:r>
          </w:p>
        </w:tc>
        <w:tc>
          <w:tcPr>
            <w:tcW w:w="848" w:type="pct"/>
            <w:vAlign w:val="center"/>
          </w:tcPr>
          <w:p>
            <w:pPr>
              <w:pStyle w:val="139"/>
              <w:ind w:firstLine="360"/>
              <w:rPr>
                <w:rFonts w:cs="Times New Roman"/>
              </w:rPr>
            </w:pPr>
            <w:r>
              <w:rPr>
                <w:rFonts w:cs="Times New Roman"/>
              </w:rPr>
              <w:t>268.43</w:t>
            </w:r>
          </w:p>
        </w:tc>
        <w:tc>
          <w:tcPr>
            <w:tcW w:w="759" w:type="pct"/>
            <w:vAlign w:val="center"/>
          </w:tcPr>
          <w:p>
            <w:pPr>
              <w:pStyle w:val="139"/>
              <w:ind w:firstLine="360"/>
              <w:rPr>
                <w:rFonts w:cs="Times New Roman"/>
              </w:rPr>
            </w:pPr>
            <w:r>
              <w:rPr>
                <w:rFonts w:cs="Times New Roman"/>
              </w:rPr>
              <w:t>167.01</w:t>
            </w:r>
          </w:p>
        </w:tc>
        <w:tc>
          <w:tcPr>
            <w:tcW w:w="678" w:type="pct"/>
            <w:vAlign w:val="center"/>
          </w:tcPr>
          <w:p>
            <w:pPr>
              <w:pStyle w:val="139"/>
              <w:ind w:firstLine="360"/>
              <w:rPr>
                <w:rFonts w:cs="Times New Roman"/>
              </w:rPr>
            </w:pPr>
            <w:r>
              <w:rPr>
                <w:rFonts w:cs="Times New Roman"/>
              </w:rPr>
              <w:t>149.40</w:t>
            </w:r>
          </w:p>
        </w:tc>
        <w:tc>
          <w:tcPr>
            <w:tcW w:w="714" w:type="pct"/>
            <w:vAlign w:val="center"/>
          </w:tcPr>
          <w:p>
            <w:pPr>
              <w:pStyle w:val="139"/>
              <w:ind w:firstLine="360"/>
              <w:rPr>
                <w:rFonts w:cs="Times New Roman"/>
              </w:rPr>
            </w:pPr>
            <w:r>
              <w:rPr>
                <w:rFonts w:cs="Times New Roman"/>
              </w:rPr>
              <w:t>119.48</w:t>
            </w:r>
          </w:p>
        </w:tc>
        <w:tc>
          <w:tcPr>
            <w:tcW w:w="718" w:type="pct"/>
            <w:vAlign w:val="center"/>
          </w:tcPr>
          <w:p>
            <w:pPr>
              <w:pStyle w:val="139"/>
              <w:ind w:firstLine="360"/>
              <w:rPr>
                <w:rFonts w:cs="Times New Roman"/>
              </w:rPr>
            </w:pPr>
            <w:r>
              <w:rPr>
                <w:rFonts w:cs="Times New Roman"/>
              </w:rPr>
              <w:t>90.75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2" w:type="pct"/>
            <w:vAlign w:val="center"/>
          </w:tcPr>
          <w:p>
            <w:pPr>
              <w:pStyle w:val="139"/>
              <w:ind w:firstLine="360"/>
              <w:rPr>
                <w:rFonts w:cs="Times New Roman"/>
              </w:rPr>
            </w:pPr>
            <w:r>
              <w:rPr>
                <w:rFonts w:cs="Times New Roman"/>
              </w:rPr>
              <w:t>刘家河补水枢纽</w:t>
            </w:r>
          </w:p>
        </w:tc>
        <w:tc>
          <w:tcPr>
            <w:tcW w:w="848" w:type="pct"/>
            <w:vAlign w:val="center"/>
          </w:tcPr>
          <w:p>
            <w:pPr>
              <w:pStyle w:val="139"/>
              <w:ind w:firstLine="360"/>
              <w:rPr>
                <w:rFonts w:cs="Times New Roman"/>
              </w:rPr>
            </w:pPr>
            <w:r>
              <w:rPr>
                <w:rFonts w:cs="Times New Roman"/>
              </w:rPr>
              <w:t>131.61</w:t>
            </w:r>
          </w:p>
        </w:tc>
        <w:tc>
          <w:tcPr>
            <w:tcW w:w="759" w:type="pct"/>
            <w:vAlign w:val="center"/>
          </w:tcPr>
          <w:p>
            <w:pPr>
              <w:pStyle w:val="139"/>
              <w:ind w:firstLine="360"/>
              <w:rPr>
                <w:rFonts w:cs="Times New Roman"/>
              </w:rPr>
            </w:pPr>
            <w:r>
              <w:rPr>
                <w:rFonts w:cs="Times New Roman"/>
              </w:rPr>
              <w:t>81.83</w:t>
            </w:r>
          </w:p>
        </w:tc>
        <w:tc>
          <w:tcPr>
            <w:tcW w:w="678" w:type="pct"/>
            <w:vAlign w:val="center"/>
          </w:tcPr>
          <w:p>
            <w:pPr>
              <w:pStyle w:val="139"/>
              <w:ind w:firstLine="360"/>
              <w:rPr>
                <w:rFonts w:cs="Times New Roman"/>
              </w:rPr>
            </w:pPr>
            <w:r>
              <w:rPr>
                <w:rFonts w:cs="Times New Roman"/>
              </w:rPr>
              <w:t>73.18</w:t>
            </w:r>
          </w:p>
        </w:tc>
        <w:tc>
          <w:tcPr>
            <w:tcW w:w="714" w:type="pct"/>
            <w:vAlign w:val="center"/>
          </w:tcPr>
          <w:p>
            <w:pPr>
              <w:pStyle w:val="139"/>
              <w:ind w:firstLine="360"/>
              <w:rPr>
                <w:rFonts w:cs="Times New Roman"/>
              </w:rPr>
            </w:pPr>
            <w:r>
              <w:rPr>
                <w:rFonts w:cs="Times New Roman"/>
              </w:rPr>
              <w:t>58.68</w:t>
            </w:r>
          </w:p>
        </w:tc>
        <w:tc>
          <w:tcPr>
            <w:tcW w:w="718" w:type="pct"/>
            <w:vAlign w:val="center"/>
          </w:tcPr>
          <w:p>
            <w:pPr>
              <w:pStyle w:val="139"/>
              <w:ind w:firstLine="360"/>
              <w:rPr>
                <w:rFonts w:cs="Times New Roman"/>
              </w:rPr>
            </w:pPr>
            <w:r>
              <w:rPr>
                <w:rFonts w:cs="Times New Roman"/>
              </w:rPr>
              <w:t>44.67</w:t>
            </w:r>
          </w:p>
        </w:tc>
      </w:tr>
    </w:tbl>
    <w:p>
      <w:pPr>
        <w:ind w:firstLine="0" w:firstLineChars="0"/>
        <w:contextualSpacing/>
        <w:jc w:val="center"/>
        <w:rPr>
          <w:b/>
          <w:bCs/>
          <w:sz w:val="21"/>
          <w:szCs w:val="21"/>
        </w:rPr>
      </w:pPr>
      <w:r>
        <w:rPr>
          <w:b/>
          <w:bCs/>
          <w:sz w:val="21"/>
          <w:szCs w:val="21"/>
        </w:rPr>
        <w:t>表4.3.2-2  干渠沿渠小流域（P=10%）计算成果表</w:t>
      </w:r>
    </w:p>
    <w:p>
      <w:pPr>
        <w:spacing w:before="1" w:line="240" w:lineRule="auto"/>
        <w:ind w:firstLine="60"/>
        <w:rPr>
          <w:rFonts w:eastAsia="黑体"/>
          <w:b/>
          <w:bCs/>
          <w:kern w:val="0"/>
          <w:sz w:val="3"/>
          <w:szCs w:val="3"/>
        </w:rPr>
      </w:pPr>
    </w:p>
    <w:tbl>
      <w:tblPr>
        <w:tblStyle w:val="38"/>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992"/>
        <w:gridCol w:w="851"/>
        <w:gridCol w:w="992"/>
        <w:gridCol w:w="992"/>
        <w:gridCol w:w="851"/>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序 号</w:t>
            </w:r>
          </w:p>
        </w:tc>
        <w:tc>
          <w:tcPr>
            <w:tcW w:w="992" w:type="dxa"/>
            <w:vAlign w:val="center"/>
          </w:tcPr>
          <w:p>
            <w:pPr>
              <w:pStyle w:val="139"/>
              <w:spacing w:line="240" w:lineRule="auto"/>
              <w:rPr>
                <w:rFonts w:cs="Times New Roman"/>
                <w:szCs w:val="18"/>
                <w:lang w:eastAsia="en-US"/>
              </w:rPr>
            </w:pPr>
            <w:r>
              <w:rPr>
                <w:rFonts w:cs="Times New Roman"/>
                <w:szCs w:val="18"/>
                <w:lang w:eastAsia="en-US"/>
              </w:rPr>
              <w:t>渠道名称</w:t>
            </w:r>
          </w:p>
        </w:tc>
        <w:tc>
          <w:tcPr>
            <w:tcW w:w="851" w:type="dxa"/>
            <w:vAlign w:val="center"/>
          </w:tcPr>
          <w:p>
            <w:pPr>
              <w:pStyle w:val="139"/>
              <w:spacing w:line="240" w:lineRule="auto"/>
              <w:rPr>
                <w:rFonts w:cs="Times New Roman"/>
                <w:szCs w:val="18"/>
                <w:lang w:eastAsia="en-US"/>
              </w:rPr>
            </w:pPr>
            <w:r>
              <w:rPr>
                <w:rFonts w:cs="Times New Roman"/>
                <w:szCs w:val="18"/>
                <w:lang w:eastAsia="en-US"/>
              </w:rPr>
              <w:t>类型</w:t>
            </w:r>
          </w:p>
        </w:tc>
        <w:tc>
          <w:tcPr>
            <w:tcW w:w="992" w:type="dxa"/>
            <w:vAlign w:val="center"/>
          </w:tcPr>
          <w:p>
            <w:pPr>
              <w:pStyle w:val="139"/>
              <w:spacing w:line="240" w:lineRule="auto"/>
              <w:rPr>
                <w:rFonts w:cs="Times New Roman"/>
                <w:szCs w:val="18"/>
                <w:lang w:eastAsia="en-US"/>
              </w:rPr>
            </w:pPr>
            <w:r>
              <w:rPr>
                <w:rFonts w:cs="Times New Roman"/>
                <w:szCs w:val="18"/>
                <w:lang w:eastAsia="en-US"/>
              </w:rPr>
              <w:t>桩号</w:t>
            </w:r>
          </w:p>
        </w:tc>
        <w:tc>
          <w:tcPr>
            <w:tcW w:w="992" w:type="dxa"/>
            <w:vAlign w:val="center"/>
          </w:tcPr>
          <w:p>
            <w:pPr>
              <w:pStyle w:val="139"/>
              <w:spacing w:line="240" w:lineRule="auto"/>
              <w:rPr>
                <w:rFonts w:cs="Times New Roman"/>
                <w:szCs w:val="18"/>
                <w:lang w:eastAsia="en-US"/>
              </w:rPr>
            </w:pPr>
            <w:r>
              <w:rPr>
                <w:rFonts w:cs="Times New Roman"/>
                <w:szCs w:val="18"/>
                <w:lang w:eastAsia="en-US"/>
              </w:rPr>
              <w:t>F</w:t>
            </w:r>
          </w:p>
          <w:p>
            <w:pPr>
              <w:pStyle w:val="139"/>
              <w:spacing w:line="240" w:lineRule="auto"/>
              <w:rPr>
                <w:rFonts w:cs="Times New Roman"/>
                <w:szCs w:val="18"/>
              </w:rPr>
            </w:pPr>
            <w:r>
              <w:rPr>
                <w:rFonts w:cs="Times New Roman"/>
                <w:szCs w:val="18"/>
              </w:rPr>
              <w:t>km</w:t>
            </w:r>
            <w:r>
              <w:rPr>
                <w:rFonts w:cs="Times New Roman"/>
                <w:szCs w:val="18"/>
                <w:vertAlign w:val="superscript"/>
              </w:rPr>
              <w:t>2</w:t>
            </w:r>
          </w:p>
        </w:tc>
        <w:tc>
          <w:tcPr>
            <w:tcW w:w="851" w:type="dxa"/>
            <w:vAlign w:val="center"/>
          </w:tcPr>
          <w:p>
            <w:pPr>
              <w:pStyle w:val="139"/>
              <w:spacing w:line="240" w:lineRule="auto"/>
              <w:rPr>
                <w:rFonts w:cs="Times New Roman"/>
                <w:szCs w:val="18"/>
                <w:lang w:eastAsia="en-US"/>
              </w:rPr>
            </w:pPr>
            <w:r>
              <w:rPr>
                <w:rFonts w:cs="Times New Roman"/>
                <w:szCs w:val="18"/>
                <w:lang w:eastAsia="en-US"/>
              </w:rPr>
              <w:t>L</w:t>
            </w:r>
          </w:p>
          <w:p>
            <w:pPr>
              <w:pStyle w:val="139"/>
              <w:spacing w:line="240" w:lineRule="auto"/>
              <w:rPr>
                <w:rFonts w:cs="Times New Roman"/>
                <w:szCs w:val="18"/>
                <w:lang w:eastAsia="en-US"/>
              </w:rPr>
            </w:pPr>
            <w:r>
              <w:rPr>
                <w:rFonts w:cs="Times New Roman"/>
                <w:szCs w:val="18"/>
                <w:lang w:eastAsia="en-US"/>
              </w:rPr>
              <w:t>km</w:t>
            </w:r>
          </w:p>
        </w:tc>
        <w:tc>
          <w:tcPr>
            <w:tcW w:w="992" w:type="dxa"/>
            <w:vAlign w:val="center"/>
          </w:tcPr>
          <w:p>
            <w:pPr>
              <w:pStyle w:val="139"/>
              <w:spacing w:line="240" w:lineRule="auto"/>
              <w:rPr>
                <w:rFonts w:cs="Times New Roman"/>
                <w:szCs w:val="18"/>
                <w:lang w:eastAsia="en-US"/>
              </w:rPr>
            </w:pPr>
            <w:r>
              <w:rPr>
                <w:rFonts w:cs="Times New Roman"/>
                <w:szCs w:val="18"/>
                <w:lang w:eastAsia="en-US"/>
              </w:rPr>
              <w:t>J</w:t>
            </w:r>
          </w:p>
          <w:p>
            <w:pPr>
              <w:pStyle w:val="139"/>
              <w:spacing w:line="240" w:lineRule="auto"/>
              <w:rPr>
                <w:rFonts w:cs="Times New Roman"/>
                <w:szCs w:val="18"/>
                <w:lang w:eastAsia="en-US"/>
              </w:rPr>
            </w:pPr>
            <w:r>
              <w:rPr>
                <w:rFonts w:cs="Times New Roman"/>
                <w:szCs w:val="18"/>
                <w:lang w:eastAsia="en-US"/>
              </w:rPr>
              <w:t>‰</w:t>
            </w:r>
          </w:p>
        </w:tc>
        <w:tc>
          <w:tcPr>
            <w:tcW w:w="1134" w:type="dxa"/>
            <w:vAlign w:val="center"/>
          </w:tcPr>
          <w:p>
            <w:pPr>
              <w:pStyle w:val="139"/>
              <w:spacing w:line="240" w:lineRule="auto"/>
              <w:rPr>
                <w:rFonts w:cs="Times New Roman"/>
                <w:szCs w:val="18"/>
                <w:lang w:eastAsia="en-US"/>
              </w:rPr>
            </w:pPr>
            <w:r>
              <w:rPr>
                <w:rFonts w:cs="Times New Roman"/>
                <w:szCs w:val="18"/>
                <w:lang w:eastAsia="en-US"/>
              </w:rPr>
              <w:t>Q</w:t>
            </w:r>
          </w:p>
          <w:p>
            <w:pPr>
              <w:pStyle w:val="139"/>
              <w:spacing w:line="240" w:lineRule="auto"/>
              <w:rPr>
                <w:rFonts w:cs="Times New Roman"/>
                <w:szCs w:val="18"/>
                <w:lang w:eastAsia="en-US"/>
              </w:rPr>
            </w:pPr>
            <w:r>
              <w:rPr>
                <w:rFonts w:cs="Times New Roman"/>
                <w:szCs w:val="18"/>
              </w:rPr>
              <w:t>m</w:t>
            </w:r>
            <w:r>
              <w:rPr>
                <w:rFonts w:cs="Times New Roman"/>
                <w:szCs w:val="18"/>
                <w:vertAlign w:val="superscript"/>
              </w:rPr>
              <w:t>3</w:t>
            </w:r>
            <w:r>
              <w:rPr>
                <w:rFonts w:cs="Times New Roman"/>
                <w:szCs w:val="18"/>
                <w:lang w:eastAsia="en-US"/>
              </w:rPr>
              <w:t>/s</w:t>
            </w:r>
          </w:p>
        </w:tc>
        <w:tc>
          <w:tcPr>
            <w:tcW w:w="1134" w:type="dxa"/>
            <w:vAlign w:val="center"/>
          </w:tcPr>
          <w:p>
            <w:pPr>
              <w:pStyle w:val="139"/>
              <w:spacing w:line="240" w:lineRule="auto"/>
              <w:rPr>
                <w:rFonts w:cs="Times New Roman"/>
                <w:szCs w:val="18"/>
                <w:lang w:eastAsia="en-US"/>
              </w:rPr>
            </w:pPr>
            <w:r>
              <w:rPr>
                <w:rFonts w:cs="Times New Roman"/>
                <w:szCs w:val="18"/>
                <w:lang w:eastAsia="en-US"/>
              </w:rPr>
              <w:t>工程措施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1</w:t>
            </w:r>
          </w:p>
        </w:tc>
        <w:tc>
          <w:tcPr>
            <w:tcW w:w="992" w:type="dxa"/>
            <w:vMerge w:val="restart"/>
            <w:vAlign w:val="center"/>
          </w:tcPr>
          <w:p>
            <w:pPr>
              <w:pStyle w:val="139"/>
              <w:spacing w:line="240" w:lineRule="auto"/>
              <w:rPr>
                <w:rFonts w:cs="Times New Roman"/>
                <w:szCs w:val="18"/>
                <w:lang w:eastAsia="en-US"/>
              </w:rPr>
            </w:pPr>
            <w:r>
              <w:rPr>
                <w:rFonts w:cs="Times New Roman"/>
                <w:szCs w:val="18"/>
                <w:lang w:eastAsia="en-US"/>
              </w:rPr>
              <w:t>干渠</w:t>
            </w: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0+608</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114</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90</w:t>
            </w:r>
          </w:p>
        </w:tc>
        <w:tc>
          <w:tcPr>
            <w:tcW w:w="992" w:type="dxa"/>
            <w:vAlign w:val="center"/>
          </w:tcPr>
          <w:p>
            <w:pPr>
              <w:pStyle w:val="139"/>
              <w:spacing w:line="240" w:lineRule="auto"/>
              <w:rPr>
                <w:rFonts w:cs="Times New Roman"/>
                <w:szCs w:val="18"/>
                <w:lang w:eastAsia="en-US"/>
              </w:rPr>
            </w:pPr>
            <w:r>
              <w:rPr>
                <w:rFonts w:cs="Times New Roman"/>
                <w:szCs w:val="18"/>
                <w:lang w:eastAsia="en-US"/>
              </w:rPr>
              <w:t>247</w:t>
            </w:r>
            <w:r>
              <w:rPr>
                <w:rFonts w:cs="Times New Roman"/>
                <w:szCs w:val="18"/>
              </w:rPr>
              <w:t>.</w:t>
            </w:r>
            <w:r>
              <w:rPr>
                <w:rFonts w:cs="Times New Roman"/>
                <w:szCs w:val="18"/>
                <w:lang w:eastAsia="en-US"/>
              </w:rPr>
              <w:t>1</w:t>
            </w:r>
          </w:p>
        </w:tc>
        <w:tc>
          <w:tcPr>
            <w:tcW w:w="1134"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91</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2</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0+710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247</w:t>
            </w:r>
          </w:p>
        </w:tc>
        <w:tc>
          <w:tcPr>
            <w:tcW w:w="851"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82</w:t>
            </w:r>
          </w:p>
        </w:tc>
        <w:tc>
          <w:tcPr>
            <w:tcW w:w="992" w:type="dxa"/>
            <w:vAlign w:val="center"/>
          </w:tcPr>
          <w:p>
            <w:pPr>
              <w:pStyle w:val="139"/>
              <w:spacing w:line="240" w:lineRule="auto"/>
              <w:rPr>
                <w:rFonts w:cs="Times New Roman"/>
                <w:szCs w:val="18"/>
                <w:lang w:eastAsia="en-US"/>
              </w:rPr>
            </w:pPr>
            <w:r>
              <w:rPr>
                <w:rFonts w:cs="Times New Roman"/>
                <w:szCs w:val="18"/>
                <w:lang w:eastAsia="en-US"/>
              </w:rPr>
              <w:t>258</w:t>
            </w:r>
            <w:r>
              <w:rPr>
                <w:rFonts w:cs="Times New Roman"/>
                <w:szCs w:val="18"/>
              </w:rPr>
              <w:t>.</w:t>
            </w:r>
            <w:r>
              <w:rPr>
                <w:rFonts w:cs="Times New Roman"/>
                <w:szCs w:val="18"/>
                <w:lang w:eastAsia="en-US"/>
              </w:rPr>
              <w:t>5</w:t>
            </w:r>
          </w:p>
        </w:tc>
        <w:tc>
          <w:tcPr>
            <w:tcW w:w="1134" w:type="dxa"/>
            <w:vAlign w:val="center"/>
          </w:tcPr>
          <w:p>
            <w:pPr>
              <w:pStyle w:val="139"/>
              <w:spacing w:line="240" w:lineRule="auto"/>
              <w:rPr>
                <w:rFonts w:cs="Times New Roman"/>
                <w:szCs w:val="18"/>
                <w:lang w:eastAsia="en-US"/>
              </w:rPr>
            </w:pPr>
            <w:r>
              <w:rPr>
                <w:rFonts w:cs="Times New Roman"/>
                <w:szCs w:val="18"/>
                <w:lang w:eastAsia="en-US"/>
              </w:rPr>
              <w:t>3</w:t>
            </w:r>
            <w:r>
              <w:rPr>
                <w:rFonts w:cs="Times New Roman"/>
                <w:szCs w:val="18"/>
              </w:rPr>
              <w:t>.</w:t>
            </w:r>
            <w:r>
              <w:rPr>
                <w:rFonts w:cs="Times New Roman"/>
                <w:szCs w:val="18"/>
                <w:lang w:eastAsia="en-US"/>
              </w:rPr>
              <w:t>19</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3</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2+220</w:t>
            </w:r>
          </w:p>
        </w:tc>
        <w:tc>
          <w:tcPr>
            <w:tcW w:w="992"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360</w:t>
            </w:r>
          </w:p>
        </w:tc>
        <w:tc>
          <w:tcPr>
            <w:tcW w:w="851" w:type="dxa"/>
            <w:vAlign w:val="center"/>
          </w:tcPr>
          <w:p>
            <w:pPr>
              <w:pStyle w:val="139"/>
              <w:spacing w:line="240" w:lineRule="auto"/>
              <w:rPr>
                <w:rFonts w:cs="Times New Roman"/>
                <w:szCs w:val="18"/>
                <w:lang w:eastAsia="en-US"/>
              </w:rPr>
            </w:pPr>
            <w:r>
              <w:rPr>
                <w:rFonts w:cs="Times New Roman"/>
                <w:szCs w:val="18"/>
                <w:lang w:eastAsia="en-US"/>
              </w:rPr>
              <w:t>2</w:t>
            </w:r>
            <w:r>
              <w:rPr>
                <w:rFonts w:cs="Times New Roman"/>
                <w:szCs w:val="18"/>
              </w:rPr>
              <w:t>.</w:t>
            </w:r>
            <w:r>
              <w:rPr>
                <w:rFonts w:cs="Times New Roman"/>
                <w:szCs w:val="18"/>
                <w:lang w:eastAsia="en-US"/>
              </w:rPr>
              <w:t>51</w:t>
            </w:r>
          </w:p>
        </w:tc>
        <w:tc>
          <w:tcPr>
            <w:tcW w:w="992" w:type="dxa"/>
            <w:vAlign w:val="center"/>
          </w:tcPr>
          <w:p>
            <w:pPr>
              <w:pStyle w:val="139"/>
              <w:spacing w:line="240" w:lineRule="auto"/>
              <w:rPr>
                <w:rFonts w:cs="Times New Roman"/>
                <w:szCs w:val="18"/>
                <w:lang w:eastAsia="en-US"/>
              </w:rPr>
            </w:pPr>
            <w:r>
              <w:rPr>
                <w:rFonts w:cs="Times New Roman"/>
                <w:szCs w:val="18"/>
                <w:lang w:eastAsia="en-US"/>
              </w:rPr>
              <w:t>199</w:t>
            </w:r>
            <w:r>
              <w:rPr>
                <w:rFonts w:cs="Times New Roman"/>
                <w:szCs w:val="18"/>
              </w:rPr>
              <w:t>.</w:t>
            </w:r>
            <w:r>
              <w:rPr>
                <w:rFonts w:cs="Times New Roman"/>
                <w:szCs w:val="18"/>
                <w:lang w:eastAsia="en-US"/>
              </w:rPr>
              <w:t>1</w:t>
            </w:r>
          </w:p>
        </w:tc>
        <w:tc>
          <w:tcPr>
            <w:tcW w:w="1134" w:type="dxa"/>
            <w:vAlign w:val="center"/>
          </w:tcPr>
          <w:p>
            <w:pPr>
              <w:pStyle w:val="139"/>
              <w:spacing w:line="240" w:lineRule="auto"/>
              <w:rPr>
                <w:rFonts w:cs="Times New Roman"/>
                <w:szCs w:val="18"/>
                <w:lang w:eastAsia="en-US"/>
              </w:rPr>
            </w:pPr>
            <w:r>
              <w:rPr>
                <w:rFonts w:cs="Times New Roman"/>
                <w:szCs w:val="18"/>
                <w:lang w:eastAsia="en-US"/>
              </w:rPr>
              <w:t>18</w:t>
            </w:r>
            <w:r>
              <w:rPr>
                <w:rFonts w:cs="Times New Roman"/>
                <w:szCs w:val="18"/>
              </w:rPr>
              <w:t>.</w:t>
            </w:r>
            <w:r>
              <w:rPr>
                <w:rFonts w:cs="Times New Roman"/>
                <w:szCs w:val="18"/>
                <w:lang w:eastAsia="en-US"/>
              </w:rPr>
              <w:t>5</w:t>
            </w:r>
          </w:p>
        </w:tc>
        <w:tc>
          <w:tcPr>
            <w:tcW w:w="1134" w:type="dxa"/>
            <w:vAlign w:val="center"/>
          </w:tcPr>
          <w:p>
            <w:pPr>
              <w:pStyle w:val="139"/>
              <w:spacing w:line="240" w:lineRule="auto"/>
              <w:rPr>
                <w:rFonts w:cs="Times New Roman"/>
                <w:szCs w:val="18"/>
              </w:rPr>
            </w:pPr>
            <w:r>
              <w:rPr>
                <w:rFonts w:cs="Times New Roman"/>
                <w:szCs w:val="18"/>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4</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2+540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155</w:t>
            </w:r>
          </w:p>
        </w:tc>
        <w:tc>
          <w:tcPr>
            <w:tcW w:w="851"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07</w:t>
            </w:r>
          </w:p>
        </w:tc>
        <w:tc>
          <w:tcPr>
            <w:tcW w:w="992" w:type="dxa"/>
            <w:vAlign w:val="center"/>
          </w:tcPr>
          <w:p>
            <w:pPr>
              <w:pStyle w:val="139"/>
              <w:spacing w:line="240" w:lineRule="auto"/>
              <w:rPr>
                <w:rFonts w:cs="Times New Roman"/>
                <w:szCs w:val="18"/>
                <w:lang w:eastAsia="en-US"/>
              </w:rPr>
            </w:pPr>
            <w:r>
              <w:rPr>
                <w:rFonts w:cs="Times New Roman"/>
                <w:szCs w:val="18"/>
                <w:lang w:eastAsia="en-US"/>
              </w:rPr>
              <w:t>205</w:t>
            </w:r>
            <w:r>
              <w:rPr>
                <w:rFonts w:cs="Times New Roman"/>
                <w:szCs w:val="18"/>
              </w:rPr>
              <w:t>.</w:t>
            </w:r>
            <w:r>
              <w:rPr>
                <w:rFonts w:cs="Times New Roman"/>
                <w:szCs w:val="18"/>
                <w:lang w:eastAsia="en-US"/>
              </w:rPr>
              <w:t>3</w:t>
            </w:r>
          </w:p>
        </w:tc>
        <w:tc>
          <w:tcPr>
            <w:tcW w:w="1134" w:type="dxa"/>
            <w:vAlign w:val="center"/>
          </w:tcPr>
          <w:p>
            <w:pPr>
              <w:pStyle w:val="139"/>
              <w:spacing w:line="240" w:lineRule="auto"/>
              <w:rPr>
                <w:rFonts w:cs="Times New Roman"/>
                <w:szCs w:val="18"/>
                <w:lang w:eastAsia="en-US"/>
              </w:rPr>
            </w:pPr>
            <w:r>
              <w:rPr>
                <w:rFonts w:cs="Times New Roman"/>
                <w:szCs w:val="18"/>
                <w:lang w:eastAsia="en-US"/>
              </w:rPr>
              <w:t>2</w:t>
            </w:r>
            <w:r>
              <w:rPr>
                <w:rFonts w:cs="Times New Roman"/>
                <w:szCs w:val="18"/>
              </w:rPr>
              <w:t>.</w:t>
            </w:r>
            <w:r>
              <w:rPr>
                <w:rFonts w:cs="Times New Roman"/>
                <w:szCs w:val="18"/>
                <w:lang w:eastAsia="en-US"/>
              </w:rPr>
              <w:t>43</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5</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2+710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301</w:t>
            </w:r>
          </w:p>
        </w:tc>
        <w:tc>
          <w:tcPr>
            <w:tcW w:w="851"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01</w:t>
            </w:r>
          </w:p>
        </w:tc>
        <w:tc>
          <w:tcPr>
            <w:tcW w:w="992" w:type="dxa"/>
            <w:vAlign w:val="center"/>
          </w:tcPr>
          <w:p>
            <w:pPr>
              <w:pStyle w:val="139"/>
              <w:spacing w:line="240" w:lineRule="auto"/>
              <w:rPr>
                <w:rFonts w:cs="Times New Roman"/>
                <w:szCs w:val="18"/>
                <w:lang w:eastAsia="en-US"/>
              </w:rPr>
            </w:pPr>
            <w:r>
              <w:rPr>
                <w:rFonts w:cs="Times New Roman"/>
                <w:szCs w:val="18"/>
                <w:lang w:eastAsia="en-US"/>
              </w:rPr>
              <w:t>237</w:t>
            </w:r>
            <w:r>
              <w:rPr>
                <w:rFonts w:cs="Times New Roman"/>
                <w:szCs w:val="18"/>
              </w:rPr>
              <w:t>.</w:t>
            </w:r>
            <w:r>
              <w:rPr>
                <w:rFonts w:cs="Times New Roman"/>
                <w:szCs w:val="18"/>
                <w:lang w:eastAsia="en-US"/>
              </w:rPr>
              <w:t>5</w:t>
            </w:r>
          </w:p>
        </w:tc>
        <w:tc>
          <w:tcPr>
            <w:tcW w:w="1134" w:type="dxa"/>
            <w:vAlign w:val="center"/>
          </w:tcPr>
          <w:p>
            <w:pPr>
              <w:pStyle w:val="139"/>
              <w:spacing w:line="240" w:lineRule="auto"/>
              <w:rPr>
                <w:rFonts w:cs="Times New Roman"/>
                <w:szCs w:val="18"/>
                <w:lang w:eastAsia="en-US"/>
              </w:rPr>
            </w:pPr>
            <w:r>
              <w:rPr>
                <w:rFonts w:cs="Times New Roman"/>
                <w:szCs w:val="18"/>
                <w:lang w:eastAsia="en-US"/>
              </w:rPr>
              <w:t>5</w:t>
            </w:r>
            <w:r>
              <w:rPr>
                <w:rFonts w:cs="Times New Roman"/>
                <w:szCs w:val="18"/>
              </w:rPr>
              <w:t>.</w:t>
            </w:r>
            <w:r>
              <w:rPr>
                <w:rFonts w:cs="Times New Roman"/>
                <w:szCs w:val="18"/>
                <w:lang w:eastAsia="en-US"/>
              </w:rPr>
              <w:t>43</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6</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3+100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073</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620</w:t>
            </w:r>
          </w:p>
        </w:tc>
        <w:tc>
          <w:tcPr>
            <w:tcW w:w="992" w:type="dxa"/>
            <w:vAlign w:val="center"/>
          </w:tcPr>
          <w:p>
            <w:pPr>
              <w:pStyle w:val="139"/>
              <w:spacing w:line="240" w:lineRule="auto"/>
              <w:rPr>
                <w:rFonts w:cs="Times New Roman"/>
                <w:szCs w:val="18"/>
                <w:lang w:eastAsia="en-US"/>
              </w:rPr>
            </w:pPr>
            <w:r>
              <w:rPr>
                <w:rFonts w:cs="Times New Roman"/>
                <w:szCs w:val="18"/>
                <w:lang w:eastAsia="en-US"/>
              </w:rPr>
              <w:t>191</w:t>
            </w:r>
            <w:r>
              <w:rPr>
                <w:rFonts w:cs="Times New Roman"/>
                <w:szCs w:val="18"/>
              </w:rPr>
              <w:t>.</w:t>
            </w:r>
            <w:r>
              <w:rPr>
                <w:rFonts w:cs="Times New Roman"/>
                <w:szCs w:val="18"/>
                <w:lang w:eastAsia="en-US"/>
              </w:rPr>
              <w:t>6</w:t>
            </w:r>
          </w:p>
        </w:tc>
        <w:tc>
          <w:tcPr>
            <w:tcW w:w="1134"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31</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7</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3+275</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087</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730</w:t>
            </w:r>
          </w:p>
        </w:tc>
        <w:tc>
          <w:tcPr>
            <w:tcW w:w="992" w:type="dxa"/>
            <w:vAlign w:val="center"/>
          </w:tcPr>
          <w:p>
            <w:pPr>
              <w:pStyle w:val="139"/>
              <w:spacing w:line="240" w:lineRule="auto"/>
              <w:rPr>
                <w:rFonts w:cs="Times New Roman"/>
                <w:szCs w:val="18"/>
                <w:lang w:eastAsia="en-US"/>
              </w:rPr>
            </w:pPr>
            <w:r>
              <w:rPr>
                <w:rFonts w:cs="Times New Roman"/>
                <w:szCs w:val="18"/>
                <w:lang w:eastAsia="en-US"/>
              </w:rPr>
              <w:t>186</w:t>
            </w:r>
            <w:r>
              <w:rPr>
                <w:rFonts w:cs="Times New Roman"/>
                <w:szCs w:val="18"/>
              </w:rPr>
              <w:t>.</w:t>
            </w:r>
            <w:r>
              <w:rPr>
                <w:rFonts w:cs="Times New Roman"/>
                <w:szCs w:val="18"/>
                <w:lang w:eastAsia="en-US"/>
              </w:rPr>
              <w:t>2</w:t>
            </w:r>
          </w:p>
        </w:tc>
        <w:tc>
          <w:tcPr>
            <w:tcW w:w="1134"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48</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8</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3+550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055</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380</w:t>
            </w:r>
          </w:p>
        </w:tc>
        <w:tc>
          <w:tcPr>
            <w:tcW w:w="992" w:type="dxa"/>
            <w:vAlign w:val="center"/>
          </w:tcPr>
          <w:p>
            <w:pPr>
              <w:pStyle w:val="139"/>
              <w:spacing w:line="240" w:lineRule="auto"/>
              <w:rPr>
                <w:rFonts w:cs="Times New Roman"/>
                <w:szCs w:val="18"/>
                <w:lang w:eastAsia="en-US"/>
              </w:rPr>
            </w:pPr>
            <w:r>
              <w:rPr>
                <w:rFonts w:cs="Times New Roman"/>
                <w:szCs w:val="18"/>
                <w:lang w:eastAsia="en-US"/>
              </w:rPr>
              <w:t>216</w:t>
            </w:r>
            <w:r>
              <w:rPr>
                <w:rFonts w:cs="Times New Roman"/>
                <w:szCs w:val="18"/>
              </w:rPr>
              <w:t>.</w:t>
            </w:r>
            <w:r>
              <w:rPr>
                <w:rFonts w:cs="Times New Roman"/>
                <w:szCs w:val="18"/>
                <w:lang w:eastAsia="en-US"/>
              </w:rPr>
              <w:t>8</w:t>
            </w:r>
          </w:p>
        </w:tc>
        <w:tc>
          <w:tcPr>
            <w:tcW w:w="1134"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20</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9</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3+742</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026</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320</w:t>
            </w:r>
          </w:p>
        </w:tc>
        <w:tc>
          <w:tcPr>
            <w:tcW w:w="992" w:type="dxa"/>
            <w:vAlign w:val="center"/>
          </w:tcPr>
          <w:p>
            <w:pPr>
              <w:pStyle w:val="139"/>
              <w:spacing w:line="240" w:lineRule="auto"/>
              <w:rPr>
                <w:rFonts w:cs="Times New Roman"/>
                <w:szCs w:val="18"/>
                <w:lang w:eastAsia="en-US"/>
              </w:rPr>
            </w:pPr>
            <w:r>
              <w:rPr>
                <w:rFonts w:cs="Times New Roman"/>
                <w:szCs w:val="18"/>
                <w:lang w:eastAsia="en-US"/>
              </w:rPr>
              <w:t>224</w:t>
            </w:r>
            <w:r>
              <w:rPr>
                <w:rFonts w:cs="Times New Roman"/>
                <w:szCs w:val="18"/>
              </w:rPr>
              <w:t>.</w:t>
            </w:r>
            <w:r>
              <w:rPr>
                <w:rFonts w:cs="Times New Roman"/>
                <w:szCs w:val="18"/>
                <w:lang w:eastAsia="en-US"/>
              </w:rPr>
              <w:t>3</w:t>
            </w:r>
          </w:p>
        </w:tc>
        <w:tc>
          <w:tcPr>
            <w:tcW w:w="1134"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557</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10</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4+060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044</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410</w:t>
            </w:r>
          </w:p>
        </w:tc>
        <w:tc>
          <w:tcPr>
            <w:tcW w:w="992" w:type="dxa"/>
            <w:vAlign w:val="center"/>
          </w:tcPr>
          <w:p>
            <w:pPr>
              <w:pStyle w:val="139"/>
              <w:spacing w:line="240" w:lineRule="auto"/>
              <w:rPr>
                <w:rFonts w:cs="Times New Roman"/>
                <w:szCs w:val="18"/>
                <w:lang w:eastAsia="en-US"/>
              </w:rPr>
            </w:pPr>
            <w:r>
              <w:rPr>
                <w:rFonts w:cs="Times New Roman"/>
                <w:szCs w:val="18"/>
                <w:lang w:eastAsia="en-US"/>
              </w:rPr>
              <w:t>229</w:t>
            </w:r>
            <w:r>
              <w:rPr>
                <w:rFonts w:cs="Times New Roman"/>
                <w:szCs w:val="18"/>
              </w:rPr>
              <w:t>.</w:t>
            </w:r>
            <w:r>
              <w:rPr>
                <w:rFonts w:cs="Times New Roman"/>
                <w:szCs w:val="18"/>
                <w:lang w:eastAsia="en-US"/>
              </w:rPr>
              <w:t>9</w:t>
            </w:r>
          </w:p>
        </w:tc>
        <w:tc>
          <w:tcPr>
            <w:tcW w:w="1134"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911</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vAlign w:val="center"/>
          </w:tcPr>
          <w:p>
            <w:pPr>
              <w:pStyle w:val="139"/>
              <w:spacing w:line="240" w:lineRule="auto"/>
              <w:rPr>
                <w:rFonts w:cs="Times New Roman"/>
                <w:szCs w:val="18"/>
                <w:lang w:eastAsia="en-US"/>
              </w:rPr>
            </w:pPr>
            <w:r>
              <w:rPr>
                <w:rFonts w:cs="Times New Roman"/>
                <w:szCs w:val="18"/>
                <w:lang w:eastAsia="en-US"/>
              </w:rPr>
              <w:t>11</w:t>
            </w:r>
          </w:p>
        </w:tc>
        <w:tc>
          <w:tcPr>
            <w:tcW w:w="992" w:type="dxa"/>
            <w:vMerge w:val="continue"/>
            <w:vAlign w:val="center"/>
          </w:tcPr>
          <w:p>
            <w:pPr>
              <w:pStyle w:val="139"/>
              <w:spacing w:line="240" w:lineRule="auto"/>
              <w:rPr>
                <w:rFonts w:cs="Times New Roman"/>
                <w:szCs w:val="18"/>
                <w:lang w:eastAsia="en-US"/>
              </w:rPr>
            </w:pPr>
          </w:p>
        </w:tc>
        <w:tc>
          <w:tcPr>
            <w:tcW w:w="851" w:type="dxa"/>
            <w:vAlign w:val="center"/>
          </w:tcPr>
          <w:p>
            <w:pPr>
              <w:pStyle w:val="139"/>
              <w:spacing w:line="240" w:lineRule="auto"/>
              <w:rPr>
                <w:rFonts w:cs="Times New Roman"/>
                <w:szCs w:val="18"/>
                <w:lang w:eastAsia="en-US"/>
              </w:rPr>
            </w:pPr>
            <w:r>
              <w:rPr>
                <w:rFonts w:cs="Times New Roman"/>
                <w:szCs w:val="18"/>
                <w:lang w:eastAsia="en-US"/>
              </w:rPr>
              <w:t>支沟</w:t>
            </w:r>
          </w:p>
        </w:tc>
        <w:tc>
          <w:tcPr>
            <w:tcW w:w="992" w:type="dxa"/>
            <w:vAlign w:val="center"/>
          </w:tcPr>
          <w:p>
            <w:pPr>
              <w:pStyle w:val="139"/>
              <w:spacing w:line="240" w:lineRule="auto"/>
              <w:rPr>
                <w:rFonts w:cs="Times New Roman"/>
                <w:szCs w:val="18"/>
                <w:lang w:eastAsia="en-US"/>
              </w:rPr>
            </w:pPr>
            <w:r>
              <w:rPr>
                <w:rFonts w:cs="Times New Roman"/>
                <w:szCs w:val="18"/>
                <w:lang w:eastAsia="en-US"/>
              </w:rPr>
              <w:t>4+160</w:t>
            </w:r>
          </w:p>
        </w:tc>
        <w:tc>
          <w:tcPr>
            <w:tcW w:w="992"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046</w:t>
            </w:r>
          </w:p>
        </w:tc>
        <w:tc>
          <w:tcPr>
            <w:tcW w:w="851" w:type="dxa"/>
            <w:vAlign w:val="center"/>
          </w:tcPr>
          <w:p>
            <w:pPr>
              <w:pStyle w:val="139"/>
              <w:spacing w:line="240" w:lineRule="auto"/>
              <w:rPr>
                <w:rFonts w:cs="Times New Roman"/>
                <w:szCs w:val="18"/>
                <w:lang w:eastAsia="en-US"/>
              </w:rPr>
            </w:pPr>
            <w:r>
              <w:rPr>
                <w:rFonts w:cs="Times New Roman"/>
                <w:szCs w:val="18"/>
                <w:lang w:eastAsia="en-US"/>
              </w:rPr>
              <w:t>0</w:t>
            </w:r>
            <w:r>
              <w:rPr>
                <w:rFonts w:cs="Times New Roman"/>
                <w:szCs w:val="18"/>
              </w:rPr>
              <w:t>.</w:t>
            </w:r>
            <w:r>
              <w:rPr>
                <w:rFonts w:cs="Times New Roman"/>
                <w:szCs w:val="18"/>
                <w:lang w:eastAsia="en-US"/>
              </w:rPr>
              <w:t>380</w:t>
            </w:r>
          </w:p>
        </w:tc>
        <w:tc>
          <w:tcPr>
            <w:tcW w:w="992" w:type="dxa"/>
            <w:vAlign w:val="center"/>
          </w:tcPr>
          <w:p>
            <w:pPr>
              <w:pStyle w:val="139"/>
              <w:spacing w:line="240" w:lineRule="auto"/>
              <w:rPr>
                <w:rFonts w:cs="Times New Roman"/>
                <w:szCs w:val="18"/>
                <w:lang w:eastAsia="en-US"/>
              </w:rPr>
            </w:pPr>
            <w:r>
              <w:rPr>
                <w:rFonts w:cs="Times New Roman"/>
                <w:szCs w:val="18"/>
                <w:lang w:eastAsia="en-US"/>
              </w:rPr>
              <w:t>253</w:t>
            </w:r>
            <w:r>
              <w:rPr>
                <w:rFonts w:cs="Times New Roman"/>
                <w:szCs w:val="18"/>
              </w:rPr>
              <w:t>.</w:t>
            </w:r>
            <w:r>
              <w:rPr>
                <w:rFonts w:cs="Times New Roman"/>
                <w:szCs w:val="18"/>
                <w:lang w:eastAsia="en-US"/>
              </w:rPr>
              <w:t>1</w:t>
            </w:r>
          </w:p>
        </w:tc>
        <w:tc>
          <w:tcPr>
            <w:tcW w:w="1134" w:type="dxa"/>
            <w:vAlign w:val="center"/>
          </w:tcPr>
          <w:p>
            <w:pPr>
              <w:pStyle w:val="139"/>
              <w:spacing w:line="240" w:lineRule="auto"/>
              <w:rPr>
                <w:rFonts w:cs="Times New Roman"/>
                <w:szCs w:val="18"/>
                <w:lang w:eastAsia="en-US"/>
              </w:rPr>
            </w:pPr>
            <w:r>
              <w:rPr>
                <w:rFonts w:cs="Times New Roman"/>
                <w:szCs w:val="18"/>
                <w:lang w:eastAsia="en-US"/>
              </w:rPr>
              <w:t>1</w:t>
            </w:r>
            <w:r>
              <w:rPr>
                <w:rFonts w:cs="Times New Roman"/>
                <w:szCs w:val="18"/>
              </w:rPr>
              <w:t>.</w:t>
            </w:r>
            <w:r>
              <w:rPr>
                <w:rFonts w:cs="Times New Roman"/>
                <w:szCs w:val="18"/>
                <w:lang w:eastAsia="en-US"/>
              </w:rPr>
              <w:t>00</w:t>
            </w:r>
          </w:p>
        </w:tc>
        <w:tc>
          <w:tcPr>
            <w:tcW w:w="1134" w:type="dxa"/>
            <w:vAlign w:val="center"/>
          </w:tcPr>
          <w:p>
            <w:pPr>
              <w:pStyle w:val="139"/>
              <w:spacing w:line="240" w:lineRule="auto"/>
              <w:rPr>
                <w:rFonts w:cs="Times New Roman"/>
                <w:szCs w:val="18"/>
                <w:lang w:eastAsia="en-US"/>
              </w:rPr>
            </w:pPr>
            <w:r>
              <w:rPr>
                <w:rFonts w:cs="Times New Roman"/>
                <w:szCs w:val="18"/>
                <w:lang w:eastAsia="en-US"/>
              </w:rPr>
              <w:t>山溪渡槽</w:t>
            </w:r>
          </w:p>
        </w:tc>
      </w:tr>
    </w:tbl>
    <w:p>
      <w:pPr>
        <w:pStyle w:val="65"/>
        <w:spacing w:line="360" w:lineRule="auto"/>
        <w:ind w:firstLine="480"/>
        <w:contextualSpacing/>
      </w:pPr>
    </w:p>
    <w:p>
      <w:pPr>
        <w:pStyle w:val="5"/>
        <w:ind w:firstLine="0" w:firstLineChars="0"/>
        <w:contextualSpacing/>
        <w:rPr>
          <w:rFonts w:ascii="Times New Roman" w:hAnsi="Times New Roman"/>
        </w:rPr>
      </w:pPr>
      <w:r>
        <w:rPr>
          <w:rFonts w:ascii="Times New Roman" w:hAnsi="Times New Roman"/>
        </w:rPr>
        <w:t>4.3.3泥沙</w:t>
      </w:r>
    </w:p>
    <w:p>
      <w:pPr>
        <w:ind w:firstLine="480"/>
        <w:contextualSpacing/>
        <w:rPr>
          <w:kern w:val="144"/>
        </w:rPr>
      </w:pPr>
      <w:r>
        <w:rPr>
          <w:kern w:val="144"/>
        </w:rPr>
        <w:t>设计流域无实测泥沙资料，本次计算采用查等值线图法推算坝线以上泥沙。根据《四川省水文手册》多年平均悬移质输沙模数</w:t>
      </w:r>
      <w:r>
        <w:t>等值线图</w:t>
      </w:r>
      <w:r>
        <w:rPr>
          <w:kern w:val="144"/>
        </w:rPr>
        <w:t>，查得本流域多年平均悬移质输沙模数，推移质沙量采用占悬移质泥沙比例系数法推求。本流域属大巴山区，河流属山溪性河流，河床比降大，并经现场调查了解，根据《四川省水文手册》，本工程选择采用悬移质沙量的15%为推移质沙量。泥沙计算成果见表2.7.2-1。</w:t>
      </w:r>
    </w:p>
    <w:p>
      <w:pPr>
        <w:ind w:firstLine="0" w:firstLineChars="0"/>
        <w:contextualSpacing/>
        <w:jc w:val="center"/>
        <w:rPr>
          <w:b/>
          <w:bCs/>
          <w:sz w:val="21"/>
          <w:szCs w:val="21"/>
        </w:rPr>
      </w:pPr>
      <w:r>
        <w:rPr>
          <w:b/>
          <w:bCs/>
          <w:sz w:val="21"/>
          <w:szCs w:val="21"/>
        </w:rPr>
        <w:t>表4.3.3-1  寒溪寺水库（上坝线）入库泥沙特征值表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3"/>
        <w:gridCol w:w="3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项   目</w:t>
            </w:r>
          </w:p>
        </w:tc>
        <w:tc>
          <w:tcPr>
            <w:tcW w:w="1792" w:type="pct"/>
            <w:vAlign w:val="center"/>
          </w:tcPr>
          <w:p>
            <w:pPr>
              <w:pStyle w:val="139"/>
              <w:spacing w:line="240" w:lineRule="auto"/>
              <w:rPr>
                <w:rFonts w:cs="Times New Roman"/>
                <w:szCs w:val="18"/>
              </w:rPr>
            </w:pPr>
            <w:r>
              <w:rPr>
                <w:rFonts w:cs="Times New Roman"/>
                <w:szCs w:val="18"/>
              </w:rPr>
              <w:t>寒溪寺水库坝线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多年平均流量（m</w:t>
            </w:r>
            <w:r>
              <w:rPr>
                <w:rFonts w:cs="Times New Roman"/>
                <w:szCs w:val="18"/>
                <w:vertAlign w:val="superscript"/>
              </w:rPr>
              <w:t>3</w:t>
            </w:r>
            <w:r>
              <w:rPr>
                <w:rFonts w:cs="Times New Roman"/>
                <w:szCs w:val="18"/>
              </w:rPr>
              <w:t>/s）</w:t>
            </w:r>
          </w:p>
        </w:tc>
        <w:tc>
          <w:tcPr>
            <w:tcW w:w="1792" w:type="pct"/>
            <w:vAlign w:val="center"/>
          </w:tcPr>
          <w:p>
            <w:pPr>
              <w:pStyle w:val="139"/>
              <w:spacing w:line="240" w:lineRule="auto"/>
              <w:rPr>
                <w:rFonts w:cs="Times New Roman"/>
                <w:szCs w:val="18"/>
              </w:rPr>
            </w:pPr>
            <w:r>
              <w:rPr>
                <w:rFonts w:cs="Times New Roman"/>
                <w:szCs w:val="18"/>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坝线处控制流域面积（km</w:t>
            </w:r>
            <w:r>
              <w:rPr>
                <w:rFonts w:cs="Times New Roman"/>
                <w:szCs w:val="18"/>
                <w:vertAlign w:val="superscript"/>
              </w:rPr>
              <w:t>2</w:t>
            </w:r>
            <w:r>
              <w:rPr>
                <w:rFonts w:cs="Times New Roman"/>
                <w:szCs w:val="18"/>
              </w:rPr>
              <w:t>）</w:t>
            </w:r>
          </w:p>
        </w:tc>
        <w:tc>
          <w:tcPr>
            <w:tcW w:w="1792" w:type="pct"/>
            <w:vAlign w:val="center"/>
          </w:tcPr>
          <w:p>
            <w:pPr>
              <w:pStyle w:val="139"/>
              <w:spacing w:line="240" w:lineRule="auto"/>
              <w:rPr>
                <w:rFonts w:cs="Times New Roman"/>
                <w:szCs w:val="18"/>
              </w:rPr>
            </w:pPr>
            <w:r>
              <w:rPr>
                <w:rFonts w:cs="Times New Roman"/>
                <w:szCs w:val="18"/>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多年平均输沙模数（t/km</w:t>
            </w:r>
            <w:r>
              <w:rPr>
                <w:rFonts w:cs="Times New Roman"/>
                <w:szCs w:val="18"/>
                <w:vertAlign w:val="superscript"/>
              </w:rPr>
              <w:t>2</w:t>
            </w:r>
            <w:r>
              <w:rPr>
                <w:rFonts w:cs="Times New Roman"/>
                <w:szCs w:val="18"/>
              </w:rPr>
              <w:t>）</w:t>
            </w:r>
          </w:p>
        </w:tc>
        <w:tc>
          <w:tcPr>
            <w:tcW w:w="1792" w:type="pct"/>
            <w:vAlign w:val="center"/>
          </w:tcPr>
          <w:p>
            <w:pPr>
              <w:pStyle w:val="139"/>
              <w:spacing w:line="240" w:lineRule="auto"/>
              <w:rPr>
                <w:rFonts w:cs="Times New Roman"/>
                <w:szCs w:val="18"/>
              </w:rPr>
            </w:pPr>
            <w:r>
              <w:rPr>
                <w:rFonts w:cs="Times New Roman"/>
                <w:szCs w:val="18"/>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多年平均悬移质输沙量（t）</w:t>
            </w:r>
          </w:p>
        </w:tc>
        <w:tc>
          <w:tcPr>
            <w:tcW w:w="1792" w:type="pct"/>
            <w:vAlign w:val="center"/>
          </w:tcPr>
          <w:p>
            <w:pPr>
              <w:pStyle w:val="139"/>
              <w:spacing w:line="240" w:lineRule="auto"/>
              <w:rPr>
                <w:rFonts w:cs="Times New Roman"/>
                <w:szCs w:val="18"/>
              </w:rPr>
            </w:pPr>
            <w:r>
              <w:rPr>
                <w:rFonts w:cs="Times New Roman"/>
                <w:szCs w:val="18"/>
              </w:rPr>
              <w:t>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多年平均悬移质输沙率（kg/s）</w:t>
            </w:r>
          </w:p>
        </w:tc>
        <w:tc>
          <w:tcPr>
            <w:tcW w:w="1792" w:type="pct"/>
            <w:vAlign w:val="center"/>
          </w:tcPr>
          <w:p>
            <w:pPr>
              <w:pStyle w:val="139"/>
              <w:spacing w:line="240" w:lineRule="auto"/>
              <w:rPr>
                <w:rFonts w:cs="Times New Roman"/>
                <w:szCs w:val="18"/>
              </w:rPr>
            </w:pPr>
            <w:r>
              <w:rPr>
                <w:rFonts w:cs="Times New Roman"/>
                <w:szCs w:val="18"/>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多年平均悬移质含沙量（kg/m</w:t>
            </w:r>
            <w:r>
              <w:rPr>
                <w:rFonts w:cs="Times New Roman"/>
                <w:szCs w:val="18"/>
                <w:vertAlign w:val="superscript"/>
              </w:rPr>
              <w:t>3</w:t>
            </w:r>
            <w:r>
              <w:rPr>
                <w:rFonts w:cs="Times New Roman"/>
                <w:szCs w:val="18"/>
              </w:rPr>
              <w:t>）</w:t>
            </w:r>
          </w:p>
        </w:tc>
        <w:tc>
          <w:tcPr>
            <w:tcW w:w="1792" w:type="pct"/>
            <w:vAlign w:val="center"/>
          </w:tcPr>
          <w:p>
            <w:pPr>
              <w:pStyle w:val="139"/>
              <w:spacing w:line="240" w:lineRule="auto"/>
              <w:rPr>
                <w:rFonts w:cs="Times New Roman"/>
                <w:szCs w:val="18"/>
              </w:rPr>
            </w:pPr>
            <w:r>
              <w:rPr>
                <w:rFonts w:cs="Times New Roman"/>
                <w:szCs w:val="18"/>
              </w:rPr>
              <w:t>0.618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多年平均推移质输沙量（t）</w:t>
            </w:r>
          </w:p>
        </w:tc>
        <w:tc>
          <w:tcPr>
            <w:tcW w:w="1792" w:type="pct"/>
            <w:vAlign w:val="center"/>
          </w:tcPr>
          <w:p>
            <w:pPr>
              <w:pStyle w:val="139"/>
              <w:spacing w:line="240" w:lineRule="auto"/>
              <w:rPr>
                <w:rFonts w:cs="Times New Roman"/>
                <w:szCs w:val="18"/>
              </w:rPr>
            </w:pPr>
            <w:r>
              <w:rPr>
                <w:rFonts w:cs="Times New Roman"/>
                <w:szCs w:val="18"/>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8" w:type="pct"/>
            <w:vAlign w:val="center"/>
          </w:tcPr>
          <w:p>
            <w:pPr>
              <w:pStyle w:val="139"/>
              <w:spacing w:line="240" w:lineRule="auto"/>
              <w:rPr>
                <w:rFonts w:cs="Times New Roman"/>
                <w:szCs w:val="18"/>
              </w:rPr>
            </w:pPr>
            <w:r>
              <w:rPr>
                <w:rFonts w:cs="Times New Roman"/>
                <w:szCs w:val="18"/>
              </w:rPr>
              <w:t>多年平均入库泥沙总量（t）</w:t>
            </w:r>
          </w:p>
        </w:tc>
        <w:tc>
          <w:tcPr>
            <w:tcW w:w="1792" w:type="pct"/>
            <w:vAlign w:val="center"/>
          </w:tcPr>
          <w:p>
            <w:pPr>
              <w:pStyle w:val="139"/>
              <w:spacing w:line="240" w:lineRule="auto"/>
              <w:rPr>
                <w:rFonts w:cs="Times New Roman"/>
                <w:szCs w:val="18"/>
              </w:rPr>
            </w:pPr>
            <w:r>
              <w:rPr>
                <w:rFonts w:cs="Times New Roman"/>
                <w:szCs w:val="18"/>
              </w:rPr>
              <w:t>1979</w:t>
            </w:r>
          </w:p>
        </w:tc>
      </w:tr>
    </w:tbl>
    <w:p>
      <w:pPr>
        <w:pStyle w:val="4"/>
        <w:ind w:firstLine="0" w:firstLineChars="0"/>
        <w:contextualSpacing/>
      </w:pPr>
      <w:bookmarkStart w:id="442" w:name="_Toc130753427"/>
      <w:r>
        <w:t>4.4土壤</w:t>
      </w:r>
      <w:bookmarkEnd w:id="442"/>
    </w:p>
    <w:p>
      <w:pPr>
        <w:pStyle w:val="65"/>
        <w:spacing w:line="360" w:lineRule="auto"/>
        <w:ind w:firstLine="480"/>
        <w:contextualSpacing/>
      </w:pPr>
      <w:r>
        <w:rPr>
          <w:rFonts w:hint="eastAsia"/>
        </w:rPr>
        <w:t>区内土壤共有6个土类、10个亚类、16个土属、36个土种。其中有31个土种是农业土壤，7个土种是森林土。水稻土是全区农业土壤中最大的土类，面积406858亩，占农业土壤的54%;次为紫色土类，面积194108亩，占25.8%;再次为黄棕壤、黄壤、石灰岩土、新积土等4个土类。旱作土壤有5个土类、7个亚类、9个土属、16个土种，其中最大的土类是紫色土类，面积194108亩，占旱地面积的56%。本项目区土壤主要以紫色土和黄壤为主。</w:t>
      </w:r>
    </w:p>
    <w:p>
      <w:pPr>
        <w:ind w:firstLine="480"/>
        <w:contextualSpacing/>
      </w:pPr>
      <w:r>
        <w:rPr>
          <w:rFonts w:hint="eastAsia"/>
        </w:rPr>
        <w:t>根据巴中市土壤类型图及辅以国家土壤信息服务平台的查询结果，本项目工程区域的土壤类型为紫色土。本区域属于亚热带湿润气候，根据巴中市气象站数据，流域范围内多年平均降水量为1304.3mm，多年平均蒸发量为912.8mm,干燥度为0.7，不属于滨海、半湿润和半干旱地区，不属于盐化区。根据巴中市生态环境局于2022年1月12日在其官网上发布的《巴中市生态环境质量报告书（2016-2020年〉》，巴中市土壤pH值为6.5~8.5之间，无酸化或碱化。耕地环境质量较好，土壤颜色未呈现明显蓝灰色，土壤质地构型仍然是松散型，土壤未出现明显潜育化。</w:t>
      </w:r>
    </w:p>
    <w:p>
      <w:pPr>
        <w:pStyle w:val="4"/>
        <w:ind w:firstLine="0" w:firstLineChars="0"/>
        <w:contextualSpacing/>
      </w:pPr>
      <w:bookmarkStart w:id="443" w:name="_Toc130753428"/>
      <w:bookmarkStart w:id="444" w:name="_Toc5451"/>
      <w:bookmarkStart w:id="445" w:name="_Toc792"/>
      <w:bookmarkStart w:id="446" w:name="_Toc18386"/>
      <w:bookmarkStart w:id="447" w:name="_Toc26669"/>
      <w:r>
        <w:t>4.5水环境</w:t>
      </w:r>
      <w:bookmarkEnd w:id="443"/>
    </w:p>
    <w:p>
      <w:pPr>
        <w:pStyle w:val="5"/>
        <w:ind w:firstLine="0" w:firstLineChars="0"/>
        <w:contextualSpacing/>
        <w:rPr>
          <w:rFonts w:ascii="Times New Roman" w:hAnsi="Times New Roman"/>
        </w:rPr>
      </w:pPr>
      <w:r>
        <w:rPr>
          <w:rFonts w:ascii="Times New Roman" w:hAnsi="Times New Roman"/>
        </w:rPr>
        <w:t>4.5.1地表水水质</w:t>
      </w:r>
    </w:p>
    <w:p>
      <w:pPr>
        <w:ind w:firstLine="480"/>
        <w:contextualSpacing/>
        <w:rPr>
          <w:bCs/>
        </w:rPr>
      </w:pPr>
      <w:r>
        <w:rPr>
          <w:bCs/>
        </w:rPr>
        <w:t>（1）监测点位</w:t>
      </w:r>
    </w:p>
    <w:tbl>
      <w:tblPr>
        <w:tblStyle w:val="38"/>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961"/>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检测点位</w:t>
            </w:r>
          </w:p>
        </w:tc>
        <w:tc>
          <w:tcPr>
            <w:tcW w:w="4961"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检测项目</w:t>
            </w:r>
          </w:p>
        </w:tc>
        <w:tc>
          <w:tcPr>
            <w:tcW w:w="1120"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1#：</w:t>
            </w:r>
            <w:r>
              <w:rPr>
                <w:rFonts w:hint="eastAsia" w:ascii="Times New Roman" w:hAnsi="Times New Roman"/>
                <w:sz w:val="21"/>
                <w:szCs w:val="21"/>
              </w:rPr>
              <w:t>库尾</w:t>
            </w:r>
          </w:p>
        </w:tc>
        <w:tc>
          <w:tcPr>
            <w:tcW w:w="4961" w:type="dxa"/>
            <w:vMerge w:val="restart"/>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水温、pH、COD、溶解氧、高锰酸盐指数、五日生化需氧量、氨氮、SS、氟化物、挥发酚、氰化物、六价铬、铜、铅、镉、锌、硫化物、总磷、硒、总神、总汞、总氮、石油类、粪大肠菌群、阴离子表面活性剂、硫酸盐、硝酸盐、氯化物、铁、锰、叶绿素</w:t>
            </w:r>
          </w:p>
        </w:tc>
        <w:tc>
          <w:tcPr>
            <w:tcW w:w="1120" w:type="dxa"/>
            <w:vMerge w:val="restart"/>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检测3天，每天一次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2#：</w:t>
            </w:r>
            <w:r>
              <w:rPr>
                <w:rFonts w:hint="eastAsia" w:ascii="Times New Roman" w:hAnsi="Times New Roman"/>
                <w:sz w:val="21"/>
                <w:szCs w:val="21"/>
              </w:rPr>
              <w:t>坝前</w:t>
            </w:r>
          </w:p>
        </w:tc>
        <w:tc>
          <w:tcPr>
            <w:tcW w:w="4961"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c>
          <w:tcPr>
            <w:tcW w:w="1120"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3#：</w:t>
            </w:r>
            <w:r>
              <w:rPr>
                <w:rFonts w:hint="eastAsia" w:ascii="Times New Roman" w:hAnsi="Times New Roman"/>
                <w:sz w:val="21"/>
                <w:szCs w:val="21"/>
              </w:rPr>
              <w:t>坝址下游1</w:t>
            </w:r>
            <w:r>
              <w:rPr>
                <w:rFonts w:ascii="Times New Roman" w:hAnsi="Times New Roman"/>
                <w:sz w:val="21"/>
                <w:szCs w:val="21"/>
              </w:rPr>
              <w:t>500</w:t>
            </w:r>
            <w:r>
              <w:rPr>
                <w:rFonts w:hint="eastAsia" w:ascii="Times New Roman" w:hAnsi="Times New Roman"/>
                <w:sz w:val="21"/>
                <w:szCs w:val="21"/>
              </w:rPr>
              <w:t>m（减水河段）</w:t>
            </w:r>
          </w:p>
        </w:tc>
        <w:tc>
          <w:tcPr>
            <w:tcW w:w="4961"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c>
          <w:tcPr>
            <w:tcW w:w="1120"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4#：</w:t>
            </w:r>
            <w:r>
              <w:rPr>
                <w:rFonts w:hint="eastAsia" w:ascii="Times New Roman" w:hAnsi="Times New Roman"/>
                <w:sz w:val="21"/>
                <w:szCs w:val="21"/>
              </w:rPr>
              <w:t>谭家河</w:t>
            </w:r>
          </w:p>
        </w:tc>
        <w:tc>
          <w:tcPr>
            <w:tcW w:w="4961"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c>
          <w:tcPr>
            <w:tcW w:w="1120"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518" w:type="dxa"/>
            <w:vAlign w:val="center"/>
          </w:tcPr>
          <w:p>
            <w:pPr>
              <w:pStyle w:val="97"/>
              <w:tabs>
                <w:tab w:val="left" w:pos="4678"/>
              </w:tabs>
              <w:spacing w:before="0" w:line="240" w:lineRule="auto"/>
              <w:ind w:left="0" w:firstLine="0" w:firstLineChars="0"/>
              <w:jc w:val="center"/>
              <w:rPr>
                <w:rFonts w:ascii="Times New Roman" w:hAnsi="Times New Roman"/>
                <w:b/>
                <w:sz w:val="21"/>
                <w:szCs w:val="21"/>
              </w:rPr>
            </w:pPr>
            <w:r>
              <w:rPr>
                <w:rFonts w:ascii="Times New Roman" w:hAnsi="Times New Roman"/>
                <w:sz w:val="21"/>
                <w:szCs w:val="21"/>
              </w:rPr>
              <w:t>5#：</w:t>
            </w:r>
            <w:r>
              <w:rPr>
                <w:rFonts w:hint="eastAsia" w:ascii="Times New Roman" w:hAnsi="Times New Roman"/>
                <w:sz w:val="21"/>
                <w:szCs w:val="21"/>
              </w:rPr>
              <w:t>刘家河</w:t>
            </w:r>
          </w:p>
        </w:tc>
        <w:tc>
          <w:tcPr>
            <w:tcW w:w="4961"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c>
          <w:tcPr>
            <w:tcW w:w="1120" w:type="dxa"/>
            <w:vMerge w:val="continue"/>
            <w:vAlign w:val="center"/>
          </w:tcPr>
          <w:p>
            <w:pPr>
              <w:pStyle w:val="97"/>
              <w:tabs>
                <w:tab w:val="left" w:pos="4678"/>
              </w:tabs>
              <w:spacing w:before="0" w:line="240" w:lineRule="auto"/>
              <w:ind w:left="0" w:firstLine="0" w:firstLineChars="0"/>
              <w:jc w:val="center"/>
              <w:rPr>
                <w:rFonts w:ascii="Times New Roman" w:hAnsi="Times New Roman"/>
                <w:b/>
                <w:sz w:val="21"/>
                <w:szCs w:val="21"/>
              </w:rPr>
            </w:pPr>
          </w:p>
        </w:tc>
      </w:tr>
    </w:tbl>
    <w:p>
      <w:pPr>
        <w:ind w:firstLine="480"/>
        <w:contextualSpacing/>
        <w:rPr>
          <w:bCs/>
        </w:rPr>
      </w:pPr>
      <w:r>
        <w:rPr>
          <w:bCs/>
        </w:rPr>
        <w:t>（2）采样时间、频率及分析方法</w:t>
      </w:r>
    </w:p>
    <w:p>
      <w:pPr>
        <w:ind w:firstLine="480"/>
        <w:contextualSpacing/>
        <w:rPr>
          <w:bCs/>
        </w:rPr>
      </w:pPr>
      <w:r>
        <w:rPr>
          <w:bCs/>
        </w:rPr>
        <w:t>各采样点监测3天，每天各采样1次。分析方法按《地表水和污水监测技术规范》（HJ/T91-2002）中有关规定进行。</w:t>
      </w:r>
    </w:p>
    <w:p>
      <w:pPr>
        <w:ind w:firstLine="480"/>
        <w:contextualSpacing/>
        <w:rPr>
          <w:bCs/>
        </w:rPr>
      </w:pPr>
      <w:r>
        <w:rPr>
          <w:bCs/>
        </w:rPr>
        <w:t>（3）监测项目</w:t>
      </w:r>
    </w:p>
    <w:p>
      <w:pPr>
        <w:ind w:firstLine="480"/>
        <w:contextualSpacing/>
        <w:rPr>
          <w:szCs w:val="32"/>
        </w:rPr>
      </w:pPr>
      <w:r>
        <w:rPr>
          <w:bCs/>
        </w:rPr>
        <w:t>监测项目按照《地表水环境质量标准》（GB3838-2002）规定的基本项目并根据本工程特点确定，监测项目包括</w:t>
      </w:r>
      <w:r>
        <w:rPr>
          <w:szCs w:val="32"/>
        </w:rPr>
        <w:t>：</w:t>
      </w:r>
      <w:r>
        <w:rPr>
          <w:rFonts w:hint="eastAsia"/>
          <w:szCs w:val="32"/>
        </w:rPr>
        <w:t>水温、pH、COD、溶解氧、高锰酸盐指数、五日生化需氧量、氨氮、SS、氟化物、挥发酚、氰化物、六价铬、铜、铅、镉、锌、硫化物、总磷、硒、总神、总汞、总氮、石油类、粪大肠菌群、阴离子表面活性剂、硫酸盐、硝酸盐、氯化物、铁、锰、叶绿素</w:t>
      </w:r>
      <w:r>
        <w:rPr>
          <w:szCs w:val="32"/>
        </w:rPr>
        <w:t>等。</w:t>
      </w:r>
    </w:p>
    <w:p>
      <w:pPr>
        <w:ind w:firstLine="480"/>
        <w:contextualSpacing/>
        <w:rPr>
          <w:bCs/>
        </w:rPr>
      </w:pPr>
      <w:r>
        <w:rPr>
          <w:bCs/>
        </w:rPr>
        <w:t>（4）监测结果</w:t>
      </w:r>
    </w:p>
    <w:p>
      <w:pPr>
        <w:pStyle w:val="79"/>
        <w:adjustRightInd/>
        <w:spacing w:line="360" w:lineRule="auto"/>
        <w:ind w:firstLine="480" w:firstLineChars="200"/>
        <w:contextualSpacing/>
        <w:rPr>
          <w:rFonts w:ascii="Times New Roman" w:hAnsi="Times New Roman" w:cs="Times New Roman"/>
          <w:b/>
          <w:color w:val="auto"/>
          <w:sz w:val="21"/>
          <w:szCs w:val="21"/>
        </w:rPr>
        <w:sectPr>
          <w:headerReference r:id="rId19" w:type="first"/>
          <w:footerReference r:id="rId22" w:type="first"/>
          <w:footerReference r:id="rId20" w:type="default"/>
          <w:headerReference r:id="rId18" w:type="even"/>
          <w:footerReference r:id="rId21" w:type="even"/>
          <w:pgSz w:w="11905" w:h="16838"/>
          <w:pgMar w:top="1440" w:right="1803" w:bottom="1440" w:left="1803" w:header="851" w:footer="992" w:gutter="0"/>
          <w:cols w:space="720" w:num="1"/>
          <w:docGrid w:type="lines" w:linePitch="331" w:charSpace="0"/>
        </w:sectPr>
      </w:pPr>
      <w:r>
        <w:rPr>
          <w:rFonts w:ascii="Times New Roman" w:hAnsi="Times New Roman" w:cs="Times New Roman"/>
          <w:color w:val="auto"/>
        </w:rPr>
        <w:t>监测单位对各地表水监测点位分三天采样1次，采用极值法选出较差的监测数据，用单因子指数法进行分析，监测结果见表4.6.2-1、表4.6.2-2。</w:t>
      </w:r>
    </w:p>
    <w:p>
      <w:pPr>
        <w:ind w:firstLine="0" w:firstLineChars="0"/>
        <w:contextualSpacing/>
        <w:jc w:val="center"/>
        <w:rPr>
          <w:b/>
          <w:bCs/>
          <w:sz w:val="21"/>
          <w:szCs w:val="21"/>
        </w:rPr>
      </w:pPr>
      <w:r>
        <w:rPr>
          <w:b/>
          <w:bCs/>
          <w:sz w:val="21"/>
          <w:szCs w:val="21"/>
        </w:rPr>
        <w:t>表4.6.2-1  寒溪寺水库地表水监测结果表  单位：mg/L</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576"/>
        <w:gridCol w:w="2863"/>
        <w:gridCol w:w="1264"/>
        <w:gridCol w:w="1313"/>
        <w:gridCol w:w="1313"/>
        <w:gridCol w:w="1313"/>
        <w:gridCol w:w="1313"/>
        <w:gridCol w:w="131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tblHeader/>
          <w:jc w:val="center"/>
        </w:trPr>
        <w:tc>
          <w:tcPr>
            <w:tcW w:w="1098"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采样日期</w:t>
            </w:r>
          </w:p>
        </w:tc>
        <w:tc>
          <w:tcPr>
            <w:tcW w:w="1994"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检测项目</w:t>
            </w:r>
          </w:p>
        </w:tc>
        <w:tc>
          <w:tcPr>
            <w:tcW w:w="880"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单位</w:t>
            </w:r>
          </w:p>
        </w:tc>
        <w:tc>
          <w:tcPr>
            <w:tcW w:w="4571" w:type="dxa"/>
            <w:gridSpan w:val="5"/>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检测结果</w:t>
            </w:r>
          </w:p>
        </w:tc>
        <w:tc>
          <w:tcPr>
            <w:tcW w:w="1208"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tblHeader/>
          <w:jc w:val="center"/>
        </w:trPr>
        <w:tc>
          <w:tcPr>
            <w:tcW w:w="1098"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p>
        </w:tc>
        <w:tc>
          <w:tcPr>
            <w:tcW w:w="1994"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p>
        </w:tc>
        <w:tc>
          <w:tcPr>
            <w:tcW w:w="880"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21"/>
                <w:szCs w:val="21"/>
              </w:rPr>
            </w:pPr>
          </w:p>
        </w:tc>
        <w:tc>
          <w:tcPr>
            <w:tcW w:w="914" w:type="dxa"/>
            <w:vAlign w:val="center"/>
          </w:tcPr>
          <w:p>
            <w:pPr>
              <w:spacing w:line="240" w:lineRule="auto"/>
              <w:ind w:firstLine="0" w:firstLineChars="0"/>
              <w:jc w:val="center"/>
              <w:rPr>
                <w:b/>
                <w:bCs/>
                <w:sz w:val="21"/>
                <w:szCs w:val="21"/>
              </w:rPr>
            </w:pPr>
            <w:r>
              <w:rPr>
                <w:b/>
                <w:bCs/>
                <w:sz w:val="21"/>
                <w:szCs w:val="21"/>
              </w:rPr>
              <w:fldChar w:fldCharType="begin"/>
            </w:r>
            <w:r>
              <w:rPr>
                <w:b/>
                <w:bCs/>
                <w:sz w:val="21"/>
                <w:szCs w:val="21"/>
              </w:rPr>
              <w:instrText xml:space="preserve"> REF 地表水1 \h \* MERGEFORMAT</w:instrText>
            </w:r>
            <w:r>
              <w:rPr>
                <w:b/>
                <w:bCs/>
                <w:sz w:val="21"/>
                <w:szCs w:val="21"/>
              </w:rPr>
              <w:fldChar w:fldCharType="separate"/>
            </w:r>
            <w:r>
              <w:rPr>
                <w:b/>
                <w:bCs/>
                <w:sz w:val="21"/>
                <w:szCs w:val="21"/>
              </w:rPr>
              <w:t>1# 库尾</w:t>
            </w:r>
            <w:r>
              <w:rPr>
                <w:b/>
                <w:bCs/>
                <w:sz w:val="21"/>
                <w:szCs w:val="21"/>
              </w:rPr>
              <w:fldChar w:fldCharType="end"/>
            </w:r>
          </w:p>
        </w:tc>
        <w:tc>
          <w:tcPr>
            <w:tcW w:w="914" w:type="dxa"/>
            <w:vAlign w:val="center"/>
          </w:tcPr>
          <w:p>
            <w:pPr>
              <w:spacing w:line="240" w:lineRule="auto"/>
              <w:ind w:firstLine="0" w:firstLineChars="0"/>
              <w:jc w:val="center"/>
              <w:rPr>
                <w:b/>
                <w:bCs/>
                <w:sz w:val="21"/>
                <w:szCs w:val="21"/>
              </w:rPr>
            </w:pPr>
            <w:r>
              <w:rPr>
                <w:b/>
                <w:bCs/>
                <w:sz w:val="21"/>
                <w:szCs w:val="21"/>
              </w:rPr>
              <w:fldChar w:fldCharType="begin"/>
            </w:r>
            <w:r>
              <w:rPr>
                <w:b/>
                <w:bCs/>
                <w:sz w:val="21"/>
                <w:szCs w:val="21"/>
              </w:rPr>
              <w:instrText xml:space="preserve"> REF 地表水2 \h \* MERGEFORMAT</w:instrText>
            </w:r>
            <w:r>
              <w:rPr>
                <w:b/>
                <w:bCs/>
                <w:sz w:val="21"/>
                <w:szCs w:val="21"/>
              </w:rPr>
              <w:fldChar w:fldCharType="separate"/>
            </w:r>
            <w:r>
              <w:rPr>
                <w:b/>
                <w:bCs/>
                <w:sz w:val="21"/>
                <w:szCs w:val="21"/>
              </w:rPr>
              <w:t>2# 坝前</w:t>
            </w:r>
            <w:r>
              <w:rPr>
                <w:b/>
                <w:bCs/>
                <w:sz w:val="21"/>
                <w:szCs w:val="21"/>
              </w:rPr>
              <w:fldChar w:fldCharType="end"/>
            </w:r>
          </w:p>
        </w:tc>
        <w:tc>
          <w:tcPr>
            <w:tcW w:w="914" w:type="dxa"/>
            <w:vAlign w:val="center"/>
          </w:tcPr>
          <w:p>
            <w:pPr>
              <w:spacing w:line="240" w:lineRule="auto"/>
              <w:ind w:firstLine="0" w:firstLineChars="0"/>
              <w:jc w:val="center"/>
              <w:rPr>
                <w:b/>
                <w:bCs/>
                <w:sz w:val="21"/>
                <w:szCs w:val="21"/>
              </w:rPr>
            </w:pPr>
            <w:r>
              <w:rPr>
                <w:b/>
                <w:bCs/>
                <w:sz w:val="21"/>
                <w:szCs w:val="21"/>
              </w:rPr>
              <w:fldChar w:fldCharType="begin"/>
            </w:r>
            <w:r>
              <w:rPr>
                <w:b/>
                <w:bCs/>
                <w:sz w:val="21"/>
                <w:szCs w:val="21"/>
              </w:rPr>
              <w:instrText xml:space="preserve"> REF 地表水3 \h \* MERGEFORMAT</w:instrText>
            </w:r>
            <w:r>
              <w:rPr>
                <w:b/>
                <w:bCs/>
                <w:sz w:val="21"/>
                <w:szCs w:val="21"/>
              </w:rPr>
              <w:fldChar w:fldCharType="separate"/>
            </w:r>
            <w:r>
              <w:rPr>
                <w:b/>
                <w:bCs/>
                <w:sz w:val="21"/>
                <w:szCs w:val="21"/>
              </w:rPr>
              <w:t>3# 坝址下游1500m（减水河段）</w:t>
            </w:r>
            <w:r>
              <w:rPr>
                <w:b/>
                <w:bCs/>
                <w:sz w:val="21"/>
                <w:szCs w:val="21"/>
              </w:rPr>
              <w:fldChar w:fldCharType="end"/>
            </w:r>
          </w:p>
        </w:tc>
        <w:tc>
          <w:tcPr>
            <w:tcW w:w="914" w:type="dxa"/>
            <w:vAlign w:val="center"/>
          </w:tcPr>
          <w:p>
            <w:pPr>
              <w:spacing w:line="240" w:lineRule="auto"/>
              <w:ind w:firstLine="0" w:firstLineChars="0"/>
              <w:jc w:val="center"/>
              <w:rPr>
                <w:b/>
                <w:bCs/>
                <w:sz w:val="21"/>
                <w:szCs w:val="21"/>
              </w:rPr>
            </w:pPr>
            <w:r>
              <w:rPr>
                <w:b/>
                <w:bCs/>
                <w:sz w:val="21"/>
                <w:szCs w:val="21"/>
              </w:rPr>
              <w:fldChar w:fldCharType="begin"/>
            </w:r>
            <w:r>
              <w:rPr>
                <w:b/>
                <w:bCs/>
                <w:sz w:val="21"/>
                <w:szCs w:val="21"/>
              </w:rPr>
              <w:instrText xml:space="preserve"> REF 地表水4 \h \* MERGEFORMAT</w:instrText>
            </w:r>
            <w:r>
              <w:rPr>
                <w:b/>
                <w:bCs/>
                <w:sz w:val="21"/>
                <w:szCs w:val="21"/>
              </w:rPr>
              <w:fldChar w:fldCharType="separate"/>
            </w:r>
            <w:r>
              <w:rPr>
                <w:b/>
                <w:bCs/>
                <w:sz w:val="21"/>
                <w:szCs w:val="21"/>
              </w:rPr>
              <w:t>4# 谭家河</w:t>
            </w:r>
            <w:r>
              <w:rPr>
                <w:b/>
                <w:bCs/>
                <w:sz w:val="21"/>
                <w:szCs w:val="21"/>
              </w:rPr>
              <w:fldChar w:fldCharType="end"/>
            </w:r>
          </w:p>
        </w:tc>
        <w:tc>
          <w:tcPr>
            <w:tcW w:w="915" w:type="dxa"/>
            <w:vAlign w:val="center"/>
          </w:tcPr>
          <w:p>
            <w:pPr>
              <w:spacing w:line="240" w:lineRule="auto"/>
              <w:ind w:firstLine="0" w:firstLineChars="0"/>
              <w:jc w:val="center"/>
              <w:rPr>
                <w:b/>
                <w:bCs/>
                <w:sz w:val="21"/>
                <w:szCs w:val="21"/>
              </w:rPr>
            </w:pPr>
            <w:r>
              <w:rPr>
                <w:b/>
                <w:bCs/>
                <w:sz w:val="21"/>
                <w:szCs w:val="21"/>
              </w:rPr>
              <w:fldChar w:fldCharType="begin"/>
            </w:r>
            <w:r>
              <w:rPr>
                <w:b/>
                <w:bCs/>
                <w:sz w:val="21"/>
                <w:szCs w:val="21"/>
              </w:rPr>
              <w:instrText xml:space="preserve"> REF 地表水5 \h \* MERGEFORMAT</w:instrText>
            </w:r>
            <w:r>
              <w:rPr>
                <w:b/>
                <w:bCs/>
                <w:sz w:val="21"/>
                <w:szCs w:val="21"/>
              </w:rPr>
              <w:fldChar w:fldCharType="separate"/>
            </w:r>
            <w:r>
              <w:rPr>
                <w:b/>
                <w:bCs/>
                <w:sz w:val="21"/>
                <w:szCs w:val="21"/>
              </w:rPr>
              <w:t>5# 刘家河</w:t>
            </w:r>
            <w:r>
              <w:rPr>
                <w:b/>
                <w:bCs/>
                <w:sz w:val="21"/>
                <w:szCs w:val="21"/>
              </w:rPr>
              <w:fldChar w:fldCharType="end"/>
            </w:r>
          </w:p>
        </w:tc>
        <w:tc>
          <w:tcPr>
            <w:tcW w:w="1208" w:type="dxa"/>
            <w:vMerge w:val="continue"/>
            <w:vAlign w:val="center"/>
          </w:tcPr>
          <w:p>
            <w:pPr>
              <w:pStyle w:val="147"/>
              <w:rPr>
                <w:rFonts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restart"/>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br w:type="page"/>
            </w:r>
            <w:r>
              <w:rPr>
                <w:bCs/>
                <w:kern w:val="0"/>
                <w:sz w:val="21"/>
                <w:szCs w:val="21"/>
              </w:rPr>
              <w:fldChar w:fldCharType="begin"/>
            </w:r>
            <w:r>
              <w:rPr>
                <w:bCs/>
                <w:kern w:val="0"/>
                <w:sz w:val="21"/>
                <w:szCs w:val="21"/>
              </w:rPr>
              <w:instrText xml:space="preserve"> REF 采样日期1 \h \* MERGEFORMAT</w:instrText>
            </w:r>
            <w:r>
              <w:rPr>
                <w:bCs/>
                <w:kern w:val="0"/>
                <w:sz w:val="21"/>
                <w:szCs w:val="21"/>
              </w:rPr>
              <w:fldChar w:fldCharType="separate"/>
            </w:r>
            <w:r>
              <w:rPr>
                <w:bCs/>
                <w:kern w:val="0"/>
                <w:sz w:val="21"/>
                <w:szCs w:val="21"/>
              </w:rPr>
              <w:t>3月7日</w:t>
            </w:r>
            <w:r>
              <w:rPr>
                <w:bCs/>
                <w:kern w:val="0"/>
                <w:sz w:val="21"/>
                <w:szCs w:val="21"/>
              </w:rPr>
              <w:fldChar w:fldCharType="end"/>
            </w:r>
          </w:p>
        </w:tc>
        <w:tc>
          <w:tcPr>
            <w:tcW w:w="1994" w:type="dxa"/>
            <w:vAlign w:val="center"/>
          </w:tcPr>
          <w:p>
            <w:pPr>
              <w:spacing w:line="240" w:lineRule="auto"/>
              <w:ind w:firstLine="0" w:firstLineChars="0"/>
              <w:jc w:val="center"/>
              <w:rPr>
                <w:bCs/>
                <w:sz w:val="21"/>
                <w:szCs w:val="21"/>
                <w:lang w:bidi="ar"/>
              </w:rPr>
            </w:pPr>
            <w:r>
              <w:rPr>
                <w:bCs/>
                <w:sz w:val="21"/>
                <w:szCs w:val="21"/>
                <w:lang w:bidi="ar"/>
              </w:rPr>
              <w:t>pH</w:t>
            </w:r>
          </w:p>
        </w:tc>
        <w:tc>
          <w:tcPr>
            <w:tcW w:w="880" w:type="dxa"/>
            <w:vAlign w:val="center"/>
          </w:tcPr>
          <w:p>
            <w:pPr>
              <w:spacing w:line="240" w:lineRule="auto"/>
              <w:ind w:firstLine="0" w:firstLineChars="0"/>
              <w:jc w:val="center"/>
              <w:rPr>
                <w:bCs/>
                <w:sz w:val="21"/>
                <w:szCs w:val="21"/>
                <w:lang w:bidi="ar"/>
              </w:rPr>
            </w:pPr>
            <w:r>
              <w:rPr>
                <w:bCs/>
                <w:sz w:val="21"/>
                <w:szCs w:val="21"/>
                <w:lang w:bidi="ar"/>
              </w:rPr>
              <w:t>无量纲</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6.8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6.9</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6.6</w:t>
            </w:r>
          </w:p>
        </w:tc>
        <w:tc>
          <w:tcPr>
            <w:tcW w:w="1208" w:type="dxa"/>
            <w:vAlign w:val="center"/>
          </w:tcPr>
          <w:p>
            <w:pPr>
              <w:spacing w:line="240" w:lineRule="auto"/>
              <w:ind w:firstLine="0" w:firstLineChars="0"/>
              <w:jc w:val="center"/>
              <w:rPr>
                <w:bCs/>
                <w:sz w:val="21"/>
                <w:szCs w:val="21"/>
              </w:rPr>
            </w:pPr>
            <w:r>
              <w:rPr>
                <w:bCs/>
                <w:kern w:val="0"/>
                <w:sz w:val="21"/>
                <w:szCs w:val="21"/>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溶解氧</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7.7</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7.9</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7.7</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7.7</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8.0</w:t>
            </w:r>
          </w:p>
        </w:tc>
        <w:tc>
          <w:tcPr>
            <w:tcW w:w="1208" w:type="dxa"/>
            <w:vAlign w:val="center"/>
          </w:tcPr>
          <w:p>
            <w:pPr>
              <w:spacing w:line="240" w:lineRule="auto"/>
              <w:ind w:firstLine="0" w:firstLineChars="0"/>
              <w:jc w:val="center"/>
              <w:rPr>
                <w:bCs/>
                <w:sz w:val="21"/>
                <w:szCs w:val="21"/>
              </w:rPr>
            </w:pPr>
            <w:r>
              <w:rPr>
                <w:bCs/>
                <w:kern w:val="0"/>
                <w:sz w:val="21"/>
                <w:szCs w:val="21"/>
                <w:lang w:bidi="ar"/>
              </w:rPr>
              <w:t>≥5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br w:type="page"/>
            </w:r>
            <w:r>
              <w:rPr>
                <w:sz w:val="21"/>
                <w:szCs w:val="21"/>
              </w:rPr>
              <w:t>水温</w:t>
            </w:r>
          </w:p>
        </w:tc>
        <w:tc>
          <w:tcPr>
            <w:tcW w:w="880" w:type="dxa"/>
            <w:vAlign w:val="center"/>
          </w:tcPr>
          <w:p>
            <w:pPr>
              <w:spacing w:line="240" w:lineRule="auto"/>
              <w:ind w:firstLine="0" w:firstLineChars="0"/>
              <w:jc w:val="center"/>
              <w:rPr>
                <w:bCs/>
                <w:sz w:val="21"/>
                <w:szCs w:val="21"/>
                <w:lang w:bidi="ar"/>
              </w:rPr>
            </w:pPr>
            <w:r>
              <w:rPr>
                <w:bCs/>
                <w:sz w:val="21"/>
                <w:szCs w:val="21"/>
                <w:lang w:bidi="ar"/>
              </w:rPr>
              <w:t>℃</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11.7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11.1</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悬浮物</w:t>
            </w:r>
          </w:p>
        </w:tc>
        <w:tc>
          <w:tcPr>
            <w:tcW w:w="880" w:type="dxa"/>
            <w:vAlign w:val="center"/>
          </w:tcPr>
          <w:p>
            <w:pPr>
              <w:pStyle w:val="147"/>
              <w:rPr>
                <w:rFonts w:eastAsia="宋体" w:cs="Times New Roman"/>
                <w:bCs/>
                <w:szCs w:val="21"/>
              </w:rPr>
            </w:pPr>
            <w:r>
              <w:rPr>
                <w:rFonts w:eastAsia="宋体" w:cs="Times New Roman"/>
                <w:bCs/>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7</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化学需氧量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10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w:t>
            </w:r>
          </w:p>
        </w:tc>
        <w:tc>
          <w:tcPr>
            <w:tcW w:w="1208" w:type="dxa"/>
            <w:vAlign w:val="center"/>
          </w:tcPr>
          <w:p>
            <w:pPr>
              <w:spacing w:line="240" w:lineRule="auto"/>
              <w:ind w:firstLine="0" w:firstLineChars="0"/>
              <w:jc w:val="center"/>
              <w:rPr>
                <w:bCs/>
                <w:sz w:val="21"/>
                <w:szCs w:val="21"/>
              </w:rPr>
            </w:pPr>
            <w:r>
              <w:rPr>
                <w:bCs/>
                <w:kern w:val="0"/>
                <w:sz w:val="21"/>
                <w:szCs w:val="21"/>
                <w:lang w:bidi="ar"/>
              </w:rPr>
              <w:t>≤20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高锰酸盐指数</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0.9</w:t>
            </w:r>
          </w:p>
        </w:tc>
        <w:tc>
          <w:tcPr>
            <w:tcW w:w="914" w:type="dxa"/>
            <w:vAlign w:val="center"/>
          </w:tcPr>
          <w:p>
            <w:pPr>
              <w:widowControl/>
              <w:spacing w:line="240" w:lineRule="auto"/>
              <w:ind w:firstLine="0" w:firstLineChars="0"/>
              <w:jc w:val="center"/>
              <w:textAlignment w:val="center"/>
              <w:rPr>
                <w:bCs/>
                <w:sz w:val="21"/>
                <w:szCs w:val="21"/>
              </w:rPr>
            </w:pPr>
            <w:r>
              <w:rPr>
                <w:rFonts w:hint="eastAsia"/>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0.7</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w:t>
            </w:r>
          </w:p>
        </w:tc>
        <w:tc>
          <w:tcPr>
            <w:tcW w:w="1208" w:type="dxa"/>
            <w:vAlign w:val="center"/>
          </w:tcPr>
          <w:p>
            <w:pPr>
              <w:spacing w:line="240" w:lineRule="auto"/>
              <w:ind w:firstLine="0" w:firstLineChars="0"/>
              <w:jc w:val="center"/>
              <w:rPr>
                <w:bCs/>
                <w:sz w:val="21"/>
                <w:szCs w:val="21"/>
              </w:rPr>
            </w:pPr>
            <w:r>
              <w:rPr>
                <w:bCs/>
                <w:kern w:val="0"/>
                <w:sz w:val="21"/>
                <w:szCs w:val="21"/>
                <w:lang w:bidi="ar"/>
              </w:rPr>
              <w:t>≤6</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五日生化需氧量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2.2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3.6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2.4</w:t>
            </w:r>
          </w:p>
        </w:tc>
        <w:tc>
          <w:tcPr>
            <w:tcW w:w="1208" w:type="dxa"/>
            <w:vAlign w:val="center"/>
          </w:tcPr>
          <w:p>
            <w:pPr>
              <w:spacing w:line="240" w:lineRule="auto"/>
              <w:ind w:firstLine="0" w:firstLineChars="0"/>
              <w:jc w:val="center"/>
              <w:rPr>
                <w:bCs/>
                <w:sz w:val="21"/>
                <w:szCs w:val="21"/>
              </w:rPr>
            </w:pPr>
            <w:r>
              <w:rPr>
                <w:bCs/>
                <w:kern w:val="0"/>
                <w:sz w:val="21"/>
                <w:szCs w:val="21"/>
                <w:lang w:bidi="ar"/>
              </w:rPr>
              <w:t>≤4</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氨氮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0.134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0.330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0.138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0.158</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0.188</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总磷</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bCs/>
                <w:sz w:val="21"/>
                <w:szCs w:val="21"/>
                <w:lang w:bidi="ar"/>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总氮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0.58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0.72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0.81</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0.57</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restart"/>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br w:type="page"/>
            </w:r>
            <w:r>
              <w:rPr>
                <w:bCs/>
                <w:kern w:val="0"/>
                <w:sz w:val="21"/>
                <w:szCs w:val="21"/>
              </w:rPr>
              <w:fldChar w:fldCharType="begin"/>
            </w:r>
            <w:r>
              <w:rPr>
                <w:bCs/>
                <w:kern w:val="0"/>
                <w:sz w:val="21"/>
                <w:szCs w:val="21"/>
              </w:rPr>
              <w:instrText xml:space="preserve"> REF 采样日期1 \h \* MERGEFORMAT</w:instrText>
            </w:r>
            <w:r>
              <w:rPr>
                <w:bCs/>
                <w:kern w:val="0"/>
                <w:sz w:val="21"/>
                <w:szCs w:val="21"/>
              </w:rPr>
              <w:fldChar w:fldCharType="separate"/>
            </w:r>
            <w:r>
              <w:rPr>
                <w:bCs/>
                <w:kern w:val="0"/>
                <w:sz w:val="21"/>
                <w:szCs w:val="21"/>
              </w:rPr>
              <w:t>3月7日</w:t>
            </w:r>
            <w:r>
              <w:rPr>
                <w:bCs/>
                <w:kern w:val="0"/>
                <w:sz w:val="21"/>
                <w:szCs w:val="21"/>
              </w:rPr>
              <w:fldChar w:fldCharType="end"/>
            </w:r>
          </w:p>
        </w:tc>
        <w:tc>
          <w:tcPr>
            <w:tcW w:w="1994" w:type="dxa"/>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t>六价铬</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sz w:val="21"/>
                <w:szCs w:val="21"/>
              </w:rPr>
              <w:t>挥发酚</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氰化物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石油类</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0.03</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0.03</w:t>
            </w:r>
          </w:p>
        </w:tc>
        <w:tc>
          <w:tcPr>
            <w:tcW w:w="1208" w:type="dxa"/>
            <w:vAlign w:val="center"/>
          </w:tcPr>
          <w:p>
            <w:pPr>
              <w:spacing w:line="240" w:lineRule="auto"/>
              <w:ind w:firstLine="0" w:firstLineChars="0"/>
              <w:jc w:val="center"/>
              <w:rPr>
                <w:bCs/>
                <w:sz w:val="21"/>
                <w:szCs w:val="21"/>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pacing w:val="-6"/>
                <w:kern w:val="0"/>
                <w:sz w:val="21"/>
                <w:szCs w:val="21"/>
              </w:rPr>
            </w:pPr>
          </w:p>
        </w:tc>
        <w:tc>
          <w:tcPr>
            <w:tcW w:w="1994" w:type="dxa"/>
            <w:vAlign w:val="center"/>
          </w:tcPr>
          <w:p>
            <w:pPr>
              <w:spacing w:line="240" w:lineRule="auto"/>
              <w:ind w:firstLine="0" w:firstLineChars="0"/>
              <w:jc w:val="center"/>
              <w:rPr>
                <w:kern w:val="0"/>
                <w:sz w:val="21"/>
                <w:szCs w:val="21"/>
              </w:rPr>
            </w:pPr>
            <w:r>
              <w:rPr>
                <w:spacing w:val="-6"/>
                <w:kern w:val="0"/>
                <w:sz w:val="21"/>
                <w:szCs w:val="21"/>
              </w:rPr>
              <w:t>阴离子表面活性剂</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硫化物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叶绿素a</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kern w:val="0"/>
                <w:sz w:val="21"/>
                <w:szCs w:val="21"/>
              </w:rPr>
            </w:pPr>
          </w:p>
        </w:tc>
        <w:tc>
          <w:tcPr>
            <w:tcW w:w="1994" w:type="dxa"/>
            <w:vAlign w:val="center"/>
          </w:tcPr>
          <w:p>
            <w:pPr>
              <w:spacing w:line="240" w:lineRule="auto"/>
              <w:ind w:firstLine="0" w:firstLineChars="0"/>
              <w:jc w:val="center"/>
              <w:rPr>
                <w:sz w:val="21"/>
                <w:szCs w:val="21"/>
              </w:rPr>
            </w:pPr>
            <w:r>
              <w:rPr>
                <w:kern w:val="0"/>
                <w:sz w:val="21"/>
                <w:szCs w:val="21"/>
              </w:rPr>
              <w:t>氟化物（氟离子）</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0.124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0.153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0.199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0.138</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0.160</w:t>
            </w:r>
          </w:p>
        </w:tc>
        <w:tc>
          <w:tcPr>
            <w:tcW w:w="1208" w:type="dxa"/>
            <w:vAlign w:val="center"/>
          </w:tcPr>
          <w:p>
            <w:pPr>
              <w:spacing w:line="240" w:lineRule="auto"/>
              <w:ind w:firstLine="0" w:firstLineChars="0"/>
              <w:jc w:val="center"/>
              <w:rPr>
                <w:bCs/>
                <w:sz w:val="21"/>
                <w:szCs w:val="21"/>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kern w:val="0"/>
                <w:sz w:val="21"/>
                <w:szCs w:val="21"/>
              </w:rPr>
              <w:t>硝酸根（硝酸盐氮）</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0.304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0.326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0.317</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0.317</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氯化物（氯离子）</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12.6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9.6</w:t>
            </w:r>
            <w:r>
              <w:rPr>
                <w:rFonts w:hint="eastAsia"/>
                <w:color w:val="000000"/>
                <w:kern w:val="0"/>
                <w:sz w:val="21"/>
                <w:szCs w:val="21"/>
                <w:lang w:bidi="ar"/>
              </w:rPr>
              <w:t>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13.1</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11.5</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硫酸盐（硫酸根）</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12.2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19.3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13.5</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12.9</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汞</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砷</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bCs/>
                <w:sz w:val="21"/>
                <w:szCs w:val="21"/>
                <w:lang w:bidi="ar"/>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硒</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铅</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镉</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textAlignment w:val="center"/>
              <w:rPr>
                <w:sz w:val="21"/>
                <w:szCs w:val="21"/>
              </w:rPr>
            </w:pPr>
          </w:p>
        </w:tc>
        <w:tc>
          <w:tcPr>
            <w:tcW w:w="1994" w:type="dxa"/>
            <w:vAlign w:val="center"/>
          </w:tcPr>
          <w:p>
            <w:pPr>
              <w:widowControl/>
              <w:spacing w:line="240" w:lineRule="auto"/>
              <w:ind w:firstLine="0" w:firstLineChars="0"/>
              <w:jc w:val="center"/>
              <w:textAlignment w:val="center"/>
              <w:rPr>
                <w:color w:val="000000"/>
                <w:kern w:val="0"/>
                <w:sz w:val="21"/>
                <w:szCs w:val="21"/>
                <w:lang w:bidi="ar"/>
              </w:rPr>
            </w:pPr>
            <w:r>
              <w:rPr>
                <w:sz w:val="21"/>
                <w:szCs w:val="21"/>
              </w:rPr>
              <w:t>铜</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textAlignment w:val="center"/>
              <w:rPr>
                <w:sz w:val="21"/>
                <w:szCs w:val="21"/>
              </w:rPr>
            </w:pPr>
          </w:p>
        </w:tc>
        <w:tc>
          <w:tcPr>
            <w:tcW w:w="1994" w:type="dxa"/>
            <w:vAlign w:val="center"/>
          </w:tcPr>
          <w:p>
            <w:pPr>
              <w:widowControl/>
              <w:spacing w:line="240" w:lineRule="auto"/>
              <w:ind w:firstLine="0" w:firstLineChars="0"/>
              <w:jc w:val="center"/>
              <w:textAlignment w:val="center"/>
              <w:rPr>
                <w:sz w:val="21"/>
                <w:szCs w:val="21"/>
              </w:rPr>
            </w:pPr>
            <w:r>
              <w:rPr>
                <w:sz w:val="21"/>
                <w:szCs w:val="21"/>
              </w:rPr>
              <w:t>锌</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铁</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≤0.3</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锰</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粪大肠菌群</w:t>
            </w:r>
          </w:p>
        </w:tc>
        <w:tc>
          <w:tcPr>
            <w:tcW w:w="880" w:type="dxa"/>
            <w:vAlign w:val="center"/>
          </w:tcPr>
          <w:p>
            <w:pPr>
              <w:spacing w:line="240" w:lineRule="auto"/>
              <w:ind w:firstLine="0" w:firstLineChars="0"/>
              <w:jc w:val="center"/>
              <w:rPr>
                <w:bCs/>
                <w:sz w:val="21"/>
                <w:szCs w:val="21"/>
                <w:lang w:bidi="ar"/>
              </w:rPr>
            </w:pPr>
            <w:r>
              <w:rPr>
                <w:sz w:val="21"/>
                <w:szCs w:val="21"/>
              </w:rPr>
              <w:t>MPN/L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1.2</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1.5</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1.3</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84</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1.2</w:t>
            </w:r>
            <w:r>
              <w:rPr>
                <w:color w:val="000000"/>
                <w:kern w:val="0"/>
                <w:sz w:val="21"/>
                <w:szCs w:val="21"/>
                <w:lang w:bidi="ar"/>
              </w:rPr>
              <w:t>×10</w:t>
            </w:r>
            <w:r>
              <w:rPr>
                <w:color w:val="000000"/>
                <w:kern w:val="0"/>
                <w:sz w:val="21"/>
                <w:szCs w:val="21"/>
                <w:vertAlign w:val="superscript"/>
                <w:lang w:bidi="ar"/>
              </w:rPr>
              <w:t>2</w:t>
            </w:r>
          </w:p>
        </w:tc>
        <w:tc>
          <w:tcPr>
            <w:tcW w:w="1208" w:type="dxa"/>
            <w:vAlign w:val="center"/>
          </w:tcPr>
          <w:p>
            <w:pPr>
              <w:spacing w:line="240" w:lineRule="auto"/>
              <w:ind w:firstLine="0" w:firstLineChars="0"/>
              <w:jc w:val="center"/>
              <w:rPr>
                <w:bCs/>
                <w:sz w:val="21"/>
                <w:szCs w:val="21"/>
              </w:rPr>
            </w:pPr>
            <w:r>
              <w:rPr>
                <w:bCs/>
                <w:sz w:val="21"/>
                <w:szCs w:val="21"/>
              </w:rPr>
              <w:t>10000个</w:t>
            </w:r>
            <w:r>
              <w:rPr>
                <w:kern w:val="0"/>
                <w:sz w:val="21"/>
                <w:szCs w:val="21"/>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restart"/>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br w:type="page"/>
            </w:r>
            <w:r>
              <w:rPr>
                <w:bCs/>
                <w:kern w:val="0"/>
                <w:sz w:val="21"/>
                <w:szCs w:val="21"/>
              </w:rPr>
              <w:t>3月8日</w:t>
            </w:r>
          </w:p>
        </w:tc>
        <w:tc>
          <w:tcPr>
            <w:tcW w:w="1994" w:type="dxa"/>
            <w:vAlign w:val="center"/>
          </w:tcPr>
          <w:p>
            <w:pPr>
              <w:spacing w:line="240" w:lineRule="auto"/>
              <w:ind w:firstLine="0" w:firstLineChars="0"/>
              <w:jc w:val="center"/>
              <w:rPr>
                <w:bCs/>
                <w:sz w:val="21"/>
                <w:szCs w:val="21"/>
                <w:lang w:bidi="ar"/>
              </w:rPr>
            </w:pPr>
            <w:r>
              <w:rPr>
                <w:bCs/>
                <w:sz w:val="21"/>
                <w:szCs w:val="21"/>
                <w:lang w:bidi="ar"/>
              </w:rPr>
              <w:t>pH</w:t>
            </w:r>
          </w:p>
        </w:tc>
        <w:tc>
          <w:tcPr>
            <w:tcW w:w="880" w:type="dxa"/>
            <w:vAlign w:val="center"/>
          </w:tcPr>
          <w:p>
            <w:pPr>
              <w:spacing w:line="240" w:lineRule="auto"/>
              <w:ind w:firstLine="0" w:firstLineChars="0"/>
              <w:jc w:val="center"/>
              <w:rPr>
                <w:bCs/>
                <w:sz w:val="21"/>
                <w:szCs w:val="21"/>
                <w:lang w:bidi="ar"/>
              </w:rPr>
            </w:pPr>
            <w:r>
              <w:rPr>
                <w:bCs/>
                <w:sz w:val="21"/>
                <w:szCs w:val="21"/>
                <w:lang w:bidi="ar"/>
              </w:rPr>
              <w:t>无量纲</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6.7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6.8</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6.8</w:t>
            </w:r>
          </w:p>
        </w:tc>
        <w:tc>
          <w:tcPr>
            <w:tcW w:w="1208" w:type="dxa"/>
            <w:vAlign w:val="center"/>
          </w:tcPr>
          <w:p>
            <w:pPr>
              <w:spacing w:line="240" w:lineRule="auto"/>
              <w:ind w:firstLine="0" w:firstLineChars="0"/>
              <w:jc w:val="center"/>
              <w:rPr>
                <w:bCs/>
                <w:sz w:val="21"/>
                <w:szCs w:val="21"/>
              </w:rPr>
            </w:pPr>
            <w:r>
              <w:rPr>
                <w:bCs/>
                <w:kern w:val="0"/>
                <w:sz w:val="21"/>
                <w:szCs w:val="21"/>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溶解氧</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7.5</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7.6</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7.8</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7.6</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7.9</w:t>
            </w:r>
          </w:p>
        </w:tc>
        <w:tc>
          <w:tcPr>
            <w:tcW w:w="1208" w:type="dxa"/>
            <w:vAlign w:val="center"/>
          </w:tcPr>
          <w:p>
            <w:pPr>
              <w:spacing w:line="240" w:lineRule="auto"/>
              <w:ind w:firstLine="0" w:firstLineChars="0"/>
              <w:jc w:val="center"/>
              <w:rPr>
                <w:bCs/>
                <w:sz w:val="21"/>
                <w:szCs w:val="21"/>
              </w:rPr>
            </w:pPr>
            <w:r>
              <w:rPr>
                <w:bCs/>
                <w:kern w:val="0"/>
                <w:sz w:val="21"/>
                <w:szCs w:val="21"/>
                <w:lang w:bidi="ar"/>
              </w:rPr>
              <w:t>≥5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br w:type="page"/>
            </w:r>
            <w:r>
              <w:rPr>
                <w:sz w:val="21"/>
                <w:szCs w:val="21"/>
              </w:rPr>
              <w:t>水温</w:t>
            </w:r>
          </w:p>
        </w:tc>
        <w:tc>
          <w:tcPr>
            <w:tcW w:w="880" w:type="dxa"/>
            <w:vAlign w:val="center"/>
          </w:tcPr>
          <w:p>
            <w:pPr>
              <w:spacing w:line="240" w:lineRule="auto"/>
              <w:ind w:firstLine="0" w:firstLineChars="0"/>
              <w:jc w:val="center"/>
              <w:rPr>
                <w:bCs/>
                <w:sz w:val="21"/>
                <w:szCs w:val="21"/>
                <w:lang w:bidi="ar"/>
              </w:rPr>
            </w:pPr>
            <w:r>
              <w:rPr>
                <w:bCs/>
                <w:sz w:val="21"/>
                <w:szCs w:val="21"/>
                <w:lang w:bidi="ar"/>
              </w:rPr>
              <w:t>℃</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9.8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9.5</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9.1</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悬浮物</w:t>
            </w:r>
          </w:p>
        </w:tc>
        <w:tc>
          <w:tcPr>
            <w:tcW w:w="880" w:type="dxa"/>
            <w:vAlign w:val="center"/>
          </w:tcPr>
          <w:p>
            <w:pPr>
              <w:pStyle w:val="147"/>
              <w:rPr>
                <w:rFonts w:eastAsia="宋体" w:cs="Times New Roman"/>
                <w:bCs/>
                <w:szCs w:val="21"/>
              </w:rPr>
            </w:pPr>
            <w:r>
              <w:rPr>
                <w:rFonts w:eastAsia="宋体" w:cs="Times New Roman"/>
                <w:bCs/>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5</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5</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化学需氧量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10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w:t>
            </w:r>
          </w:p>
        </w:tc>
        <w:tc>
          <w:tcPr>
            <w:tcW w:w="1208" w:type="dxa"/>
            <w:vAlign w:val="center"/>
          </w:tcPr>
          <w:p>
            <w:pPr>
              <w:spacing w:line="240" w:lineRule="auto"/>
              <w:ind w:firstLine="0" w:firstLineChars="0"/>
              <w:jc w:val="center"/>
              <w:rPr>
                <w:bCs/>
                <w:sz w:val="21"/>
                <w:szCs w:val="21"/>
              </w:rPr>
            </w:pPr>
            <w:r>
              <w:rPr>
                <w:bCs/>
                <w:kern w:val="0"/>
                <w:sz w:val="21"/>
                <w:szCs w:val="21"/>
                <w:lang w:bidi="ar"/>
              </w:rPr>
              <w:t>≤20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restart"/>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br w:type="page"/>
            </w:r>
            <w:r>
              <w:rPr>
                <w:bCs/>
                <w:kern w:val="0"/>
                <w:sz w:val="21"/>
                <w:szCs w:val="21"/>
              </w:rPr>
              <w:t>3月8日</w:t>
            </w:r>
          </w:p>
        </w:tc>
        <w:tc>
          <w:tcPr>
            <w:tcW w:w="1994" w:type="dxa"/>
            <w:vAlign w:val="center"/>
          </w:tcPr>
          <w:p>
            <w:pPr>
              <w:tabs>
                <w:tab w:val="left" w:pos="1890"/>
              </w:tabs>
              <w:spacing w:line="240" w:lineRule="auto"/>
              <w:ind w:firstLine="0" w:firstLineChars="0"/>
              <w:jc w:val="center"/>
              <w:rPr>
                <w:sz w:val="21"/>
                <w:szCs w:val="21"/>
              </w:rPr>
            </w:pPr>
            <w:r>
              <w:rPr>
                <w:sz w:val="21"/>
                <w:szCs w:val="21"/>
              </w:rPr>
              <w:t>高锰酸盐指数</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0.5</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w:t>
            </w:r>
          </w:p>
        </w:tc>
        <w:tc>
          <w:tcPr>
            <w:tcW w:w="1208" w:type="dxa"/>
            <w:vAlign w:val="center"/>
          </w:tcPr>
          <w:p>
            <w:pPr>
              <w:spacing w:line="240" w:lineRule="auto"/>
              <w:ind w:firstLine="0" w:firstLineChars="0"/>
              <w:jc w:val="center"/>
              <w:rPr>
                <w:bCs/>
                <w:sz w:val="21"/>
                <w:szCs w:val="21"/>
              </w:rPr>
            </w:pPr>
            <w:r>
              <w:rPr>
                <w:bCs/>
                <w:kern w:val="0"/>
                <w:sz w:val="21"/>
                <w:szCs w:val="21"/>
                <w:lang w:bidi="ar"/>
              </w:rPr>
              <w:t>≤6</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五日生化需氧量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2.4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3.9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3.0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2.6</w:t>
            </w:r>
          </w:p>
        </w:tc>
        <w:tc>
          <w:tcPr>
            <w:tcW w:w="1208" w:type="dxa"/>
            <w:vAlign w:val="center"/>
          </w:tcPr>
          <w:p>
            <w:pPr>
              <w:spacing w:line="240" w:lineRule="auto"/>
              <w:ind w:firstLine="0" w:firstLineChars="0"/>
              <w:jc w:val="center"/>
              <w:rPr>
                <w:bCs/>
                <w:sz w:val="21"/>
                <w:szCs w:val="21"/>
              </w:rPr>
            </w:pPr>
            <w:r>
              <w:rPr>
                <w:bCs/>
                <w:kern w:val="0"/>
                <w:sz w:val="21"/>
                <w:szCs w:val="21"/>
                <w:lang w:bidi="ar"/>
              </w:rPr>
              <w:t>≤4</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氨氮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0.117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0.312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0.151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0.176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0.176</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总磷</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总氮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0.60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0.55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0.72</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0.61</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t>六价铬</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sz w:val="21"/>
                <w:szCs w:val="21"/>
              </w:rPr>
              <w:t>挥发酚</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氰化物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石油类</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0.03</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1208" w:type="dxa"/>
            <w:vAlign w:val="center"/>
          </w:tcPr>
          <w:p>
            <w:pPr>
              <w:spacing w:line="240" w:lineRule="auto"/>
              <w:ind w:firstLine="0" w:firstLineChars="0"/>
              <w:jc w:val="center"/>
              <w:rPr>
                <w:bCs/>
                <w:sz w:val="21"/>
                <w:szCs w:val="21"/>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spacing w:val="-6"/>
                <w:kern w:val="0"/>
                <w:sz w:val="21"/>
                <w:szCs w:val="21"/>
              </w:rPr>
              <w:t>阴离子表面活性剂</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硫化物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叶绿素a</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kern w:val="0"/>
                <w:sz w:val="21"/>
                <w:szCs w:val="21"/>
              </w:rPr>
              <w:t>氟化物（氟离子）</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0.139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0.133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0.124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0.157</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0.144</w:t>
            </w:r>
          </w:p>
        </w:tc>
        <w:tc>
          <w:tcPr>
            <w:tcW w:w="1208" w:type="dxa"/>
            <w:vAlign w:val="center"/>
          </w:tcPr>
          <w:p>
            <w:pPr>
              <w:spacing w:line="240" w:lineRule="auto"/>
              <w:ind w:firstLine="0" w:firstLineChars="0"/>
              <w:jc w:val="center"/>
              <w:rPr>
                <w:bCs/>
                <w:sz w:val="21"/>
                <w:szCs w:val="21"/>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kern w:val="0"/>
                <w:sz w:val="21"/>
                <w:szCs w:val="21"/>
              </w:rPr>
              <w:t>硝酸根（硝酸盐氮）</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0.302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0.381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0.309</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0.318</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氯化物（氯离子）</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12.3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14.1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16.4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11.8</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硫酸盐（硫酸根）</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12.5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22.8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14.0</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12.9</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汞</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砷</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硒</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铅</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镉</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textAlignment w:val="center"/>
              <w:rPr>
                <w:sz w:val="21"/>
                <w:szCs w:val="21"/>
              </w:rPr>
            </w:pPr>
          </w:p>
        </w:tc>
        <w:tc>
          <w:tcPr>
            <w:tcW w:w="1994" w:type="dxa"/>
            <w:vAlign w:val="center"/>
          </w:tcPr>
          <w:p>
            <w:pPr>
              <w:widowControl/>
              <w:spacing w:line="240" w:lineRule="auto"/>
              <w:ind w:firstLine="0" w:firstLineChars="0"/>
              <w:jc w:val="center"/>
              <w:textAlignment w:val="center"/>
              <w:rPr>
                <w:color w:val="000000"/>
                <w:kern w:val="0"/>
                <w:sz w:val="21"/>
                <w:szCs w:val="21"/>
                <w:lang w:bidi="ar"/>
              </w:rPr>
            </w:pPr>
            <w:r>
              <w:rPr>
                <w:sz w:val="21"/>
                <w:szCs w:val="21"/>
              </w:rPr>
              <w:t>铜</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textAlignment w:val="center"/>
              <w:rPr>
                <w:sz w:val="21"/>
                <w:szCs w:val="21"/>
              </w:rPr>
            </w:pPr>
          </w:p>
        </w:tc>
        <w:tc>
          <w:tcPr>
            <w:tcW w:w="1994" w:type="dxa"/>
            <w:vAlign w:val="center"/>
          </w:tcPr>
          <w:p>
            <w:pPr>
              <w:widowControl/>
              <w:spacing w:line="240" w:lineRule="auto"/>
              <w:ind w:firstLine="0" w:firstLineChars="0"/>
              <w:jc w:val="center"/>
              <w:textAlignment w:val="center"/>
              <w:rPr>
                <w:sz w:val="21"/>
                <w:szCs w:val="21"/>
              </w:rPr>
            </w:pPr>
            <w:r>
              <w:rPr>
                <w:sz w:val="21"/>
                <w:szCs w:val="21"/>
              </w:rPr>
              <w:t>锌</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铁</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≤0.3</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锰</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粪大肠菌群</w:t>
            </w:r>
          </w:p>
        </w:tc>
        <w:tc>
          <w:tcPr>
            <w:tcW w:w="880" w:type="dxa"/>
            <w:vAlign w:val="center"/>
          </w:tcPr>
          <w:p>
            <w:pPr>
              <w:spacing w:line="240" w:lineRule="auto"/>
              <w:ind w:firstLine="0" w:firstLineChars="0"/>
              <w:jc w:val="center"/>
              <w:rPr>
                <w:bCs/>
                <w:sz w:val="21"/>
                <w:szCs w:val="21"/>
                <w:lang w:bidi="ar"/>
              </w:rPr>
            </w:pPr>
            <w:r>
              <w:rPr>
                <w:sz w:val="21"/>
                <w:szCs w:val="21"/>
              </w:rPr>
              <w:t>MPN/L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1.2</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96</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93</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1.4</w:t>
            </w:r>
            <w:r>
              <w:rPr>
                <w:color w:val="000000"/>
                <w:kern w:val="0"/>
                <w:sz w:val="21"/>
                <w:szCs w:val="21"/>
                <w:lang w:bidi="ar"/>
              </w:rPr>
              <w:t>×10</w:t>
            </w:r>
            <w:r>
              <w:rPr>
                <w:color w:val="000000"/>
                <w:kern w:val="0"/>
                <w:sz w:val="21"/>
                <w:szCs w:val="21"/>
                <w:vertAlign w:val="superscript"/>
                <w:lang w:bidi="ar"/>
              </w:rPr>
              <w:t>2</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1.4</w:t>
            </w:r>
            <w:r>
              <w:rPr>
                <w:color w:val="000000"/>
                <w:kern w:val="0"/>
                <w:sz w:val="21"/>
                <w:szCs w:val="21"/>
                <w:lang w:bidi="ar"/>
              </w:rPr>
              <w:t>×10</w:t>
            </w:r>
            <w:r>
              <w:rPr>
                <w:color w:val="000000"/>
                <w:kern w:val="0"/>
                <w:sz w:val="21"/>
                <w:szCs w:val="21"/>
                <w:vertAlign w:val="superscript"/>
                <w:lang w:bidi="ar"/>
              </w:rPr>
              <w:t>2</w:t>
            </w:r>
          </w:p>
        </w:tc>
        <w:tc>
          <w:tcPr>
            <w:tcW w:w="1208" w:type="dxa"/>
            <w:vAlign w:val="center"/>
          </w:tcPr>
          <w:p>
            <w:pPr>
              <w:spacing w:line="240" w:lineRule="auto"/>
              <w:ind w:firstLine="0" w:firstLineChars="0"/>
              <w:jc w:val="center"/>
              <w:rPr>
                <w:bCs/>
                <w:sz w:val="21"/>
                <w:szCs w:val="21"/>
              </w:rPr>
            </w:pPr>
            <w:r>
              <w:rPr>
                <w:bCs/>
                <w:sz w:val="21"/>
                <w:szCs w:val="21"/>
              </w:rPr>
              <w:t>10000个</w:t>
            </w:r>
            <w:r>
              <w:rPr>
                <w:kern w:val="0"/>
                <w:sz w:val="21"/>
                <w:szCs w:val="21"/>
                <w:lang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restart"/>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br w:type="page"/>
            </w:r>
            <w:r>
              <w:rPr>
                <w:sz w:val="21"/>
                <w:szCs w:val="21"/>
              </w:rPr>
              <w:br w:type="page"/>
            </w:r>
            <w:r>
              <w:rPr>
                <w:sz w:val="21"/>
                <w:szCs w:val="21"/>
              </w:rPr>
              <w:br w:type="page"/>
            </w:r>
            <w:r>
              <w:rPr>
                <w:bCs/>
                <w:kern w:val="0"/>
                <w:sz w:val="21"/>
                <w:szCs w:val="21"/>
              </w:rPr>
              <w:t>3月9日</w:t>
            </w:r>
            <w:r>
              <w:rPr>
                <w:sz w:val="21"/>
                <w:szCs w:val="21"/>
              </w:rPr>
              <w:br w:type="page"/>
            </w:r>
            <w:r>
              <w:rPr>
                <w:sz w:val="21"/>
                <w:szCs w:val="21"/>
              </w:rPr>
              <w:br w:type="page"/>
            </w:r>
          </w:p>
        </w:tc>
        <w:tc>
          <w:tcPr>
            <w:tcW w:w="1994" w:type="dxa"/>
            <w:vAlign w:val="center"/>
          </w:tcPr>
          <w:p>
            <w:pPr>
              <w:spacing w:line="240" w:lineRule="auto"/>
              <w:ind w:firstLine="0" w:firstLineChars="0"/>
              <w:jc w:val="center"/>
              <w:rPr>
                <w:bCs/>
                <w:sz w:val="21"/>
                <w:szCs w:val="21"/>
                <w:lang w:bidi="ar"/>
              </w:rPr>
            </w:pPr>
            <w:r>
              <w:rPr>
                <w:bCs/>
                <w:sz w:val="21"/>
                <w:szCs w:val="21"/>
                <w:lang w:bidi="ar"/>
              </w:rPr>
              <w:t>pH</w:t>
            </w:r>
          </w:p>
        </w:tc>
        <w:tc>
          <w:tcPr>
            <w:tcW w:w="880" w:type="dxa"/>
            <w:vAlign w:val="center"/>
          </w:tcPr>
          <w:p>
            <w:pPr>
              <w:spacing w:line="240" w:lineRule="auto"/>
              <w:ind w:firstLine="0" w:firstLineChars="0"/>
              <w:jc w:val="center"/>
              <w:rPr>
                <w:bCs/>
                <w:sz w:val="21"/>
                <w:szCs w:val="21"/>
                <w:lang w:bidi="ar"/>
              </w:rPr>
            </w:pPr>
            <w:r>
              <w:rPr>
                <w:bCs/>
                <w:sz w:val="21"/>
                <w:szCs w:val="21"/>
                <w:lang w:bidi="ar"/>
              </w:rPr>
              <w:t>无量纲</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6.7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6.8</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6.7</w:t>
            </w:r>
          </w:p>
        </w:tc>
        <w:tc>
          <w:tcPr>
            <w:tcW w:w="1208" w:type="dxa"/>
            <w:vAlign w:val="center"/>
          </w:tcPr>
          <w:p>
            <w:pPr>
              <w:spacing w:line="240" w:lineRule="auto"/>
              <w:ind w:firstLine="0" w:firstLineChars="0"/>
              <w:jc w:val="center"/>
              <w:rPr>
                <w:bCs/>
                <w:sz w:val="21"/>
                <w:szCs w:val="21"/>
              </w:rPr>
            </w:pPr>
            <w:r>
              <w:rPr>
                <w:bCs/>
                <w:kern w:val="0"/>
                <w:sz w:val="21"/>
                <w:szCs w:val="21"/>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溶解氧</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8.4</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7.7</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8.0</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7.7</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7.5</w:t>
            </w:r>
          </w:p>
        </w:tc>
        <w:tc>
          <w:tcPr>
            <w:tcW w:w="1208" w:type="dxa"/>
            <w:vAlign w:val="center"/>
          </w:tcPr>
          <w:p>
            <w:pPr>
              <w:spacing w:line="240" w:lineRule="auto"/>
              <w:ind w:firstLine="0" w:firstLineChars="0"/>
              <w:jc w:val="center"/>
              <w:rPr>
                <w:bCs/>
                <w:sz w:val="21"/>
                <w:szCs w:val="21"/>
              </w:rPr>
            </w:pPr>
            <w:r>
              <w:rPr>
                <w:bCs/>
                <w:kern w:val="0"/>
                <w:sz w:val="21"/>
                <w:szCs w:val="21"/>
                <w:lang w:bidi="ar"/>
              </w:rPr>
              <w:t>≥5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br w:type="page"/>
            </w:r>
            <w:r>
              <w:rPr>
                <w:sz w:val="21"/>
                <w:szCs w:val="21"/>
              </w:rPr>
              <w:t>水温</w:t>
            </w:r>
          </w:p>
        </w:tc>
        <w:tc>
          <w:tcPr>
            <w:tcW w:w="880" w:type="dxa"/>
            <w:vAlign w:val="center"/>
          </w:tcPr>
          <w:p>
            <w:pPr>
              <w:spacing w:line="240" w:lineRule="auto"/>
              <w:ind w:firstLine="0" w:firstLineChars="0"/>
              <w:jc w:val="center"/>
              <w:rPr>
                <w:bCs/>
                <w:sz w:val="21"/>
                <w:szCs w:val="21"/>
                <w:lang w:bidi="ar"/>
              </w:rPr>
            </w:pPr>
            <w:r>
              <w:rPr>
                <w:bCs/>
                <w:sz w:val="21"/>
                <w:szCs w:val="21"/>
                <w:lang w:bidi="ar"/>
              </w:rPr>
              <w:t>℃</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8.8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8.4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8.1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8.4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8.7</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悬浮物</w:t>
            </w:r>
          </w:p>
        </w:tc>
        <w:tc>
          <w:tcPr>
            <w:tcW w:w="880" w:type="dxa"/>
            <w:vAlign w:val="center"/>
          </w:tcPr>
          <w:p>
            <w:pPr>
              <w:pStyle w:val="147"/>
              <w:rPr>
                <w:rFonts w:eastAsia="宋体" w:cs="Times New Roman"/>
                <w:bCs/>
                <w:szCs w:val="21"/>
              </w:rPr>
            </w:pPr>
            <w:r>
              <w:rPr>
                <w:rFonts w:eastAsia="宋体" w:cs="Times New Roman"/>
                <w:bCs/>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5</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化学需氧量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12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w:t>
            </w:r>
          </w:p>
        </w:tc>
        <w:tc>
          <w:tcPr>
            <w:tcW w:w="1208" w:type="dxa"/>
            <w:vAlign w:val="center"/>
          </w:tcPr>
          <w:p>
            <w:pPr>
              <w:spacing w:line="240" w:lineRule="auto"/>
              <w:ind w:firstLine="0" w:firstLineChars="0"/>
              <w:jc w:val="center"/>
              <w:rPr>
                <w:bCs/>
                <w:sz w:val="21"/>
                <w:szCs w:val="21"/>
              </w:rPr>
            </w:pPr>
            <w:r>
              <w:rPr>
                <w:bCs/>
                <w:kern w:val="0"/>
                <w:sz w:val="21"/>
                <w:szCs w:val="21"/>
                <w:lang w:bidi="ar"/>
              </w:rPr>
              <w:t>≤20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高锰酸盐指数</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1.4</w:t>
            </w:r>
          </w:p>
        </w:tc>
        <w:tc>
          <w:tcPr>
            <w:tcW w:w="1208" w:type="dxa"/>
            <w:vAlign w:val="center"/>
          </w:tcPr>
          <w:p>
            <w:pPr>
              <w:spacing w:line="240" w:lineRule="auto"/>
              <w:ind w:firstLine="0" w:firstLineChars="0"/>
              <w:jc w:val="center"/>
              <w:rPr>
                <w:bCs/>
                <w:sz w:val="21"/>
                <w:szCs w:val="21"/>
              </w:rPr>
            </w:pPr>
            <w:r>
              <w:rPr>
                <w:bCs/>
                <w:kern w:val="0"/>
                <w:sz w:val="21"/>
                <w:szCs w:val="21"/>
                <w:lang w:bidi="ar"/>
              </w:rPr>
              <w:t>≤6</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五日生化需氧量</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2.7</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3.8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3.5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2.6</w:t>
            </w:r>
          </w:p>
        </w:tc>
        <w:tc>
          <w:tcPr>
            <w:tcW w:w="1208" w:type="dxa"/>
            <w:vAlign w:val="center"/>
          </w:tcPr>
          <w:p>
            <w:pPr>
              <w:spacing w:line="240" w:lineRule="auto"/>
              <w:ind w:firstLine="0" w:firstLineChars="0"/>
              <w:jc w:val="center"/>
              <w:rPr>
                <w:bCs/>
                <w:sz w:val="21"/>
                <w:szCs w:val="21"/>
              </w:rPr>
            </w:pPr>
            <w:r>
              <w:rPr>
                <w:bCs/>
                <w:kern w:val="0"/>
                <w:sz w:val="21"/>
                <w:szCs w:val="21"/>
                <w:lang w:bidi="ar"/>
              </w:rPr>
              <w:t>≤4</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氨氮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0.133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0.346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0.125</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0.156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0.210</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总磷</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总氮</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0.68</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1.41</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0.59</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0.74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0.61</w:t>
            </w:r>
          </w:p>
        </w:tc>
        <w:tc>
          <w:tcPr>
            <w:tcW w:w="1208" w:type="dxa"/>
            <w:vAlign w:val="center"/>
          </w:tcPr>
          <w:p>
            <w:pPr>
              <w:spacing w:line="240" w:lineRule="auto"/>
              <w:ind w:firstLine="0" w:firstLineChars="0"/>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br w:type="page"/>
            </w:r>
            <w:r>
              <w:rPr>
                <w:sz w:val="21"/>
                <w:szCs w:val="21"/>
              </w:rPr>
              <w:t>六价铬</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sz w:val="21"/>
                <w:szCs w:val="21"/>
              </w:rPr>
              <w:t>挥发酚</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氰化物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kern w:val="0"/>
                <w:sz w:val="21"/>
                <w:szCs w:val="21"/>
              </w:rPr>
              <w:t>石油类</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0.02</w:t>
            </w:r>
          </w:p>
        </w:tc>
        <w:tc>
          <w:tcPr>
            <w:tcW w:w="1208" w:type="dxa"/>
            <w:vAlign w:val="center"/>
          </w:tcPr>
          <w:p>
            <w:pPr>
              <w:spacing w:line="240" w:lineRule="auto"/>
              <w:ind w:firstLine="0" w:firstLineChars="0"/>
              <w:jc w:val="center"/>
              <w:rPr>
                <w:bCs/>
                <w:sz w:val="21"/>
                <w:szCs w:val="21"/>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spacing w:line="240" w:lineRule="auto"/>
              <w:ind w:firstLine="0" w:firstLineChars="0"/>
              <w:jc w:val="center"/>
              <w:rPr>
                <w:sz w:val="21"/>
                <w:szCs w:val="21"/>
              </w:rPr>
            </w:pPr>
          </w:p>
        </w:tc>
        <w:tc>
          <w:tcPr>
            <w:tcW w:w="1994" w:type="dxa"/>
            <w:vAlign w:val="center"/>
          </w:tcPr>
          <w:p>
            <w:pPr>
              <w:spacing w:line="240" w:lineRule="auto"/>
              <w:ind w:firstLine="0" w:firstLineChars="0"/>
              <w:jc w:val="center"/>
              <w:rPr>
                <w:kern w:val="0"/>
                <w:sz w:val="21"/>
                <w:szCs w:val="21"/>
              </w:rPr>
            </w:pPr>
            <w:r>
              <w:rPr>
                <w:spacing w:val="-6"/>
                <w:kern w:val="0"/>
                <w:sz w:val="21"/>
                <w:szCs w:val="21"/>
              </w:rPr>
              <w:t>阴离子表面活性剂</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kern w:val="0"/>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硫化物</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≤0.2</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widowControl/>
              <w:tabs>
                <w:tab w:val="left" w:pos="1890"/>
              </w:tabs>
              <w:spacing w:line="240" w:lineRule="auto"/>
              <w:ind w:firstLine="0" w:firstLineChars="0"/>
              <w:jc w:val="center"/>
              <w:rPr>
                <w:sz w:val="21"/>
                <w:szCs w:val="21"/>
              </w:rPr>
            </w:pPr>
            <w:r>
              <w:rPr>
                <w:sz w:val="21"/>
                <w:szCs w:val="21"/>
              </w:rPr>
              <w:t>叶绿素a</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kern w:val="0"/>
                <w:sz w:val="21"/>
                <w:szCs w:val="21"/>
              </w:rPr>
              <w:t>氟化物（氟离子）</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0.133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0.113</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0.132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0.174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0.126</w:t>
            </w:r>
          </w:p>
        </w:tc>
        <w:tc>
          <w:tcPr>
            <w:tcW w:w="1208" w:type="dxa"/>
            <w:vAlign w:val="center"/>
          </w:tcPr>
          <w:p>
            <w:pPr>
              <w:spacing w:line="240" w:lineRule="auto"/>
              <w:ind w:firstLine="0" w:firstLineChars="0"/>
              <w:jc w:val="center"/>
              <w:rPr>
                <w:bCs/>
                <w:sz w:val="21"/>
                <w:szCs w:val="21"/>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kern w:val="0"/>
                <w:sz w:val="21"/>
                <w:szCs w:val="21"/>
              </w:rPr>
              <w:t>硝酸根（硝酸盐氮）</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0.304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0.304</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0.314</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氯化物（氯离子）</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13.2</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14.0</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10.6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12.6</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11.4</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spacing w:line="240" w:lineRule="auto"/>
              <w:ind w:firstLine="0" w:firstLineChars="0"/>
              <w:jc w:val="center"/>
              <w:rPr>
                <w:sz w:val="21"/>
                <w:szCs w:val="21"/>
              </w:rPr>
            </w:pPr>
            <w:r>
              <w:rPr>
                <w:sz w:val="21"/>
                <w:szCs w:val="21"/>
                <w:shd w:val="clear" w:color="auto" w:fill="FFFFFF"/>
              </w:rPr>
              <w:t>硫酸盐（硫酸根）</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13.6</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21.4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13.4</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13.9</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12.6</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≤250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汞</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sz w:val="21"/>
                <w:szCs w:val="21"/>
              </w:rPr>
            </w:pPr>
            <w:r>
              <w:rPr>
                <w:sz w:val="21"/>
                <w:szCs w:val="21"/>
              </w:rPr>
              <w:t>砷</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tabs>
                <w:tab w:val="left" w:pos="1890"/>
              </w:tabs>
              <w:spacing w:line="240" w:lineRule="auto"/>
              <w:ind w:firstLine="0" w:firstLineChars="0"/>
              <w:jc w:val="center"/>
              <w:rPr>
                <w:sz w:val="21"/>
                <w:szCs w:val="21"/>
              </w:rPr>
            </w:pPr>
          </w:p>
        </w:tc>
        <w:tc>
          <w:tcPr>
            <w:tcW w:w="1994" w:type="dxa"/>
            <w:vAlign w:val="center"/>
          </w:tcPr>
          <w:p>
            <w:pPr>
              <w:tabs>
                <w:tab w:val="left" w:pos="1890"/>
              </w:tabs>
              <w:spacing w:line="240" w:lineRule="auto"/>
              <w:ind w:firstLine="0" w:firstLineChars="0"/>
              <w:jc w:val="center"/>
              <w:rPr>
                <w:bCs/>
                <w:sz w:val="21"/>
                <w:szCs w:val="21"/>
                <w:lang w:bidi="ar"/>
              </w:rPr>
            </w:pPr>
            <w:r>
              <w:rPr>
                <w:bCs/>
                <w:sz w:val="21"/>
                <w:szCs w:val="21"/>
                <w:lang w:bidi="ar"/>
              </w:rPr>
              <w:t>硒</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bCs/>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铅</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镉</w:t>
            </w:r>
          </w:p>
        </w:tc>
        <w:tc>
          <w:tcPr>
            <w:tcW w:w="880" w:type="dxa"/>
            <w:vAlign w:val="center"/>
          </w:tcPr>
          <w:p>
            <w:pPr>
              <w:spacing w:line="240" w:lineRule="auto"/>
              <w:ind w:firstLine="0" w:firstLineChars="0"/>
              <w:jc w:val="center"/>
              <w:rPr>
                <w:bCs/>
                <w:sz w:val="21"/>
                <w:szCs w:val="21"/>
                <w:lang w:bidi="ar"/>
              </w:rPr>
            </w:pPr>
            <w:r>
              <w:rPr>
                <w:sz w:val="21"/>
                <w:szCs w:val="21"/>
              </w:rPr>
              <w:t>μg/L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≤0.005</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textAlignment w:val="center"/>
              <w:rPr>
                <w:sz w:val="21"/>
                <w:szCs w:val="21"/>
              </w:rPr>
            </w:pPr>
          </w:p>
        </w:tc>
        <w:tc>
          <w:tcPr>
            <w:tcW w:w="1994" w:type="dxa"/>
            <w:vAlign w:val="center"/>
          </w:tcPr>
          <w:p>
            <w:pPr>
              <w:widowControl/>
              <w:spacing w:line="240" w:lineRule="auto"/>
              <w:ind w:firstLine="0" w:firstLineChars="0"/>
              <w:jc w:val="center"/>
              <w:textAlignment w:val="center"/>
              <w:rPr>
                <w:color w:val="000000"/>
                <w:kern w:val="0"/>
                <w:sz w:val="21"/>
                <w:szCs w:val="21"/>
                <w:lang w:bidi="ar"/>
              </w:rPr>
            </w:pPr>
            <w:r>
              <w:rPr>
                <w:sz w:val="21"/>
                <w:szCs w:val="21"/>
              </w:rPr>
              <w:t>铜</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color w:val="000000"/>
                <w:kern w:val="0"/>
                <w:sz w:val="21"/>
                <w:szCs w:val="21"/>
                <w:lang w:bidi="ar"/>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restart"/>
            <w:vAlign w:val="center"/>
          </w:tcPr>
          <w:p>
            <w:pPr>
              <w:widowControl/>
              <w:spacing w:line="240" w:lineRule="auto"/>
              <w:ind w:firstLine="0" w:firstLineChars="0"/>
              <w:jc w:val="center"/>
              <w:textAlignment w:val="center"/>
              <w:rPr>
                <w:sz w:val="21"/>
                <w:szCs w:val="21"/>
              </w:rPr>
            </w:pPr>
            <w:r>
              <w:rPr>
                <w:sz w:val="21"/>
                <w:szCs w:val="21"/>
              </w:rPr>
              <w:br w:type="page"/>
            </w:r>
            <w:r>
              <w:rPr>
                <w:sz w:val="21"/>
                <w:szCs w:val="21"/>
              </w:rPr>
              <w:br w:type="page"/>
            </w:r>
            <w:r>
              <w:rPr>
                <w:sz w:val="21"/>
                <w:szCs w:val="21"/>
              </w:rPr>
              <w:br w:type="page"/>
            </w:r>
            <w:r>
              <w:rPr>
                <w:sz w:val="21"/>
                <w:szCs w:val="21"/>
              </w:rPr>
              <w:br w:type="page"/>
            </w:r>
            <w:r>
              <w:rPr>
                <w:sz w:val="21"/>
                <w:szCs w:val="21"/>
              </w:rPr>
              <w:br w:type="page"/>
            </w:r>
            <w:r>
              <w:rPr>
                <w:bCs/>
                <w:kern w:val="0"/>
                <w:sz w:val="21"/>
                <w:szCs w:val="21"/>
              </w:rPr>
              <w:t>3月9日</w:t>
            </w:r>
            <w:r>
              <w:rPr>
                <w:sz w:val="21"/>
                <w:szCs w:val="21"/>
              </w:rPr>
              <w:br w:type="page"/>
            </w:r>
          </w:p>
        </w:tc>
        <w:tc>
          <w:tcPr>
            <w:tcW w:w="1994" w:type="dxa"/>
            <w:vAlign w:val="center"/>
          </w:tcPr>
          <w:p>
            <w:pPr>
              <w:widowControl/>
              <w:spacing w:line="240" w:lineRule="auto"/>
              <w:ind w:firstLine="0" w:firstLineChars="0"/>
              <w:jc w:val="center"/>
              <w:textAlignment w:val="center"/>
              <w:rPr>
                <w:sz w:val="21"/>
                <w:szCs w:val="21"/>
              </w:rPr>
            </w:pPr>
            <w:r>
              <w:rPr>
                <w:sz w:val="21"/>
                <w:szCs w:val="21"/>
              </w:rPr>
              <w:t>锌</w:t>
            </w:r>
          </w:p>
        </w:tc>
        <w:tc>
          <w:tcPr>
            <w:tcW w:w="880" w:type="dxa"/>
            <w:vAlign w:val="center"/>
          </w:tcPr>
          <w:p>
            <w:pPr>
              <w:spacing w:line="240" w:lineRule="auto"/>
              <w:ind w:firstLine="0" w:firstLineChars="0"/>
              <w:jc w:val="center"/>
              <w:rPr>
                <w:bCs/>
                <w:sz w:val="21"/>
                <w:szCs w:val="21"/>
                <w:lang w:bidi="ar"/>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kern w:val="0"/>
                <w:sz w:val="21"/>
                <w:szCs w:val="21"/>
                <w:lang w:bidi="ar"/>
              </w:rPr>
            </w:pPr>
            <w:r>
              <w:rPr>
                <w:bCs/>
                <w:kern w:val="0"/>
                <w:sz w:val="21"/>
                <w:szCs w:val="21"/>
                <w:lang w:bidi="ar"/>
              </w:rPr>
              <w:t>≤1.0</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铁</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≤0.3</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锰</w:t>
            </w:r>
          </w:p>
        </w:tc>
        <w:tc>
          <w:tcPr>
            <w:tcW w:w="880" w:type="dxa"/>
            <w:vAlign w:val="center"/>
          </w:tcPr>
          <w:p>
            <w:pPr>
              <w:spacing w:line="240" w:lineRule="auto"/>
              <w:ind w:firstLine="0" w:firstLineChars="0"/>
              <w:jc w:val="center"/>
              <w:rPr>
                <w:sz w:val="21"/>
                <w:szCs w:val="21"/>
              </w:rPr>
            </w:pPr>
            <w:r>
              <w:rPr>
                <w:bCs/>
                <w:sz w:val="21"/>
                <w:szCs w:val="21"/>
                <w:lang w:bidi="ar"/>
              </w:rPr>
              <w:t>mg/L</w:t>
            </w:r>
          </w:p>
        </w:tc>
        <w:tc>
          <w:tcPr>
            <w:tcW w:w="914" w:type="dxa"/>
            <w:vAlign w:val="center"/>
          </w:tcPr>
          <w:p>
            <w:pPr>
              <w:widowControl/>
              <w:spacing w:line="240" w:lineRule="auto"/>
              <w:ind w:firstLine="0" w:firstLineChars="0"/>
              <w:jc w:val="center"/>
              <w:textAlignment w:val="center"/>
              <w:rPr>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4"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915" w:type="dxa"/>
            <w:vAlign w:val="center"/>
          </w:tcPr>
          <w:p>
            <w:pPr>
              <w:widowControl/>
              <w:spacing w:line="240" w:lineRule="auto"/>
              <w:ind w:firstLine="0" w:firstLineChars="0"/>
              <w:jc w:val="center"/>
              <w:textAlignment w:val="center"/>
              <w:rPr>
                <w:bCs/>
                <w:sz w:val="21"/>
                <w:szCs w:val="21"/>
              </w:rPr>
            </w:pPr>
            <w:r>
              <w:rPr>
                <w:color w:val="000000"/>
                <w:kern w:val="0"/>
                <w:sz w:val="21"/>
                <w:szCs w:val="21"/>
                <w:lang w:bidi="ar"/>
              </w:rPr>
              <w:t>未检出</w:t>
            </w:r>
          </w:p>
        </w:tc>
        <w:tc>
          <w:tcPr>
            <w:tcW w:w="1208" w:type="dxa"/>
            <w:vAlign w:val="center"/>
          </w:tcPr>
          <w:p>
            <w:pPr>
              <w:spacing w:line="240" w:lineRule="auto"/>
              <w:ind w:firstLine="0" w:firstLineChars="0"/>
              <w:jc w:val="center"/>
              <w:rPr>
                <w:bCs/>
                <w:sz w:val="21"/>
                <w:szCs w:val="21"/>
              </w:rPr>
            </w:pPr>
            <w:r>
              <w:rPr>
                <w:bCs/>
                <w:kern w:val="0"/>
                <w:sz w:val="21"/>
                <w:szCs w:val="21"/>
                <w:lang w:bidi="ar"/>
              </w:rPr>
              <w:t>≤0.1</w:t>
            </w:r>
            <w:r>
              <w:rPr>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0" w:hRule="atLeast"/>
          <w:jc w:val="center"/>
        </w:trPr>
        <w:tc>
          <w:tcPr>
            <w:tcW w:w="1098" w:type="dxa"/>
            <w:vMerge w:val="continue"/>
            <w:vAlign w:val="center"/>
          </w:tcPr>
          <w:p>
            <w:pPr>
              <w:widowControl/>
              <w:spacing w:line="240" w:lineRule="auto"/>
              <w:ind w:firstLine="0" w:firstLineChars="0"/>
              <w:jc w:val="center"/>
              <w:rPr>
                <w:sz w:val="21"/>
                <w:szCs w:val="21"/>
              </w:rPr>
            </w:pPr>
          </w:p>
        </w:tc>
        <w:tc>
          <w:tcPr>
            <w:tcW w:w="1994" w:type="dxa"/>
            <w:vAlign w:val="center"/>
          </w:tcPr>
          <w:p>
            <w:pPr>
              <w:widowControl/>
              <w:spacing w:line="240" w:lineRule="auto"/>
              <w:ind w:firstLine="0" w:firstLineChars="0"/>
              <w:jc w:val="center"/>
              <w:rPr>
                <w:sz w:val="21"/>
                <w:szCs w:val="21"/>
              </w:rPr>
            </w:pPr>
            <w:r>
              <w:rPr>
                <w:sz w:val="21"/>
                <w:szCs w:val="21"/>
              </w:rPr>
              <w:t>粪大肠菌群</w:t>
            </w:r>
          </w:p>
        </w:tc>
        <w:tc>
          <w:tcPr>
            <w:tcW w:w="880" w:type="dxa"/>
            <w:vAlign w:val="center"/>
          </w:tcPr>
          <w:p>
            <w:pPr>
              <w:spacing w:line="240" w:lineRule="auto"/>
              <w:ind w:firstLine="0" w:firstLineChars="0"/>
              <w:jc w:val="center"/>
              <w:rPr>
                <w:bCs/>
                <w:sz w:val="21"/>
                <w:szCs w:val="21"/>
                <w:lang w:bidi="ar"/>
              </w:rPr>
            </w:pPr>
            <w:r>
              <w:rPr>
                <w:sz w:val="21"/>
                <w:szCs w:val="21"/>
              </w:rPr>
              <w:t>MPN/L</w:t>
            </w:r>
          </w:p>
        </w:tc>
        <w:tc>
          <w:tcPr>
            <w:tcW w:w="914" w:type="dxa"/>
            <w:vAlign w:val="center"/>
          </w:tcPr>
          <w:p>
            <w:pPr>
              <w:widowControl/>
              <w:spacing w:line="240" w:lineRule="auto"/>
              <w:ind w:firstLine="0" w:firstLineChars="0"/>
              <w:jc w:val="center"/>
              <w:textAlignment w:val="center"/>
              <w:rPr>
                <w:sz w:val="21"/>
                <w:szCs w:val="21"/>
              </w:rPr>
            </w:pPr>
            <w:r>
              <w:rPr>
                <w:rFonts w:hint="eastAsia"/>
                <w:sz w:val="21"/>
                <w:szCs w:val="21"/>
              </w:rPr>
              <w:t>1.0</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1.5</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1.2</w:t>
            </w:r>
            <w:r>
              <w:rPr>
                <w:color w:val="000000"/>
                <w:kern w:val="0"/>
                <w:sz w:val="21"/>
                <w:szCs w:val="21"/>
                <w:lang w:bidi="ar"/>
              </w:rPr>
              <w:t>×10</w:t>
            </w:r>
            <w:r>
              <w:rPr>
                <w:color w:val="000000"/>
                <w:kern w:val="0"/>
                <w:sz w:val="21"/>
                <w:szCs w:val="21"/>
                <w:vertAlign w:val="superscript"/>
                <w:lang w:bidi="ar"/>
              </w:rPr>
              <w:t>2</w:t>
            </w:r>
          </w:p>
        </w:tc>
        <w:tc>
          <w:tcPr>
            <w:tcW w:w="914" w:type="dxa"/>
            <w:vAlign w:val="center"/>
          </w:tcPr>
          <w:p>
            <w:pPr>
              <w:widowControl/>
              <w:spacing w:line="240" w:lineRule="auto"/>
              <w:ind w:firstLine="0" w:firstLineChars="0"/>
              <w:jc w:val="center"/>
              <w:textAlignment w:val="center"/>
              <w:rPr>
                <w:bCs/>
                <w:sz w:val="21"/>
                <w:szCs w:val="21"/>
              </w:rPr>
            </w:pPr>
            <w:r>
              <w:rPr>
                <w:rFonts w:hint="eastAsia"/>
                <w:bCs/>
                <w:sz w:val="21"/>
                <w:szCs w:val="21"/>
              </w:rPr>
              <w:t>94</w:t>
            </w:r>
          </w:p>
        </w:tc>
        <w:tc>
          <w:tcPr>
            <w:tcW w:w="915" w:type="dxa"/>
            <w:vAlign w:val="center"/>
          </w:tcPr>
          <w:p>
            <w:pPr>
              <w:widowControl/>
              <w:spacing w:line="240" w:lineRule="auto"/>
              <w:ind w:firstLine="0" w:firstLineChars="0"/>
              <w:jc w:val="center"/>
              <w:textAlignment w:val="center"/>
              <w:rPr>
                <w:bCs/>
                <w:sz w:val="21"/>
                <w:szCs w:val="21"/>
              </w:rPr>
            </w:pPr>
            <w:r>
              <w:rPr>
                <w:rFonts w:hint="eastAsia"/>
                <w:bCs/>
                <w:sz w:val="21"/>
                <w:szCs w:val="21"/>
              </w:rPr>
              <w:t>84</w:t>
            </w:r>
          </w:p>
        </w:tc>
        <w:tc>
          <w:tcPr>
            <w:tcW w:w="1208" w:type="dxa"/>
            <w:vAlign w:val="center"/>
          </w:tcPr>
          <w:p>
            <w:pPr>
              <w:spacing w:line="240" w:lineRule="auto"/>
              <w:ind w:firstLine="0" w:firstLineChars="0"/>
              <w:jc w:val="center"/>
              <w:rPr>
                <w:bCs/>
                <w:sz w:val="21"/>
                <w:szCs w:val="21"/>
              </w:rPr>
            </w:pPr>
            <w:r>
              <w:rPr>
                <w:bCs/>
                <w:sz w:val="21"/>
                <w:szCs w:val="21"/>
              </w:rPr>
              <w:t>10000个</w:t>
            </w:r>
            <w:r>
              <w:rPr>
                <w:kern w:val="0"/>
                <w:sz w:val="21"/>
                <w:szCs w:val="21"/>
                <w:lang w:bidi="ar"/>
              </w:rPr>
              <w:t>/L</w:t>
            </w:r>
          </w:p>
        </w:tc>
      </w:tr>
    </w:tbl>
    <w:p>
      <w:pPr>
        <w:pStyle w:val="79"/>
        <w:adjustRightInd/>
        <w:ind w:firstLine="422"/>
        <w:contextualSpacing/>
        <w:jc w:val="center"/>
        <w:rPr>
          <w:rFonts w:ascii="Times New Roman" w:hAnsi="Times New Roman" w:cs="Times New Roman"/>
          <w:b/>
          <w:bCs/>
          <w:color w:val="auto"/>
          <w:sz w:val="21"/>
          <w:szCs w:val="21"/>
        </w:rPr>
      </w:pPr>
    </w:p>
    <w:p>
      <w:pPr>
        <w:pStyle w:val="2"/>
        <w:spacing w:before="0"/>
        <w:ind w:firstLine="480"/>
        <w:contextualSpacing/>
        <w:rPr>
          <w:rFonts w:ascii="Times New Roman" w:hAnsi="Times New Roman"/>
        </w:rPr>
        <w:sectPr>
          <w:footerReference r:id="rId23" w:type="default"/>
          <w:pgSz w:w="16838" w:h="11905" w:orient="landscape"/>
          <w:pgMar w:top="1803" w:right="1440" w:bottom="1803" w:left="1440" w:header="851" w:footer="992" w:gutter="0"/>
          <w:cols w:space="720" w:num="1"/>
          <w:docGrid w:type="lines" w:linePitch="331" w:charSpace="0"/>
        </w:sectPr>
      </w:pPr>
    </w:p>
    <w:p>
      <w:pPr>
        <w:ind w:firstLine="480"/>
        <w:contextualSpacing/>
      </w:pPr>
      <w:r>
        <w:t>（5）水质现状评价</w:t>
      </w:r>
    </w:p>
    <w:p>
      <w:pPr>
        <w:ind w:firstLine="480"/>
        <w:contextualSpacing/>
      </w:pPr>
      <w:r>
        <w:t>1）评价方法</w:t>
      </w:r>
    </w:p>
    <w:p>
      <w:pPr>
        <w:ind w:firstLine="480"/>
        <w:contextualSpacing/>
      </w:pPr>
      <w:r>
        <w:t>根据《地表水环境质量评价办法（试行）》（2011年3月）评价寒溪寺水库地表水环境质量，具体分为断面水质评价以及河流水质评价。</w:t>
      </w:r>
    </w:p>
    <w:p>
      <w:pPr>
        <w:ind w:firstLine="480"/>
        <w:contextualSpacing/>
      </w:pPr>
      <w:r>
        <w:t>断面水质评价：</w:t>
      </w:r>
    </w:p>
    <w:p>
      <w:pPr>
        <w:ind w:firstLine="480"/>
        <w:contextualSpacing/>
      </w:pPr>
      <w:r>
        <w:t>断面水质评价采用单因子评价指数法。采用断面水质类别比例法，即根据评价河流、流域（水系）中各水质类别断面数占河流、流域（水系）所有评价断面总数百分比来评价其水质状况。断面水质定性评价分级的对应关系见下表：</w:t>
      </w:r>
    </w:p>
    <w:p>
      <w:pPr>
        <w:pStyle w:val="73"/>
        <w:adjustRightInd/>
        <w:snapToGrid/>
        <w:ind w:firstLine="0" w:firstLineChars="0"/>
        <w:contextualSpacing/>
        <w:rPr>
          <w:rFonts w:eastAsia="宋体"/>
          <w:b/>
          <w:bCs/>
          <w:sz w:val="21"/>
          <w:szCs w:val="16"/>
        </w:rPr>
      </w:pPr>
      <w:r>
        <w:rPr>
          <w:rFonts w:eastAsia="宋体"/>
          <w:b/>
          <w:bCs/>
          <w:sz w:val="21"/>
          <w:szCs w:val="16"/>
        </w:rPr>
        <w:t>表4.6.2-2  断面水质定性评价</w:t>
      </w:r>
    </w:p>
    <w:tbl>
      <w:tblPr>
        <w:tblStyle w:val="38"/>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5"/>
        <w:gridCol w:w="4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水质类别</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Ⅰ~Ⅱ类水质</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Ⅲ类水质</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Ⅳ类水质</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Ⅴ类水质</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7"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劣Ⅴ类水质</w:t>
            </w:r>
          </w:p>
        </w:tc>
        <w:tc>
          <w:tcPr>
            <w:tcW w:w="4259" w:type="dxa"/>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重度污染</w:t>
            </w:r>
          </w:p>
        </w:tc>
      </w:tr>
    </w:tbl>
    <w:p>
      <w:pPr>
        <w:ind w:firstLine="480"/>
        <w:contextualSpacing/>
      </w:pPr>
      <w:r>
        <w:t>单因子评价法：单项水质参数i在j点的标准指数的计算公式为：</w:t>
      </w:r>
    </w:p>
    <w:p>
      <w:pPr>
        <w:ind w:firstLine="480"/>
        <w:contextualSpacing/>
        <w:jc w:val="left"/>
      </w:pPr>
      <w:r>
        <w:t>Sij=Cij/Csi</w:t>
      </w:r>
    </w:p>
    <w:p>
      <w:pPr>
        <w:ind w:firstLine="480"/>
        <w:contextualSpacing/>
      </w:pPr>
      <w:r>
        <w:t>式中：Sij——单项水质参数i在j点的标准指数；</w:t>
      </w:r>
    </w:p>
    <w:p>
      <w:pPr>
        <w:ind w:firstLine="480"/>
        <w:contextualSpacing/>
      </w:pPr>
      <w:r>
        <w:t>Cij——评价因子i在监测点j的浓度值，mg/L；</w:t>
      </w:r>
    </w:p>
    <w:p>
      <w:pPr>
        <w:ind w:firstLine="480"/>
        <w:contextualSpacing/>
      </w:pPr>
      <w:r>
        <w:t>CSi——评价因子i的地表水质标准限值，mg/L。</w:t>
      </w:r>
    </w:p>
    <w:p>
      <w:pPr>
        <w:ind w:firstLine="480"/>
        <w:contextualSpacing/>
      </w:pPr>
      <w:r>
        <w:t>pH值标准指数的计算公式为：</w:t>
      </w:r>
    </w:p>
    <w:p>
      <w:pPr>
        <w:pStyle w:val="2"/>
        <w:spacing w:before="0"/>
        <w:ind w:firstLine="480"/>
        <w:contextualSpacing/>
        <w:jc w:val="left"/>
        <w:rPr>
          <w:rFonts w:ascii="Times New Roman" w:hAnsi="Times New Roman"/>
        </w:rPr>
      </w:pPr>
      <w:r>
        <w:rPr>
          <w:rFonts w:ascii="Times New Roman" w:hAnsi="Times New Roman"/>
        </w:rPr>
        <w:drawing>
          <wp:inline distT="0" distB="0" distL="0" distR="0">
            <wp:extent cx="1039495" cy="40640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39495" cy="406400"/>
                    </a:xfrm>
                    <a:prstGeom prst="rect">
                      <a:avLst/>
                    </a:prstGeom>
                    <a:noFill/>
                    <a:ln>
                      <a:noFill/>
                    </a:ln>
                  </pic:spPr>
                </pic:pic>
              </a:graphicData>
            </a:graphic>
          </wp:inline>
        </w:drawing>
      </w:r>
      <w:r>
        <w:rPr>
          <w:rFonts w:ascii="Times New Roman" w:hAnsi="Times New Roman"/>
        </w:rPr>
        <w:t xml:space="preserve">         （pHj≤7）</w:t>
      </w:r>
    </w:p>
    <w:p>
      <w:pPr>
        <w:pStyle w:val="2"/>
        <w:spacing w:before="0"/>
        <w:ind w:firstLine="480"/>
        <w:contextualSpacing/>
        <w:rPr>
          <w:rFonts w:ascii="Times New Roman" w:hAnsi="Times New Roman"/>
        </w:rPr>
      </w:pPr>
      <w:r>
        <w:rPr>
          <w:rFonts w:ascii="Times New Roman" w:hAnsi="Times New Roman"/>
        </w:rPr>
        <w:drawing>
          <wp:inline distT="0" distB="0" distL="0" distR="0">
            <wp:extent cx="1022985" cy="406400"/>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2985" cy="406400"/>
                    </a:xfrm>
                    <a:prstGeom prst="rect">
                      <a:avLst/>
                    </a:prstGeom>
                    <a:noFill/>
                    <a:ln>
                      <a:noFill/>
                    </a:ln>
                  </pic:spPr>
                </pic:pic>
              </a:graphicData>
            </a:graphic>
          </wp:inline>
        </w:drawing>
      </w:r>
      <w:r>
        <w:rPr>
          <w:rFonts w:ascii="Times New Roman" w:hAnsi="Times New Roman"/>
        </w:rPr>
        <w:t xml:space="preserve">          （pH</w:t>
      </w:r>
      <w:r>
        <w:rPr>
          <w:rFonts w:ascii="Times New Roman" w:hAnsi="Times New Roman"/>
          <w:vertAlign w:val="subscript"/>
        </w:rPr>
        <w:t>j</w:t>
      </w:r>
      <w:r>
        <w:rPr>
          <w:rFonts w:ascii="Times New Roman" w:hAnsi="Times New Roman"/>
        </w:rPr>
        <w:t>&gt;7）</w:t>
      </w:r>
    </w:p>
    <w:p>
      <w:pPr>
        <w:pStyle w:val="2"/>
        <w:spacing w:before="0"/>
        <w:ind w:firstLine="480"/>
        <w:contextualSpacing/>
        <w:jc w:val="left"/>
        <w:rPr>
          <w:rFonts w:ascii="Times New Roman" w:hAnsi="Times New Roman"/>
        </w:rPr>
      </w:pPr>
      <w:r>
        <w:rPr>
          <w:rFonts w:ascii="Times New Roman" w:hAnsi="Times New Roman"/>
        </w:rPr>
        <w:t>式中：S</w:t>
      </w:r>
      <w:r>
        <w:rPr>
          <w:rFonts w:ascii="Times New Roman" w:hAnsi="Times New Roman"/>
          <w:vertAlign w:val="subscript"/>
        </w:rPr>
        <w:t>pH，j</w:t>
      </w:r>
      <w:r>
        <w:rPr>
          <w:rFonts w:ascii="Times New Roman" w:hAnsi="Times New Roman"/>
        </w:rPr>
        <w:t>——单项水质参数pH在j点的标准指数；</w:t>
      </w:r>
    </w:p>
    <w:p>
      <w:pPr>
        <w:pStyle w:val="2"/>
        <w:spacing w:before="0"/>
        <w:ind w:firstLine="480"/>
        <w:contextualSpacing/>
        <w:jc w:val="left"/>
        <w:rPr>
          <w:rFonts w:ascii="Times New Roman" w:hAnsi="Times New Roman"/>
        </w:rPr>
      </w:pPr>
      <w:r>
        <w:rPr>
          <w:rFonts w:ascii="Times New Roman" w:hAnsi="Times New Roman"/>
        </w:rPr>
        <w:t>pH</w:t>
      </w:r>
      <w:r>
        <w:rPr>
          <w:rFonts w:ascii="Times New Roman" w:hAnsi="Times New Roman"/>
          <w:vertAlign w:val="subscript"/>
        </w:rPr>
        <w:t>j</w:t>
      </w:r>
      <w:r>
        <w:rPr>
          <w:rFonts w:ascii="Times New Roman" w:hAnsi="Times New Roman"/>
        </w:rPr>
        <w:t>——水质参数pH在j点的实测值；</w:t>
      </w:r>
    </w:p>
    <w:p>
      <w:pPr>
        <w:pStyle w:val="2"/>
        <w:spacing w:before="0"/>
        <w:ind w:firstLine="480"/>
        <w:contextualSpacing/>
        <w:jc w:val="left"/>
        <w:rPr>
          <w:rFonts w:ascii="Times New Roman" w:hAnsi="Times New Roman"/>
        </w:rPr>
      </w:pPr>
      <w:r>
        <w:rPr>
          <w:rFonts w:ascii="Times New Roman" w:hAnsi="Times New Roman"/>
        </w:rPr>
        <w:t>pH</w:t>
      </w:r>
      <w:r>
        <w:rPr>
          <w:rFonts w:ascii="Times New Roman" w:hAnsi="Times New Roman"/>
          <w:vertAlign w:val="subscript"/>
        </w:rPr>
        <w:t>sd</w:t>
      </w:r>
      <w:r>
        <w:rPr>
          <w:rFonts w:ascii="Times New Roman" w:hAnsi="Times New Roman"/>
        </w:rPr>
        <w:t>——地表水水质标准中规定的pH的下限值，mg/L；</w:t>
      </w:r>
    </w:p>
    <w:p>
      <w:pPr>
        <w:pStyle w:val="2"/>
        <w:spacing w:before="0"/>
        <w:ind w:firstLine="480"/>
        <w:contextualSpacing/>
        <w:jc w:val="left"/>
        <w:rPr>
          <w:rFonts w:ascii="Times New Roman" w:hAnsi="Times New Roman"/>
        </w:rPr>
      </w:pPr>
      <w:r>
        <w:rPr>
          <w:rFonts w:ascii="Times New Roman" w:hAnsi="Times New Roman"/>
        </w:rPr>
        <w:t>pH</w:t>
      </w:r>
      <w:r>
        <w:rPr>
          <w:rFonts w:ascii="Times New Roman" w:hAnsi="Times New Roman"/>
          <w:vertAlign w:val="subscript"/>
        </w:rPr>
        <w:t>su</w:t>
      </w:r>
      <w:r>
        <w:rPr>
          <w:rFonts w:ascii="Times New Roman" w:hAnsi="Times New Roman"/>
        </w:rPr>
        <w:t>——地表水水质标准中规定的pH的上限值，mg/L。</w:t>
      </w:r>
    </w:p>
    <w:p>
      <w:pPr>
        <w:pStyle w:val="2"/>
        <w:spacing w:before="0"/>
        <w:ind w:firstLine="480"/>
        <w:contextualSpacing/>
        <w:jc w:val="left"/>
        <w:rPr>
          <w:rFonts w:ascii="Times New Roman" w:hAnsi="Times New Roman"/>
        </w:rPr>
      </w:pPr>
      <w:r>
        <w:rPr>
          <w:rFonts w:ascii="Times New Roman" w:hAnsi="Times New Roman"/>
        </w:rPr>
        <w:t>DO标准指数的计算公式为：</w:t>
      </w:r>
    </w:p>
    <w:p>
      <w:pPr>
        <w:pStyle w:val="2"/>
        <w:spacing w:before="0"/>
        <w:ind w:firstLine="480"/>
        <w:contextualSpacing/>
        <w:jc w:val="left"/>
        <w:rPr>
          <w:rFonts w:ascii="Times New Roman" w:hAnsi="Times New Roman"/>
        </w:rPr>
      </w:pPr>
      <w:r>
        <w:rPr>
          <w:rFonts w:ascii="Times New Roman" w:hAnsi="Times New Roman"/>
          <w:position w:val="-24"/>
        </w:rPr>
        <w:object>
          <v:shape id="_x0000_i1033" o:spt="75" type="#_x0000_t75" style="height:30.75pt;width:92.3pt;" o:ole="t" filled="f" o:preferrelative="t" stroked="f" coordsize="21600,21600">
            <v:path/>
            <v:fill on="f" focussize="0,0"/>
            <v:stroke on="f" joinstyle="miter"/>
            <v:imagedata r:id="rId62" o:title=""/>
            <o:lock v:ext="edit" aspectratio="t"/>
            <w10:wrap type="none"/>
            <w10:anchorlock/>
          </v:shape>
          <o:OLEObject Type="Embed" ProgID="Equation.3" ShapeID="_x0000_i1033" DrawAspect="Content" ObjectID="_1468075731" r:id="rId61">
            <o:LockedField>false</o:LockedField>
          </o:OLEObject>
        </w:object>
      </w:r>
      <w:r>
        <w:rPr>
          <w:rFonts w:ascii="Times New Roman" w:hAnsi="Times New Roman"/>
        </w:rPr>
        <w:t xml:space="preserve">      （DOj≥DOs）</w:t>
      </w:r>
    </w:p>
    <w:p>
      <w:pPr>
        <w:pStyle w:val="2"/>
        <w:spacing w:before="0"/>
        <w:ind w:firstLine="427" w:firstLineChars="178"/>
        <w:contextualSpacing/>
        <w:jc w:val="left"/>
        <w:rPr>
          <w:rFonts w:ascii="Times New Roman" w:hAnsi="Times New Roman"/>
        </w:rPr>
      </w:pPr>
      <w:r>
        <w:rPr>
          <w:rFonts w:ascii="Times New Roman" w:hAnsi="Times New Roman"/>
          <w:position w:val="-24"/>
        </w:rPr>
        <w:object>
          <v:shape id="_x0000_i1034" o:spt="75" type="#_x0000_t75" style="height:30.75pt;width:91.65pt;" o:ole="t" filled="f" o:preferrelative="t" stroked="f" coordsize="21600,21600">
            <v:path/>
            <v:fill on="f" focussize="0,0"/>
            <v:stroke on="f" joinstyle="miter"/>
            <v:imagedata r:id="rId64" o:title=""/>
            <o:lock v:ext="edit" aspectratio="t"/>
            <w10:wrap type="none"/>
            <w10:anchorlock/>
          </v:shape>
          <o:OLEObject Type="Embed" ProgID="Equation.3" ShapeID="_x0000_i1034" DrawAspect="Content" ObjectID="_1468075732" r:id="rId63">
            <o:LockedField>false</o:LockedField>
          </o:OLEObject>
        </w:object>
      </w:r>
      <w:r>
        <w:rPr>
          <w:rFonts w:ascii="Times New Roman" w:hAnsi="Times New Roman"/>
        </w:rPr>
        <w:t xml:space="preserve">      （DOj&lt;DOs）</w:t>
      </w:r>
    </w:p>
    <w:p>
      <w:pPr>
        <w:pStyle w:val="2"/>
        <w:spacing w:before="0"/>
        <w:ind w:firstLine="480"/>
        <w:contextualSpacing/>
        <w:jc w:val="left"/>
        <w:rPr>
          <w:rFonts w:ascii="Times New Roman" w:hAnsi="Times New Roman"/>
        </w:rPr>
      </w:pPr>
      <w:r>
        <w:rPr>
          <w:rFonts w:ascii="Times New Roman" w:hAnsi="Times New Roman"/>
        </w:rPr>
        <w:t>式中：S</w:t>
      </w:r>
      <w:r>
        <w:rPr>
          <w:rFonts w:ascii="Times New Roman" w:hAnsi="Times New Roman"/>
          <w:vertAlign w:val="subscript"/>
        </w:rPr>
        <w:t>DO，j</w:t>
      </w:r>
      <w:r>
        <w:rPr>
          <w:rFonts w:ascii="Times New Roman" w:hAnsi="Times New Roman"/>
        </w:rPr>
        <w:t>——单项水质参数DO在j点的标准指数；</w:t>
      </w:r>
    </w:p>
    <w:p>
      <w:pPr>
        <w:pStyle w:val="2"/>
        <w:spacing w:before="0"/>
        <w:ind w:firstLine="480"/>
        <w:contextualSpacing/>
        <w:jc w:val="left"/>
        <w:rPr>
          <w:rFonts w:ascii="Times New Roman" w:hAnsi="Times New Roman"/>
        </w:rPr>
      </w:pPr>
      <w:r>
        <w:rPr>
          <w:rFonts w:ascii="Times New Roman" w:hAnsi="Times New Roman"/>
        </w:rPr>
        <w:t>DO</w:t>
      </w:r>
      <w:r>
        <w:rPr>
          <w:rFonts w:ascii="Times New Roman" w:hAnsi="Times New Roman"/>
          <w:vertAlign w:val="subscript"/>
        </w:rPr>
        <w:t>j</w:t>
      </w:r>
      <w:r>
        <w:rPr>
          <w:rFonts w:ascii="Times New Roman" w:hAnsi="Times New Roman"/>
        </w:rPr>
        <w:t>——水质参数DO在j点的浓度，mg/L；</w:t>
      </w:r>
    </w:p>
    <w:p>
      <w:pPr>
        <w:pStyle w:val="2"/>
        <w:spacing w:before="0"/>
        <w:ind w:firstLine="480"/>
        <w:contextualSpacing/>
        <w:jc w:val="left"/>
        <w:rPr>
          <w:rFonts w:ascii="Times New Roman" w:hAnsi="Times New Roman"/>
        </w:rPr>
      </w:pPr>
      <w:r>
        <w:rPr>
          <w:rFonts w:ascii="Times New Roman" w:hAnsi="Times New Roman"/>
        </w:rPr>
        <w:t>DO</w:t>
      </w:r>
      <w:r>
        <w:rPr>
          <w:rFonts w:ascii="Times New Roman" w:hAnsi="Times New Roman"/>
          <w:vertAlign w:val="subscript"/>
        </w:rPr>
        <w:t>f</w:t>
      </w:r>
      <w:r>
        <w:rPr>
          <w:rFonts w:ascii="Times New Roman" w:hAnsi="Times New Roman"/>
        </w:rPr>
        <w:t>——某水温条件下的饱和DO浓度，mg/L，其计算公式为：</w:t>
      </w:r>
    </w:p>
    <w:p>
      <w:pPr>
        <w:ind w:left="138" w:firstLine="480"/>
        <w:contextualSpacing/>
        <w:jc w:val="left"/>
      </w:pPr>
      <w:r>
        <w:t>DOf=468/（31.6+T）</w:t>
      </w:r>
    </w:p>
    <w:p>
      <w:pPr>
        <w:ind w:left="138" w:firstLine="480"/>
        <w:contextualSpacing/>
      </w:pPr>
      <w:r>
        <w:t>DOS——DO的地表水水质标准限值，mg/L。</w:t>
      </w:r>
    </w:p>
    <w:p>
      <w:pPr>
        <w:ind w:firstLine="480"/>
        <w:contextualSpacing/>
      </w:pPr>
      <w:r>
        <w:t>当各项参数的标准指数≤1时，表明该水质要素满足规定的水质标准要求；当各项参数的标准指数＞1时，则表明该水质要素不能满足水质标准要求。</w:t>
      </w:r>
    </w:p>
    <w:p>
      <w:pPr>
        <w:ind w:firstLine="480"/>
        <w:contextualSpacing/>
      </w:pPr>
      <w:r>
        <w:t>2）河流水质评价</w:t>
      </w:r>
    </w:p>
    <w:p>
      <w:pPr>
        <w:ind w:firstLine="480"/>
        <w:contextualSpacing/>
      </w:pPr>
      <w:r>
        <w:t>当河流、流域（水系）的断面总数少于5个时，计算河流、流域（水系）所有断面各评价指标浓度算术平均值，然后按照“断面水质评价”方法评价；当河流、流域（水系）的断面总数在5个以上时，采用断面水质类别比例法，即根据评价河流、流域（水系）中各水质类别断面数占河流、流域（水系）所有评价断面总数百分比来评价其水质状况。</w:t>
      </w:r>
    </w:p>
    <w:p>
      <w:pPr>
        <w:ind w:firstLine="480"/>
        <w:contextualSpacing/>
      </w:pPr>
      <w:r>
        <w:t>河流、流域（水系）水质类别比例与水质定型评价分级的对应关系见下表：</w:t>
      </w:r>
    </w:p>
    <w:p>
      <w:pPr>
        <w:pStyle w:val="73"/>
        <w:adjustRightInd/>
        <w:snapToGrid/>
        <w:ind w:firstLine="0" w:firstLineChars="0"/>
        <w:contextualSpacing/>
        <w:rPr>
          <w:rFonts w:eastAsia="宋体"/>
          <w:b/>
          <w:bCs/>
          <w:sz w:val="21"/>
          <w:szCs w:val="16"/>
        </w:rPr>
      </w:pPr>
      <w:r>
        <w:rPr>
          <w:rFonts w:eastAsia="宋体"/>
          <w:b/>
          <w:bCs/>
          <w:sz w:val="21"/>
          <w:szCs w:val="16"/>
        </w:rPr>
        <w:t>表4.6.2-3  河流、流域（水系）水质定性评价分级</w:t>
      </w:r>
    </w:p>
    <w:tbl>
      <w:tblPr>
        <w:tblStyle w:val="38"/>
        <w:tblW w:w="8280" w:type="dxa"/>
        <w:tblInd w:w="0" w:type="dxa"/>
        <w:tblLayout w:type="fixed"/>
        <w:tblCellMar>
          <w:top w:w="0" w:type="dxa"/>
          <w:left w:w="0" w:type="dxa"/>
          <w:bottom w:w="0" w:type="dxa"/>
          <w:right w:w="0" w:type="dxa"/>
        </w:tblCellMar>
      </w:tblPr>
      <w:tblGrid>
        <w:gridCol w:w="5643"/>
        <w:gridCol w:w="2637"/>
      </w:tblGrid>
      <w:tr>
        <w:tblPrEx>
          <w:tblCellMar>
            <w:top w:w="0" w:type="dxa"/>
            <w:left w:w="0" w:type="dxa"/>
            <w:bottom w:w="0" w:type="dxa"/>
            <w:right w:w="0" w:type="dxa"/>
          </w:tblCellMar>
        </w:tblPrEx>
        <w:trPr>
          <w:trHeight w:val="361"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水质类别比例</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水质状况</w:t>
            </w:r>
          </w:p>
        </w:tc>
      </w:tr>
      <w:tr>
        <w:tblPrEx>
          <w:tblCellMar>
            <w:top w:w="0" w:type="dxa"/>
            <w:left w:w="0" w:type="dxa"/>
            <w:bottom w:w="0" w:type="dxa"/>
            <w:right w:w="0" w:type="dxa"/>
          </w:tblCellMar>
        </w:tblPrEx>
        <w:trPr>
          <w:trHeight w:val="423"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Ⅰ~Ⅲ类水质比例≥90%</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优</w:t>
            </w:r>
          </w:p>
        </w:tc>
      </w:tr>
      <w:tr>
        <w:tblPrEx>
          <w:tblCellMar>
            <w:top w:w="0" w:type="dxa"/>
            <w:left w:w="0" w:type="dxa"/>
            <w:bottom w:w="0" w:type="dxa"/>
            <w:right w:w="0" w:type="dxa"/>
          </w:tblCellMar>
        </w:tblPrEx>
        <w:trPr>
          <w:trHeight w:val="429"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75%≤Ⅰ~Ⅲ类水质比例＜90%</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良好</w:t>
            </w:r>
          </w:p>
        </w:tc>
      </w:tr>
      <w:tr>
        <w:tblPrEx>
          <w:tblCellMar>
            <w:top w:w="0" w:type="dxa"/>
            <w:left w:w="0" w:type="dxa"/>
            <w:bottom w:w="0" w:type="dxa"/>
            <w:right w:w="0" w:type="dxa"/>
          </w:tblCellMar>
        </w:tblPrEx>
        <w:trPr>
          <w:trHeight w:val="420"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Ⅰ~Ⅲ类水质比例＜75%，且劣Ⅴ类比例＜20%</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轻度污染</w:t>
            </w:r>
          </w:p>
        </w:tc>
      </w:tr>
      <w:tr>
        <w:trPr>
          <w:trHeight w:val="413"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Ⅰ~Ⅲ类水质比例＜75%，且20%＜劣Ⅴ类比例＜40%</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中度污染</w:t>
            </w:r>
          </w:p>
        </w:tc>
      </w:tr>
      <w:tr>
        <w:trPr>
          <w:trHeight w:val="433" w:hRule="exact"/>
        </w:trPr>
        <w:tc>
          <w:tcPr>
            <w:tcW w:w="5643"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Ⅰ~Ⅲ类水质比例＜60%，且劣Ⅴ类比例≥40%</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80"/>
              <w:spacing w:line="240" w:lineRule="auto"/>
              <w:ind w:firstLine="0" w:firstLineChars="0"/>
              <w:contextualSpacing/>
              <w:jc w:val="center"/>
              <w:rPr>
                <w:sz w:val="21"/>
                <w:szCs w:val="21"/>
              </w:rPr>
            </w:pPr>
            <w:r>
              <w:rPr>
                <w:sz w:val="21"/>
                <w:szCs w:val="21"/>
              </w:rPr>
              <w:t>重度污染</w:t>
            </w:r>
          </w:p>
        </w:tc>
      </w:tr>
    </w:tbl>
    <w:p>
      <w:pPr>
        <w:pStyle w:val="2"/>
        <w:spacing w:before="0"/>
        <w:ind w:firstLine="480"/>
        <w:contextualSpacing/>
        <w:jc w:val="left"/>
        <w:rPr>
          <w:rFonts w:ascii="Times New Roman" w:hAnsi="Times New Roman"/>
        </w:rPr>
      </w:pPr>
      <w:r>
        <w:rPr>
          <w:rFonts w:ascii="Times New Roman" w:hAnsi="Times New Roman"/>
        </w:rPr>
        <w:t>3）水质综合评价结果</w:t>
      </w:r>
    </w:p>
    <w:p>
      <w:pPr>
        <w:ind w:firstLine="472"/>
        <w:contextualSpacing/>
      </w:pPr>
      <w:r>
        <w:rPr>
          <w:spacing w:val="-4"/>
        </w:rPr>
        <w:t>断面水质：评价因子采用监测因子中的</w:t>
      </w:r>
      <w:r>
        <w:t>pH、DO、CODcr、BOD</w:t>
      </w:r>
      <w:r>
        <w:rPr>
          <w:vertAlign w:val="subscript"/>
        </w:rPr>
        <w:t>5</w:t>
      </w:r>
      <w:r>
        <w:t>、氨氮、总N、总P、石油类、六价铬、汞、氟化物、挥发酚、粪大肠菌群，监测因子中温度不进行评价，粪大肠菌群、总氮仅作为参考指标单独评价。未检出的项目按检出限的1/2取值进行评价。</w:t>
      </w:r>
    </w:p>
    <w:p>
      <w:pPr>
        <w:ind w:firstLine="480"/>
        <w:contextualSpacing/>
      </w:pPr>
      <w:r>
        <w:t>当各项参数的标准指数≤1时，表明该参数满足规定的水质标准，当各项参数的标准指数＞1时，不能满足，标准指数数值越大，参数代表的环境质量越差。</w:t>
      </w:r>
    </w:p>
    <w:p>
      <w:pPr>
        <w:pStyle w:val="2"/>
        <w:spacing w:before="0"/>
        <w:ind w:left="0" w:firstLine="480"/>
        <w:contextualSpacing/>
        <w:rPr>
          <w:rFonts w:ascii="Times New Roman" w:hAnsi="Times New Roman"/>
        </w:rPr>
      </w:pPr>
      <w:r>
        <w:rPr>
          <w:rFonts w:ascii="Times New Roman" w:hAnsi="Times New Roman"/>
        </w:rPr>
        <w:t>由监测结果表明：</w:t>
      </w:r>
      <w:r>
        <w:rPr>
          <w:rFonts w:hint="eastAsia" w:ascii="Times New Roman" w:hAnsi="Times New Roman"/>
        </w:rPr>
        <w:t>监测</w:t>
      </w:r>
      <w:r>
        <w:rPr>
          <w:rFonts w:ascii="Times New Roman" w:hAnsi="Times New Roman"/>
        </w:rPr>
        <w:t>因子均可满足《地表水环境质量标准》（GB3838-2002）Ⅲ类标准。</w:t>
      </w:r>
    </w:p>
    <w:p>
      <w:pPr>
        <w:pStyle w:val="5"/>
        <w:ind w:firstLine="0" w:firstLineChars="0"/>
        <w:contextualSpacing/>
        <w:rPr>
          <w:rFonts w:ascii="Times New Roman" w:hAnsi="Times New Roman"/>
        </w:rPr>
      </w:pPr>
      <w:r>
        <w:rPr>
          <w:rFonts w:ascii="Times New Roman" w:hAnsi="Times New Roman"/>
        </w:rPr>
        <w:t>4.5.2地</w:t>
      </w:r>
      <w:r>
        <w:rPr>
          <w:rFonts w:hint="eastAsia" w:ascii="Times New Roman" w:hAnsi="Times New Roman"/>
        </w:rPr>
        <w:t>下</w:t>
      </w:r>
      <w:r>
        <w:rPr>
          <w:rFonts w:ascii="Times New Roman" w:hAnsi="Times New Roman"/>
        </w:rPr>
        <w:t>水水质</w:t>
      </w:r>
    </w:p>
    <w:p>
      <w:pPr>
        <w:ind w:firstLine="480"/>
      </w:pPr>
      <w:r>
        <w:t>（1）监测点位</w:t>
      </w:r>
    </w:p>
    <w:p>
      <w:pPr>
        <w:ind w:firstLine="480"/>
      </w:pPr>
      <w:r>
        <w:t>本次评价</w:t>
      </w:r>
      <w:r>
        <w:rPr>
          <w:rFonts w:hint="eastAsia"/>
        </w:rPr>
        <w:t>项目区</w:t>
      </w:r>
      <w:r>
        <w:t>共设地下水水质监测点5个、水位监测点6个，</w:t>
      </w:r>
      <w:r>
        <w:rPr>
          <w:rFonts w:hint="eastAsia"/>
        </w:rPr>
        <w:t>消纳区地下水水质点1个</w:t>
      </w:r>
      <w:r>
        <w:t>监测点位置见下表。</w:t>
      </w:r>
    </w:p>
    <w:p>
      <w:pPr>
        <w:pStyle w:val="73"/>
        <w:adjustRightInd/>
        <w:snapToGrid/>
        <w:ind w:firstLine="422" w:firstLineChars="0"/>
        <w:contextualSpacing/>
      </w:pPr>
      <w:r>
        <w:t xml:space="preserve">表4.6.2-1 </w:t>
      </w:r>
      <w:r>
        <w:rPr>
          <w:rFonts w:eastAsia="宋体"/>
          <w:b/>
          <w:bCs/>
          <w:sz w:val="21"/>
          <w:szCs w:val="16"/>
        </w:rPr>
        <w:t>地下水</w:t>
      </w:r>
      <w:r>
        <w:t>监测点位置</w:t>
      </w:r>
    </w:p>
    <w:tbl>
      <w:tblPr>
        <w:tblStyle w:val="38"/>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463"/>
        <w:gridCol w:w="851"/>
        <w:gridCol w:w="4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10" w:type="dxa"/>
            <w:vAlign w:val="center"/>
          </w:tcPr>
          <w:p>
            <w:pPr>
              <w:spacing w:line="240" w:lineRule="auto"/>
              <w:ind w:firstLine="0" w:firstLineChars="0"/>
              <w:jc w:val="center"/>
              <w:rPr>
                <w:b/>
                <w:bCs/>
                <w:color w:val="000000"/>
                <w:sz w:val="21"/>
                <w:szCs w:val="21"/>
              </w:rPr>
            </w:pPr>
            <w:r>
              <w:rPr>
                <w:bCs/>
                <w:color w:val="000000"/>
                <w:sz w:val="21"/>
                <w:szCs w:val="21"/>
              </w:rPr>
              <w:t>点号</w:t>
            </w:r>
          </w:p>
        </w:tc>
        <w:tc>
          <w:tcPr>
            <w:tcW w:w="2463" w:type="dxa"/>
            <w:vAlign w:val="center"/>
          </w:tcPr>
          <w:p>
            <w:pPr>
              <w:spacing w:line="240" w:lineRule="auto"/>
              <w:ind w:firstLine="0" w:firstLineChars="0"/>
              <w:jc w:val="center"/>
              <w:rPr>
                <w:b/>
                <w:bCs/>
                <w:color w:val="000000"/>
                <w:sz w:val="21"/>
                <w:szCs w:val="21"/>
              </w:rPr>
            </w:pPr>
            <w:r>
              <w:rPr>
                <w:bCs/>
                <w:color w:val="000000"/>
                <w:sz w:val="21"/>
                <w:szCs w:val="21"/>
              </w:rPr>
              <w:t>监测点位置</w:t>
            </w:r>
          </w:p>
        </w:tc>
        <w:tc>
          <w:tcPr>
            <w:tcW w:w="851" w:type="dxa"/>
            <w:vAlign w:val="center"/>
          </w:tcPr>
          <w:p>
            <w:pPr>
              <w:spacing w:line="240" w:lineRule="auto"/>
              <w:ind w:firstLine="0" w:firstLineChars="0"/>
              <w:jc w:val="center"/>
              <w:rPr>
                <w:b/>
                <w:bCs/>
                <w:color w:val="000000"/>
                <w:sz w:val="21"/>
                <w:szCs w:val="21"/>
              </w:rPr>
            </w:pPr>
            <w:r>
              <w:rPr>
                <w:bCs/>
                <w:color w:val="000000"/>
                <w:sz w:val="21"/>
                <w:szCs w:val="21"/>
              </w:rPr>
              <w:t>类型</w:t>
            </w:r>
          </w:p>
        </w:tc>
        <w:tc>
          <w:tcPr>
            <w:tcW w:w="4674" w:type="dxa"/>
            <w:vAlign w:val="center"/>
          </w:tcPr>
          <w:p>
            <w:pPr>
              <w:spacing w:line="240" w:lineRule="auto"/>
              <w:ind w:firstLine="0" w:firstLineChars="0"/>
              <w:jc w:val="center"/>
              <w:rPr>
                <w:b/>
                <w:bCs/>
                <w:color w:val="000000"/>
                <w:sz w:val="21"/>
                <w:szCs w:val="21"/>
              </w:rPr>
            </w:pPr>
            <w:r>
              <w:rPr>
                <w:bCs/>
                <w:color w:val="000000"/>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1#</w:t>
            </w:r>
          </w:p>
        </w:tc>
        <w:tc>
          <w:tcPr>
            <w:tcW w:w="2463" w:type="dxa"/>
            <w:vAlign w:val="center"/>
          </w:tcPr>
          <w:p>
            <w:pPr>
              <w:spacing w:line="240" w:lineRule="auto"/>
              <w:ind w:firstLine="0" w:firstLineChars="0"/>
              <w:jc w:val="center"/>
              <w:rPr>
                <w:b/>
                <w:color w:val="000000"/>
                <w:sz w:val="21"/>
                <w:szCs w:val="21"/>
              </w:rPr>
            </w:pPr>
            <w:r>
              <w:rPr>
                <w:color w:val="000000"/>
                <w:sz w:val="21"/>
                <w:szCs w:val="21"/>
              </w:rPr>
              <w:t>拟建大坝上游</w:t>
            </w:r>
            <w:r>
              <w:rPr>
                <w:rFonts w:hint="eastAsia"/>
                <w:color w:val="000000"/>
                <w:sz w:val="21"/>
                <w:szCs w:val="21"/>
              </w:rPr>
              <w:t>安家坝</w:t>
            </w:r>
            <w:r>
              <w:rPr>
                <w:color w:val="000000"/>
                <w:sz w:val="21"/>
                <w:szCs w:val="21"/>
              </w:rPr>
              <w:t>村</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restart"/>
            <w:vAlign w:val="center"/>
          </w:tcPr>
          <w:p>
            <w:pPr>
              <w:spacing w:line="240" w:lineRule="auto"/>
              <w:ind w:firstLine="0" w:firstLineChars="0"/>
              <w:jc w:val="center"/>
              <w:rPr>
                <w:b/>
                <w:color w:val="000000"/>
                <w:sz w:val="21"/>
                <w:szCs w:val="21"/>
              </w:rPr>
            </w:pPr>
            <w:r>
              <w:rPr>
                <w:sz w:val="21"/>
                <w:szCs w:val="21"/>
              </w:rPr>
              <w:t>地下水水位，K</w:t>
            </w:r>
            <w:r>
              <w:rPr>
                <w:sz w:val="21"/>
                <w:szCs w:val="21"/>
                <w:vertAlign w:val="superscript"/>
              </w:rPr>
              <w:t>+</w:t>
            </w:r>
            <w:r>
              <w:rPr>
                <w:sz w:val="21"/>
                <w:szCs w:val="21"/>
              </w:rPr>
              <w:t>+Na</w:t>
            </w:r>
            <w:r>
              <w:rPr>
                <w:sz w:val="21"/>
                <w:szCs w:val="21"/>
                <w:vertAlign w:val="superscript"/>
              </w:rPr>
              <w:t>+</w:t>
            </w:r>
            <w:r>
              <w:rPr>
                <w:sz w:val="21"/>
                <w:szCs w:val="21"/>
              </w:rPr>
              <w:t>、Ca</w:t>
            </w:r>
            <w:r>
              <w:rPr>
                <w:sz w:val="21"/>
                <w:szCs w:val="21"/>
                <w:vertAlign w:val="superscript"/>
              </w:rPr>
              <w:t>2+</w:t>
            </w:r>
            <w:r>
              <w:rPr>
                <w:sz w:val="21"/>
                <w:szCs w:val="21"/>
              </w:rPr>
              <w:t>、Mg</w:t>
            </w:r>
            <w:r>
              <w:rPr>
                <w:sz w:val="21"/>
                <w:szCs w:val="21"/>
                <w:vertAlign w:val="superscript"/>
              </w:rPr>
              <w:t>2+</w:t>
            </w:r>
            <w:r>
              <w:rPr>
                <w:sz w:val="21"/>
                <w:szCs w:val="21"/>
              </w:rPr>
              <w:t>、CO</w:t>
            </w:r>
            <w:r>
              <w:rPr>
                <w:sz w:val="21"/>
                <w:szCs w:val="21"/>
                <w:vertAlign w:val="subscript"/>
              </w:rPr>
              <w:t>3</w:t>
            </w:r>
            <w:r>
              <w:rPr>
                <w:sz w:val="21"/>
                <w:szCs w:val="21"/>
                <w:vertAlign w:val="superscript"/>
              </w:rPr>
              <w:t>2-</w:t>
            </w:r>
            <w:r>
              <w:rPr>
                <w:sz w:val="21"/>
                <w:szCs w:val="21"/>
              </w:rPr>
              <w:t>、HCO</w:t>
            </w:r>
            <w:r>
              <w:rPr>
                <w:sz w:val="21"/>
                <w:szCs w:val="21"/>
                <w:vertAlign w:val="subscript"/>
              </w:rPr>
              <w:t>3</w:t>
            </w:r>
            <w:r>
              <w:rPr>
                <w:sz w:val="21"/>
                <w:szCs w:val="21"/>
                <w:vertAlign w:val="superscript"/>
              </w:rPr>
              <w:t>2</w:t>
            </w:r>
            <w:r>
              <w:rPr>
                <w:sz w:val="21"/>
                <w:szCs w:val="21"/>
              </w:rPr>
              <w:t>-、Cl</w:t>
            </w:r>
            <w:r>
              <w:rPr>
                <w:sz w:val="21"/>
                <w:szCs w:val="21"/>
                <w:vertAlign w:val="superscript"/>
              </w:rPr>
              <w:t>-</w:t>
            </w:r>
            <w:r>
              <w:rPr>
                <w:sz w:val="21"/>
                <w:szCs w:val="21"/>
              </w:rPr>
              <w:t>、SO4</w:t>
            </w:r>
            <w:r>
              <w:rPr>
                <w:sz w:val="21"/>
                <w:szCs w:val="21"/>
                <w:vertAlign w:val="superscript"/>
              </w:rPr>
              <w:t>2-</w:t>
            </w:r>
            <w:r>
              <w:rPr>
                <w:sz w:val="21"/>
                <w:szCs w:val="21"/>
              </w:rPr>
              <w:t>、pH、氨氮、硝酸盐、亚硝酸盐、挥发性酚类、氰化物、砷、汞、铬(六价)、总硬度、铅、氟、镉、铁、锰、溶解性总固体、高锰酸盐指数、硫酸盐、氯化物、总大肠菌群、细菌总数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2#</w:t>
            </w:r>
          </w:p>
        </w:tc>
        <w:tc>
          <w:tcPr>
            <w:tcW w:w="2463" w:type="dxa"/>
            <w:vAlign w:val="center"/>
          </w:tcPr>
          <w:p>
            <w:pPr>
              <w:spacing w:line="240" w:lineRule="auto"/>
              <w:ind w:firstLine="0" w:firstLineChars="0"/>
              <w:jc w:val="center"/>
              <w:rPr>
                <w:b/>
                <w:color w:val="000000"/>
                <w:sz w:val="21"/>
                <w:szCs w:val="21"/>
              </w:rPr>
            </w:pPr>
            <w:r>
              <w:rPr>
                <w:color w:val="000000"/>
                <w:sz w:val="21"/>
                <w:szCs w:val="21"/>
              </w:rPr>
              <w:t>拟建大坝</w:t>
            </w:r>
            <w:r>
              <w:rPr>
                <w:rFonts w:hint="eastAsia"/>
                <w:color w:val="000000"/>
                <w:sz w:val="21"/>
                <w:szCs w:val="21"/>
              </w:rPr>
              <w:t>下</w:t>
            </w:r>
            <w:r>
              <w:rPr>
                <w:color w:val="000000"/>
                <w:sz w:val="21"/>
                <w:szCs w:val="21"/>
              </w:rPr>
              <w:t>游</w:t>
            </w:r>
            <w:r>
              <w:rPr>
                <w:rFonts w:hint="eastAsia"/>
                <w:color w:val="000000"/>
                <w:sz w:val="21"/>
                <w:szCs w:val="21"/>
              </w:rPr>
              <w:t>白岩河</w:t>
            </w:r>
            <w:r>
              <w:rPr>
                <w:color w:val="000000"/>
                <w:sz w:val="21"/>
                <w:szCs w:val="21"/>
              </w:rPr>
              <w:t>村</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continue"/>
            <w:vAlign w:val="center"/>
          </w:tcPr>
          <w:p>
            <w:pPr>
              <w:spacing w:line="240" w:lineRule="auto"/>
              <w:ind w:firstLine="0" w:firstLineChars="0"/>
              <w:jc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3#</w:t>
            </w:r>
          </w:p>
        </w:tc>
        <w:tc>
          <w:tcPr>
            <w:tcW w:w="2463" w:type="dxa"/>
            <w:vAlign w:val="center"/>
          </w:tcPr>
          <w:p>
            <w:pPr>
              <w:adjustRightInd w:val="0"/>
              <w:snapToGrid w:val="0"/>
              <w:spacing w:line="240" w:lineRule="auto"/>
              <w:ind w:firstLine="0" w:firstLineChars="0"/>
              <w:jc w:val="center"/>
              <w:rPr>
                <w:b/>
                <w:color w:val="000000"/>
                <w:sz w:val="21"/>
                <w:szCs w:val="21"/>
              </w:rPr>
            </w:pPr>
            <w:r>
              <w:rPr>
                <w:color w:val="000000"/>
                <w:sz w:val="21"/>
                <w:szCs w:val="21"/>
              </w:rPr>
              <w:t>拟建大坝</w:t>
            </w:r>
            <w:r>
              <w:rPr>
                <w:rFonts w:hint="eastAsia"/>
                <w:color w:val="000000"/>
                <w:sz w:val="21"/>
                <w:szCs w:val="21"/>
              </w:rPr>
              <w:t>右岸古楼山村</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continue"/>
            <w:vAlign w:val="center"/>
          </w:tcPr>
          <w:p>
            <w:pPr>
              <w:spacing w:line="240" w:lineRule="auto"/>
              <w:ind w:firstLine="0" w:firstLineChars="0"/>
              <w:jc w:val="center"/>
              <w:rPr>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4#</w:t>
            </w:r>
          </w:p>
        </w:tc>
        <w:tc>
          <w:tcPr>
            <w:tcW w:w="2463" w:type="dxa"/>
            <w:vAlign w:val="center"/>
          </w:tcPr>
          <w:p>
            <w:pPr>
              <w:adjustRightInd w:val="0"/>
              <w:snapToGrid w:val="0"/>
              <w:spacing w:line="240" w:lineRule="auto"/>
              <w:ind w:firstLine="0" w:firstLineChars="0"/>
              <w:jc w:val="center"/>
              <w:rPr>
                <w:b/>
                <w:color w:val="000000"/>
                <w:sz w:val="21"/>
                <w:szCs w:val="21"/>
              </w:rPr>
            </w:pPr>
            <w:r>
              <w:rPr>
                <w:color w:val="000000"/>
                <w:sz w:val="21"/>
                <w:szCs w:val="21"/>
              </w:rPr>
              <w:t>/</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restart"/>
            <w:vAlign w:val="center"/>
          </w:tcPr>
          <w:p>
            <w:pPr>
              <w:spacing w:line="240" w:lineRule="auto"/>
              <w:ind w:firstLine="0" w:firstLineChars="0"/>
              <w:jc w:val="center"/>
              <w:rPr>
                <w:b/>
                <w:color w:val="000000"/>
                <w:sz w:val="21"/>
                <w:szCs w:val="21"/>
              </w:rPr>
            </w:pPr>
            <w:r>
              <w:rPr>
                <w:color w:val="000000"/>
                <w:sz w:val="21"/>
                <w:szCs w:val="21"/>
              </w:rPr>
              <w:t>地下水水位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5#</w:t>
            </w:r>
          </w:p>
        </w:tc>
        <w:tc>
          <w:tcPr>
            <w:tcW w:w="2463" w:type="dxa"/>
            <w:vAlign w:val="center"/>
          </w:tcPr>
          <w:p>
            <w:pPr>
              <w:adjustRightInd w:val="0"/>
              <w:snapToGrid w:val="0"/>
              <w:spacing w:line="240" w:lineRule="auto"/>
              <w:ind w:firstLine="0" w:firstLineChars="0"/>
              <w:jc w:val="center"/>
              <w:rPr>
                <w:b/>
                <w:color w:val="000000"/>
                <w:sz w:val="21"/>
                <w:szCs w:val="21"/>
              </w:rPr>
            </w:pPr>
            <w:r>
              <w:rPr>
                <w:color w:val="000000"/>
                <w:sz w:val="21"/>
                <w:szCs w:val="21"/>
              </w:rPr>
              <w:t>/</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continue"/>
            <w:vAlign w:val="center"/>
          </w:tcPr>
          <w:p>
            <w:pPr>
              <w:spacing w:line="240" w:lineRule="auto"/>
              <w:ind w:firstLine="0" w:firstLineChars="0"/>
              <w:jc w:val="center"/>
              <w:rPr>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710" w:type="dxa"/>
            <w:vAlign w:val="center"/>
          </w:tcPr>
          <w:p>
            <w:pPr>
              <w:spacing w:line="240" w:lineRule="auto"/>
              <w:ind w:firstLine="0" w:firstLineChars="0"/>
              <w:jc w:val="center"/>
              <w:rPr>
                <w:b/>
                <w:color w:val="000000"/>
                <w:sz w:val="21"/>
                <w:szCs w:val="21"/>
              </w:rPr>
            </w:pPr>
            <w:r>
              <w:rPr>
                <w:color w:val="000000"/>
                <w:sz w:val="21"/>
                <w:szCs w:val="21"/>
              </w:rPr>
              <w:t>6#</w:t>
            </w:r>
          </w:p>
        </w:tc>
        <w:tc>
          <w:tcPr>
            <w:tcW w:w="2463" w:type="dxa"/>
            <w:vAlign w:val="center"/>
          </w:tcPr>
          <w:p>
            <w:pPr>
              <w:adjustRightInd w:val="0"/>
              <w:snapToGrid w:val="0"/>
              <w:spacing w:line="240" w:lineRule="auto"/>
              <w:ind w:firstLine="0" w:firstLineChars="0"/>
              <w:jc w:val="center"/>
              <w:rPr>
                <w:b/>
                <w:color w:val="000000"/>
                <w:sz w:val="21"/>
                <w:szCs w:val="21"/>
              </w:rPr>
            </w:pPr>
            <w:r>
              <w:rPr>
                <w:color w:val="000000"/>
                <w:sz w:val="21"/>
                <w:szCs w:val="21"/>
              </w:rPr>
              <w:t>/</w:t>
            </w:r>
          </w:p>
        </w:tc>
        <w:tc>
          <w:tcPr>
            <w:tcW w:w="851" w:type="dxa"/>
            <w:vAlign w:val="center"/>
          </w:tcPr>
          <w:p>
            <w:pPr>
              <w:spacing w:line="240" w:lineRule="auto"/>
              <w:ind w:firstLine="0" w:firstLineChars="0"/>
              <w:jc w:val="center"/>
              <w:rPr>
                <w:b/>
                <w:color w:val="000000"/>
                <w:sz w:val="21"/>
                <w:szCs w:val="21"/>
              </w:rPr>
            </w:pPr>
            <w:r>
              <w:rPr>
                <w:color w:val="000000"/>
                <w:sz w:val="21"/>
                <w:szCs w:val="21"/>
              </w:rPr>
              <w:t>监测井</w:t>
            </w:r>
          </w:p>
        </w:tc>
        <w:tc>
          <w:tcPr>
            <w:tcW w:w="4674" w:type="dxa"/>
            <w:vMerge w:val="continue"/>
            <w:vAlign w:val="center"/>
          </w:tcPr>
          <w:p>
            <w:pPr>
              <w:spacing w:line="240" w:lineRule="auto"/>
              <w:ind w:firstLine="0" w:firstLineChars="0"/>
              <w:jc w:val="center"/>
              <w:rPr>
                <w:b/>
                <w:color w:val="000000"/>
                <w:sz w:val="21"/>
                <w:szCs w:val="21"/>
              </w:rPr>
            </w:pPr>
          </w:p>
        </w:tc>
      </w:tr>
    </w:tbl>
    <w:p>
      <w:pPr>
        <w:ind w:firstLine="480"/>
      </w:pPr>
      <w:r>
        <w:t>（2）监测项目</w:t>
      </w:r>
    </w:p>
    <w:p>
      <w:pPr>
        <w:ind w:firstLine="480"/>
      </w:pPr>
      <w:r>
        <w:rPr>
          <w:rFonts w:hint="eastAsia"/>
        </w:rPr>
        <w:t>地下水水位，K++Na+、Ca2+、Mg2+、CO32-、HCO32-、Cl-、SO42-、pH、氨氮、硝酸盐、亚硝酸盐、挥发性酚类、氰化物、砷、汞、铬(六价)、总硬度、铅、氟、镉、铁、锰、溶解性总固体、高锰酸盐指数、硫酸盐、氯化物、总大肠菌群、细菌总数</w:t>
      </w:r>
      <w:r>
        <w:t>。</w:t>
      </w:r>
    </w:p>
    <w:p>
      <w:pPr>
        <w:ind w:firstLine="480"/>
      </w:pPr>
      <w:r>
        <w:t>（3）监测时间</w:t>
      </w:r>
    </w:p>
    <w:p>
      <w:pPr>
        <w:ind w:firstLine="480"/>
      </w:pPr>
      <w:r>
        <w:t>2023年3月7日。</w:t>
      </w:r>
    </w:p>
    <w:p>
      <w:pPr>
        <w:ind w:firstLine="480"/>
      </w:pPr>
      <w:r>
        <w:t>（4）监测结果</w:t>
      </w:r>
    </w:p>
    <w:p>
      <w:pPr>
        <w:ind w:firstLine="480"/>
      </w:pPr>
      <w:r>
        <w:t>区域地下水环境质量现状监测结果见下表。</w:t>
      </w:r>
    </w:p>
    <w:p>
      <w:pPr>
        <w:pStyle w:val="73"/>
        <w:adjustRightInd/>
        <w:snapToGrid/>
        <w:ind w:firstLine="422" w:firstLineChars="0"/>
        <w:contextualSpacing/>
      </w:pPr>
      <w:r>
        <w:t>表4.6.2-2 地下水水质现状检测结果</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44"/>
        <w:gridCol w:w="1642"/>
        <w:gridCol w:w="1058"/>
        <w:gridCol w:w="1142"/>
        <w:gridCol w:w="1142"/>
        <w:gridCol w:w="1142"/>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tblHeader/>
          <w:jc w:val="center"/>
        </w:trPr>
        <w:tc>
          <w:tcPr>
            <w:tcW w:w="944"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r>
              <w:rPr>
                <w:rFonts w:ascii="Times New Roman" w:hAnsi="Times New Roman" w:cs="Times New Roman"/>
                <w:b/>
                <w:sz w:val="18"/>
                <w:szCs w:val="18"/>
              </w:rPr>
              <w:t>采样日期</w:t>
            </w:r>
          </w:p>
        </w:tc>
        <w:tc>
          <w:tcPr>
            <w:tcW w:w="164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r>
              <w:rPr>
                <w:rFonts w:ascii="Times New Roman" w:hAnsi="Times New Roman" w:cs="Times New Roman"/>
                <w:b/>
                <w:sz w:val="18"/>
                <w:szCs w:val="18"/>
              </w:rPr>
              <w:t>检测项目</w:t>
            </w:r>
          </w:p>
        </w:tc>
        <w:tc>
          <w:tcPr>
            <w:tcW w:w="1058"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r>
              <w:rPr>
                <w:rFonts w:ascii="Times New Roman" w:hAnsi="Times New Roman" w:cs="Times New Roman"/>
                <w:b/>
                <w:sz w:val="18"/>
                <w:szCs w:val="18"/>
              </w:rPr>
              <w:t>单位</w:t>
            </w:r>
          </w:p>
        </w:tc>
        <w:tc>
          <w:tcPr>
            <w:tcW w:w="3426" w:type="dxa"/>
            <w:gridSpan w:val="3"/>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r>
              <w:rPr>
                <w:rFonts w:ascii="Times New Roman" w:hAnsi="Times New Roman" w:cs="Times New Roman"/>
                <w:b/>
                <w:sz w:val="18"/>
                <w:szCs w:val="18"/>
              </w:rPr>
              <w:t>检测结果</w:t>
            </w:r>
          </w:p>
        </w:tc>
        <w:tc>
          <w:tcPr>
            <w:tcW w:w="128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r>
              <w:rPr>
                <w:rFonts w:ascii="Times New Roman" w:hAnsi="Times New Roman" w:cs="Times New Roman"/>
                <w:b/>
                <w:sz w:val="18"/>
                <w:szCs w:val="1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tblHeader/>
          <w:jc w:val="center"/>
        </w:trPr>
        <w:tc>
          <w:tcPr>
            <w:tcW w:w="944"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p>
        </w:tc>
        <w:tc>
          <w:tcPr>
            <w:tcW w:w="164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p>
        </w:tc>
        <w:tc>
          <w:tcPr>
            <w:tcW w:w="1058"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
                <w:sz w:val="18"/>
                <w:szCs w:val="18"/>
              </w:rPr>
            </w:pPr>
          </w:p>
        </w:tc>
        <w:tc>
          <w:tcPr>
            <w:tcW w:w="1142" w:type="dxa"/>
            <w:vAlign w:val="center"/>
          </w:tcPr>
          <w:p>
            <w:pPr>
              <w:pStyle w:val="147"/>
              <w:rPr>
                <w:rFonts w:eastAsia="宋体" w:cs="Times New Roman"/>
                <w:b/>
                <w:kern w:val="0"/>
                <w:sz w:val="18"/>
                <w:szCs w:val="18"/>
              </w:rPr>
            </w:pPr>
            <w:r>
              <w:rPr>
                <w:rFonts w:eastAsia="宋体" w:cs="Times New Roman"/>
                <w:b/>
                <w:kern w:val="0"/>
                <w:sz w:val="18"/>
                <w:szCs w:val="18"/>
              </w:rPr>
              <w:fldChar w:fldCharType="begin"/>
            </w:r>
            <w:r>
              <w:rPr>
                <w:rFonts w:eastAsia="宋体" w:cs="Times New Roman"/>
                <w:b/>
                <w:kern w:val="0"/>
                <w:sz w:val="18"/>
                <w:szCs w:val="18"/>
              </w:rPr>
              <w:instrText xml:space="preserve"> REF 地下水1 \h \* MERGEFORMAT</w:instrText>
            </w:r>
            <w:r>
              <w:rPr>
                <w:rFonts w:eastAsia="宋体" w:cs="Times New Roman"/>
                <w:b/>
                <w:kern w:val="0"/>
                <w:sz w:val="18"/>
                <w:szCs w:val="18"/>
              </w:rPr>
              <w:fldChar w:fldCharType="separate"/>
            </w:r>
            <w:r>
              <w:rPr>
                <w:rFonts w:eastAsia="宋体" w:cs="Times New Roman"/>
                <w:b/>
                <w:kern w:val="0"/>
                <w:sz w:val="18"/>
                <w:szCs w:val="18"/>
              </w:rPr>
              <w:t>1# 拟建大坝上游安家坝村水井</w:t>
            </w:r>
            <w:r>
              <w:rPr>
                <w:rFonts w:eastAsia="宋体" w:cs="Times New Roman"/>
                <w:b/>
                <w:kern w:val="0"/>
                <w:sz w:val="18"/>
                <w:szCs w:val="18"/>
              </w:rPr>
              <w:fldChar w:fldCharType="end"/>
            </w:r>
          </w:p>
        </w:tc>
        <w:tc>
          <w:tcPr>
            <w:tcW w:w="1142" w:type="dxa"/>
            <w:vAlign w:val="center"/>
          </w:tcPr>
          <w:p>
            <w:pPr>
              <w:spacing w:line="240" w:lineRule="auto"/>
              <w:ind w:firstLine="0" w:firstLineChars="0"/>
              <w:jc w:val="center"/>
              <w:rPr>
                <w:b/>
                <w:kern w:val="0"/>
                <w:sz w:val="18"/>
                <w:szCs w:val="18"/>
              </w:rPr>
            </w:pPr>
            <w:r>
              <w:rPr>
                <w:b/>
                <w:kern w:val="0"/>
                <w:sz w:val="18"/>
                <w:szCs w:val="18"/>
              </w:rPr>
              <w:fldChar w:fldCharType="begin"/>
            </w:r>
            <w:r>
              <w:rPr>
                <w:b/>
                <w:kern w:val="0"/>
                <w:sz w:val="18"/>
                <w:szCs w:val="18"/>
              </w:rPr>
              <w:instrText xml:space="preserve"> REF 地下水2 \h \* MERGEFORMAT</w:instrText>
            </w:r>
            <w:r>
              <w:rPr>
                <w:b/>
                <w:kern w:val="0"/>
                <w:sz w:val="18"/>
                <w:szCs w:val="18"/>
              </w:rPr>
              <w:fldChar w:fldCharType="separate"/>
            </w:r>
            <w:r>
              <w:rPr>
                <w:b/>
                <w:kern w:val="0"/>
                <w:sz w:val="18"/>
                <w:szCs w:val="18"/>
              </w:rPr>
              <w:t>2# 拟建大坝下游白岩河村水井</w:t>
            </w:r>
            <w:r>
              <w:rPr>
                <w:b/>
                <w:kern w:val="0"/>
                <w:sz w:val="18"/>
                <w:szCs w:val="18"/>
              </w:rPr>
              <w:fldChar w:fldCharType="end"/>
            </w:r>
          </w:p>
        </w:tc>
        <w:tc>
          <w:tcPr>
            <w:tcW w:w="1142" w:type="dxa"/>
            <w:vAlign w:val="center"/>
          </w:tcPr>
          <w:p>
            <w:pPr>
              <w:spacing w:line="240" w:lineRule="auto"/>
              <w:ind w:firstLine="0" w:firstLineChars="0"/>
              <w:jc w:val="center"/>
              <w:rPr>
                <w:b/>
                <w:kern w:val="0"/>
                <w:sz w:val="18"/>
                <w:szCs w:val="18"/>
              </w:rPr>
            </w:pPr>
            <w:r>
              <w:rPr>
                <w:b/>
                <w:kern w:val="0"/>
                <w:sz w:val="18"/>
                <w:szCs w:val="18"/>
              </w:rPr>
              <w:fldChar w:fldCharType="begin"/>
            </w:r>
            <w:r>
              <w:rPr>
                <w:b/>
                <w:kern w:val="0"/>
                <w:sz w:val="18"/>
                <w:szCs w:val="18"/>
              </w:rPr>
              <w:instrText xml:space="preserve"> REF 地下水3 \h \* MERGEFORMAT</w:instrText>
            </w:r>
            <w:r>
              <w:rPr>
                <w:b/>
                <w:kern w:val="0"/>
                <w:sz w:val="18"/>
                <w:szCs w:val="18"/>
              </w:rPr>
              <w:fldChar w:fldCharType="separate"/>
            </w:r>
            <w:r>
              <w:rPr>
                <w:b/>
                <w:kern w:val="0"/>
                <w:sz w:val="18"/>
                <w:szCs w:val="18"/>
              </w:rPr>
              <w:t>3# 拟建大坝右岸古楼山村水井</w:t>
            </w:r>
            <w:r>
              <w:rPr>
                <w:b/>
                <w:kern w:val="0"/>
                <w:sz w:val="18"/>
                <w:szCs w:val="18"/>
              </w:rPr>
              <w:fldChar w:fldCharType="end"/>
            </w:r>
          </w:p>
        </w:tc>
        <w:tc>
          <w:tcPr>
            <w:tcW w:w="1282" w:type="dxa"/>
            <w:vMerge w:val="continue"/>
            <w:vAlign w:val="center"/>
          </w:tcPr>
          <w:p>
            <w:pPr>
              <w:pStyle w:val="147"/>
              <w:rPr>
                <w:rFonts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restart"/>
            <w:vAlign w:val="center"/>
          </w:tcPr>
          <w:p>
            <w:pPr>
              <w:spacing w:line="240" w:lineRule="auto"/>
              <w:ind w:firstLine="0" w:firstLineChars="0"/>
              <w:jc w:val="center"/>
              <w:rPr>
                <w:sz w:val="18"/>
                <w:szCs w:val="18"/>
              </w:rPr>
            </w:pPr>
            <w:r>
              <w:rPr>
                <w:bCs/>
                <w:kern w:val="0"/>
                <w:sz w:val="18"/>
                <w:szCs w:val="18"/>
              </w:rPr>
              <w:fldChar w:fldCharType="begin"/>
            </w:r>
            <w:r>
              <w:rPr>
                <w:bCs/>
                <w:kern w:val="0"/>
                <w:sz w:val="18"/>
                <w:szCs w:val="18"/>
              </w:rPr>
              <w:instrText xml:space="preserve"> REF 采样日期1 \h \* MERGEFORMAT</w:instrText>
            </w:r>
            <w:r>
              <w:rPr>
                <w:bCs/>
                <w:kern w:val="0"/>
                <w:sz w:val="18"/>
                <w:szCs w:val="18"/>
              </w:rPr>
              <w:fldChar w:fldCharType="separate"/>
            </w:r>
            <w:r>
              <w:rPr>
                <w:bCs/>
                <w:kern w:val="0"/>
                <w:sz w:val="18"/>
                <w:szCs w:val="18"/>
              </w:rPr>
              <w:t>3月7日</w:t>
            </w:r>
            <w:r>
              <w:rPr>
                <w:bCs/>
                <w:kern w:val="0"/>
                <w:sz w:val="18"/>
                <w:szCs w:val="18"/>
              </w:rPr>
              <w:fldChar w:fldCharType="end"/>
            </w:r>
            <w:r>
              <w:rPr>
                <w:bCs/>
                <w:kern w:val="0"/>
                <w:sz w:val="18"/>
                <w:szCs w:val="18"/>
              </w:rPr>
              <w:br w:type="page"/>
            </w:r>
          </w:p>
        </w:tc>
        <w:tc>
          <w:tcPr>
            <w:tcW w:w="1642" w:type="dxa"/>
            <w:vAlign w:val="center"/>
          </w:tcPr>
          <w:p>
            <w:pPr>
              <w:spacing w:line="240" w:lineRule="auto"/>
              <w:ind w:firstLine="0" w:firstLineChars="0"/>
              <w:jc w:val="center"/>
              <w:rPr>
                <w:bCs/>
                <w:sz w:val="18"/>
                <w:szCs w:val="18"/>
                <w:lang w:bidi="ar"/>
              </w:rPr>
            </w:pPr>
            <w:r>
              <w:rPr>
                <w:bCs/>
                <w:sz w:val="18"/>
                <w:szCs w:val="18"/>
                <w:lang w:bidi="ar"/>
              </w:rPr>
              <w:t>pH</w:t>
            </w:r>
          </w:p>
        </w:tc>
        <w:tc>
          <w:tcPr>
            <w:tcW w:w="1058" w:type="dxa"/>
            <w:vAlign w:val="center"/>
          </w:tcPr>
          <w:p>
            <w:pPr>
              <w:spacing w:line="240" w:lineRule="auto"/>
              <w:ind w:firstLine="0" w:firstLineChars="0"/>
              <w:jc w:val="center"/>
              <w:rPr>
                <w:bCs/>
                <w:sz w:val="18"/>
                <w:szCs w:val="18"/>
                <w:lang w:bidi="ar"/>
              </w:rPr>
            </w:pPr>
            <w:r>
              <w:rPr>
                <w:bCs/>
                <w:sz w:val="18"/>
                <w:szCs w:val="18"/>
                <w:lang w:bidi="ar"/>
              </w:rPr>
              <w:t>无量纲</w:t>
            </w:r>
          </w:p>
        </w:tc>
        <w:tc>
          <w:tcPr>
            <w:tcW w:w="1142" w:type="dxa"/>
            <w:vAlign w:val="center"/>
          </w:tcPr>
          <w:p>
            <w:pPr>
              <w:spacing w:line="240" w:lineRule="auto"/>
              <w:ind w:firstLine="0" w:firstLineChars="0"/>
              <w:jc w:val="center"/>
              <w:rPr>
                <w:bCs/>
                <w:sz w:val="18"/>
                <w:szCs w:val="18"/>
                <w:lang w:bidi="ar"/>
              </w:rPr>
            </w:pPr>
            <w:r>
              <w:rPr>
                <w:bCs/>
                <w:sz w:val="18"/>
                <w:szCs w:val="18"/>
                <w:lang w:bidi="ar"/>
              </w:rPr>
              <w:t>7.1</w:t>
            </w:r>
          </w:p>
        </w:tc>
        <w:tc>
          <w:tcPr>
            <w:tcW w:w="1142" w:type="dxa"/>
            <w:vAlign w:val="center"/>
          </w:tcPr>
          <w:p>
            <w:pPr>
              <w:pStyle w:val="147"/>
              <w:rPr>
                <w:rFonts w:eastAsia="宋体" w:cs="Times New Roman"/>
                <w:bCs/>
                <w:sz w:val="18"/>
                <w:szCs w:val="18"/>
              </w:rPr>
            </w:pPr>
            <w:r>
              <w:rPr>
                <w:rFonts w:eastAsia="宋体" w:cs="Times New Roman"/>
                <w:bCs/>
                <w:sz w:val="18"/>
                <w:szCs w:val="18"/>
              </w:rPr>
              <w:t>7.2</w:t>
            </w:r>
          </w:p>
        </w:tc>
        <w:tc>
          <w:tcPr>
            <w:tcW w:w="1142" w:type="dxa"/>
            <w:vAlign w:val="center"/>
          </w:tcPr>
          <w:p>
            <w:pPr>
              <w:pStyle w:val="147"/>
              <w:rPr>
                <w:rFonts w:eastAsia="宋体" w:cs="Times New Roman"/>
                <w:bCs/>
                <w:sz w:val="18"/>
                <w:szCs w:val="18"/>
              </w:rPr>
            </w:pPr>
            <w:r>
              <w:rPr>
                <w:rFonts w:eastAsia="宋体" w:cs="Times New Roman"/>
                <w:bCs/>
                <w:sz w:val="18"/>
                <w:szCs w:val="18"/>
              </w:rPr>
              <w:t>7.1</w:t>
            </w:r>
          </w:p>
        </w:tc>
        <w:tc>
          <w:tcPr>
            <w:tcW w:w="1282" w:type="dxa"/>
            <w:vAlign w:val="center"/>
          </w:tcPr>
          <w:p>
            <w:pPr>
              <w:spacing w:line="240" w:lineRule="auto"/>
              <w:ind w:firstLine="0" w:firstLineChars="0"/>
              <w:jc w:val="center"/>
              <w:rPr>
                <w:bCs/>
                <w:sz w:val="18"/>
                <w:szCs w:val="18"/>
              </w:rPr>
            </w:pPr>
            <w:r>
              <w:rPr>
                <w:bCs/>
                <w:sz w:val="18"/>
                <w:szCs w:val="18"/>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rPr>
                <w:sz w:val="18"/>
                <w:szCs w:val="18"/>
              </w:rPr>
            </w:pPr>
            <w:r>
              <w:rPr>
                <w:sz w:val="18"/>
                <w:szCs w:val="18"/>
              </w:rPr>
              <w:t>溶解性总固体</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widowControl/>
              <w:tabs>
                <w:tab w:val="left" w:pos="1890"/>
              </w:tabs>
              <w:spacing w:line="240" w:lineRule="auto"/>
              <w:ind w:firstLine="0" w:firstLineChars="0"/>
              <w:jc w:val="center"/>
              <w:rPr>
                <w:sz w:val="18"/>
                <w:szCs w:val="18"/>
              </w:rPr>
            </w:pPr>
            <w:r>
              <w:rPr>
                <w:sz w:val="18"/>
                <w:szCs w:val="18"/>
              </w:rPr>
              <w:t>316</w:t>
            </w:r>
          </w:p>
        </w:tc>
        <w:tc>
          <w:tcPr>
            <w:tcW w:w="1142" w:type="dxa"/>
            <w:vAlign w:val="center"/>
          </w:tcPr>
          <w:p>
            <w:pPr>
              <w:pStyle w:val="147"/>
              <w:rPr>
                <w:rFonts w:eastAsia="宋体" w:cs="Times New Roman"/>
                <w:bCs/>
                <w:sz w:val="18"/>
                <w:szCs w:val="18"/>
              </w:rPr>
            </w:pPr>
            <w:r>
              <w:rPr>
                <w:rFonts w:eastAsia="宋体" w:cs="Times New Roman"/>
                <w:bCs/>
                <w:sz w:val="18"/>
                <w:szCs w:val="18"/>
              </w:rPr>
              <w:t>449</w:t>
            </w:r>
          </w:p>
        </w:tc>
        <w:tc>
          <w:tcPr>
            <w:tcW w:w="1142" w:type="dxa"/>
            <w:vAlign w:val="center"/>
          </w:tcPr>
          <w:p>
            <w:pPr>
              <w:pStyle w:val="147"/>
              <w:rPr>
                <w:rFonts w:eastAsia="宋体" w:cs="Times New Roman"/>
                <w:bCs/>
                <w:sz w:val="18"/>
                <w:szCs w:val="18"/>
              </w:rPr>
            </w:pPr>
            <w:r>
              <w:rPr>
                <w:rFonts w:eastAsia="宋体" w:cs="Times New Roman"/>
                <w:bCs/>
                <w:sz w:val="18"/>
                <w:szCs w:val="18"/>
              </w:rPr>
              <w:t>416</w:t>
            </w:r>
          </w:p>
        </w:tc>
        <w:tc>
          <w:tcPr>
            <w:tcW w:w="1282" w:type="dxa"/>
            <w:vAlign w:val="center"/>
          </w:tcPr>
          <w:p>
            <w:pPr>
              <w:spacing w:line="240" w:lineRule="auto"/>
              <w:ind w:firstLine="0" w:firstLineChars="0"/>
              <w:jc w:val="center"/>
              <w:rPr>
                <w:bCs/>
                <w:sz w:val="18"/>
                <w:szCs w:val="18"/>
              </w:rPr>
            </w:pPr>
            <w:r>
              <w:rPr>
                <w:bCs/>
                <w:sz w:val="18"/>
                <w:szCs w:val="18"/>
              </w:rPr>
              <w:t>1000mg/L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kern w:val="0"/>
                <w:sz w:val="18"/>
                <w:szCs w:val="18"/>
              </w:rPr>
              <w:t>氨氮</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0.098</w:t>
            </w:r>
          </w:p>
        </w:tc>
        <w:tc>
          <w:tcPr>
            <w:tcW w:w="1142" w:type="dxa"/>
            <w:vAlign w:val="center"/>
          </w:tcPr>
          <w:p>
            <w:pPr>
              <w:pStyle w:val="147"/>
              <w:rPr>
                <w:rFonts w:eastAsia="宋体" w:cs="Times New Roman"/>
                <w:bCs/>
                <w:sz w:val="18"/>
                <w:szCs w:val="18"/>
              </w:rPr>
            </w:pPr>
            <w:r>
              <w:rPr>
                <w:rFonts w:eastAsia="宋体" w:cs="Times New Roman"/>
                <w:bCs/>
                <w:sz w:val="18"/>
                <w:szCs w:val="18"/>
              </w:rPr>
              <w:t>0.097</w:t>
            </w:r>
          </w:p>
        </w:tc>
        <w:tc>
          <w:tcPr>
            <w:tcW w:w="1142" w:type="dxa"/>
            <w:vAlign w:val="center"/>
          </w:tcPr>
          <w:p>
            <w:pPr>
              <w:pStyle w:val="147"/>
              <w:rPr>
                <w:rFonts w:eastAsia="宋体" w:cs="Times New Roman"/>
                <w:bCs/>
                <w:sz w:val="18"/>
                <w:szCs w:val="18"/>
              </w:rPr>
            </w:pPr>
            <w:r>
              <w:rPr>
                <w:rFonts w:eastAsia="宋体" w:cs="Times New Roman"/>
                <w:bCs/>
                <w:sz w:val="18"/>
                <w:szCs w:val="18"/>
              </w:rPr>
              <w:t>0.082</w:t>
            </w:r>
          </w:p>
        </w:tc>
        <w:tc>
          <w:tcPr>
            <w:tcW w:w="1282" w:type="dxa"/>
            <w:vAlign w:val="center"/>
          </w:tcPr>
          <w:p>
            <w:pPr>
              <w:spacing w:line="240" w:lineRule="auto"/>
              <w:ind w:firstLine="0" w:firstLineChars="0"/>
              <w:jc w:val="center"/>
              <w:rPr>
                <w:bCs/>
                <w:sz w:val="18"/>
                <w:szCs w:val="18"/>
              </w:rPr>
            </w:pPr>
            <w:r>
              <w:rPr>
                <w:bCs/>
                <w:sz w:val="18"/>
                <w:szCs w:val="18"/>
              </w:rPr>
              <w:t>0.50mg/L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rPr>
                <w:sz w:val="18"/>
                <w:szCs w:val="18"/>
              </w:rPr>
            </w:pPr>
            <w:r>
              <w:rPr>
                <w:sz w:val="18"/>
                <w:szCs w:val="18"/>
              </w:rPr>
              <w:t>铬（六价）</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widowControl/>
              <w:spacing w:line="240" w:lineRule="auto"/>
              <w:ind w:firstLine="0" w:firstLineChars="0"/>
              <w:jc w:val="center"/>
              <w:rPr>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sz w:val="18"/>
                <w:szCs w:val="18"/>
              </w:rPr>
            </w:pPr>
            <w:r>
              <w:rPr>
                <w:sz w:val="18"/>
                <w:szCs w:val="18"/>
              </w:rPr>
              <w:t>挥发酚</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bCs/>
                <w:sz w:val="18"/>
                <w:szCs w:val="18"/>
                <w:lang w:bidi="ar"/>
              </w:rPr>
            </w:pPr>
            <w:r>
              <w:rPr>
                <w:bCs/>
                <w:sz w:val="18"/>
                <w:szCs w:val="18"/>
                <w:lang w:bidi="ar"/>
              </w:rPr>
              <w:t>氰化物</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bCs/>
                <w:sz w:val="18"/>
                <w:szCs w:val="18"/>
                <w:lang w:bidi="ar"/>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rPr>
                <w:color w:val="0C0C0C"/>
                <w:sz w:val="18"/>
                <w:szCs w:val="18"/>
              </w:rPr>
            </w:pPr>
            <w:r>
              <w:rPr>
                <w:color w:val="0C0C0C"/>
                <w:sz w:val="18"/>
                <w:szCs w:val="18"/>
              </w:rPr>
              <w:t>亚硝酸盐氮</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widowControl/>
              <w:spacing w:line="240" w:lineRule="auto"/>
              <w:ind w:firstLine="0" w:firstLineChars="0"/>
              <w:jc w:val="center"/>
              <w:rPr>
                <w:color w:val="0C0C0C"/>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1.00mg/L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bCs/>
                <w:kern w:val="0"/>
                <w:sz w:val="18"/>
                <w:szCs w:val="18"/>
              </w:rPr>
              <w:t>耗氧量</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0.28</w:t>
            </w:r>
          </w:p>
        </w:tc>
        <w:tc>
          <w:tcPr>
            <w:tcW w:w="1142" w:type="dxa"/>
            <w:vAlign w:val="center"/>
          </w:tcPr>
          <w:p>
            <w:pPr>
              <w:pStyle w:val="147"/>
              <w:rPr>
                <w:rFonts w:eastAsia="宋体" w:cs="Times New Roman"/>
                <w:bCs/>
                <w:sz w:val="18"/>
                <w:szCs w:val="18"/>
              </w:rPr>
            </w:pPr>
            <w:r>
              <w:rPr>
                <w:rFonts w:eastAsia="宋体" w:cs="Times New Roman"/>
                <w:bCs/>
                <w:sz w:val="18"/>
                <w:szCs w:val="18"/>
              </w:rPr>
              <w:t>0.48</w:t>
            </w:r>
          </w:p>
        </w:tc>
        <w:tc>
          <w:tcPr>
            <w:tcW w:w="1142" w:type="dxa"/>
            <w:vAlign w:val="center"/>
          </w:tcPr>
          <w:p>
            <w:pPr>
              <w:pStyle w:val="147"/>
              <w:rPr>
                <w:rFonts w:eastAsia="宋体" w:cs="Times New Roman"/>
                <w:bCs/>
                <w:sz w:val="18"/>
                <w:szCs w:val="18"/>
              </w:rPr>
            </w:pPr>
            <w:r>
              <w:rPr>
                <w:rFonts w:eastAsia="宋体" w:cs="Times New Roman"/>
                <w:bCs/>
                <w:sz w:val="18"/>
                <w:szCs w:val="18"/>
              </w:rPr>
              <w:t>0.38</w:t>
            </w:r>
          </w:p>
        </w:tc>
        <w:tc>
          <w:tcPr>
            <w:tcW w:w="1282" w:type="dxa"/>
            <w:vAlign w:val="center"/>
          </w:tcPr>
          <w:p>
            <w:pPr>
              <w:spacing w:line="240" w:lineRule="auto"/>
              <w:ind w:firstLine="0" w:firstLineChars="0"/>
              <w:jc w:val="center"/>
              <w:rPr>
                <w:bCs/>
                <w:sz w:val="18"/>
                <w:szCs w:val="18"/>
              </w:rPr>
            </w:pPr>
            <w:r>
              <w:rPr>
                <w:bCs/>
                <w:sz w:val="18"/>
                <w:szCs w:val="18"/>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bCs/>
                <w:sz w:val="18"/>
                <w:szCs w:val="18"/>
                <w:lang w:bidi="ar"/>
              </w:rPr>
              <w:t>总硬度</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204</w:t>
            </w:r>
          </w:p>
        </w:tc>
        <w:tc>
          <w:tcPr>
            <w:tcW w:w="1142" w:type="dxa"/>
            <w:vAlign w:val="center"/>
          </w:tcPr>
          <w:p>
            <w:pPr>
              <w:pStyle w:val="147"/>
              <w:rPr>
                <w:rFonts w:eastAsia="宋体" w:cs="Times New Roman"/>
                <w:bCs/>
                <w:sz w:val="18"/>
                <w:szCs w:val="18"/>
              </w:rPr>
            </w:pPr>
            <w:r>
              <w:rPr>
                <w:rFonts w:eastAsia="宋体" w:cs="Times New Roman"/>
                <w:bCs/>
                <w:sz w:val="18"/>
                <w:szCs w:val="18"/>
              </w:rPr>
              <w:t>393</w:t>
            </w:r>
          </w:p>
        </w:tc>
        <w:tc>
          <w:tcPr>
            <w:tcW w:w="1142" w:type="dxa"/>
            <w:vAlign w:val="center"/>
          </w:tcPr>
          <w:p>
            <w:pPr>
              <w:pStyle w:val="147"/>
              <w:rPr>
                <w:rFonts w:eastAsia="宋体" w:cs="Times New Roman"/>
                <w:bCs/>
                <w:sz w:val="18"/>
                <w:szCs w:val="18"/>
              </w:rPr>
            </w:pPr>
            <w:r>
              <w:rPr>
                <w:rFonts w:eastAsia="宋体" w:cs="Times New Roman"/>
                <w:bCs/>
                <w:sz w:val="18"/>
                <w:szCs w:val="18"/>
              </w:rPr>
              <w:t>253</w:t>
            </w:r>
          </w:p>
        </w:tc>
        <w:tc>
          <w:tcPr>
            <w:tcW w:w="1282" w:type="dxa"/>
            <w:vAlign w:val="center"/>
          </w:tcPr>
          <w:p>
            <w:pPr>
              <w:spacing w:line="240" w:lineRule="auto"/>
              <w:ind w:firstLine="0" w:firstLineChars="0"/>
              <w:jc w:val="center"/>
              <w:rPr>
                <w:bCs/>
                <w:sz w:val="18"/>
                <w:szCs w:val="18"/>
              </w:rPr>
            </w:pPr>
            <w:r>
              <w:rPr>
                <w:bCs/>
                <w:sz w:val="18"/>
                <w:szCs w:val="18"/>
              </w:rPr>
              <w:t>450mg/L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spacing w:line="240" w:lineRule="auto"/>
              <w:ind w:firstLine="0" w:firstLineChars="0"/>
              <w:jc w:val="center"/>
              <w:rPr>
                <w:sz w:val="18"/>
                <w:szCs w:val="18"/>
              </w:rPr>
            </w:pPr>
            <w:r>
              <w:rPr>
                <w:sz w:val="18"/>
                <w:szCs w:val="18"/>
              </w:rPr>
              <w:t>碳酸根</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widowControl/>
              <w:spacing w:line="240" w:lineRule="auto"/>
              <w:ind w:firstLine="0" w:firstLineChars="0"/>
              <w:jc w:val="center"/>
              <w:rPr>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spacing w:line="240" w:lineRule="auto"/>
              <w:ind w:firstLine="0" w:firstLineChars="0"/>
              <w:jc w:val="center"/>
              <w:rPr>
                <w:sz w:val="18"/>
                <w:szCs w:val="18"/>
              </w:rPr>
            </w:pPr>
            <w:r>
              <w:rPr>
                <w:sz w:val="18"/>
                <w:szCs w:val="18"/>
              </w:rPr>
              <w:t>重碳酸根</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widowControl/>
              <w:spacing w:line="240" w:lineRule="auto"/>
              <w:ind w:firstLine="0" w:firstLineChars="0"/>
              <w:jc w:val="center"/>
              <w:rPr>
                <w:sz w:val="18"/>
                <w:szCs w:val="18"/>
              </w:rPr>
            </w:pPr>
            <w:r>
              <w:rPr>
                <w:rFonts w:hint="eastAsia"/>
                <w:sz w:val="18"/>
                <w:szCs w:val="18"/>
              </w:rPr>
              <w:t>292</w:t>
            </w:r>
          </w:p>
        </w:tc>
        <w:tc>
          <w:tcPr>
            <w:tcW w:w="1142" w:type="dxa"/>
            <w:vAlign w:val="center"/>
          </w:tcPr>
          <w:p>
            <w:pPr>
              <w:pStyle w:val="147"/>
              <w:rPr>
                <w:rFonts w:eastAsia="宋体" w:cs="Times New Roman"/>
                <w:bCs/>
                <w:sz w:val="18"/>
                <w:szCs w:val="18"/>
              </w:rPr>
            </w:pPr>
            <w:r>
              <w:rPr>
                <w:rFonts w:hint="eastAsia" w:eastAsia="宋体" w:cs="Times New Roman"/>
                <w:bCs/>
                <w:sz w:val="18"/>
                <w:szCs w:val="18"/>
              </w:rPr>
              <w:t>600</w:t>
            </w:r>
          </w:p>
        </w:tc>
        <w:tc>
          <w:tcPr>
            <w:tcW w:w="1142" w:type="dxa"/>
            <w:vAlign w:val="center"/>
          </w:tcPr>
          <w:p>
            <w:pPr>
              <w:pStyle w:val="147"/>
              <w:rPr>
                <w:rFonts w:eastAsia="宋体" w:cs="Times New Roman"/>
                <w:bCs/>
                <w:sz w:val="18"/>
                <w:szCs w:val="18"/>
              </w:rPr>
            </w:pPr>
            <w:r>
              <w:rPr>
                <w:rFonts w:hint="eastAsia" w:eastAsia="宋体" w:cs="Times New Roman"/>
                <w:bCs/>
                <w:sz w:val="18"/>
                <w:szCs w:val="18"/>
              </w:rPr>
              <w:t>351</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kern w:val="0"/>
                <w:sz w:val="18"/>
                <w:szCs w:val="18"/>
              </w:rPr>
              <w:t>氟化物（氟离子）</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0.142</w:t>
            </w:r>
          </w:p>
        </w:tc>
        <w:tc>
          <w:tcPr>
            <w:tcW w:w="1142" w:type="dxa"/>
            <w:vAlign w:val="center"/>
          </w:tcPr>
          <w:p>
            <w:pPr>
              <w:pStyle w:val="147"/>
              <w:rPr>
                <w:rFonts w:eastAsia="宋体" w:cs="Times New Roman"/>
                <w:bCs/>
                <w:sz w:val="18"/>
                <w:szCs w:val="18"/>
              </w:rPr>
            </w:pPr>
            <w:r>
              <w:rPr>
                <w:rFonts w:eastAsia="宋体" w:cs="Times New Roman"/>
                <w:bCs/>
                <w:sz w:val="18"/>
                <w:szCs w:val="18"/>
              </w:rPr>
              <w:t>0.173</w:t>
            </w:r>
          </w:p>
        </w:tc>
        <w:tc>
          <w:tcPr>
            <w:tcW w:w="1142" w:type="dxa"/>
            <w:vAlign w:val="center"/>
          </w:tcPr>
          <w:p>
            <w:pPr>
              <w:pStyle w:val="147"/>
              <w:rPr>
                <w:rFonts w:eastAsia="宋体" w:cs="Times New Roman"/>
                <w:bCs/>
                <w:sz w:val="18"/>
                <w:szCs w:val="18"/>
              </w:rPr>
            </w:pPr>
            <w:r>
              <w:rPr>
                <w:rFonts w:eastAsia="宋体" w:cs="Times New Roman"/>
                <w:bCs/>
                <w:sz w:val="18"/>
                <w:szCs w:val="18"/>
              </w:rPr>
              <w:t>0.127</w:t>
            </w:r>
          </w:p>
        </w:tc>
        <w:tc>
          <w:tcPr>
            <w:tcW w:w="1282" w:type="dxa"/>
            <w:vAlign w:val="center"/>
          </w:tcPr>
          <w:p>
            <w:pPr>
              <w:spacing w:line="240" w:lineRule="auto"/>
              <w:ind w:firstLine="0" w:firstLineChars="0"/>
              <w:jc w:val="center"/>
              <w:rPr>
                <w:bCs/>
                <w:sz w:val="18"/>
                <w:szCs w:val="18"/>
              </w:rPr>
            </w:pPr>
            <w:r>
              <w:rPr>
                <w:bCs/>
                <w:sz w:val="18"/>
                <w:szCs w:val="18"/>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kern w:val="0"/>
                <w:sz w:val="18"/>
                <w:szCs w:val="18"/>
              </w:rPr>
              <w:t>硝酸根（硝酸盐氮）</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0.457</w:t>
            </w:r>
          </w:p>
        </w:tc>
        <w:tc>
          <w:tcPr>
            <w:tcW w:w="1142" w:type="dxa"/>
            <w:vAlign w:val="center"/>
          </w:tcPr>
          <w:p>
            <w:pPr>
              <w:pStyle w:val="147"/>
              <w:rPr>
                <w:rFonts w:eastAsia="宋体" w:cs="Times New Roman"/>
                <w:bCs/>
                <w:sz w:val="18"/>
                <w:szCs w:val="18"/>
              </w:rPr>
            </w:pPr>
            <w:r>
              <w:rPr>
                <w:rFonts w:eastAsia="宋体" w:cs="Times New Roman"/>
                <w:bCs/>
                <w:sz w:val="18"/>
                <w:szCs w:val="18"/>
              </w:rPr>
              <w:t>0.303</w:t>
            </w:r>
          </w:p>
        </w:tc>
        <w:tc>
          <w:tcPr>
            <w:tcW w:w="1142" w:type="dxa"/>
            <w:vAlign w:val="center"/>
          </w:tcPr>
          <w:p>
            <w:pPr>
              <w:pStyle w:val="147"/>
              <w:rPr>
                <w:rFonts w:eastAsia="宋体" w:cs="Times New Roman"/>
                <w:bCs/>
                <w:sz w:val="18"/>
                <w:szCs w:val="18"/>
              </w:rPr>
            </w:pPr>
            <w:r>
              <w:rPr>
                <w:rFonts w:eastAsia="宋体" w:cs="Times New Roman"/>
                <w:bCs/>
                <w:sz w:val="18"/>
                <w:szCs w:val="18"/>
              </w:rPr>
              <w:t>0.599</w:t>
            </w:r>
          </w:p>
        </w:tc>
        <w:tc>
          <w:tcPr>
            <w:tcW w:w="1282" w:type="dxa"/>
            <w:vAlign w:val="center"/>
          </w:tcPr>
          <w:p>
            <w:pPr>
              <w:spacing w:line="240" w:lineRule="auto"/>
              <w:ind w:firstLine="0" w:firstLineChars="0"/>
              <w:jc w:val="center"/>
              <w:rPr>
                <w:bCs/>
                <w:sz w:val="18"/>
                <w:szCs w:val="18"/>
              </w:rPr>
            </w:pPr>
            <w:r>
              <w:rPr>
                <w:bCs/>
                <w:sz w:val="18"/>
                <w:szCs w:val="18"/>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sz w:val="18"/>
                <w:szCs w:val="18"/>
                <w:shd w:val="clear" w:color="auto" w:fill="FFFFFF"/>
              </w:rPr>
              <w:t>氯化物（氯离子）</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9.74</w:t>
            </w:r>
          </w:p>
        </w:tc>
        <w:tc>
          <w:tcPr>
            <w:tcW w:w="1142" w:type="dxa"/>
            <w:vAlign w:val="center"/>
          </w:tcPr>
          <w:p>
            <w:pPr>
              <w:pStyle w:val="147"/>
              <w:rPr>
                <w:rFonts w:eastAsia="宋体" w:cs="Times New Roman"/>
                <w:bCs/>
                <w:sz w:val="18"/>
                <w:szCs w:val="18"/>
              </w:rPr>
            </w:pPr>
            <w:r>
              <w:rPr>
                <w:rFonts w:eastAsia="宋体" w:cs="Times New Roman"/>
                <w:bCs/>
                <w:sz w:val="18"/>
                <w:szCs w:val="18"/>
              </w:rPr>
              <w:t>13.6</w:t>
            </w:r>
          </w:p>
        </w:tc>
        <w:tc>
          <w:tcPr>
            <w:tcW w:w="1142" w:type="dxa"/>
            <w:vAlign w:val="center"/>
          </w:tcPr>
          <w:p>
            <w:pPr>
              <w:pStyle w:val="147"/>
              <w:rPr>
                <w:rFonts w:eastAsia="宋体" w:cs="Times New Roman"/>
                <w:bCs/>
                <w:sz w:val="18"/>
                <w:szCs w:val="18"/>
              </w:rPr>
            </w:pPr>
            <w:r>
              <w:rPr>
                <w:rFonts w:eastAsia="宋体" w:cs="Times New Roman"/>
                <w:bCs/>
                <w:sz w:val="18"/>
                <w:szCs w:val="18"/>
              </w:rPr>
              <w:t>11.4</w:t>
            </w:r>
          </w:p>
        </w:tc>
        <w:tc>
          <w:tcPr>
            <w:tcW w:w="1282" w:type="dxa"/>
            <w:vAlign w:val="center"/>
          </w:tcPr>
          <w:p>
            <w:pPr>
              <w:spacing w:line="240" w:lineRule="auto"/>
              <w:ind w:firstLine="0" w:firstLineChars="0"/>
              <w:jc w:val="center"/>
              <w:rPr>
                <w:bCs/>
                <w:sz w:val="18"/>
                <w:szCs w:val="18"/>
              </w:rPr>
            </w:pPr>
            <w:r>
              <w:rPr>
                <w:bCs/>
                <w:sz w:val="18"/>
                <w:szCs w:val="18"/>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spacing w:line="240" w:lineRule="auto"/>
              <w:ind w:firstLine="0" w:firstLineChars="0"/>
              <w:jc w:val="center"/>
              <w:rPr>
                <w:sz w:val="18"/>
                <w:szCs w:val="18"/>
              </w:rPr>
            </w:pPr>
            <w:r>
              <w:rPr>
                <w:sz w:val="18"/>
                <w:szCs w:val="18"/>
                <w:shd w:val="clear" w:color="auto" w:fill="FFFFFF"/>
              </w:rPr>
              <w:t>硫酸盐（硫酸根）</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sz w:val="18"/>
                <w:szCs w:val="18"/>
              </w:rPr>
            </w:pPr>
            <w:r>
              <w:rPr>
                <w:sz w:val="18"/>
                <w:szCs w:val="18"/>
              </w:rPr>
              <w:t>12.1</w:t>
            </w:r>
          </w:p>
        </w:tc>
        <w:tc>
          <w:tcPr>
            <w:tcW w:w="1142" w:type="dxa"/>
            <w:vAlign w:val="center"/>
          </w:tcPr>
          <w:p>
            <w:pPr>
              <w:pStyle w:val="147"/>
              <w:rPr>
                <w:rFonts w:eastAsia="宋体" w:cs="Times New Roman"/>
                <w:bCs/>
                <w:sz w:val="18"/>
                <w:szCs w:val="18"/>
              </w:rPr>
            </w:pPr>
            <w:r>
              <w:rPr>
                <w:rFonts w:eastAsia="宋体" w:cs="Times New Roman"/>
                <w:bCs/>
                <w:sz w:val="18"/>
                <w:szCs w:val="18"/>
              </w:rPr>
              <w:t>13.2</w:t>
            </w:r>
          </w:p>
        </w:tc>
        <w:tc>
          <w:tcPr>
            <w:tcW w:w="1142" w:type="dxa"/>
            <w:vAlign w:val="center"/>
          </w:tcPr>
          <w:p>
            <w:pPr>
              <w:pStyle w:val="147"/>
              <w:rPr>
                <w:rFonts w:eastAsia="宋体" w:cs="Times New Roman"/>
                <w:bCs/>
                <w:sz w:val="18"/>
                <w:szCs w:val="18"/>
              </w:rPr>
            </w:pPr>
            <w:r>
              <w:rPr>
                <w:rFonts w:eastAsia="宋体" w:cs="Times New Roman"/>
                <w:bCs/>
                <w:sz w:val="18"/>
                <w:szCs w:val="18"/>
              </w:rPr>
              <w:t>15.8</w:t>
            </w:r>
          </w:p>
        </w:tc>
        <w:tc>
          <w:tcPr>
            <w:tcW w:w="1282" w:type="dxa"/>
            <w:vAlign w:val="center"/>
          </w:tcPr>
          <w:p>
            <w:pPr>
              <w:spacing w:line="240" w:lineRule="auto"/>
              <w:ind w:firstLine="0" w:firstLineChars="0"/>
              <w:jc w:val="center"/>
              <w:rPr>
                <w:bCs/>
                <w:sz w:val="18"/>
                <w:szCs w:val="18"/>
              </w:rPr>
            </w:pPr>
            <w:r>
              <w:rPr>
                <w:bCs/>
                <w:sz w:val="18"/>
                <w:szCs w:val="18"/>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K</w:t>
            </w:r>
            <w:r>
              <w:rPr>
                <w:color w:val="000000"/>
                <w:kern w:val="0"/>
                <w:sz w:val="18"/>
                <w:szCs w:val="18"/>
                <w:vertAlign w:val="superscript"/>
                <w:lang w:bidi="ar"/>
              </w:rPr>
              <w:t>+</w:t>
            </w:r>
          </w:p>
        </w:tc>
        <w:tc>
          <w:tcPr>
            <w:tcW w:w="1058" w:type="dxa"/>
            <w:vAlign w:val="center"/>
          </w:tcPr>
          <w:p>
            <w:pPr>
              <w:spacing w:line="240" w:lineRule="auto"/>
              <w:ind w:firstLine="0" w:firstLineChars="0"/>
              <w:jc w:val="center"/>
              <w:rPr>
                <w:sz w:val="18"/>
                <w:szCs w:val="18"/>
              </w:rPr>
            </w:pPr>
            <w:r>
              <w:rPr>
                <w:bCs/>
                <w:sz w:val="18"/>
                <w:szCs w:val="18"/>
                <w:lang w:bidi="ar"/>
              </w:rPr>
              <w:t>mg/L</w:t>
            </w:r>
          </w:p>
        </w:tc>
        <w:tc>
          <w:tcPr>
            <w:tcW w:w="11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4.68</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6.69</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4.21</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restart"/>
            <w:vAlign w:val="center"/>
          </w:tcPr>
          <w:p>
            <w:pPr>
              <w:spacing w:line="240" w:lineRule="auto"/>
              <w:ind w:firstLine="0" w:firstLineChars="0"/>
              <w:jc w:val="center"/>
              <w:rPr>
                <w:sz w:val="18"/>
                <w:szCs w:val="18"/>
              </w:rPr>
            </w:pPr>
            <w:r>
              <w:rPr>
                <w:sz w:val="18"/>
                <w:szCs w:val="18"/>
              </w:rPr>
              <w:br w:type="page"/>
            </w:r>
            <w:r>
              <w:rPr>
                <w:sz w:val="18"/>
                <w:szCs w:val="18"/>
              </w:rPr>
              <w:br w:type="page"/>
            </w:r>
            <w:r>
              <w:rPr>
                <w:bCs/>
                <w:kern w:val="0"/>
                <w:sz w:val="18"/>
                <w:szCs w:val="18"/>
              </w:rPr>
              <w:fldChar w:fldCharType="begin"/>
            </w:r>
            <w:r>
              <w:rPr>
                <w:bCs/>
                <w:kern w:val="0"/>
                <w:sz w:val="18"/>
                <w:szCs w:val="18"/>
              </w:rPr>
              <w:instrText xml:space="preserve"> REF 采样日期1 \h \* MERGEFORMAT</w:instrText>
            </w:r>
            <w:r>
              <w:rPr>
                <w:bCs/>
                <w:kern w:val="0"/>
                <w:sz w:val="18"/>
                <w:szCs w:val="18"/>
              </w:rPr>
              <w:fldChar w:fldCharType="separate"/>
            </w:r>
            <w:r>
              <w:rPr>
                <w:bCs/>
                <w:kern w:val="0"/>
                <w:sz w:val="18"/>
                <w:szCs w:val="18"/>
              </w:rPr>
              <w:t>3月7日</w:t>
            </w:r>
            <w:r>
              <w:rPr>
                <w:bCs/>
                <w:kern w:val="0"/>
                <w:sz w:val="18"/>
                <w:szCs w:val="18"/>
              </w:rPr>
              <w:fldChar w:fldCharType="end"/>
            </w:r>
          </w:p>
        </w:tc>
        <w:tc>
          <w:tcPr>
            <w:tcW w:w="16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Na</w:t>
            </w:r>
            <w:r>
              <w:rPr>
                <w:color w:val="000000"/>
                <w:kern w:val="0"/>
                <w:sz w:val="18"/>
                <w:szCs w:val="18"/>
                <w:vertAlign w:val="superscript"/>
                <w:lang w:bidi="ar"/>
              </w:rPr>
              <w:t>+</w:t>
            </w:r>
          </w:p>
        </w:tc>
        <w:tc>
          <w:tcPr>
            <w:tcW w:w="1058" w:type="dxa"/>
            <w:vAlign w:val="center"/>
          </w:tcPr>
          <w:p>
            <w:pPr>
              <w:spacing w:line="240" w:lineRule="auto"/>
              <w:ind w:firstLine="0" w:firstLineChars="0"/>
              <w:jc w:val="center"/>
              <w:rPr>
                <w:sz w:val="18"/>
                <w:szCs w:val="18"/>
              </w:rPr>
            </w:pPr>
            <w:r>
              <w:rPr>
                <w:bCs/>
                <w:sz w:val="18"/>
                <w:szCs w:val="18"/>
                <w:lang w:bidi="ar"/>
              </w:rPr>
              <w:t>mg/L</w:t>
            </w:r>
          </w:p>
        </w:tc>
        <w:tc>
          <w:tcPr>
            <w:tcW w:w="11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9.08</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25.2</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10.6</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Ca</w:t>
            </w:r>
            <w:r>
              <w:rPr>
                <w:color w:val="000000"/>
                <w:kern w:val="0"/>
                <w:sz w:val="18"/>
                <w:szCs w:val="18"/>
                <w:vertAlign w:val="superscript"/>
                <w:lang w:bidi="ar"/>
              </w:rPr>
              <w:t>2+</w:t>
            </w:r>
          </w:p>
        </w:tc>
        <w:tc>
          <w:tcPr>
            <w:tcW w:w="1058" w:type="dxa"/>
            <w:vAlign w:val="center"/>
          </w:tcPr>
          <w:p>
            <w:pPr>
              <w:spacing w:line="240" w:lineRule="auto"/>
              <w:ind w:firstLine="0" w:firstLineChars="0"/>
              <w:jc w:val="center"/>
              <w:rPr>
                <w:sz w:val="18"/>
                <w:szCs w:val="18"/>
              </w:rPr>
            </w:pPr>
            <w:r>
              <w:rPr>
                <w:bCs/>
                <w:sz w:val="18"/>
                <w:szCs w:val="18"/>
                <w:lang w:bidi="ar"/>
              </w:rPr>
              <w:t>mg/L</w:t>
            </w:r>
          </w:p>
        </w:tc>
        <w:tc>
          <w:tcPr>
            <w:tcW w:w="11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67.4</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125</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89.0</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Mg</w:t>
            </w:r>
            <w:r>
              <w:rPr>
                <w:color w:val="000000"/>
                <w:kern w:val="0"/>
                <w:sz w:val="18"/>
                <w:szCs w:val="18"/>
                <w:vertAlign w:val="superscript"/>
                <w:lang w:bidi="ar"/>
              </w:rPr>
              <w:t>2+</w:t>
            </w:r>
          </w:p>
        </w:tc>
        <w:tc>
          <w:tcPr>
            <w:tcW w:w="1058" w:type="dxa"/>
            <w:vAlign w:val="center"/>
          </w:tcPr>
          <w:p>
            <w:pPr>
              <w:spacing w:line="240" w:lineRule="auto"/>
              <w:ind w:firstLine="0" w:firstLineChars="0"/>
              <w:jc w:val="center"/>
              <w:rPr>
                <w:sz w:val="18"/>
                <w:szCs w:val="18"/>
              </w:rPr>
            </w:pPr>
            <w:r>
              <w:rPr>
                <w:bCs/>
                <w:sz w:val="18"/>
                <w:szCs w:val="18"/>
                <w:lang w:bidi="ar"/>
              </w:rPr>
              <w:t>mg/L</w:t>
            </w:r>
          </w:p>
        </w:tc>
        <w:tc>
          <w:tcPr>
            <w:tcW w:w="1142" w:type="dxa"/>
            <w:vAlign w:val="center"/>
          </w:tcPr>
          <w:p>
            <w:pPr>
              <w:widowControl/>
              <w:tabs>
                <w:tab w:val="left" w:pos="1890"/>
              </w:tabs>
              <w:spacing w:line="240" w:lineRule="auto"/>
              <w:ind w:firstLine="0" w:firstLineChars="0"/>
              <w:jc w:val="center"/>
              <w:textAlignment w:val="center"/>
              <w:rPr>
                <w:color w:val="000000"/>
                <w:kern w:val="0"/>
                <w:sz w:val="18"/>
                <w:szCs w:val="18"/>
                <w:lang w:bidi="ar"/>
              </w:rPr>
            </w:pPr>
            <w:r>
              <w:rPr>
                <w:color w:val="000000"/>
                <w:kern w:val="0"/>
                <w:sz w:val="18"/>
                <w:szCs w:val="18"/>
                <w:lang w:bidi="ar"/>
              </w:rPr>
              <w:t>6.44</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18.7</w:t>
            </w:r>
          </w:p>
        </w:tc>
        <w:tc>
          <w:tcPr>
            <w:tcW w:w="1142" w:type="dxa"/>
            <w:vAlign w:val="center"/>
          </w:tcPr>
          <w:p>
            <w:pPr>
              <w:widowControl/>
              <w:spacing w:line="240" w:lineRule="auto"/>
              <w:ind w:firstLine="0" w:firstLineChars="0"/>
              <w:jc w:val="center"/>
              <w:textAlignment w:val="center"/>
              <w:rPr>
                <w:bCs/>
                <w:sz w:val="18"/>
                <w:szCs w:val="18"/>
              </w:rPr>
            </w:pPr>
            <w:r>
              <w:rPr>
                <w:bCs/>
                <w:sz w:val="18"/>
                <w:szCs w:val="18"/>
              </w:rPr>
              <w:t>7.71</w:t>
            </w:r>
          </w:p>
        </w:tc>
        <w:tc>
          <w:tcPr>
            <w:tcW w:w="1282" w:type="dxa"/>
            <w:vAlign w:val="center"/>
          </w:tcPr>
          <w:p>
            <w:pPr>
              <w:spacing w:line="240" w:lineRule="auto"/>
              <w:ind w:firstLine="0" w:firstLineChars="0"/>
              <w:jc w:val="center"/>
              <w:rPr>
                <w:bCs/>
                <w:sz w:val="18"/>
                <w:szCs w:val="18"/>
              </w:rPr>
            </w:pP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sz w:val="18"/>
                <w:szCs w:val="18"/>
              </w:rPr>
            </w:pPr>
            <w:r>
              <w:rPr>
                <w:sz w:val="18"/>
                <w:szCs w:val="18"/>
              </w:rPr>
              <w:t>汞</w:t>
            </w:r>
          </w:p>
        </w:tc>
        <w:tc>
          <w:tcPr>
            <w:tcW w:w="1058" w:type="dxa"/>
            <w:vAlign w:val="center"/>
          </w:tcPr>
          <w:p>
            <w:pPr>
              <w:spacing w:line="240" w:lineRule="auto"/>
              <w:ind w:firstLine="0" w:firstLineChars="0"/>
              <w:jc w:val="center"/>
              <w:rPr>
                <w:bCs/>
                <w:sz w:val="18"/>
                <w:szCs w:val="18"/>
                <w:lang w:bidi="ar"/>
              </w:rPr>
            </w:pPr>
            <w:r>
              <w:rPr>
                <w:sz w:val="18"/>
                <w:szCs w:val="18"/>
              </w:rPr>
              <w:t>μg/L</w:t>
            </w:r>
          </w:p>
        </w:tc>
        <w:tc>
          <w:tcPr>
            <w:tcW w:w="1142" w:type="dxa"/>
            <w:vAlign w:val="center"/>
          </w:tcPr>
          <w:p>
            <w:pPr>
              <w:spacing w:line="240" w:lineRule="auto"/>
              <w:ind w:firstLine="0" w:firstLineChars="0"/>
              <w:jc w:val="center"/>
              <w:rPr>
                <w:sz w:val="18"/>
                <w:szCs w:val="18"/>
              </w:rPr>
            </w:pPr>
            <w:r>
              <w:rPr>
                <w:color w:val="000000"/>
                <w:kern w:val="0"/>
                <w:sz w:val="18"/>
                <w:szCs w:val="18"/>
                <w:lang w:bidi="ar"/>
              </w:rPr>
              <w:t>未检出</w:t>
            </w:r>
          </w:p>
        </w:tc>
        <w:tc>
          <w:tcPr>
            <w:tcW w:w="1142" w:type="dxa"/>
            <w:vAlign w:val="center"/>
          </w:tcPr>
          <w:p>
            <w:pPr>
              <w:widowControl/>
              <w:spacing w:line="240" w:lineRule="auto"/>
              <w:ind w:firstLine="0" w:firstLineChars="0"/>
              <w:jc w:val="center"/>
              <w:textAlignment w:val="center"/>
              <w:rPr>
                <w:bCs/>
                <w:sz w:val="18"/>
                <w:szCs w:val="18"/>
              </w:rPr>
            </w:pPr>
            <w:r>
              <w:rPr>
                <w:color w:val="000000"/>
                <w:kern w:val="0"/>
                <w:sz w:val="18"/>
                <w:szCs w:val="18"/>
                <w:lang w:bidi="ar"/>
              </w:rPr>
              <w:t>未检出</w:t>
            </w:r>
          </w:p>
        </w:tc>
        <w:tc>
          <w:tcPr>
            <w:tcW w:w="1142" w:type="dxa"/>
            <w:vAlign w:val="center"/>
          </w:tcPr>
          <w:p>
            <w:pPr>
              <w:widowControl/>
              <w:spacing w:line="240" w:lineRule="auto"/>
              <w:ind w:firstLine="0" w:firstLineChars="0"/>
              <w:jc w:val="center"/>
              <w:textAlignment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sz w:val="18"/>
                <w:szCs w:val="18"/>
              </w:rPr>
            </w:pPr>
            <w:r>
              <w:rPr>
                <w:sz w:val="18"/>
                <w:szCs w:val="18"/>
              </w:rPr>
              <w:t>砷</w:t>
            </w:r>
          </w:p>
        </w:tc>
        <w:tc>
          <w:tcPr>
            <w:tcW w:w="1058" w:type="dxa"/>
            <w:vAlign w:val="center"/>
          </w:tcPr>
          <w:p>
            <w:pPr>
              <w:spacing w:line="240" w:lineRule="auto"/>
              <w:ind w:firstLine="0" w:firstLineChars="0"/>
              <w:jc w:val="center"/>
              <w:rPr>
                <w:bCs/>
                <w:sz w:val="18"/>
                <w:szCs w:val="18"/>
                <w:lang w:bidi="ar"/>
              </w:rPr>
            </w:pPr>
            <w:r>
              <w:rPr>
                <w:sz w:val="18"/>
                <w:szCs w:val="18"/>
              </w:rPr>
              <w:t>μg/L</w:t>
            </w:r>
          </w:p>
        </w:tc>
        <w:tc>
          <w:tcPr>
            <w:tcW w:w="1142" w:type="dxa"/>
            <w:vAlign w:val="center"/>
          </w:tcPr>
          <w:p>
            <w:pPr>
              <w:widowControl/>
              <w:spacing w:line="240" w:lineRule="auto"/>
              <w:ind w:firstLine="0" w:firstLineChars="0"/>
              <w:jc w:val="center"/>
              <w:textAlignment w:val="center"/>
              <w:rPr>
                <w:sz w:val="18"/>
                <w:szCs w:val="18"/>
              </w:rPr>
            </w:pPr>
            <w:r>
              <w:rPr>
                <w:color w:val="000000"/>
                <w:kern w:val="0"/>
                <w:sz w:val="18"/>
                <w:szCs w:val="18"/>
                <w:lang w:bidi="ar"/>
              </w:rPr>
              <w:t>未检出</w:t>
            </w:r>
          </w:p>
        </w:tc>
        <w:tc>
          <w:tcPr>
            <w:tcW w:w="1142" w:type="dxa"/>
            <w:vAlign w:val="center"/>
          </w:tcPr>
          <w:p>
            <w:pPr>
              <w:widowControl/>
              <w:spacing w:line="240" w:lineRule="auto"/>
              <w:ind w:firstLine="0" w:firstLineChars="0"/>
              <w:jc w:val="center"/>
              <w:textAlignment w:val="center"/>
              <w:rPr>
                <w:bCs/>
                <w:sz w:val="18"/>
                <w:szCs w:val="18"/>
              </w:rPr>
            </w:pPr>
            <w:r>
              <w:rPr>
                <w:color w:val="000000"/>
                <w:kern w:val="0"/>
                <w:sz w:val="18"/>
                <w:szCs w:val="18"/>
                <w:lang w:bidi="ar"/>
              </w:rPr>
              <w:t>未检出</w:t>
            </w:r>
          </w:p>
        </w:tc>
        <w:tc>
          <w:tcPr>
            <w:tcW w:w="1142" w:type="dxa"/>
            <w:vAlign w:val="center"/>
          </w:tcPr>
          <w:p>
            <w:pPr>
              <w:widowControl/>
              <w:spacing w:line="240" w:lineRule="auto"/>
              <w:ind w:firstLine="0" w:firstLineChars="0"/>
              <w:jc w:val="center"/>
              <w:textAlignment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bCs/>
                <w:sz w:val="18"/>
                <w:szCs w:val="18"/>
                <w:lang w:bidi="ar"/>
              </w:rPr>
            </w:pPr>
            <w:r>
              <w:rPr>
                <w:bCs/>
                <w:sz w:val="18"/>
                <w:szCs w:val="18"/>
                <w:lang w:bidi="ar"/>
              </w:rPr>
              <w:t>铅</w:t>
            </w:r>
          </w:p>
        </w:tc>
        <w:tc>
          <w:tcPr>
            <w:tcW w:w="1058" w:type="dxa"/>
            <w:vAlign w:val="center"/>
          </w:tcPr>
          <w:p>
            <w:pPr>
              <w:spacing w:line="240" w:lineRule="auto"/>
              <w:ind w:firstLine="0" w:firstLineChars="0"/>
              <w:jc w:val="center"/>
              <w:rPr>
                <w:bCs/>
                <w:sz w:val="18"/>
                <w:szCs w:val="18"/>
                <w:lang w:bidi="ar"/>
              </w:rPr>
            </w:pPr>
            <w:r>
              <w:rPr>
                <w:sz w:val="18"/>
                <w:szCs w:val="18"/>
              </w:rPr>
              <w:t>μg/L</w:t>
            </w:r>
          </w:p>
        </w:tc>
        <w:tc>
          <w:tcPr>
            <w:tcW w:w="1142" w:type="dxa"/>
            <w:vAlign w:val="center"/>
          </w:tcPr>
          <w:p>
            <w:pPr>
              <w:spacing w:line="240" w:lineRule="auto"/>
              <w:ind w:firstLine="0" w:firstLineChars="0"/>
              <w:jc w:val="center"/>
              <w:rPr>
                <w:bCs/>
                <w:sz w:val="18"/>
                <w:szCs w:val="18"/>
                <w:lang w:bidi="ar"/>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bCs/>
                <w:sz w:val="18"/>
                <w:szCs w:val="18"/>
                <w:lang w:bidi="ar"/>
              </w:rPr>
            </w:pPr>
            <w:r>
              <w:rPr>
                <w:bCs/>
                <w:sz w:val="18"/>
                <w:szCs w:val="18"/>
                <w:lang w:bidi="ar"/>
              </w:rPr>
              <w:t>镉</w:t>
            </w:r>
          </w:p>
        </w:tc>
        <w:tc>
          <w:tcPr>
            <w:tcW w:w="1058" w:type="dxa"/>
            <w:vAlign w:val="center"/>
          </w:tcPr>
          <w:p>
            <w:pPr>
              <w:spacing w:line="240" w:lineRule="auto"/>
              <w:ind w:firstLine="0" w:firstLineChars="0"/>
              <w:jc w:val="center"/>
              <w:rPr>
                <w:bCs/>
                <w:sz w:val="18"/>
                <w:szCs w:val="18"/>
                <w:lang w:bidi="ar"/>
              </w:rPr>
            </w:pPr>
            <w:r>
              <w:rPr>
                <w:sz w:val="18"/>
                <w:szCs w:val="18"/>
              </w:rPr>
              <w:t>μg/L</w:t>
            </w:r>
          </w:p>
        </w:tc>
        <w:tc>
          <w:tcPr>
            <w:tcW w:w="1142" w:type="dxa"/>
            <w:vAlign w:val="center"/>
          </w:tcPr>
          <w:p>
            <w:pPr>
              <w:spacing w:line="240" w:lineRule="auto"/>
              <w:ind w:firstLine="0" w:firstLineChars="0"/>
              <w:jc w:val="center"/>
              <w:rPr>
                <w:bCs/>
                <w:sz w:val="18"/>
                <w:szCs w:val="18"/>
                <w:lang w:bidi="ar"/>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bCs/>
                <w:sz w:val="18"/>
                <w:szCs w:val="18"/>
              </w:rPr>
            </w:pPr>
            <w:r>
              <w:rPr>
                <w:bCs/>
                <w:sz w:val="18"/>
                <w:szCs w:val="18"/>
              </w:rPr>
              <w:t>铁</w:t>
            </w:r>
          </w:p>
        </w:tc>
        <w:tc>
          <w:tcPr>
            <w:tcW w:w="1058" w:type="dxa"/>
            <w:vAlign w:val="center"/>
          </w:tcPr>
          <w:p>
            <w:pPr>
              <w:spacing w:line="240" w:lineRule="auto"/>
              <w:ind w:firstLine="0" w:firstLineChars="0"/>
              <w:jc w:val="center"/>
              <w:rPr>
                <w:bCs/>
                <w:sz w:val="18"/>
                <w:szCs w:val="18"/>
                <w:lang w:bidi="ar"/>
              </w:rPr>
            </w:pPr>
            <w:r>
              <w:rPr>
                <w:bCs/>
                <w:sz w:val="18"/>
                <w:szCs w:val="18"/>
                <w:lang w:bidi="ar"/>
              </w:rPr>
              <w:t>mg/L</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rPr>
                <w:bCs/>
                <w:sz w:val="18"/>
                <w:szCs w:val="18"/>
              </w:rPr>
            </w:pPr>
            <w:r>
              <w:rPr>
                <w:bCs/>
                <w:sz w:val="18"/>
                <w:szCs w:val="18"/>
              </w:rPr>
              <w:t>锰</w:t>
            </w:r>
          </w:p>
        </w:tc>
        <w:tc>
          <w:tcPr>
            <w:tcW w:w="1058" w:type="dxa"/>
            <w:vAlign w:val="center"/>
          </w:tcPr>
          <w:p>
            <w:pPr>
              <w:spacing w:line="240" w:lineRule="auto"/>
              <w:ind w:firstLine="0" w:firstLineChars="0"/>
              <w:jc w:val="center"/>
              <w:rPr>
                <w:bCs/>
                <w:sz w:val="18"/>
                <w:szCs w:val="18"/>
                <w:lang w:bidi="ar"/>
              </w:rPr>
            </w:pPr>
            <w:r>
              <w:rPr>
                <w:sz w:val="18"/>
                <w:szCs w:val="18"/>
              </w:rPr>
              <w:t>μg/L</w:t>
            </w:r>
          </w:p>
        </w:tc>
        <w:tc>
          <w:tcPr>
            <w:tcW w:w="1142" w:type="dxa"/>
            <w:vAlign w:val="center"/>
          </w:tcPr>
          <w:p>
            <w:pPr>
              <w:widowControl/>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142" w:type="dxa"/>
            <w:vAlign w:val="center"/>
          </w:tcPr>
          <w:p>
            <w:pPr>
              <w:spacing w:line="240" w:lineRule="auto"/>
              <w:ind w:firstLine="0" w:firstLineChars="0"/>
              <w:jc w:val="center"/>
              <w:rPr>
                <w:bCs/>
                <w:sz w:val="18"/>
                <w:szCs w:val="18"/>
              </w:rPr>
            </w:pPr>
            <w:r>
              <w:rPr>
                <w:color w:val="000000"/>
                <w:kern w:val="0"/>
                <w:sz w:val="18"/>
                <w:szCs w:val="18"/>
                <w:lang w:bidi="ar"/>
              </w:rPr>
              <w:t>未检出</w:t>
            </w:r>
          </w:p>
        </w:tc>
        <w:tc>
          <w:tcPr>
            <w:tcW w:w="1282" w:type="dxa"/>
            <w:vAlign w:val="center"/>
          </w:tcPr>
          <w:p>
            <w:pPr>
              <w:spacing w:line="240" w:lineRule="auto"/>
              <w:ind w:firstLine="0" w:firstLineChars="0"/>
              <w:jc w:val="center"/>
              <w:rPr>
                <w:bCs/>
                <w:sz w:val="18"/>
                <w:szCs w:val="18"/>
              </w:rPr>
            </w:pPr>
            <w:r>
              <w:rPr>
                <w:bCs/>
                <w:sz w:val="18"/>
                <w:szCs w:val="18"/>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tabs>
                <w:tab w:val="left" w:pos="1890"/>
              </w:tabs>
              <w:spacing w:line="240" w:lineRule="auto"/>
              <w:ind w:firstLine="0" w:firstLineChars="0"/>
              <w:jc w:val="center"/>
              <w:rPr>
                <w:sz w:val="18"/>
                <w:szCs w:val="18"/>
              </w:rPr>
            </w:pPr>
            <w:r>
              <w:rPr>
                <w:sz w:val="18"/>
                <w:szCs w:val="18"/>
              </w:rPr>
              <w:t>总大肠菌群</w:t>
            </w:r>
          </w:p>
        </w:tc>
        <w:tc>
          <w:tcPr>
            <w:tcW w:w="1058" w:type="dxa"/>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Cs/>
                <w:sz w:val="18"/>
                <w:szCs w:val="18"/>
              </w:rPr>
            </w:pPr>
            <w:r>
              <w:rPr>
                <w:rFonts w:ascii="Times New Roman" w:hAnsi="Times New Roman" w:cs="Times New Roman"/>
                <w:bCs/>
                <w:sz w:val="18"/>
                <w:szCs w:val="18"/>
              </w:rPr>
              <w:t>MPN/L</w:t>
            </w:r>
          </w:p>
        </w:tc>
        <w:tc>
          <w:tcPr>
            <w:tcW w:w="1142" w:type="dxa"/>
            <w:vAlign w:val="center"/>
          </w:tcPr>
          <w:p>
            <w:pPr>
              <w:tabs>
                <w:tab w:val="left" w:pos="1890"/>
              </w:tabs>
              <w:spacing w:line="240" w:lineRule="auto"/>
              <w:ind w:firstLine="0" w:firstLineChars="0"/>
              <w:jc w:val="center"/>
              <w:rPr>
                <w:sz w:val="18"/>
                <w:szCs w:val="18"/>
              </w:rPr>
            </w:pPr>
            <w:r>
              <w:rPr>
                <w:rFonts w:hint="eastAsia"/>
                <w:sz w:val="18"/>
                <w:szCs w:val="18"/>
              </w:rPr>
              <w:t>20</w:t>
            </w:r>
          </w:p>
        </w:tc>
        <w:tc>
          <w:tcPr>
            <w:tcW w:w="1142" w:type="dxa"/>
            <w:vAlign w:val="center"/>
          </w:tcPr>
          <w:p>
            <w:pPr>
              <w:pStyle w:val="147"/>
              <w:rPr>
                <w:rFonts w:eastAsia="宋体" w:cs="Times New Roman"/>
                <w:bCs/>
                <w:sz w:val="18"/>
                <w:szCs w:val="18"/>
              </w:rPr>
            </w:pPr>
            <w:r>
              <w:rPr>
                <w:rFonts w:eastAsia="宋体" w:cs="Times New Roman"/>
                <w:color w:val="000000"/>
                <w:kern w:val="0"/>
                <w:sz w:val="18"/>
                <w:szCs w:val="18"/>
                <w:lang w:bidi="ar"/>
              </w:rPr>
              <w:t>未检出</w:t>
            </w:r>
          </w:p>
        </w:tc>
        <w:tc>
          <w:tcPr>
            <w:tcW w:w="1142" w:type="dxa"/>
            <w:vAlign w:val="center"/>
          </w:tcPr>
          <w:p>
            <w:pPr>
              <w:pStyle w:val="147"/>
              <w:rPr>
                <w:rFonts w:eastAsia="宋体" w:cs="Times New Roman"/>
                <w:bCs/>
                <w:sz w:val="18"/>
                <w:szCs w:val="18"/>
              </w:rPr>
            </w:pPr>
            <w:r>
              <w:rPr>
                <w:rFonts w:hint="eastAsia" w:eastAsia="宋体" w:cs="Times New Roman"/>
                <w:bCs/>
                <w:sz w:val="18"/>
                <w:szCs w:val="18"/>
              </w:rPr>
              <w:t>20</w:t>
            </w:r>
          </w:p>
        </w:tc>
        <w:tc>
          <w:tcPr>
            <w:tcW w:w="1282" w:type="dxa"/>
            <w:vAlign w:val="center"/>
          </w:tcPr>
          <w:p>
            <w:pPr>
              <w:spacing w:line="240" w:lineRule="auto"/>
              <w:ind w:firstLine="0" w:firstLineChars="0"/>
              <w:jc w:val="center"/>
              <w:rPr>
                <w:bCs/>
                <w:sz w:val="18"/>
                <w:szCs w:val="18"/>
              </w:rPr>
            </w:pPr>
            <w:r>
              <w:rPr>
                <w:bCs/>
                <w:sz w:val="18"/>
                <w:szCs w:val="18"/>
              </w:rPr>
              <w:t>3.0</w:t>
            </w:r>
            <w:r>
              <w:rPr>
                <w:bCs/>
                <w:sz w:val="18"/>
                <w:szCs w:val="18"/>
                <w:lang w:bidi="ar"/>
              </w:rPr>
              <w:t>M</w:t>
            </w:r>
            <w:r>
              <w:rPr>
                <w:bCs/>
                <w:sz w:val="18"/>
                <w:szCs w:val="18"/>
              </w:rPr>
              <w:t>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44" w:type="dxa"/>
            <w:vMerge w:val="continue"/>
            <w:vAlign w:val="center"/>
          </w:tcPr>
          <w:p>
            <w:pPr>
              <w:spacing w:line="240" w:lineRule="auto"/>
              <w:ind w:firstLine="0" w:firstLineChars="0"/>
              <w:jc w:val="center"/>
              <w:rPr>
                <w:sz w:val="18"/>
                <w:szCs w:val="18"/>
              </w:rPr>
            </w:pPr>
          </w:p>
        </w:tc>
        <w:tc>
          <w:tcPr>
            <w:tcW w:w="1642" w:type="dxa"/>
            <w:vAlign w:val="center"/>
          </w:tcPr>
          <w:p>
            <w:pPr>
              <w:widowControl/>
              <w:tabs>
                <w:tab w:val="left" w:pos="1890"/>
              </w:tabs>
              <w:spacing w:line="240" w:lineRule="auto"/>
              <w:ind w:firstLine="0" w:firstLineChars="0"/>
              <w:jc w:val="center"/>
              <w:rPr>
                <w:sz w:val="18"/>
                <w:szCs w:val="18"/>
              </w:rPr>
            </w:pPr>
            <w:r>
              <w:rPr>
                <w:sz w:val="18"/>
                <w:szCs w:val="18"/>
              </w:rPr>
              <w:t>菌落总数</w:t>
            </w:r>
          </w:p>
        </w:tc>
        <w:tc>
          <w:tcPr>
            <w:tcW w:w="1058" w:type="dxa"/>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bCs/>
                <w:sz w:val="18"/>
                <w:szCs w:val="18"/>
              </w:rPr>
            </w:pPr>
            <w:r>
              <w:rPr>
                <w:rFonts w:ascii="Times New Roman" w:hAnsi="Times New Roman" w:cs="Times New Roman"/>
                <w:bCs/>
                <w:sz w:val="18"/>
                <w:szCs w:val="18"/>
              </w:rPr>
              <w:t>MPN/mL</w:t>
            </w:r>
          </w:p>
        </w:tc>
        <w:tc>
          <w:tcPr>
            <w:tcW w:w="1142" w:type="dxa"/>
            <w:vAlign w:val="center"/>
          </w:tcPr>
          <w:p>
            <w:pPr>
              <w:widowControl/>
              <w:tabs>
                <w:tab w:val="left" w:pos="1890"/>
              </w:tabs>
              <w:spacing w:line="240" w:lineRule="auto"/>
              <w:ind w:firstLine="0" w:firstLineChars="0"/>
              <w:jc w:val="center"/>
              <w:rPr>
                <w:sz w:val="18"/>
                <w:szCs w:val="18"/>
              </w:rPr>
            </w:pPr>
            <w:r>
              <w:rPr>
                <w:rFonts w:hint="eastAsia"/>
                <w:sz w:val="18"/>
                <w:szCs w:val="18"/>
              </w:rPr>
              <w:t>40</w:t>
            </w:r>
          </w:p>
        </w:tc>
        <w:tc>
          <w:tcPr>
            <w:tcW w:w="1142" w:type="dxa"/>
            <w:vAlign w:val="center"/>
          </w:tcPr>
          <w:p>
            <w:pPr>
              <w:pStyle w:val="147"/>
              <w:rPr>
                <w:rFonts w:eastAsia="宋体" w:cs="Times New Roman"/>
                <w:bCs/>
                <w:sz w:val="18"/>
                <w:szCs w:val="18"/>
              </w:rPr>
            </w:pPr>
            <w:r>
              <w:rPr>
                <w:rFonts w:hint="eastAsia" w:eastAsia="宋体" w:cs="Times New Roman"/>
                <w:bCs/>
                <w:sz w:val="18"/>
                <w:szCs w:val="18"/>
              </w:rPr>
              <w:t>56</w:t>
            </w:r>
          </w:p>
        </w:tc>
        <w:tc>
          <w:tcPr>
            <w:tcW w:w="1142" w:type="dxa"/>
            <w:vAlign w:val="center"/>
          </w:tcPr>
          <w:p>
            <w:pPr>
              <w:pStyle w:val="147"/>
              <w:rPr>
                <w:rFonts w:eastAsia="宋体" w:cs="Times New Roman"/>
                <w:bCs/>
                <w:sz w:val="18"/>
                <w:szCs w:val="18"/>
              </w:rPr>
            </w:pPr>
            <w:r>
              <w:rPr>
                <w:rFonts w:hint="eastAsia" w:eastAsia="宋体" w:cs="Times New Roman"/>
                <w:bCs/>
                <w:sz w:val="18"/>
                <w:szCs w:val="18"/>
              </w:rPr>
              <w:t>40</w:t>
            </w:r>
          </w:p>
        </w:tc>
        <w:tc>
          <w:tcPr>
            <w:tcW w:w="1282" w:type="dxa"/>
            <w:vAlign w:val="center"/>
          </w:tcPr>
          <w:p>
            <w:pPr>
              <w:spacing w:line="240" w:lineRule="auto"/>
              <w:ind w:firstLine="0" w:firstLineChars="0"/>
              <w:jc w:val="center"/>
              <w:rPr>
                <w:bCs/>
                <w:sz w:val="18"/>
                <w:szCs w:val="18"/>
              </w:rPr>
            </w:pPr>
            <w:r>
              <w:rPr>
                <w:bCs/>
                <w:sz w:val="18"/>
                <w:szCs w:val="18"/>
              </w:rPr>
              <w:t>100CFU/mL</w:t>
            </w:r>
          </w:p>
        </w:tc>
      </w:tr>
    </w:tbl>
    <w:p>
      <w:pPr>
        <w:ind w:firstLine="480"/>
      </w:pPr>
      <w:r>
        <w:t>（1）评价因子</w:t>
      </w:r>
    </w:p>
    <w:p>
      <w:pPr>
        <w:ind w:firstLine="480"/>
      </w:pPr>
      <w:r>
        <w:t>pH、氨氮、硝酸盐、亚硝酸盐、挥发性酚类、总氰化物、砷、汞、铬(六价)、总硬度、铅、镉、铁、锰、溶解性总固体、高锰酸盐指数、硫酸盐、氟化物、氯化物、总大肠菌群、细菌总数。</w:t>
      </w:r>
    </w:p>
    <w:p>
      <w:pPr>
        <w:ind w:firstLine="480"/>
      </w:pPr>
      <w:r>
        <w:t>（2）评价标准</w:t>
      </w:r>
    </w:p>
    <w:p>
      <w:pPr>
        <w:ind w:firstLine="480"/>
      </w:pPr>
      <w:r>
        <w:t>执行《地下水质量标准》（GB/T14848-2017）III类标准。</w:t>
      </w:r>
    </w:p>
    <w:p>
      <w:pPr>
        <w:ind w:firstLine="480"/>
      </w:pPr>
      <w:r>
        <w:t>（3）评价方法</w:t>
      </w:r>
    </w:p>
    <w:p>
      <w:pPr>
        <w:ind w:firstLine="480"/>
      </w:pPr>
      <w:r>
        <w:t>采用单项水质指数评价法，公式为：</w:t>
      </w:r>
    </w:p>
    <w:p>
      <w:pPr>
        <w:ind w:firstLine="480"/>
        <w:jc w:val="center"/>
        <w:rPr>
          <w:i/>
        </w:rPr>
      </w:pPr>
      <w:r>
        <w:rPr>
          <w:i/>
        </w:rPr>
        <w:t>P</w:t>
      </w:r>
      <w:r>
        <w:rPr>
          <w:i/>
          <w:vertAlign w:val="subscript"/>
        </w:rPr>
        <w:t>i</w:t>
      </w:r>
      <w:r>
        <w:rPr>
          <w:i/>
        </w:rPr>
        <w:t xml:space="preserve"> =C</w:t>
      </w:r>
      <w:r>
        <w:rPr>
          <w:i/>
          <w:vertAlign w:val="subscript"/>
        </w:rPr>
        <w:t>i</w:t>
      </w:r>
      <w:r>
        <w:rPr>
          <w:i/>
        </w:rPr>
        <w:t>/C</w:t>
      </w:r>
      <w:r>
        <w:rPr>
          <w:i/>
          <w:vertAlign w:val="subscript"/>
        </w:rPr>
        <w:t>si</w:t>
      </w:r>
    </w:p>
    <w:p>
      <w:pPr>
        <w:ind w:firstLine="480"/>
      </w:pPr>
      <w:r>
        <w:t>式中，</w:t>
      </w:r>
      <w:r>
        <w:rPr>
          <w:i/>
        </w:rPr>
        <w:t>P</w:t>
      </w:r>
      <w:r>
        <w:rPr>
          <w:i/>
          <w:vertAlign w:val="subscript"/>
        </w:rPr>
        <w:t>i</w:t>
      </w:r>
      <w:r>
        <w:t xml:space="preserve"> ——第</w:t>
      </w:r>
      <w:r>
        <w:rPr>
          <w:i/>
        </w:rPr>
        <w:t>i</w:t>
      </w:r>
      <w:r>
        <w:t>个水质因子的标准指数，无量纲；</w:t>
      </w:r>
    </w:p>
    <w:p>
      <w:pPr>
        <w:ind w:firstLine="1200" w:firstLineChars="500"/>
      </w:pPr>
      <w:r>
        <w:rPr>
          <w:i/>
        </w:rPr>
        <w:t>C</w:t>
      </w:r>
      <w:r>
        <w:rPr>
          <w:i/>
          <w:vertAlign w:val="subscript"/>
        </w:rPr>
        <w:t>i</w:t>
      </w:r>
      <w:r>
        <w:t>——第</w:t>
      </w:r>
      <w:r>
        <w:rPr>
          <w:i/>
        </w:rPr>
        <w:t>i</w:t>
      </w:r>
      <w:r>
        <w:t>个水质因子的监测浓度限值，mg/L；</w:t>
      </w:r>
    </w:p>
    <w:p>
      <w:pPr>
        <w:ind w:firstLine="1200" w:firstLineChars="500"/>
      </w:pPr>
      <w:r>
        <w:rPr>
          <w:i/>
        </w:rPr>
        <w:t>C</w:t>
      </w:r>
      <w:r>
        <w:rPr>
          <w:i/>
          <w:vertAlign w:val="subscript"/>
        </w:rPr>
        <w:t>sj</w:t>
      </w:r>
      <w:r>
        <w:t>——第</w:t>
      </w:r>
      <w:r>
        <w:rPr>
          <w:i/>
        </w:rPr>
        <w:t>i</w:t>
      </w:r>
      <w:r>
        <w:t>个水质因子的标准浓度限值，mg/L。</w:t>
      </w:r>
    </w:p>
    <w:p>
      <w:pPr>
        <w:ind w:firstLine="480"/>
      </w:pPr>
      <w:r>
        <w:t>对具有上、下限标准值的指标pH，公式为：</w:t>
      </w:r>
    </w:p>
    <w:p>
      <w:pPr>
        <w:ind w:firstLine="480"/>
        <w:jc w:val="center"/>
      </w:pPr>
      <w:r>
        <w:rPr>
          <w:i/>
        </w:rPr>
        <w:t>P</w:t>
      </w:r>
      <w:r>
        <w:rPr>
          <w:vertAlign w:val="subscript"/>
        </w:rPr>
        <w:t>pH</w:t>
      </w:r>
      <w:r>
        <w:t>=（7.0</w:t>
      </w:r>
      <w:r>
        <w:rPr>
          <w:rFonts w:eastAsia="仿宋"/>
        </w:rPr>
        <w:t>-</w:t>
      </w:r>
      <w:r>
        <w:t>pH）/（7.0</w:t>
      </w:r>
      <w:r>
        <w:rPr>
          <w:rFonts w:eastAsia="仿宋"/>
        </w:rPr>
        <w:t>-</w:t>
      </w:r>
      <w:r>
        <w:t>pH</w:t>
      </w:r>
      <w:r>
        <w:rPr>
          <w:vertAlign w:val="subscript"/>
        </w:rPr>
        <w:t>sd</w:t>
      </w:r>
      <w:r>
        <w:t>）pH</w:t>
      </w:r>
      <w:r>
        <w:rPr>
          <w:i/>
          <w:vertAlign w:val="subscript"/>
        </w:rPr>
        <w:t>j</w:t>
      </w:r>
      <w:r>
        <w:rPr>
          <w:rFonts w:eastAsia="仿宋"/>
        </w:rPr>
        <w:t>≤</w:t>
      </w:r>
      <w:r>
        <w:t>7.0</w:t>
      </w:r>
    </w:p>
    <w:p>
      <w:pPr>
        <w:ind w:firstLine="480"/>
        <w:jc w:val="center"/>
      </w:pPr>
      <w:r>
        <w:rPr>
          <w:i/>
        </w:rPr>
        <w:t>P</w:t>
      </w:r>
      <w:r>
        <w:rPr>
          <w:vertAlign w:val="subscript"/>
        </w:rPr>
        <w:t>pH</w:t>
      </w:r>
      <w:r>
        <w:t>=（pH</w:t>
      </w:r>
      <w:r>
        <w:rPr>
          <w:rFonts w:eastAsia="仿宋"/>
        </w:rPr>
        <w:t>-</w:t>
      </w:r>
      <w:r>
        <w:t>7.0）/（pH</w:t>
      </w:r>
      <w:r>
        <w:rPr>
          <w:vertAlign w:val="subscript"/>
        </w:rPr>
        <w:t>su</w:t>
      </w:r>
      <w:r>
        <w:rPr>
          <w:rFonts w:eastAsia="仿宋"/>
        </w:rPr>
        <w:t>-</w:t>
      </w:r>
      <w:r>
        <w:t>7.0）pH</w:t>
      </w:r>
      <w:r>
        <w:rPr>
          <w:i/>
          <w:vertAlign w:val="subscript"/>
        </w:rPr>
        <w:t>j</w:t>
      </w:r>
      <w:r>
        <w:rPr>
          <w:rFonts w:eastAsia="仿宋"/>
        </w:rPr>
        <w:t>&gt;</w:t>
      </w:r>
      <w:r>
        <w:t>7.0</w:t>
      </w:r>
    </w:p>
    <w:p>
      <w:pPr>
        <w:ind w:firstLine="480"/>
      </w:pPr>
      <w:r>
        <w:t>式中，</w:t>
      </w:r>
      <w:r>
        <w:rPr>
          <w:i/>
        </w:rPr>
        <w:t>P</w:t>
      </w:r>
      <w:r>
        <w:rPr>
          <w:vertAlign w:val="subscript"/>
        </w:rPr>
        <w:t>pH</w:t>
      </w:r>
      <w:r>
        <w:t>——pH值的标准指数，无量纲；</w:t>
      </w:r>
    </w:p>
    <w:p>
      <w:pPr>
        <w:ind w:firstLineChars="400"/>
      </w:pPr>
      <w:r>
        <w:t xml:space="preserve">  pH——pH监测值；</w:t>
      </w:r>
    </w:p>
    <w:p>
      <w:pPr>
        <w:ind w:firstLine="1200" w:firstLineChars="500"/>
      </w:pPr>
      <w:r>
        <w:t>pH</w:t>
      </w:r>
      <w:r>
        <w:rPr>
          <w:vertAlign w:val="subscript"/>
        </w:rPr>
        <w:t xml:space="preserve">sd </w:t>
      </w:r>
      <w:r>
        <w:t>——标准中pH的下限值；</w:t>
      </w:r>
    </w:p>
    <w:p>
      <w:pPr>
        <w:ind w:firstLine="1200" w:firstLineChars="500"/>
      </w:pPr>
      <w:r>
        <w:t>pH</w:t>
      </w:r>
      <w:r>
        <w:rPr>
          <w:vertAlign w:val="subscript"/>
        </w:rPr>
        <w:t xml:space="preserve">su </w:t>
      </w:r>
      <w:r>
        <w:t>——标准中pH的上限值。</w:t>
      </w:r>
    </w:p>
    <w:p>
      <w:pPr>
        <w:ind w:firstLine="480"/>
      </w:pPr>
      <w:r>
        <w:t>当水质评价因子的标准指数大于1，表明该评价因子的水质超过了规定的水质标准，已经不能满足相应的水环境要求。</w:t>
      </w:r>
    </w:p>
    <w:p>
      <w:pPr>
        <w:ind w:firstLine="480"/>
      </w:pPr>
      <w:r>
        <w:t>（4）评价结果</w:t>
      </w:r>
    </w:p>
    <w:p>
      <w:pPr>
        <w:ind w:firstLine="480"/>
        <w:contextualSpacing/>
      </w:pPr>
      <w:r>
        <w:t>由上表可知，本项目区域各地下水监测点评价因子浓度值均满足《地下水质量标准》（GB/T14848-2017）III类标准。</w:t>
      </w:r>
    </w:p>
    <w:p>
      <w:pPr>
        <w:pStyle w:val="4"/>
        <w:ind w:firstLine="0" w:firstLineChars="0"/>
        <w:contextualSpacing/>
      </w:pPr>
      <w:bookmarkStart w:id="448" w:name="_Toc130753429"/>
      <w:r>
        <w:t>4.6陆生生态</w:t>
      </w:r>
      <w:bookmarkEnd w:id="444"/>
      <w:bookmarkEnd w:id="445"/>
      <w:bookmarkEnd w:id="446"/>
      <w:bookmarkEnd w:id="448"/>
    </w:p>
    <w:p>
      <w:pPr>
        <w:ind w:firstLine="480"/>
        <w:contextualSpacing/>
      </w:pPr>
      <w:bookmarkStart w:id="449" w:name="_Toc28540"/>
      <w:bookmarkStart w:id="450" w:name="_Toc15726"/>
      <w:r>
        <w:rPr>
          <w:rFonts w:hint="eastAsia"/>
        </w:rPr>
        <w:t>评价</w:t>
      </w:r>
      <w:r>
        <w:t>单位对生态评价范围区进行了陆生生态调查，根据寒溪寺水库工程总体布置、建设规模和施工特点，结合当地环境对工程建设的要求，水库淹没区、枢纽工程建设区、渠道工程建设区及临时工程占地区，以及以水库淹没范围间接影响区（正常蓄水位规划红线外约500m范围）、主体工程与施工临时占地的间接影响区（施工红线垂直外延约500m的范围）、减水河段河岸带外延200m、新增灌区、改善灌区、退水区与受水区等作为评价范围，局部评价边界参考等高线或现有道路确定。生态评价区范围共</w:t>
      </w:r>
      <w:r>
        <w:rPr>
          <w:rFonts w:hint="eastAsia"/>
        </w:rPr>
        <w:t>2469.8</w:t>
      </w:r>
      <w:r>
        <w:t>hm</w:t>
      </w:r>
      <w:r>
        <w:rPr>
          <w:vertAlign w:val="superscript"/>
        </w:rPr>
        <w:t>2</w:t>
      </w:r>
      <w:r>
        <w:t>，主要分为评价区域：枢纽工程及淹没区评价区域（</w:t>
      </w:r>
      <w:r>
        <w:rPr>
          <w:rFonts w:hint="eastAsia"/>
          <w:kern w:val="0"/>
        </w:rPr>
        <w:t>507.7</w:t>
      </w:r>
      <w:r>
        <w:rPr>
          <w:kern w:val="0"/>
        </w:rPr>
        <w:t>hm</w:t>
      </w:r>
      <w:r>
        <w:rPr>
          <w:kern w:val="0"/>
          <w:vertAlign w:val="superscript"/>
        </w:rPr>
        <w:t>2</w:t>
      </w:r>
      <w:r>
        <w:t>）、减水河段评价区域（</w:t>
      </w:r>
      <w:r>
        <w:rPr>
          <w:kern w:val="0"/>
        </w:rPr>
        <w:t>300.4hm</w:t>
      </w:r>
      <w:r>
        <w:rPr>
          <w:kern w:val="0"/>
          <w:vertAlign w:val="superscript"/>
        </w:rPr>
        <w:t>2</w:t>
      </w:r>
      <w:r>
        <w:t>）、新增灌区（</w:t>
      </w:r>
      <w:r>
        <w:rPr>
          <w:rFonts w:hint="eastAsia"/>
          <w:kern w:val="0"/>
        </w:rPr>
        <w:t>980</w:t>
      </w:r>
      <w:r>
        <w:rPr>
          <w:kern w:val="0"/>
        </w:rPr>
        <w:t>hm</w:t>
      </w:r>
      <w:r>
        <w:rPr>
          <w:kern w:val="0"/>
          <w:vertAlign w:val="superscript"/>
        </w:rPr>
        <w:t>2</w:t>
      </w:r>
      <w:r>
        <w:t>）、</w:t>
      </w:r>
      <w:r>
        <w:rPr>
          <w:rFonts w:hint="eastAsia"/>
        </w:rPr>
        <w:t>改善灌区（</w:t>
      </w:r>
      <w:r>
        <w:rPr>
          <w:rFonts w:hint="eastAsia"/>
          <w:kern w:val="0"/>
        </w:rPr>
        <w:t>520</w:t>
      </w:r>
      <w:r>
        <w:rPr>
          <w:kern w:val="0"/>
        </w:rPr>
        <w:t>hm</w:t>
      </w:r>
      <w:r>
        <w:rPr>
          <w:kern w:val="0"/>
          <w:vertAlign w:val="superscript"/>
        </w:rPr>
        <w:t>2</w:t>
      </w:r>
      <w:r>
        <w:rPr>
          <w:rFonts w:hint="eastAsia"/>
        </w:rPr>
        <w:t>）、</w:t>
      </w:r>
      <w:r>
        <w:t>退水区与受水区（</w:t>
      </w:r>
      <w:r>
        <w:rPr>
          <w:rFonts w:hint="eastAsia"/>
          <w:kern w:val="0"/>
        </w:rPr>
        <w:t>161.7</w:t>
      </w:r>
      <w:r>
        <w:rPr>
          <w:kern w:val="0"/>
        </w:rPr>
        <w:t>hm</w:t>
      </w:r>
      <w:r>
        <w:rPr>
          <w:kern w:val="0"/>
          <w:vertAlign w:val="superscript"/>
        </w:rPr>
        <w:t>2</w:t>
      </w:r>
      <w:r>
        <w:t>）等。</w:t>
      </w:r>
    </w:p>
    <w:p>
      <w:pPr>
        <w:pStyle w:val="5"/>
        <w:ind w:firstLine="0" w:firstLineChars="0"/>
        <w:contextualSpacing/>
        <w:rPr>
          <w:rFonts w:ascii="Times New Roman" w:hAnsi="Times New Roman"/>
        </w:rPr>
      </w:pPr>
      <w:bookmarkStart w:id="451" w:name="_Toc28854"/>
      <w:r>
        <w:rPr>
          <w:rFonts w:ascii="Times New Roman" w:hAnsi="Times New Roman"/>
        </w:rPr>
        <w:t>4.7.1调查方法</w:t>
      </w:r>
    </w:p>
    <w:p>
      <w:pPr>
        <w:ind w:firstLine="0" w:firstLineChars="0"/>
        <w:contextualSpacing/>
        <w:outlineLvl w:val="3"/>
        <w:rPr>
          <w:b/>
          <w:bCs/>
        </w:rPr>
      </w:pPr>
      <w:r>
        <w:rPr>
          <w:b/>
          <w:bCs/>
        </w:rPr>
        <w:t>4.7.1.1陆生植物调查</w:t>
      </w:r>
    </w:p>
    <w:p>
      <w:pPr>
        <w:ind w:firstLine="480" w:firstLineChars="0"/>
        <w:contextualSpacing/>
      </w:pPr>
      <w:r>
        <w:t>（1）基础资料收集</w:t>
      </w:r>
    </w:p>
    <w:p>
      <w:pPr>
        <w:ind w:firstLine="480" w:firstLineChars="0"/>
        <w:contextualSpacing/>
      </w:pPr>
      <w:r>
        <w:t>收集整理评价区及邻近地区，包括区域自然环境资料、当地林业、环保、水务等单位的记载资料，以及历史研究资料等。</w:t>
      </w:r>
    </w:p>
    <w:p>
      <w:pPr>
        <w:ind w:firstLine="480" w:firstLineChars="0"/>
        <w:contextualSpacing/>
      </w:pPr>
      <w:r>
        <w:t>（2）野外实地考察</w:t>
      </w:r>
    </w:p>
    <w:p>
      <w:pPr>
        <w:ind w:firstLine="480" w:firstLineChars="0"/>
        <w:contextualSpacing/>
      </w:pPr>
      <w:r>
        <w:rPr>
          <w:spacing w:val="-1"/>
        </w:rPr>
        <w:t>1）GPS</w:t>
      </w:r>
      <w:r>
        <w:t>地面类型取样</w:t>
      </w:r>
    </w:p>
    <w:p>
      <w:pPr>
        <w:ind w:firstLine="480" w:firstLineChars="0"/>
        <w:contextualSpacing/>
      </w:pPr>
      <w:r>
        <w:t>GPS 样点是卫星遥感影像判读植被类型的基础，根据室内判读的植被与土地利用类型初图，现场核实判读的正误率，并对每个GPS 取样点作如下记录：海拔表读出海拔值；记录样点植被类型（群系、群系组或植被亚型） ； 记录样点优势植物；拍摄典型植被特征（外貌与结构）在视野广阔清晰之处，拍摄周围植被或景观的照片，GPS 样点上作记录。</w:t>
      </w:r>
    </w:p>
    <w:p>
      <w:pPr>
        <w:ind w:firstLine="480" w:firstLineChars="0"/>
        <w:contextualSpacing/>
      </w:pPr>
      <w:r>
        <w:t>2）群落调查</w:t>
      </w:r>
    </w:p>
    <w:p>
      <w:pPr>
        <w:ind w:firstLine="480" w:firstLineChars="0"/>
        <w:contextualSpacing/>
      </w:pPr>
      <w:r>
        <w:t>根据评价区域的植被状况，用典型抽样法布设若干条垂直方向的样线。调查时沿样线由低向高行进，直至评价区域的上限。在样线上布设若干个20m×20m的乔木样方，5m×5m的灌木样方，1m×1m的草本样方。群落样方布设时在每一种群落类型内的典型地段，布设一个至数个样方；在植被调查样线的起点、终点须布设一个至数个样方；在植物群落类型（群系级别）发生变化的地点，布设一个至数个样方。</w:t>
      </w:r>
    </w:p>
    <w:p>
      <w:pPr>
        <w:ind w:firstLine="480" w:firstLineChars="0"/>
        <w:contextualSpacing/>
      </w:pPr>
      <w:r>
        <w:rPr>
          <w:spacing w:val="2"/>
        </w:rPr>
        <w:t>对每个群落样方用</w:t>
      </w:r>
      <w:r>
        <w:rPr>
          <w:spacing w:val="-1"/>
        </w:rPr>
        <w:t>GPS</w:t>
      </w:r>
      <w:r>
        <w:rPr>
          <w:spacing w:val="2"/>
        </w:rPr>
        <w:t>精确定位，记录样方所处部位、坡形、坡向和坡度。在每</w:t>
      </w:r>
      <w:r>
        <w:t>个群落样方的4个角和中心设置5m×5m的灌木小样方和1m×1m的草本小样方。进行样方调查时，填写调查表，包括样方的物种种类、数量、经纬度、海拔、植被类型、盖度或郁闭、等内容。物种识别主要依靠野外现场鉴定，对鉴定有困难的物种细部进行拍摄照片、记录物种的形态学特征、物候等方式，回到驻地后再进行准确鉴定。</w:t>
      </w:r>
    </w:p>
    <w:p>
      <w:pPr>
        <w:ind w:firstLine="480" w:firstLineChars="0"/>
        <w:contextualSpacing/>
      </w:pPr>
      <w:r>
        <w:t>调查样线</w:t>
      </w:r>
      <w:r>
        <w:rPr>
          <w:rFonts w:hint="eastAsia"/>
        </w:rPr>
        <w:t>8</w:t>
      </w:r>
      <w:r>
        <w:t>条，共</w:t>
      </w:r>
      <w:r>
        <w:rPr>
          <w:rFonts w:hint="eastAsia"/>
        </w:rPr>
        <w:t>32</w:t>
      </w:r>
      <w:r>
        <w:t>个样方</w:t>
      </w:r>
      <w:r>
        <w:rPr>
          <w:rFonts w:hint="eastAsia"/>
        </w:rPr>
        <w:t>。</w:t>
      </w:r>
    </w:p>
    <w:p>
      <w:pPr>
        <w:ind w:firstLine="480"/>
        <w:contextualSpacing/>
      </w:pPr>
      <w:r>
        <w:t>3）生物量的估算</w:t>
      </w:r>
    </w:p>
    <w:p>
      <w:pPr>
        <w:ind w:firstLine="480"/>
        <w:contextualSpacing/>
      </w:pPr>
      <w:r>
        <w:t>根据样地调查估算样地生物量，以及根据评价区及其近邻区域已发表成果，使用遥感影像对评价区和工程占地区的生物量进行估算。</w:t>
      </w:r>
    </w:p>
    <w:p>
      <w:pPr>
        <w:ind w:firstLine="480"/>
        <w:contextualSpacing/>
      </w:pPr>
      <w:r>
        <w:t>4）生态系统调查</w:t>
      </w:r>
    </w:p>
    <w:p>
      <w:pPr>
        <w:ind w:firstLine="480"/>
        <w:contextualSpacing/>
      </w:pPr>
      <w:r>
        <w:t>以野外 GPS 定点的植物群落学调查结果和当地森林资源调查资料，参考卫星遥感照片解译结果，利用 3S 技术制作评价区的植被分布图。归并各类森林群落、灌丛群落、草地群落等，制作生态系统类型分布图。据此计算生态系统组成、结构等现状特征。</w:t>
      </w:r>
    </w:p>
    <w:p>
      <w:pPr>
        <w:ind w:firstLine="0" w:firstLineChars="0"/>
        <w:contextualSpacing/>
        <w:outlineLvl w:val="3"/>
        <w:rPr>
          <w:b/>
          <w:bCs/>
        </w:rPr>
      </w:pPr>
      <w:r>
        <w:rPr>
          <w:b/>
          <w:bCs/>
        </w:rPr>
        <w:t>4.7.1.2陆生动物调查</w:t>
      </w:r>
    </w:p>
    <w:p>
      <w:pPr>
        <w:ind w:firstLine="480"/>
        <w:contextualSpacing/>
      </w:pPr>
      <w:r>
        <w:t>动物调查主要用样线法，辅以样方进行。由于不同类群栖息地生境有差别，样线的选择有所不同。哺乳类和鸟类可在一条样线中同时调查，大中型哺乳类主要观察地面上的痕迹，如：巢穴、食迹、足迹、粪便、皮毛等，鸟类主要通过野外观察记录和鸣声辨别，小型哺乳类主要采取铗日法；两栖类与水有很大关系，样线的布设沿河道和水塘设置；爬行类的样线布设除了占地区外，在库区范围、移民安置区、居民聚居地及周围环境均进行调查。由于调查时容易受到调查季节和调查时间的影响，还补充对大中型哺乳类、珍稀保护鸟类或大型鸟类的访问调查，结合资料查阅，进行分析整理和确认。在调查中发现的珍稀保护动物实体和痕迹位置均用 GPS 定点并记录分布生境、地点、海拔、数量等信息。</w:t>
      </w:r>
    </w:p>
    <w:p>
      <w:pPr>
        <w:pStyle w:val="5"/>
        <w:ind w:firstLine="0" w:firstLineChars="0"/>
        <w:contextualSpacing/>
        <w:rPr>
          <w:rFonts w:ascii="Times New Roman" w:hAnsi="Times New Roman"/>
        </w:rPr>
      </w:pPr>
      <w:r>
        <w:rPr>
          <w:rFonts w:ascii="Times New Roman" w:hAnsi="Times New Roman"/>
        </w:rPr>
        <w:t>4.7.2陆生</w:t>
      </w:r>
      <w:bookmarkEnd w:id="449"/>
      <w:bookmarkEnd w:id="450"/>
      <w:bookmarkEnd w:id="451"/>
      <w:r>
        <w:rPr>
          <w:rFonts w:ascii="Times New Roman" w:hAnsi="Times New Roman"/>
        </w:rPr>
        <w:t>植物</w:t>
      </w:r>
    </w:p>
    <w:p>
      <w:pPr>
        <w:ind w:firstLine="0" w:firstLineChars="0"/>
        <w:contextualSpacing/>
        <w:outlineLvl w:val="3"/>
        <w:rPr>
          <w:b/>
          <w:bCs/>
        </w:rPr>
      </w:pPr>
      <w:r>
        <w:rPr>
          <w:b/>
          <w:bCs/>
        </w:rPr>
        <w:t>4.7.2.1植物多样性</w:t>
      </w:r>
    </w:p>
    <w:p>
      <w:pPr>
        <w:ind w:firstLine="480"/>
        <w:contextualSpacing/>
      </w:pPr>
      <w:r>
        <w:t>（1）维管植物物种多样性及组成特征</w:t>
      </w:r>
    </w:p>
    <w:p>
      <w:pPr>
        <w:pStyle w:val="74"/>
        <w:ind w:firstLine="480"/>
        <w:contextualSpacing/>
        <w:rPr>
          <w:rFonts w:ascii="Times New Roman" w:hAnsi="Times New Roman" w:cs="Times New Roman"/>
        </w:rPr>
      </w:pPr>
      <w:r>
        <w:rPr>
          <w:rFonts w:ascii="Times New Roman" w:hAnsi="Times New Roman" w:cs="Times New Roman"/>
        </w:rPr>
        <w:t>经过野外调查，结合标本鉴定和历史资料的查阅，寒溪寺水库工程评价区森林植被共有维管束植物</w:t>
      </w:r>
      <w:r>
        <w:rPr>
          <w:rFonts w:hint="eastAsia" w:ascii="Times New Roman" w:hAnsi="Times New Roman" w:cs="Times New Roman"/>
        </w:rPr>
        <w:t>73</w:t>
      </w:r>
      <w:r>
        <w:rPr>
          <w:rFonts w:ascii="Times New Roman" w:hAnsi="Times New Roman" w:cs="Times New Roman"/>
        </w:rPr>
        <w:t>科</w:t>
      </w:r>
      <w:r>
        <w:rPr>
          <w:rFonts w:hint="eastAsia" w:ascii="Times New Roman" w:hAnsi="Times New Roman" w:cs="Times New Roman"/>
        </w:rPr>
        <w:t>170</w:t>
      </w:r>
      <w:r>
        <w:rPr>
          <w:rFonts w:ascii="Times New Roman" w:hAnsi="Times New Roman" w:cs="Times New Roman"/>
        </w:rPr>
        <w:t>属</w:t>
      </w:r>
      <w:r>
        <w:rPr>
          <w:rFonts w:hint="eastAsia" w:ascii="Times New Roman" w:hAnsi="Times New Roman" w:cs="Times New Roman"/>
        </w:rPr>
        <w:t>238</w:t>
      </w:r>
      <w:r>
        <w:rPr>
          <w:rFonts w:ascii="Times New Roman" w:hAnsi="Times New Roman" w:cs="Times New Roman"/>
        </w:rPr>
        <w:t>种。各类群维管植物的科属及种的组成特征为：</w:t>
      </w:r>
      <w:r>
        <w:rPr>
          <w:rFonts w:hint="eastAsia"/>
        </w:rPr>
        <w:t>①</w:t>
      </w:r>
      <w:r>
        <w:rPr>
          <w:rFonts w:ascii="Times New Roman" w:hAnsi="Times New Roman" w:cs="Times New Roman"/>
        </w:rPr>
        <w:t>蕨类植物有</w:t>
      </w:r>
      <w:r>
        <w:rPr>
          <w:rFonts w:hint="eastAsia" w:ascii="Times New Roman" w:hAnsi="Times New Roman" w:cs="Times New Roman"/>
        </w:rPr>
        <w:t>11</w:t>
      </w:r>
      <w:r>
        <w:rPr>
          <w:rFonts w:ascii="Times New Roman" w:hAnsi="Times New Roman" w:cs="Times New Roman"/>
        </w:rPr>
        <w:t>科</w:t>
      </w:r>
      <w:r>
        <w:rPr>
          <w:rFonts w:hint="eastAsia" w:ascii="Times New Roman" w:hAnsi="Times New Roman" w:cs="Times New Roman"/>
        </w:rPr>
        <w:t>12</w:t>
      </w:r>
      <w:r>
        <w:rPr>
          <w:rFonts w:ascii="Times New Roman" w:hAnsi="Times New Roman" w:cs="Times New Roman"/>
        </w:rPr>
        <w:t>属</w:t>
      </w:r>
      <w:r>
        <w:rPr>
          <w:rFonts w:hint="eastAsia" w:ascii="Times New Roman" w:hAnsi="Times New Roman" w:cs="Times New Roman"/>
        </w:rPr>
        <w:t>15</w:t>
      </w:r>
      <w:r>
        <w:rPr>
          <w:rFonts w:ascii="Times New Roman" w:hAnsi="Times New Roman" w:cs="Times New Roman"/>
        </w:rPr>
        <w:t>种；</w:t>
      </w:r>
      <w:r>
        <w:rPr>
          <w:rFonts w:hint="eastAsia"/>
        </w:rPr>
        <w:t>②</w:t>
      </w:r>
      <w:r>
        <w:rPr>
          <w:rFonts w:ascii="Times New Roman" w:hAnsi="Times New Roman" w:cs="Times New Roman"/>
        </w:rPr>
        <w:t>裸子植物仅</w:t>
      </w:r>
      <w:r>
        <w:rPr>
          <w:rFonts w:hint="eastAsia" w:ascii="Times New Roman" w:hAnsi="Times New Roman" w:cs="Times New Roman"/>
        </w:rPr>
        <w:t>4</w:t>
      </w:r>
      <w:r>
        <w:rPr>
          <w:rFonts w:ascii="Times New Roman" w:hAnsi="Times New Roman" w:cs="Times New Roman"/>
        </w:rPr>
        <w:t>科</w:t>
      </w:r>
      <w:r>
        <w:rPr>
          <w:rFonts w:hint="eastAsia" w:ascii="Times New Roman" w:hAnsi="Times New Roman" w:cs="Times New Roman"/>
        </w:rPr>
        <w:t>5</w:t>
      </w:r>
      <w:r>
        <w:rPr>
          <w:rFonts w:ascii="Times New Roman" w:hAnsi="Times New Roman" w:cs="Times New Roman"/>
        </w:rPr>
        <w:t>属</w:t>
      </w:r>
      <w:r>
        <w:rPr>
          <w:rFonts w:hint="eastAsia" w:ascii="Times New Roman" w:hAnsi="Times New Roman" w:cs="Times New Roman"/>
        </w:rPr>
        <w:t>5</w:t>
      </w:r>
      <w:r>
        <w:rPr>
          <w:rFonts w:ascii="Times New Roman" w:hAnsi="Times New Roman" w:cs="Times New Roman"/>
        </w:rPr>
        <w:t>种；</w:t>
      </w:r>
      <w:r>
        <w:rPr>
          <w:rFonts w:hint="eastAsia"/>
        </w:rPr>
        <w:t>③</w:t>
      </w:r>
      <w:r>
        <w:rPr>
          <w:rFonts w:ascii="Times New Roman" w:hAnsi="Times New Roman" w:cs="Times New Roman"/>
        </w:rPr>
        <w:t>被子植物有</w:t>
      </w:r>
      <w:r>
        <w:rPr>
          <w:rFonts w:hint="eastAsia" w:ascii="Times New Roman" w:hAnsi="Times New Roman" w:cs="Times New Roman"/>
        </w:rPr>
        <w:t>58</w:t>
      </w:r>
      <w:r>
        <w:rPr>
          <w:rFonts w:ascii="Times New Roman" w:hAnsi="Times New Roman" w:cs="Times New Roman"/>
        </w:rPr>
        <w:t>科</w:t>
      </w:r>
      <w:r>
        <w:rPr>
          <w:rFonts w:hint="eastAsia" w:ascii="Times New Roman" w:hAnsi="Times New Roman" w:cs="Times New Roman"/>
        </w:rPr>
        <w:t>153</w:t>
      </w:r>
      <w:r>
        <w:rPr>
          <w:rFonts w:ascii="Times New Roman" w:hAnsi="Times New Roman" w:cs="Times New Roman"/>
        </w:rPr>
        <w:t>属</w:t>
      </w:r>
      <w:r>
        <w:rPr>
          <w:rFonts w:hint="eastAsia" w:ascii="Times New Roman" w:hAnsi="Times New Roman" w:cs="Times New Roman"/>
        </w:rPr>
        <w:t>218</w:t>
      </w:r>
      <w:r>
        <w:rPr>
          <w:rFonts w:ascii="Times New Roman" w:hAnsi="Times New Roman" w:cs="Times New Roman"/>
        </w:rPr>
        <w:t>种。</w:t>
      </w:r>
    </w:p>
    <w:p>
      <w:pPr>
        <w:ind w:firstLine="480"/>
        <w:contextualSpacing/>
      </w:pPr>
      <w:r>
        <w:t>（2）种子植物区系特征</w:t>
      </w:r>
    </w:p>
    <w:p>
      <w:pPr>
        <w:ind w:firstLine="480"/>
        <w:contextualSpacing/>
        <w:jc w:val="left"/>
        <w:rPr>
          <w:kern w:val="0"/>
        </w:rPr>
      </w:pPr>
      <w:r>
        <w:t>采用李锡文对中国种子植物区系的统计分析方法和吴征镒等对世界种子植物科的分布区类型统计和吴征镒对中国种子植物属的分布区类型的划分本区种子植物的属可划归为中国所有分布区的</w:t>
      </w:r>
      <w:r>
        <w:rPr>
          <w:rFonts w:hint="eastAsia"/>
        </w:rPr>
        <w:t>9</w:t>
      </w:r>
      <w:r>
        <w:t>个类型。</w:t>
      </w:r>
      <w:r>
        <w:rPr>
          <w:rFonts w:hint="eastAsia"/>
        </w:rPr>
        <w:t>区系中世界分布的科共 31 科，占总科数的 42.27%；热带分布（分布类型 2-7）的科有 22 科，占总科数的 30.14%；温带分布的科（分布类型 8-11）有 18科，占总科数的 24.66%</w:t>
      </w:r>
      <w:r>
        <w:t>。</w:t>
      </w:r>
      <w:r>
        <w:rPr>
          <w:kern w:val="0"/>
        </w:rPr>
        <w:t>详见下表：</w:t>
      </w:r>
    </w:p>
    <w:p>
      <w:pPr>
        <w:pStyle w:val="73"/>
        <w:adjustRightInd/>
        <w:snapToGrid/>
        <w:ind w:firstLine="0" w:firstLineChars="0"/>
        <w:contextualSpacing/>
        <w:rPr>
          <w:rFonts w:eastAsia="宋体"/>
          <w:b/>
          <w:bCs/>
          <w:sz w:val="21"/>
          <w:szCs w:val="16"/>
        </w:rPr>
      </w:pPr>
      <w:r>
        <w:rPr>
          <w:rFonts w:eastAsia="宋体"/>
          <w:b/>
          <w:bCs/>
          <w:sz w:val="21"/>
          <w:szCs w:val="16"/>
        </w:rPr>
        <w:t>表4.7.1-2  寒溪寺水库评价区维管束植物属的分布型与属数</w:t>
      </w:r>
    </w:p>
    <w:tbl>
      <w:tblPr>
        <w:tblStyle w:val="38"/>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421"/>
        <w:gridCol w:w="1007"/>
        <w:gridCol w:w="10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分布型及变型</w:t>
            </w:r>
          </w:p>
        </w:tc>
        <w:tc>
          <w:tcPr>
            <w:tcW w:w="591" w:type="pct"/>
            <w:vAlign w:val="center"/>
          </w:tcPr>
          <w:p>
            <w:pPr>
              <w:widowControl/>
              <w:spacing w:line="240" w:lineRule="auto"/>
              <w:ind w:firstLine="0" w:firstLineChars="0"/>
              <w:contextualSpacing/>
              <w:jc w:val="center"/>
              <w:rPr>
                <w:kern w:val="0"/>
                <w:sz w:val="21"/>
                <w:szCs w:val="21"/>
              </w:rPr>
            </w:pPr>
            <w:r>
              <w:rPr>
                <w:kern w:val="0"/>
                <w:sz w:val="21"/>
                <w:szCs w:val="21"/>
              </w:rPr>
              <w:t>属数</w:t>
            </w:r>
          </w:p>
        </w:tc>
        <w:tc>
          <w:tcPr>
            <w:tcW w:w="640" w:type="pct"/>
            <w:vAlign w:val="center"/>
          </w:tcPr>
          <w:p>
            <w:pPr>
              <w:widowControl/>
              <w:spacing w:line="240" w:lineRule="auto"/>
              <w:ind w:firstLine="0" w:firstLineChars="0"/>
              <w:contextualSpacing/>
              <w:jc w:val="center"/>
              <w:rPr>
                <w:kern w:val="0"/>
                <w:sz w:val="21"/>
                <w:szCs w:val="21"/>
              </w:rPr>
            </w:pPr>
            <w:r>
              <w:rPr>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1.世界分布</w:t>
            </w:r>
          </w:p>
        </w:tc>
        <w:tc>
          <w:tcPr>
            <w:tcW w:w="591"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31</w:t>
            </w:r>
          </w:p>
        </w:tc>
        <w:tc>
          <w:tcPr>
            <w:tcW w:w="640" w:type="pct"/>
            <w:vAlign w:val="center"/>
          </w:tcPr>
          <w:p>
            <w:pPr>
              <w:widowControl/>
              <w:spacing w:line="240" w:lineRule="auto"/>
              <w:ind w:firstLine="0" w:firstLineChars="0"/>
              <w:contextualSpacing/>
              <w:jc w:val="center"/>
              <w:rPr>
                <w:sz w:val="21"/>
                <w:szCs w:val="21"/>
              </w:rPr>
            </w:pPr>
            <w:r>
              <w:rPr>
                <w:rFonts w:hint="eastAsia"/>
                <w:kern w:val="0"/>
                <w:sz w:val="21"/>
                <w:szCs w:val="21"/>
              </w:rPr>
              <w:t>42.47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2.泛热带分布</w:t>
            </w:r>
          </w:p>
        </w:tc>
        <w:tc>
          <w:tcPr>
            <w:tcW w:w="591"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18</w:t>
            </w:r>
          </w:p>
        </w:tc>
        <w:tc>
          <w:tcPr>
            <w:tcW w:w="640" w:type="pct"/>
            <w:vAlign w:val="center"/>
          </w:tcPr>
          <w:p>
            <w:pPr>
              <w:spacing w:line="240" w:lineRule="auto"/>
              <w:ind w:firstLine="0" w:firstLineChars="0"/>
              <w:contextualSpacing/>
              <w:jc w:val="center"/>
              <w:rPr>
                <w:sz w:val="21"/>
                <w:szCs w:val="21"/>
              </w:rPr>
            </w:pPr>
            <w:r>
              <w:rPr>
                <w:rFonts w:hint="eastAsia"/>
                <w:sz w:val="21"/>
                <w:szCs w:val="21"/>
              </w:rPr>
              <w:t>24.66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3.热带亚洲和热带美洲间断分布</w:t>
            </w:r>
          </w:p>
        </w:tc>
        <w:tc>
          <w:tcPr>
            <w:tcW w:w="591" w:type="pct"/>
            <w:vAlign w:val="center"/>
          </w:tcPr>
          <w:p>
            <w:pPr>
              <w:widowControl/>
              <w:spacing w:line="240" w:lineRule="auto"/>
              <w:ind w:firstLine="0" w:firstLineChars="0"/>
              <w:contextualSpacing/>
              <w:jc w:val="center"/>
              <w:rPr>
                <w:rFonts w:hint="eastAsia"/>
                <w:kern w:val="0"/>
                <w:sz w:val="21"/>
                <w:szCs w:val="21"/>
              </w:rPr>
            </w:pPr>
            <w:r>
              <w:rPr>
                <w:rFonts w:hint="eastAsia"/>
                <w:kern w:val="0"/>
                <w:sz w:val="21"/>
                <w:szCs w:val="21"/>
              </w:rPr>
              <w:t>2</w:t>
            </w:r>
          </w:p>
        </w:tc>
        <w:tc>
          <w:tcPr>
            <w:tcW w:w="640" w:type="pct"/>
            <w:vAlign w:val="center"/>
          </w:tcPr>
          <w:p>
            <w:pPr>
              <w:spacing w:line="240" w:lineRule="auto"/>
              <w:ind w:firstLine="0" w:firstLineChars="0"/>
              <w:contextualSpacing/>
              <w:jc w:val="center"/>
              <w:rPr>
                <w:sz w:val="21"/>
                <w:szCs w:val="21"/>
              </w:rPr>
            </w:pPr>
            <w:r>
              <w:rPr>
                <w:rFonts w:hint="eastAsia"/>
                <w:sz w:val="21"/>
                <w:szCs w:val="21"/>
              </w:rPr>
              <w:t>2.74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4.旧</w:t>
            </w:r>
            <w:r>
              <w:rPr>
                <w:rFonts w:hint="eastAsia"/>
                <w:kern w:val="0"/>
                <w:sz w:val="21"/>
                <w:szCs w:val="21"/>
              </w:rPr>
              <w:t>大陆</w:t>
            </w:r>
            <w:r>
              <w:rPr>
                <w:kern w:val="0"/>
                <w:sz w:val="21"/>
                <w:szCs w:val="21"/>
              </w:rPr>
              <w:t>热带分布</w:t>
            </w:r>
          </w:p>
        </w:tc>
        <w:tc>
          <w:tcPr>
            <w:tcW w:w="591" w:type="pct"/>
            <w:vAlign w:val="center"/>
          </w:tcPr>
          <w:p>
            <w:pPr>
              <w:widowControl/>
              <w:spacing w:line="240" w:lineRule="auto"/>
              <w:ind w:firstLine="0" w:firstLineChars="0"/>
              <w:contextualSpacing/>
              <w:jc w:val="center"/>
              <w:rPr>
                <w:rFonts w:hint="eastAsia"/>
                <w:kern w:val="0"/>
                <w:sz w:val="21"/>
                <w:szCs w:val="21"/>
              </w:rPr>
            </w:pPr>
            <w:r>
              <w:rPr>
                <w:rFonts w:hint="eastAsia"/>
                <w:kern w:val="0"/>
                <w:sz w:val="21"/>
                <w:szCs w:val="21"/>
              </w:rPr>
              <w:t>1</w:t>
            </w:r>
          </w:p>
        </w:tc>
        <w:tc>
          <w:tcPr>
            <w:tcW w:w="640" w:type="pct"/>
            <w:vAlign w:val="center"/>
          </w:tcPr>
          <w:p>
            <w:pPr>
              <w:spacing w:line="240" w:lineRule="auto"/>
              <w:ind w:firstLine="0" w:firstLineChars="0"/>
              <w:contextualSpacing/>
              <w:jc w:val="center"/>
              <w:rPr>
                <w:sz w:val="21"/>
                <w:szCs w:val="21"/>
              </w:rPr>
            </w:pPr>
            <w:r>
              <w:rPr>
                <w:rFonts w:hint="eastAsia"/>
                <w:sz w:val="21"/>
                <w:szCs w:val="21"/>
              </w:rPr>
              <w:t>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5.热带亚洲至热带大洋洲分布</w:t>
            </w:r>
          </w:p>
        </w:tc>
        <w:tc>
          <w:tcPr>
            <w:tcW w:w="591" w:type="pct"/>
            <w:vAlign w:val="center"/>
          </w:tcPr>
          <w:p>
            <w:pPr>
              <w:widowControl/>
              <w:spacing w:line="240" w:lineRule="auto"/>
              <w:ind w:firstLine="0" w:firstLineChars="0"/>
              <w:contextualSpacing/>
              <w:jc w:val="center"/>
              <w:rPr>
                <w:rFonts w:hint="eastAsia"/>
                <w:kern w:val="0"/>
                <w:sz w:val="21"/>
                <w:szCs w:val="21"/>
              </w:rPr>
            </w:pPr>
            <w:r>
              <w:rPr>
                <w:rFonts w:hint="eastAsia"/>
                <w:kern w:val="0"/>
                <w:sz w:val="21"/>
                <w:szCs w:val="21"/>
              </w:rPr>
              <w:t>-</w:t>
            </w:r>
          </w:p>
        </w:tc>
        <w:tc>
          <w:tcPr>
            <w:tcW w:w="640" w:type="pct"/>
            <w:vAlign w:val="center"/>
          </w:tcPr>
          <w:p>
            <w:pPr>
              <w:spacing w:line="240" w:lineRule="auto"/>
              <w:ind w:firstLine="0" w:firstLineChars="0"/>
              <w:contextualSpacing/>
              <w:jc w:val="center"/>
              <w:rPr>
                <w:rFonts w:hint="eastAsia"/>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6.热带亚洲至热带非洲分布</w:t>
            </w:r>
          </w:p>
        </w:tc>
        <w:tc>
          <w:tcPr>
            <w:tcW w:w="591" w:type="pct"/>
            <w:vAlign w:val="center"/>
          </w:tcPr>
          <w:p>
            <w:pPr>
              <w:widowControl/>
              <w:spacing w:line="240" w:lineRule="auto"/>
              <w:ind w:firstLine="0" w:firstLineChars="0"/>
              <w:contextualSpacing/>
              <w:jc w:val="center"/>
              <w:rPr>
                <w:rFonts w:hint="eastAsia"/>
                <w:kern w:val="0"/>
                <w:sz w:val="21"/>
                <w:szCs w:val="21"/>
              </w:rPr>
            </w:pPr>
            <w:r>
              <w:rPr>
                <w:rFonts w:hint="eastAsia"/>
                <w:kern w:val="0"/>
                <w:sz w:val="21"/>
                <w:szCs w:val="21"/>
              </w:rPr>
              <w:t>-</w:t>
            </w:r>
          </w:p>
        </w:tc>
        <w:tc>
          <w:tcPr>
            <w:tcW w:w="640" w:type="pct"/>
            <w:vAlign w:val="center"/>
          </w:tcPr>
          <w:p>
            <w:pPr>
              <w:spacing w:line="240" w:lineRule="auto"/>
              <w:ind w:firstLine="0" w:firstLineChars="0"/>
              <w:contextualSpacing/>
              <w:jc w:val="center"/>
              <w:rPr>
                <w:rFonts w:hint="eastAsia"/>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7.热带亚洲（印度-马来西亚）分布</w:t>
            </w:r>
          </w:p>
        </w:tc>
        <w:tc>
          <w:tcPr>
            <w:tcW w:w="591" w:type="pct"/>
            <w:vAlign w:val="center"/>
          </w:tcPr>
          <w:p>
            <w:pPr>
              <w:widowControl/>
              <w:spacing w:line="240" w:lineRule="auto"/>
              <w:ind w:firstLine="0" w:firstLineChars="0"/>
              <w:contextualSpacing/>
              <w:jc w:val="center"/>
              <w:rPr>
                <w:rFonts w:hint="eastAsia"/>
                <w:kern w:val="0"/>
                <w:sz w:val="21"/>
                <w:szCs w:val="21"/>
              </w:rPr>
            </w:pPr>
            <w:r>
              <w:rPr>
                <w:rFonts w:hint="eastAsia"/>
                <w:kern w:val="0"/>
                <w:sz w:val="21"/>
                <w:szCs w:val="21"/>
              </w:rPr>
              <w:t>-</w:t>
            </w:r>
          </w:p>
        </w:tc>
        <w:tc>
          <w:tcPr>
            <w:tcW w:w="640" w:type="pct"/>
            <w:vAlign w:val="center"/>
          </w:tcPr>
          <w:p>
            <w:pPr>
              <w:spacing w:line="240" w:lineRule="auto"/>
              <w:ind w:firstLine="0" w:firstLineChars="0"/>
              <w:contextualSpacing/>
              <w:jc w:val="center"/>
              <w:rPr>
                <w:rFonts w:hint="eastAsia"/>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8.北温带分布</w:t>
            </w:r>
          </w:p>
        </w:tc>
        <w:tc>
          <w:tcPr>
            <w:tcW w:w="591"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17</w:t>
            </w:r>
          </w:p>
        </w:tc>
        <w:tc>
          <w:tcPr>
            <w:tcW w:w="640" w:type="pct"/>
            <w:vAlign w:val="center"/>
          </w:tcPr>
          <w:p>
            <w:pPr>
              <w:spacing w:line="240" w:lineRule="auto"/>
              <w:ind w:firstLine="0" w:firstLineChars="0"/>
              <w:contextualSpacing/>
              <w:jc w:val="center"/>
              <w:rPr>
                <w:sz w:val="21"/>
                <w:szCs w:val="21"/>
              </w:rPr>
            </w:pPr>
            <w:r>
              <w:rPr>
                <w:rFonts w:hint="eastAsia"/>
                <w:sz w:val="21"/>
                <w:szCs w:val="21"/>
              </w:rPr>
              <w:t>23.29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9.东亚和北美洲间断分布</w:t>
            </w:r>
          </w:p>
        </w:tc>
        <w:tc>
          <w:tcPr>
            <w:tcW w:w="591"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1</w:t>
            </w:r>
          </w:p>
        </w:tc>
        <w:tc>
          <w:tcPr>
            <w:tcW w:w="640" w:type="pct"/>
            <w:vAlign w:val="center"/>
          </w:tcPr>
          <w:p>
            <w:pPr>
              <w:spacing w:line="240" w:lineRule="auto"/>
              <w:ind w:firstLine="0" w:firstLineChars="0"/>
              <w:contextualSpacing/>
              <w:jc w:val="center"/>
              <w:rPr>
                <w:sz w:val="21"/>
                <w:szCs w:val="21"/>
              </w:rPr>
            </w:pPr>
            <w:r>
              <w:rPr>
                <w:rFonts w:hint="eastAsia"/>
                <w:sz w:val="21"/>
                <w:szCs w:val="21"/>
              </w:rPr>
              <w:t>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10.旧世界温带分布</w:t>
            </w:r>
          </w:p>
        </w:tc>
        <w:tc>
          <w:tcPr>
            <w:tcW w:w="1007"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w:t>
            </w:r>
          </w:p>
        </w:tc>
        <w:tc>
          <w:tcPr>
            <w:tcW w:w="1091"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11.温带亚洲分布</w:t>
            </w:r>
          </w:p>
        </w:tc>
        <w:tc>
          <w:tcPr>
            <w:tcW w:w="1007"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w:t>
            </w:r>
          </w:p>
        </w:tc>
        <w:tc>
          <w:tcPr>
            <w:tcW w:w="1091"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12.地中海区、西亚至中亚分布</w:t>
            </w:r>
          </w:p>
        </w:tc>
        <w:tc>
          <w:tcPr>
            <w:tcW w:w="1007"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w:t>
            </w:r>
          </w:p>
        </w:tc>
        <w:tc>
          <w:tcPr>
            <w:tcW w:w="1091"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13.东亚分布</w:t>
            </w:r>
          </w:p>
        </w:tc>
        <w:tc>
          <w:tcPr>
            <w:tcW w:w="1007"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w:t>
            </w:r>
          </w:p>
        </w:tc>
        <w:tc>
          <w:tcPr>
            <w:tcW w:w="1091" w:type="dxa"/>
            <w:vAlign w:val="center"/>
          </w:tcPr>
          <w:p>
            <w:pPr>
              <w:spacing w:line="240" w:lineRule="auto"/>
              <w:ind w:firstLine="0" w:firstLineChars="0"/>
              <w:contextualSpacing/>
              <w:jc w:val="center"/>
              <w:rPr>
                <w:sz w:val="21"/>
                <w:szCs w:val="21"/>
              </w:rPr>
            </w:pPr>
            <w:r>
              <w:rPr>
                <w:rFonts w:hint="eastAsia"/>
                <w:sz w:val="21"/>
                <w:szCs w:val="21"/>
              </w:rPr>
              <w:t>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14.中国特有分布</w:t>
            </w:r>
          </w:p>
        </w:tc>
        <w:tc>
          <w:tcPr>
            <w:tcW w:w="1007"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w:t>
            </w:r>
          </w:p>
        </w:tc>
        <w:tc>
          <w:tcPr>
            <w:tcW w:w="1091" w:type="dxa"/>
            <w:vAlign w:val="center"/>
          </w:tcPr>
          <w:p>
            <w:pPr>
              <w:spacing w:line="240" w:lineRule="auto"/>
              <w:ind w:firstLine="0" w:firstLineChars="0"/>
              <w:contextualSpacing/>
              <w:jc w:val="center"/>
              <w:rPr>
                <w:sz w:val="21"/>
                <w:szCs w:val="21"/>
              </w:rPr>
            </w:pPr>
            <w:r>
              <w:rPr>
                <w:rFonts w:hint="eastAsia"/>
                <w:sz w:val="21"/>
                <w:szCs w:val="21"/>
              </w:rPr>
              <w:t>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8" w:type="pct"/>
            <w:vAlign w:val="center"/>
          </w:tcPr>
          <w:p>
            <w:pPr>
              <w:widowControl/>
              <w:spacing w:line="240" w:lineRule="auto"/>
              <w:ind w:firstLine="0" w:firstLineChars="0"/>
              <w:contextualSpacing/>
              <w:jc w:val="center"/>
              <w:rPr>
                <w:kern w:val="0"/>
                <w:sz w:val="21"/>
                <w:szCs w:val="21"/>
              </w:rPr>
            </w:pPr>
            <w:r>
              <w:rPr>
                <w:kern w:val="0"/>
                <w:sz w:val="21"/>
                <w:szCs w:val="21"/>
              </w:rPr>
              <w:t>合计</w:t>
            </w:r>
          </w:p>
        </w:tc>
        <w:tc>
          <w:tcPr>
            <w:tcW w:w="591"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73</w:t>
            </w:r>
          </w:p>
        </w:tc>
        <w:tc>
          <w:tcPr>
            <w:tcW w:w="640" w:type="pct"/>
            <w:vAlign w:val="center"/>
          </w:tcPr>
          <w:p>
            <w:pPr>
              <w:spacing w:line="240" w:lineRule="auto"/>
              <w:ind w:firstLine="0" w:firstLineChars="0"/>
              <w:contextualSpacing/>
              <w:jc w:val="center"/>
              <w:rPr>
                <w:sz w:val="21"/>
                <w:szCs w:val="21"/>
              </w:rPr>
            </w:pPr>
            <w:r>
              <w:rPr>
                <w:sz w:val="21"/>
                <w:szCs w:val="21"/>
              </w:rPr>
              <w:t>100.0</w:t>
            </w:r>
          </w:p>
        </w:tc>
      </w:tr>
    </w:tbl>
    <w:p>
      <w:pPr>
        <w:spacing w:line="160" w:lineRule="exact"/>
        <w:ind w:firstLine="480"/>
        <w:contextualSpacing/>
      </w:pPr>
    </w:p>
    <w:p>
      <w:pPr>
        <w:ind w:firstLine="480"/>
        <w:contextualSpacing/>
      </w:pPr>
      <w:r>
        <w:t>（3）珍稀、濒危和保护植物</w:t>
      </w:r>
    </w:p>
    <w:p>
      <w:pPr>
        <w:ind w:firstLine="480"/>
        <w:contextualSpacing/>
      </w:pPr>
      <w:r>
        <w:t>根据野外调查和资料查证，按照中国家林业和草原局、农业农村部，发布的《国家重点保护野生植物名录》中所列物种，评价区内没有国家重点保护野生植物。银杏在评价区无野生分布，为人工栽培。</w:t>
      </w:r>
      <w:r>
        <w:rPr>
          <w:b/>
          <w:bCs/>
        </w:rPr>
        <w:t>工程建设区尚未发现野生保护植物</w:t>
      </w:r>
      <w:r>
        <w:rPr>
          <w:rFonts w:hint="eastAsia"/>
          <w:b/>
          <w:bCs/>
        </w:rPr>
        <w:t>以及古树名木</w:t>
      </w:r>
      <w:r>
        <w:rPr>
          <w:b/>
          <w:bCs/>
        </w:rPr>
        <w:t>分布。</w:t>
      </w:r>
    </w:p>
    <w:p>
      <w:pPr>
        <w:ind w:firstLine="480"/>
        <w:contextualSpacing/>
      </w:pPr>
      <w:r>
        <w:t>（4）重要资源植物简介</w:t>
      </w:r>
    </w:p>
    <w:p>
      <w:pPr>
        <w:ind w:firstLine="480"/>
        <w:contextualSpacing/>
      </w:pPr>
      <w:r>
        <w:t>寒溪寺水库评价区内有一定的野生资源植物，其中较重要的有观赏植物、药用植物、优良牧草、野生水果资源等。但是，有突出的资源优势和潜在开发价值的种类不多，且当地群众对这些资源植物的利用仅限于零星的采收或个别利用，没有在他们的经济生活中形成对某种或某类物种的依存关系。寒溪寺水库工程评价区主要资源植物见表4.7.1-3。</w:t>
      </w:r>
    </w:p>
    <w:p>
      <w:pPr>
        <w:pStyle w:val="73"/>
        <w:adjustRightInd/>
        <w:snapToGrid/>
        <w:ind w:firstLine="0" w:firstLineChars="0"/>
        <w:contextualSpacing/>
        <w:rPr>
          <w:rFonts w:eastAsia="宋体"/>
          <w:b/>
          <w:bCs/>
          <w:sz w:val="21"/>
          <w:szCs w:val="16"/>
        </w:rPr>
      </w:pPr>
      <w:r>
        <w:rPr>
          <w:rFonts w:eastAsia="宋体"/>
          <w:b/>
          <w:bCs/>
          <w:sz w:val="21"/>
          <w:szCs w:val="16"/>
        </w:rPr>
        <w:t>表4.7.1-3  寒溪寺水库工程项目评价区的主要资源植物</w:t>
      </w:r>
    </w:p>
    <w:tbl>
      <w:tblPr>
        <w:tblStyle w:val="38"/>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25" w:type="dxa"/>
            <w:vAlign w:val="center"/>
          </w:tcPr>
          <w:p>
            <w:pPr>
              <w:spacing w:line="240" w:lineRule="auto"/>
              <w:ind w:firstLine="0" w:firstLineChars="0"/>
              <w:contextualSpacing/>
              <w:jc w:val="center"/>
              <w:rPr>
                <w:b/>
                <w:sz w:val="21"/>
                <w:szCs w:val="21"/>
              </w:rPr>
            </w:pPr>
            <w:r>
              <w:rPr>
                <w:b/>
                <w:sz w:val="21"/>
                <w:szCs w:val="21"/>
              </w:rPr>
              <w:t>类别</w:t>
            </w:r>
          </w:p>
        </w:tc>
        <w:tc>
          <w:tcPr>
            <w:tcW w:w="6788" w:type="dxa"/>
            <w:vAlign w:val="center"/>
          </w:tcPr>
          <w:p>
            <w:pPr>
              <w:spacing w:line="240" w:lineRule="auto"/>
              <w:ind w:firstLine="0" w:firstLineChars="0"/>
              <w:contextualSpacing/>
              <w:jc w:val="center"/>
              <w:rPr>
                <w:b/>
                <w:sz w:val="21"/>
                <w:szCs w:val="21"/>
              </w:rPr>
            </w:pPr>
            <w:r>
              <w:rPr>
                <w:b/>
                <w:sz w:val="21"/>
                <w:szCs w:val="21"/>
              </w:rPr>
              <w:t>主要种类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用材植物</w:t>
            </w:r>
          </w:p>
        </w:tc>
        <w:tc>
          <w:tcPr>
            <w:tcW w:w="6788" w:type="dxa"/>
            <w:vAlign w:val="center"/>
          </w:tcPr>
          <w:p>
            <w:pPr>
              <w:spacing w:line="240" w:lineRule="auto"/>
              <w:ind w:firstLine="0" w:firstLineChars="0"/>
              <w:contextualSpacing/>
              <w:jc w:val="center"/>
              <w:rPr>
                <w:sz w:val="21"/>
                <w:szCs w:val="21"/>
              </w:rPr>
            </w:pPr>
            <w:r>
              <w:rPr>
                <w:sz w:val="21"/>
                <w:szCs w:val="21"/>
              </w:rPr>
              <w:t>柏木、马尾松、桉树等。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粮食作物</w:t>
            </w:r>
          </w:p>
        </w:tc>
        <w:tc>
          <w:tcPr>
            <w:tcW w:w="6788" w:type="dxa"/>
            <w:vAlign w:val="center"/>
          </w:tcPr>
          <w:p>
            <w:pPr>
              <w:spacing w:line="240" w:lineRule="auto"/>
              <w:ind w:firstLine="0" w:firstLineChars="0"/>
              <w:contextualSpacing/>
              <w:jc w:val="center"/>
              <w:rPr>
                <w:sz w:val="21"/>
                <w:szCs w:val="21"/>
              </w:rPr>
            </w:pPr>
            <w:r>
              <w:rPr>
                <w:sz w:val="21"/>
                <w:szCs w:val="21"/>
              </w:rPr>
              <w:t>水稻、玉米、小麦、番薯、马铃薯、豆类、蔬菜等。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蔬菜</w:t>
            </w:r>
          </w:p>
        </w:tc>
        <w:tc>
          <w:tcPr>
            <w:tcW w:w="6788" w:type="dxa"/>
            <w:vAlign w:val="center"/>
          </w:tcPr>
          <w:p>
            <w:pPr>
              <w:spacing w:line="240" w:lineRule="auto"/>
              <w:ind w:firstLine="0" w:firstLineChars="0"/>
              <w:contextualSpacing/>
              <w:jc w:val="center"/>
              <w:rPr>
                <w:sz w:val="21"/>
                <w:szCs w:val="21"/>
              </w:rPr>
            </w:pPr>
            <w:r>
              <w:rPr>
                <w:sz w:val="21"/>
                <w:szCs w:val="21"/>
              </w:rPr>
              <w:t>萝卜、青菜、莴苣、瓜类、四季豆、藜、蕨等。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淀粉植物</w:t>
            </w:r>
          </w:p>
        </w:tc>
        <w:tc>
          <w:tcPr>
            <w:tcW w:w="6788" w:type="dxa"/>
            <w:vAlign w:val="center"/>
          </w:tcPr>
          <w:p>
            <w:pPr>
              <w:spacing w:line="240" w:lineRule="auto"/>
              <w:ind w:firstLine="0" w:firstLineChars="0"/>
              <w:contextualSpacing/>
              <w:jc w:val="center"/>
              <w:rPr>
                <w:sz w:val="21"/>
                <w:szCs w:val="21"/>
              </w:rPr>
            </w:pPr>
            <w:r>
              <w:rPr>
                <w:sz w:val="21"/>
                <w:szCs w:val="21"/>
              </w:rPr>
              <w:t>番薯、马铃薯等。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25" w:type="dxa"/>
            <w:vAlign w:val="center"/>
          </w:tcPr>
          <w:p>
            <w:pPr>
              <w:spacing w:line="240" w:lineRule="auto"/>
              <w:ind w:firstLine="0" w:firstLineChars="0"/>
              <w:contextualSpacing/>
              <w:jc w:val="center"/>
              <w:rPr>
                <w:sz w:val="21"/>
                <w:szCs w:val="21"/>
              </w:rPr>
            </w:pPr>
            <w:r>
              <w:rPr>
                <w:sz w:val="21"/>
                <w:szCs w:val="21"/>
              </w:rPr>
              <w:t>药用植物</w:t>
            </w:r>
          </w:p>
        </w:tc>
        <w:tc>
          <w:tcPr>
            <w:tcW w:w="6788" w:type="dxa"/>
            <w:vAlign w:val="center"/>
          </w:tcPr>
          <w:p>
            <w:pPr>
              <w:spacing w:line="240" w:lineRule="auto"/>
              <w:ind w:firstLine="0" w:firstLineChars="0"/>
              <w:contextualSpacing/>
              <w:jc w:val="center"/>
              <w:rPr>
                <w:sz w:val="21"/>
                <w:szCs w:val="21"/>
              </w:rPr>
            </w:pPr>
            <w:r>
              <w:rPr>
                <w:sz w:val="21"/>
                <w:szCs w:val="21"/>
              </w:rPr>
              <w:t>车前草、紫苏、荆芥、八角枫、青蒿、贯众等。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花卉与绿化植物</w:t>
            </w:r>
          </w:p>
        </w:tc>
        <w:tc>
          <w:tcPr>
            <w:tcW w:w="6788" w:type="dxa"/>
            <w:vAlign w:val="center"/>
          </w:tcPr>
          <w:p>
            <w:pPr>
              <w:spacing w:line="240" w:lineRule="auto"/>
              <w:ind w:firstLine="0" w:firstLineChars="0"/>
              <w:contextualSpacing/>
              <w:jc w:val="center"/>
              <w:rPr>
                <w:sz w:val="21"/>
                <w:szCs w:val="21"/>
              </w:rPr>
            </w:pPr>
            <w:r>
              <w:rPr>
                <w:sz w:val="21"/>
                <w:szCs w:val="21"/>
              </w:rPr>
              <w:t>野蔷薇、黄葛树等。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水果</w:t>
            </w:r>
          </w:p>
        </w:tc>
        <w:tc>
          <w:tcPr>
            <w:tcW w:w="6788" w:type="dxa"/>
            <w:vAlign w:val="center"/>
          </w:tcPr>
          <w:p>
            <w:pPr>
              <w:spacing w:line="240" w:lineRule="auto"/>
              <w:ind w:firstLine="0" w:firstLineChars="0"/>
              <w:contextualSpacing/>
              <w:jc w:val="center"/>
              <w:rPr>
                <w:sz w:val="21"/>
                <w:szCs w:val="21"/>
              </w:rPr>
            </w:pPr>
            <w:r>
              <w:rPr>
                <w:rFonts w:hint="eastAsia"/>
                <w:sz w:val="21"/>
                <w:szCs w:val="21"/>
              </w:rPr>
              <w:t>柑橘、龙眼</w:t>
            </w:r>
            <w:r>
              <w:rPr>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油料植物</w:t>
            </w:r>
          </w:p>
        </w:tc>
        <w:tc>
          <w:tcPr>
            <w:tcW w:w="6788" w:type="dxa"/>
            <w:vAlign w:val="center"/>
          </w:tcPr>
          <w:p>
            <w:pPr>
              <w:spacing w:line="240" w:lineRule="auto"/>
              <w:ind w:firstLine="0" w:firstLineChars="0"/>
              <w:contextualSpacing/>
              <w:jc w:val="center"/>
              <w:rPr>
                <w:sz w:val="21"/>
                <w:szCs w:val="21"/>
              </w:rPr>
            </w:pPr>
            <w:r>
              <w:rPr>
                <w:sz w:val="21"/>
                <w:szCs w:val="21"/>
              </w:rPr>
              <w:t>油菜等。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spacing w:line="240" w:lineRule="auto"/>
              <w:ind w:firstLine="0" w:firstLineChars="0"/>
              <w:contextualSpacing/>
              <w:jc w:val="center"/>
              <w:rPr>
                <w:sz w:val="21"/>
                <w:szCs w:val="21"/>
              </w:rPr>
            </w:pPr>
            <w:r>
              <w:rPr>
                <w:sz w:val="21"/>
                <w:szCs w:val="21"/>
              </w:rPr>
              <w:t>纤维植物</w:t>
            </w:r>
          </w:p>
        </w:tc>
        <w:tc>
          <w:tcPr>
            <w:tcW w:w="6788" w:type="dxa"/>
            <w:vAlign w:val="center"/>
          </w:tcPr>
          <w:p>
            <w:pPr>
              <w:spacing w:line="240" w:lineRule="auto"/>
              <w:ind w:firstLine="0" w:firstLineChars="0"/>
              <w:contextualSpacing/>
              <w:jc w:val="center"/>
              <w:rPr>
                <w:sz w:val="21"/>
                <w:szCs w:val="21"/>
              </w:rPr>
            </w:pPr>
            <w:r>
              <w:rPr>
                <w:sz w:val="21"/>
                <w:szCs w:val="21"/>
              </w:rPr>
              <w:t>竹类等。</w:t>
            </w:r>
          </w:p>
        </w:tc>
      </w:tr>
    </w:tbl>
    <w:p>
      <w:pPr>
        <w:spacing w:line="160" w:lineRule="exact"/>
        <w:ind w:firstLine="480"/>
        <w:contextualSpacing/>
      </w:pPr>
    </w:p>
    <w:p>
      <w:pPr>
        <w:autoSpaceDE w:val="0"/>
        <w:autoSpaceDN w:val="0"/>
        <w:ind w:firstLine="480"/>
        <w:contextualSpacing/>
        <w:rPr>
          <w:bCs/>
          <w:lang w:bidi="en-US"/>
        </w:rPr>
      </w:pPr>
      <w:r>
        <w:rPr>
          <w:bCs/>
          <w:lang w:bidi="en-US"/>
        </w:rPr>
        <w:t>（5）入侵植物</w:t>
      </w:r>
    </w:p>
    <w:p>
      <w:pPr>
        <w:autoSpaceDE w:val="0"/>
        <w:autoSpaceDN w:val="0"/>
        <w:ind w:firstLine="480"/>
        <w:contextualSpacing/>
        <w:rPr>
          <w:kern w:val="0"/>
        </w:rPr>
      </w:pPr>
      <w:r>
        <w:rPr>
          <w:bCs/>
          <w:lang w:bidi="en-US"/>
        </w:rPr>
        <w:t>初步调查表明，寒溪寺水库工程评价区范围内受入侵植物影响较大，据不完全统计，评价区共有入侵植物15种（表4.7.1-4），其中空心莲子草（</w:t>
      </w:r>
      <w:r>
        <w:rPr>
          <w:bCs/>
          <w:i/>
          <w:iCs/>
          <w:lang w:bidi="en-US"/>
        </w:rPr>
        <w:t>Alternantheraphiloxeroides</w:t>
      </w:r>
      <w:r>
        <w:rPr>
          <w:bCs/>
          <w:lang w:bidi="en-US"/>
        </w:rPr>
        <w:t>）、凤眼莲（</w:t>
      </w:r>
      <w:r>
        <w:rPr>
          <w:bCs/>
          <w:i/>
          <w:iCs/>
          <w:lang w:bidi="en-US"/>
        </w:rPr>
        <w:t>Eichhorniacrassipes</w:t>
      </w:r>
      <w:r>
        <w:rPr>
          <w:bCs/>
          <w:lang w:bidi="en-US"/>
        </w:rPr>
        <w:t>）、土荆芥（</w:t>
      </w:r>
      <w:r>
        <w:rPr>
          <w:bCs/>
          <w:i/>
          <w:iCs/>
          <w:lang w:bidi="en-US"/>
        </w:rPr>
        <w:t>Chenopodiumambrosioides</w:t>
      </w:r>
      <w:r>
        <w:rPr>
          <w:bCs/>
          <w:lang w:bidi="en-US"/>
        </w:rPr>
        <w:t>）分别列入中国环保总局发布的《中国第一批外来入侵物种名单》（2003）和中国环保部发布的《中国第二批外来入侵物种名单》（2010），属于危害极严重的外来入侵植物。</w:t>
      </w:r>
    </w:p>
    <w:p>
      <w:pPr>
        <w:pStyle w:val="73"/>
        <w:adjustRightInd/>
        <w:snapToGrid/>
        <w:ind w:firstLine="0" w:firstLineChars="0"/>
        <w:contextualSpacing/>
        <w:rPr>
          <w:rFonts w:eastAsia="宋体"/>
          <w:b/>
          <w:bCs/>
          <w:sz w:val="21"/>
          <w:szCs w:val="16"/>
        </w:rPr>
      </w:pPr>
      <w:r>
        <w:rPr>
          <w:rFonts w:eastAsia="宋体"/>
          <w:b/>
          <w:bCs/>
          <w:sz w:val="21"/>
          <w:szCs w:val="16"/>
        </w:rPr>
        <w:t>表4.7.1-4  寒溪寺水库工程评价区范围内的入侵植物</w:t>
      </w:r>
    </w:p>
    <w:tbl>
      <w:tblPr>
        <w:tblStyle w:val="38"/>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18"/>
        <w:gridCol w:w="2543"/>
        <w:gridCol w:w="1018"/>
        <w:gridCol w:w="1863"/>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b/>
                <w:kern w:val="0"/>
                <w:sz w:val="21"/>
                <w:szCs w:val="21"/>
              </w:rPr>
            </w:pPr>
            <w:r>
              <w:rPr>
                <w:b/>
                <w:kern w:val="0"/>
                <w:sz w:val="21"/>
                <w:szCs w:val="21"/>
              </w:rPr>
              <w:t>序号</w:t>
            </w:r>
          </w:p>
        </w:tc>
        <w:tc>
          <w:tcPr>
            <w:tcW w:w="603" w:type="pct"/>
            <w:vAlign w:val="center"/>
          </w:tcPr>
          <w:p>
            <w:pPr>
              <w:widowControl/>
              <w:spacing w:line="240" w:lineRule="auto"/>
              <w:ind w:firstLine="0" w:firstLineChars="0"/>
              <w:contextualSpacing/>
              <w:jc w:val="center"/>
              <w:rPr>
                <w:b/>
                <w:kern w:val="0"/>
                <w:sz w:val="21"/>
                <w:szCs w:val="21"/>
              </w:rPr>
            </w:pPr>
            <w:r>
              <w:rPr>
                <w:b/>
                <w:kern w:val="0"/>
                <w:sz w:val="21"/>
                <w:szCs w:val="21"/>
              </w:rPr>
              <w:t>种名</w:t>
            </w:r>
          </w:p>
        </w:tc>
        <w:tc>
          <w:tcPr>
            <w:tcW w:w="1506" w:type="pct"/>
            <w:vAlign w:val="center"/>
          </w:tcPr>
          <w:p>
            <w:pPr>
              <w:widowControl/>
              <w:spacing w:line="240" w:lineRule="auto"/>
              <w:ind w:firstLine="0" w:firstLineChars="0"/>
              <w:contextualSpacing/>
              <w:jc w:val="center"/>
              <w:rPr>
                <w:b/>
                <w:kern w:val="0"/>
                <w:sz w:val="21"/>
                <w:szCs w:val="21"/>
              </w:rPr>
            </w:pPr>
            <w:r>
              <w:rPr>
                <w:b/>
                <w:kern w:val="0"/>
                <w:sz w:val="21"/>
                <w:szCs w:val="21"/>
              </w:rPr>
              <w:t>种的拉丁名</w:t>
            </w:r>
          </w:p>
        </w:tc>
        <w:tc>
          <w:tcPr>
            <w:tcW w:w="603" w:type="pct"/>
            <w:vAlign w:val="center"/>
          </w:tcPr>
          <w:p>
            <w:pPr>
              <w:widowControl/>
              <w:spacing w:line="240" w:lineRule="auto"/>
              <w:ind w:firstLine="0" w:firstLineChars="0"/>
              <w:contextualSpacing/>
              <w:jc w:val="center"/>
              <w:rPr>
                <w:b/>
                <w:kern w:val="0"/>
                <w:sz w:val="21"/>
                <w:szCs w:val="21"/>
              </w:rPr>
            </w:pPr>
            <w:r>
              <w:rPr>
                <w:b/>
                <w:kern w:val="0"/>
                <w:sz w:val="21"/>
                <w:szCs w:val="21"/>
              </w:rPr>
              <w:t>科名</w:t>
            </w:r>
          </w:p>
        </w:tc>
        <w:tc>
          <w:tcPr>
            <w:tcW w:w="1104" w:type="pct"/>
            <w:vAlign w:val="center"/>
          </w:tcPr>
          <w:p>
            <w:pPr>
              <w:widowControl/>
              <w:spacing w:line="240" w:lineRule="auto"/>
              <w:ind w:firstLine="0" w:firstLineChars="0"/>
              <w:contextualSpacing/>
              <w:jc w:val="center"/>
              <w:rPr>
                <w:b/>
                <w:kern w:val="0"/>
                <w:sz w:val="21"/>
                <w:szCs w:val="21"/>
              </w:rPr>
            </w:pPr>
            <w:r>
              <w:rPr>
                <w:b/>
                <w:kern w:val="0"/>
                <w:sz w:val="21"/>
                <w:szCs w:val="21"/>
              </w:rPr>
              <w:t>科的拉丁名</w:t>
            </w:r>
          </w:p>
        </w:tc>
        <w:tc>
          <w:tcPr>
            <w:tcW w:w="804" w:type="pct"/>
            <w:vAlign w:val="center"/>
          </w:tcPr>
          <w:p>
            <w:pPr>
              <w:widowControl/>
              <w:spacing w:line="240" w:lineRule="auto"/>
              <w:ind w:firstLine="0" w:firstLineChars="0"/>
              <w:contextualSpacing/>
              <w:jc w:val="center"/>
              <w:rPr>
                <w:b/>
                <w:kern w:val="0"/>
                <w:sz w:val="21"/>
                <w:szCs w:val="21"/>
              </w:rPr>
            </w:pPr>
            <w:r>
              <w:rPr>
                <w:b/>
                <w:kern w:val="0"/>
                <w:sz w:val="21"/>
                <w:szCs w:val="21"/>
              </w:rPr>
              <w:t>起源地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空心莲子草</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Alternanthera</w:t>
            </w:r>
            <w:r>
              <w:rPr>
                <w:rFonts w:hint="eastAsia"/>
                <w:i/>
                <w:iCs/>
                <w:kern w:val="0"/>
                <w:sz w:val="21"/>
                <w:szCs w:val="21"/>
              </w:rPr>
              <w:t xml:space="preserve"> </w:t>
            </w:r>
            <w:r>
              <w:rPr>
                <w:i/>
                <w:iCs/>
                <w:kern w:val="0"/>
                <w:sz w:val="21"/>
                <w:szCs w:val="21"/>
              </w:rPr>
              <w:t>philoxeroides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苋科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Amaraothaceae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南美洲的巴西、乌拉圭、阿根廷等国。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凤眼莲</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Eichhornia</w:t>
            </w:r>
            <w:r>
              <w:rPr>
                <w:rFonts w:hint="eastAsia"/>
                <w:i/>
                <w:iCs/>
                <w:kern w:val="0"/>
                <w:sz w:val="21"/>
                <w:szCs w:val="21"/>
              </w:rPr>
              <w:t xml:space="preserve"> </w:t>
            </w:r>
            <w:r>
              <w:rPr>
                <w:i/>
                <w:iCs/>
                <w:kern w:val="0"/>
                <w:sz w:val="21"/>
                <w:szCs w:val="21"/>
              </w:rPr>
              <w:t>crassipes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雨久花科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Pontederiaceae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土荆芥</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Chenopodiumam</w:t>
            </w:r>
            <w:r>
              <w:rPr>
                <w:rFonts w:hint="eastAsia"/>
                <w:i/>
                <w:iCs/>
                <w:kern w:val="0"/>
                <w:sz w:val="21"/>
                <w:szCs w:val="21"/>
              </w:rPr>
              <w:t xml:space="preserve"> </w:t>
            </w:r>
            <w:r>
              <w:rPr>
                <w:i/>
                <w:iCs/>
                <w:kern w:val="0"/>
                <w:sz w:val="21"/>
                <w:szCs w:val="21"/>
              </w:rPr>
              <w:t>brosioides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藜科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Chenopodiaceae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4</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圆叶牵牛</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Pharbitis</w:t>
            </w:r>
            <w:r>
              <w:rPr>
                <w:rFonts w:hint="eastAsia"/>
                <w:i/>
                <w:iCs/>
                <w:kern w:val="0"/>
                <w:sz w:val="21"/>
                <w:szCs w:val="21"/>
              </w:rPr>
              <w:t xml:space="preserve"> </w:t>
            </w:r>
            <w:r>
              <w:rPr>
                <w:i/>
                <w:iCs/>
                <w:kern w:val="0"/>
                <w:sz w:val="21"/>
                <w:szCs w:val="21"/>
              </w:rPr>
              <w:t>purpurea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旋花科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Convolvulaceae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裂叶牵牛</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Pharbitis</w:t>
            </w:r>
            <w:r>
              <w:rPr>
                <w:rFonts w:hint="eastAsia"/>
                <w:i/>
                <w:iCs/>
                <w:kern w:val="0"/>
                <w:sz w:val="21"/>
                <w:szCs w:val="21"/>
              </w:rPr>
              <w:t xml:space="preserve"> </w:t>
            </w:r>
            <w:r>
              <w:rPr>
                <w:i/>
                <w:iCs/>
                <w:kern w:val="0"/>
                <w:sz w:val="21"/>
                <w:szCs w:val="21"/>
              </w:rPr>
              <w:t>nil</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旋花科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Convolvulaceae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反枝苋</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Amaranthus</w:t>
            </w:r>
            <w:r>
              <w:rPr>
                <w:rFonts w:hint="eastAsia"/>
                <w:i/>
                <w:iCs/>
                <w:kern w:val="0"/>
                <w:sz w:val="21"/>
                <w:szCs w:val="21"/>
              </w:rPr>
              <w:t xml:space="preserve"> </w:t>
            </w:r>
            <w:r>
              <w:rPr>
                <w:i/>
                <w:iCs/>
                <w:kern w:val="0"/>
                <w:sz w:val="21"/>
                <w:szCs w:val="21"/>
              </w:rPr>
              <w:t>retroflexus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苋科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Amaraothaceae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非洲热带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7</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土人参</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Talinum</w:t>
            </w:r>
            <w:r>
              <w:rPr>
                <w:rFonts w:hint="eastAsia"/>
                <w:i/>
                <w:iCs/>
                <w:kern w:val="0"/>
                <w:sz w:val="21"/>
                <w:szCs w:val="21"/>
              </w:rPr>
              <w:t xml:space="preserve"> </w:t>
            </w:r>
            <w:r>
              <w:rPr>
                <w:i/>
                <w:iCs/>
                <w:kern w:val="0"/>
                <w:sz w:val="21"/>
                <w:szCs w:val="21"/>
              </w:rPr>
              <w:t>paniculatum</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马齿苋科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Portulacaceae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8</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三叶鬼针草</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Bidens</w:t>
            </w:r>
            <w:r>
              <w:rPr>
                <w:rFonts w:hint="eastAsia"/>
                <w:i/>
                <w:iCs/>
                <w:kern w:val="0"/>
                <w:sz w:val="21"/>
                <w:szCs w:val="21"/>
              </w:rPr>
              <w:t xml:space="preserve"> </w:t>
            </w:r>
            <w:r>
              <w:rPr>
                <w:i/>
                <w:iCs/>
                <w:kern w:val="0"/>
                <w:sz w:val="21"/>
                <w:szCs w:val="21"/>
              </w:rPr>
              <w:t>pilosa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菊科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Compositae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9</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加拿大蓬</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Erigeron</w:t>
            </w:r>
            <w:r>
              <w:rPr>
                <w:rFonts w:hint="eastAsia"/>
                <w:i/>
                <w:iCs/>
                <w:kern w:val="0"/>
                <w:sz w:val="21"/>
                <w:szCs w:val="21"/>
              </w:rPr>
              <w:t xml:space="preserve"> </w:t>
            </w:r>
            <w:r>
              <w:rPr>
                <w:i/>
                <w:iCs/>
                <w:kern w:val="0"/>
                <w:sz w:val="21"/>
                <w:szCs w:val="21"/>
              </w:rPr>
              <w:t>canadensis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菊科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Compositae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北美洲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胜红蓟</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Ageratum</w:t>
            </w:r>
            <w:r>
              <w:rPr>
                <w:rFonts w:hint="eastAsia"/>
                <w:i/>
                <w:iCs/>
                <w:kern w:val="0"/>
                <w:sz w:val="21"/>
                <w:szCs w:val="21"/>
              </w:rPr>
              <w:t xml:space="preserve"> </w:t>
            </w:r>
            <w:r>
              <w:rPr>
                <w:i/>
                <w:iCs/>
                <w:kern w:val="0"/>
                <w:sz w:val="21"/>
                <w:szCs w:val="21"/>
              </w:rPr>
              <w:t>conyzoides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菊科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Compositae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墨西哥及邻近地域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11</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辣子草</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Galinsoga</w:t>
            </w:r>
            <w:r>
              <w:rPr>
                <w:rFonts w:hint="eastAsia"/>
                <w:i/>
                <w:iCs/>
                <w:kern w:val="0"/>
                <w:sz w:val="21"/>
                <w:szCs w:val="21"/>
              </w:rPr>
              <w:t xml:space="preserve"> </w:t>
            </w:r>
            <w:r>
              <w:rPr>
                <w:i/>
                <w:iCs/>
                <w:kern w:val="0"/>
                <w:sz w:val="21"/>
                <w:szCs w:val="21"/>
              </w:rPr>
              <w:t>parviflora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菊科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Compositae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南美洲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12</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红花酢浆草</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Oxalis</w:t>
            </w:r>
            <w:r>
              <w:rPr>
                <w:rFonts w:hint="eastAsia"/>
                <w:i/>
                <w:iCs/>
                <w:kern w:val="0"/>
                <w:sz w:val="21"/>
                <w:szCs w:val="21"/>
              </w:rPr>
              <w:t xml:space="preserve"> </w:t>
            </w:r>
            <w:r>
              <w:rPr>
                <w:i/>
                <w:iCs/>
                <w:kern w:val="0"/>
                <w:sz w:val="21"/>
                <w:szCs w:val="21"/>
              </w:rPr>
              <w:t>corymbosa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酢浆草科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Oxalidaceae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13</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万寿菊</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Tagetes</w:t>
            </w:r>
            <w:r>
              <w:rPr>
                <w:rFonts w:hint="eastAsia"/>
                <w:i/>
                <w:iCs/>
                <w:kern w:val="0"/>
                <w:sz w:val="21"/>
                <w:szCs w:val="21"/>
              </w:rPr>
              <w:t xml:space="preserve"> </w:t>
            </w:r>
            <w:r>
              <w:rPr>
                <w:i/>
                <w:iCs/>
                <w:kern w:val="0"/>
                <w:sz w:val="21"/>
                <w:szCs w:val="21"/>
              </w:rPr>
              <w:t>erecta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菊科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Compositae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美洲热带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14</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刺槐</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Robinia</w:t>
            </w:r>
            <w:r>
              <w:rPr>
                <w:rFonts w:hint="eastAsia"/>
                <w:i/>
                <w:iCs/>
                <w:kern w:val="0"/>
                <w:sz w:val="21"/>
                <w:szCs w:val="21"/>
              </w:rPr>
              <w:t xml:space="preserve"> </w:t>
            </w:r>
            <w:r>
              <w:rPr>
                <w:i/>
                <w:iCs/>
                <w:kern w:val="0"/>
                <w:sz w:val="21"/>
                <w:szCs w:val="21"/>
              </w:rPr>
              <w:t>pseudoacacia</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蝶形花科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Leguminosae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北美洲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8" w:type="pct"/>
            <w:vAlign w:val="center"/>
          </w:tcPr>
          <w:p>
            <w:pPr>
              <w:widowControl/>
              <w:spacing w:line="240" w:lineRule="auto"/>
              <w:ind w:firstLine="0" w:firstLineChars="0"/>
              <w:contextualSpacing/>
              <w:jc w:val="center"/>
              <w:rPr>
                <w:kern w:val="0"/>
                <w:sz w:val="21"/>
                <w:szCs w:val="21"/>
              </w:rPr>
            </w:pPr>
            <w:r>
              <w:rPr>
                <w:kern w:val="0"/>
                <w:sz w:val="21"/>
                <w:szCs w:val="21"/>
              </w:rPr>
              <w:t>15</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白车轴草</w:t>
            </w:r>
          </w:p>
        </w:tc>
        <w:tc>
          <w:tcPr>
            <w:tcW w:w="1506" w:type="pct"/>
            <w:vAlign w:val="center"/>
          </w:tcPr>
          <w:p>
            <w:pPr>
              <w:widowControl/>
              <w:spacing w:line="240" w:lineRule="auto"/>
              <w:ind w:firstLine="0" w:firstLineChars="0"/>
              <w:contextualSpacing/>
              <w:jc w:val="center"/>
              <w:rPr>
                <w:i/>
                <w:iCs/>
                <w:kern w:val="0"/>
                <w:sz w:val="21"/>
                <w:szCs w:val="21"/>
              </w:rPr>
            </w:pPr>
            <w:r>
              <w:rPr>
                <w:i/>
                <w:iCs/>
                <w:kern w:val="0"/>
                <w:sz w:val="21"/>
                <w:szCs w:val="21"/>
              </w:rPr>
              <w:t>Trifolium</w:t>
            </w:r>
            <w:r>
              <w:rPr>
                <w:rFonts w:hint="eastAsia"/>
                <w:i/>
                <w:iCs/>
                <w:kern w:val="0"/>
                <w:sz w:val="21"/>
                <w:szCs w:val="21"/>
              </w:rPr>
              <w:t xml:space="preserve"> </w:t>
            </w:r>
            <w:r>
              <w:rPr>
                <w:i/>
                <w:iCs/>
                <w:kern w:val="0"/>
                <w:sz w:val="21"/>
                <w:szCs w:val="21"/>
              </w:rPr>
              <w:t>repens</w:t>
            </w:r>
          </w:p>
        </w:tc>
        <w:tc>
          <w:tcPr>
            <w:tcW w:w="603" w:type="pct"/>
            <w:vAlign w:val="center"/>
          </w:tcPr>
          <w:p>
            <w:pPr>
              <w:widowControl/>
              <w:spacing w:line="240" w:lineRule="auto"/>
              <w:ind w:firstLine="0" w:firstLineChars="0"/>
              <w:contextualSpacing/>
              <w:jc w:val="center"/>
              <w:rPr>
                <w:kern w:val="0"/>
                <w:sz w:val="21"/>
                <w:szCs w:val="21"/>
              </w:rPr>
            </w:pPr>
            <w:r>
              <w:rPr>
                <w:kern w:val="0"/>
                <w:sz w:val="21"/>
                <w:szCs w:val="21"/>
              </w:rPr>
              <w:t>蝶形花科</w:t>
            </w:r>
          </w:p>
        </w:tc>
        <w:tc>
          <w:tcPr>
            <w:tcW w:w="1104" w:type="pct"/>
            <w:vAlign w:val="center"/>
          </w:tcPr>
          <w:p>
            <w:pPr>
              <w:widowControl/>
              <w:spacing w:line="240" w:lineRule="auto"/>
              <w:ind w:firstLine="0" w:firstLineChars="0"/>
              <w:contextualSpacing/>
              <w:jc w:val="center"/>
              <w:rPr>
                <w:kern w:val="0"/>
                <w:sz w:val="21"/>
                <w:szCs w:val="21"/>
              </w:rPr>
            </w:pPr>
            <w:r>
              <w:rPr>
                <w:kern w:val="0"/>
                <w:sz w:val="21"/>
                <w:szCs w:val="21"/>
              </w:rPr>
              <w:t>Leguminosae</w:t>
            </w:r>
          </w:p>
        </w:tc>
        <w:tc>
          <w:tcPr>
            <w:tcW w:w="804" w:type="pct"/>
            <w:vAlign w:val="center"/>
          </w:tcPr>
          <w:p>
            <w:pPr>
              <w:widowControl/>
              <w:spacing w:line="240" w:lineRule="auto"/>
              <w:ind w:firstLine="0" w:firstLineChars="0"/>
              <w:contextualSpacing/>
              <w:jc w:val="center"/>
              <w:rPr>
                <w:kern w:val="0"/>
                <w:sz w:val="21"/>
                <w:szCs w:val="21"/>
              </w:rPr>
            </w:pPr>
            <w:r>
              <w:rPr>
                <w:kern w:val="0"/>
                <w:sz w:val="21"/>
                <w:szCs w:val="21"/>
              </w:rPr>
              <w:t>欧洲</w:t>
            </w:r>
          </w:p>
        </w:tc>
      </w:tr>
    </w:tbl>
    <w:p>
      <w:pPr>
        <w:spacing w:line="160" w:lineRule="exact"/>
        <w:ind w:firstLine="480"/>
        <w:contextualSpacing/>
      </w:pPr>
    </w:p>
    <w:p>
      <w:pPr>
        <w:ind w:firstLine="480"/>
        <w:contextualSpacing/>
      </w:pPr>
      <w:r>
        <w:t>综上所述，寒溪寺水库评价区维管植物植物区系具有地理成分复杂多样，热带亚热带成分和温带成分相互交触，具有明显的过渡性质。中国特有成分占有一定的比例，但均为人工种植，世界分布的种类在本区植物组成中占有较大的比例，对本区生态环境具有一定的影响，入侵植物对本区农业生态系统和水域生态系统具有影响。</w:t>
      </w:r>
    </w:p>
    <w:p>
      <w:pPr>
        <w:ind w:firstLine="0" w:firstLineChars="0"/>
        <w:contextualSpacing/>
        <w:outlineLvl w:val="3"/>
        <w:rPr>
          <w:b/>
          <w:bCs/>
        </w:rPr>
      </w:pPr>
      <w:r>
        <w:rPr>
          <w:b/>
          <w:bCs/>
        </w:rPr>
        <w:t>4.7.2.2植被群落类型</w:t>
      </w:r>
    </w:p>
    <w:p>
      <w:pPr>
        <w:ind w:firstLine="480"/>
        <w:contextualSpacing/>
      </w:pPr>
      <w:r>
        <w:t>（1）植被类型的划分</w:t>
      </w:r>
    </w:p>
    <w:p>
      <w:pPr>
        <w:ind w:firstLine="480"/>
        <w:contextualSpacing/>
      </w:pPr>
      <w:r>
        <w:t>参考《中国植被》的分类原则、单位和方法，结合野外实地考察记录，依据《四川植被》（四川植被协作组，1980）划分，寒溪寺水库评价区植被隶属于</w:t>
      </w:r>
      <w:r>
        <w:rPr>
          <w:rFonts w:hint="eastAsia"/>
        </w:rPr>
        <w:t>亚热带常绿阔叶林区：I 川东盆地偏湿性常绿阔叶林地带→IA 川东盆地偏湿性常绿阔叶林亚带→IA3 盆地底部丘陵低山植被地区→IA3（5）川北深丘植被小区</w:t>
      </w:r>
      <w:r>
        <w:t>。在自然因素和人为因素干扰下，评价区植被具有如下特征：</w:t>
      </w:r>
    </w:p>
    <w:p>
      <w:pPr>
        <w:ind w:firstLine="480"/>
        <w:contextualSpacing/>
      </w:pPr>
      <w:r>
        <w:rPr>
          <w:rFonts w:hint="eastAsia"/>
        </w:rPr>
        <w:t>自然植被主要为柏木林、马尾松林、栎类灌丛、亚热带草丛及其各种过渡类型。柏木林多分布在深丘下部的紫色页岩地段上，形成疏林，混有化香、黄连木、油桐。马尾松林多分布在深丘顶部砂页岩发育的黄壤地段上，灌木有米饭花、映山红、米碎花、铁仔，而在干燥生境下。则以映山红、火棘、栎类为主。栎类灌丛多分布在山顶，由麻栎、栓皮栎、烟管荚蒾、火棘、蔷薇、盐肤木，映山红，铁仔、毛黄栌组成，为马尾松林和落叶栎林砍伐后形成的灌丛类型。柏木林再度砍伐后形成以黄茅、白茅、香茅为主的亚热带草丛，并散生着黄荆、牡荆、马桑、铁仔等植物。</w:t>
      </w:r>
    </w:p>
    <w:p>
      <w:pPr>
        <w:ind w:firstLine="480"/>
        <w:contextualSpacing/>
      </w:pPr>
      <w:r>
        <w:t>植被具有明显的次生性质：评价区人类活动十分频繁，地带性植被常绿阔叶林几乎被破坏殆尽，目前森林主要以次生林和人工林为主，且树种单一，以针叶林分布面积最大，针叶树种以柏木</w:t>
      </w:r>
      <w:r>
        <w:rPr>
          <w:rFonts w:hint="eastAsia"/>
        </w:rPr>
        <w:t>、马尾松</w:t>
      </w:r>
      <w:r>
        <w:t>等为主。森林覆盖率较低，栽培植被分布广泛：评价区地形气候等自然条件较好，人类活动十分频繁，开垦程度较高，森林覆盖率较低，栽培植被在评价区广泛分布，主要作物有水稻、小麦、玉米、豆类、红薯、油菜、花生等，经济作物主要有</w:t>
      </w:r>
      <w:r>
        <w:rPr>
          <w:rFonts w:hint="eastAsia"/>
        </w:rPr>
        <w:t>柑橘</w:t>
      </w:r>
      <w:r>
        <w:t>等。</w:t>
      </w:r>
    </w:p>
    <w:p>
      <w:pPr>
        <w:ind w:firstLine="480"/>
        <w:contextualSpacing/>
      </w:pPr>
      <w:r>
        <w:t>（2）主要植被类型</w:t>
      </w:r>
    </w:p>
    <w:p>
      <w:pPr>
        <w:autoSpaceDE w:val="0"/>
        <w:autoSpaceDN w:val="0"/>
        <w:ind w:firstLine="480"/>
        <w:contextualSpacing/>
        <w:rPr>
          <w:bCs/>
          <w:lang w:bidi="en-US"/>
        </w:rPr>
      </w:pPr>
      <w:r>
        <w:rPr>
          <w:bCs/>
          <w:lang w:bidi="en-US"/>
        </w:rPr>
        <w:t>根据植物种类成分、群落外貌和结构特征、生态地理特征以及群落动态，将拟建寒溪寺水库评价区自然植被分为</w:t>
      </w:r>
      <w:r>
        <w:rPr>
          <w:rFonts w:hint="eastAsia"/>
          <w:bCs/>
          <w:lang w:bidi="en-US"/>
        </w:rPr>
        <w:t>5</w:t>
      </w:r>
      <w:r>
        <w:rPr>
          <w:bCs/>
          <w:lang w:bidi="en-US"/>
        </w:rPr>
        <w:t>个植被型，</w:t>
      </w:r>
      <w:r>
        <w:rPr>
          <w:rFonts w:hint="eastAsia"/>
          <w:bCs/>
          <w:lang w:bidi="en-US"/>
        </w:rPr>
        <w:t>12</w:t>
      </w:r>
      <w:r>
        <w:rPr>
          <w:bCs/>
          <w:lang w:bidi="en-US"/>
        </w:rPr>
        <w:t>个群系；按照《四川植被》栽培植被分类原则和依据，根据种类组成、层片结构、生境特点、经济性状和经济效益，将寒溪寺水库评价区内的栽培植被分为农作物和经济林木2个类型（表4.7.1-5），水田已无双季稻种植，旱地耕作以带植复种轮作为主</w:t>
      </w:r>
      <w:r>
        <w:rPr>
          <w:rFonts w:hint="eastAsia"/>
          <w:bCs/>
          <w:lang w:bidi="en-US"/>
        </w:rPr>
        <w:t>。</w:t>
      </w:r>
      <w:r>
        <w:rPr>
          <w:bCs/>
          <w:lang w:bidi="en-US"/>
        </w:rPr>
        <w:t>经济林木主要为茶树、桑树、油桐、油茶以及水果类。</w:t>
      </w:r>
    </w:p>
    <w:p>
      <w:pPr>
        <w:ind w:firstLine="480"/>
        <w:contextualSpacing/>
      </w:pPr>
      <w:r>
        <w:t>寒溪寺水库评价区主要植被类型见表4.7.1-5。</w:t>
      </w:r>
    </w:p>
    <w:p>
      <w:pPr>
        <w:pStyle w:val="73"/>
        <w:adjustRightInd/>
        <w:snapToGrid/>
        <w:ind w:firstLine="0" w:firstLineChars="0"/>
        <w:contextualSpacing/>
        <w:rPr>
          <w:rFonts w:eastAsia="宋体"/>
          <w:b/>
          <w:sz w:val="21"/>
          <w:szCs w:val="21"/>
        </w:rPr>
      </w:pPr>
      <w:r>
        <w:rPr>
          <w:rFonts w:eastAsia="宋体"/>
          <w:b/>
          <w:sz w:val="21"/>
          <w:szCs w:val="21"/>
        </w:rPr>
        <w:t>表4.7.1-5  寒溪寺水库工程评价区主要植被类型</w:t>
      </w:r>
    </w:p>
    <w:tbl>
      <w:tblPr>
        <w:tblStyle w:val="3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934"/>
        <w:gridCol w:w="370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Align w:val="center"/>
          </w:tcPr>
          <w:p>
            <w:pPr>
              <w:widowControl/>
              <w:spacing w:line="240" w:lineRule="auto"/>
              <w:ind w:firstLine="0" w:firstLineChars="0"/>
              <w:contextualSpacing/>
              <w:jc w:val="center"/>
              <w:rPr>
                <w:b/>
                <w:bCs/>
                <w:kern w:val="0"/>
                <w:sz w:val="21"/>
                <w:szCs w:val="21"/>
              </w:rPr>
            </w:pPr>
            <w:r>
              <w:rPr>
                <w:b/>
                <w:bCs/>
                <w:kern w:val="0"/>
                <w:sz w:val="21"/>
                <w:szCs w:val="21"/>
              </w:rPr>
              <w:t>植被型</w:t>
            </w:r>
          </w:p>
        </w:tc>
        <w:tc>
          <w:tcPr>
            <w:tcW w:w="1134" w:type="pct"/>
            <w:vAlign w:val="center"/>
          </w:tcPr>
          <w:p>
            <w:pPr>
              <w:widowControl/>
              <w:spacing w:line="240" w:lineRule="auto"/>
              <w:ind w:firstLine="0" w:firstLineChars="0"/>
              <w:contextualSpacing/>
              <w:jc w:val="center"/>
              <w:rPr>
                <w:b/>
                <w:bCs/>
                <w:kern w:val="0"/>
                <w:sz w:val="21"/>
                <w:szCs w:val="21"/>
              </w:rPr>
            </w:pPr>
            <w:r>
              <w:rPr>
                <w:b/>
                <w:bCs/>
                <w:kern w:val="0"/>
                <w:sz w:val="21"/>
                <w:szCs w:val="21"/>
              </w:rPr>
              <w:t>群系</w:t>
            </w:r>
          </w:p>
        </w:tc>
        <w:tc>
          <w:tcPr>
            <w:tcW w:w="2171" w:type="pct"/>
            <w:vAlign w:val="center"/>
          </w:tcPr>
          <w:p>
            <w:pPr>
              <w:widowControl/>
              <w:spacing w:line="240" w:lineRule="auto"/>
              <w:ind w:firstLine="0" w:firstLineChars="0"/>
              <w:contextualSpacing/>
              <w:jc w:val="center"/>
              <w:rPr>
                <w:b/>
                <w:bCs/>
                <w:kern w:val="0"/>
                <w:sz w:val="21"/>
                <w:szCs w:val="21"/>
              </w:rPr>
            </w:pPr>
            <w:r>
              <w:rPr>
                <w:b/>
                <w:bCs/>
                <w:kern w:val="0"/>
                <w:sz w:val="21"/>
                <w:szCs w:val="21"/>
              </w:rPr>
              <w:t>分布</w:t>
            </w:r>
          </w:p>
        </w:tc>
        <w:tc>
          <w:tcPr>
            <w:tcW w:w="898" w:type="pct"/>
            <w:vAlign w:val="center"/>
          </w:tcPr>
          <w:p>
            <w:pPr>
              <w:widowControl/>
              <w:spacing w:line="240" w:lineRule="auto"/>
              <w:ind w:firstLine="0" w:firstLineChars="0"/>
              <w:contextualSpacing/>
              <w:jc w:val="center"/>
              <w:rPr>
                <w:b/>
                <w:bCs/>
                <w:kern w:val="0"/>
                <w:sz w:val="21"/>
                <w:szCs w:val="21"/>
              </w:rPr>
            </w:pPr>
            <w:r>
              <w:rPr>
                <w:b/>
                <w:bCs/>
                <w:kern w:val="0"/>
                <w:sz w:val="21"/>
                <w:szCs w:val="21"/>
              </w:rPr>
              <w:t>占评价区面积比例%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95" w:type="pct"/>
            <w:vMerge w:val="restart"/>
            <w:vAlign w:val="center"/>
          </w:tcPr>
          <w:p>
            <w:pPr>
              <w:widowControl/>
              <w:spacing w:line="240" w:lineRule="auto"/>
              <w:ind w:firstLine="0" w:firstLineChars="0"/>
              <w:contextualSpacing/>
              <w:jc w:val="center"/>
              <w:rPr>
                <w:b/>
                <w:bCs/>
                <w:kern w:val="0"/>
                <w:sz w:val="21"/>
                <w:szCs w:val="21"/>
              </w:rPr>
            </w:pPr>
            <w:r>
              <w:rPr>
                <w:kern w:val="0"/>
                <w:sz w:val="21"/>
                <w:szCs w:val="21"/>
              </w:rPr>
              <w:t>针叶林</w:t>
            </w:r>
          </w:p>
        </w:tc>
        <w:tc>
          <w:tcPr>
            <w:tcW w:w="1134" w:type="pct"/>
            <w:vAlign w:val="center"/>
          </w:tcPr>
          <w:p>
            <w:pPr>
              <w:widowControl/>
              <w:spacing w:line="240" w:lineRule="auto"/>
              <w:ind w:firstLine="0" w:firstLineChars="0"/>
              <w:contextualSpacing/>
              <w:jc w:val="center"/>
              <w:rPr>
                <w:b/>
                <w:bCs/>
                <w:kern w:val="0"/>
                <w:sz w:val="21"/>
                <w:szCs w:val="21"/>
              </w:rPr>
            </w:pPr>
            <w:r>
              <w:rPr>
                <w:kern w:val="0"/>
                <w:sz w:val="21"/>
                <w:szCs w:val="21"/>
              </w:rPr>
              <w:t>柏木林</w:t>
            </w:r>
          </w:p>
        </w:tc>
        <w:tc>
          <w:tcPr>
            <w:tcW w:w="2171" w:type="pct"/>
            <w:vAlign w:val="center"/>
          </w:tcPr>
          <w:p>
            <w:pPr>
              <w:widowControl/>
              <w:spacing w:line="240" w:lineRule="auto"/>
              <w:ind w:firstLine="0" w:firstLineChars="0"/>
              <w:contextualSpacing/>
              <w:jc w:val="center"/>
              <w:rPr>
                <w:b/>
                <w:bCs/>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马尾松林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95" w:type="pct"/>
            <w:vMerge w:val="restart"/>
            <w:vAlign w:val="center"/>
          </w:tcPr>
          <w:p>
            <w:pPr>
              <w:widowControl/>
              <w:spacing w:line="240" w:lineRule="auto"/>
              <w:ind w:firstLine="0" w:firstLineChars="0"/>
              <w:contextualSpacing/>
              <w:jc w:val="center"/>
              <w:rPr>
                <w:kern w:val="0"/>
                <w:sz w:val="21"/>
                <w:szCs w:val="21"/>
              </w:rPr>
            </w:pPr>
            <w:r>
              <w:rPr>
                <w:kern w:val="0"/>
                <w:sz w:val="21"/>
                <w:szCs w:val="21"/>
              </w:rPr>
              <w:t>阔叶林</w:t>
            </w:r>
          </w:p>
        </w:tc>
        <w:tc>
          <w:tcPr>
            <w:tcW w:w="1134" w:type="pct"/>
            <w:vAlign w:val="center"/>
          </w:tcPr>
          <w:p>
            <w:pPr>
              <w:widowControl/>
              <w:spacing w:line="240" w:lineRule="auto"/>
              <w:ind w:firstLine="0" w:firstLineChars="0"/>
              <w:contextualSpacing/>
              <w:jc w:val="center"/>
              <w:rPr>
                <w:kern w:val="0"/>
                <w:sz w:val="21"/>
                <w:szCs w:val="21"/>
              </w:rPr>
            </w:pPr>
            <w:r>
              <w:rPr>
                <w:rFonts w:hint="eastAsia"/>
                <w:sz w:val="21"/>
                <w:szCs w:val="21"/>
              </w:rPr>
              <w:t>桤木林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灌区、库区</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栎类林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盐肤木林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灌区、支渠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restart"/>
            <w:vAlign w:val="center"/>
          </w:tcPr>
          <w:p>
            <w:pPr>
              <w:spacing w:line="240" w:lineRule="auto"/>
              <w:ind w:firstLine="0" w:firstLineChars="0"/>
              <w:contextualSpacing/>
              <w:jc w:val="center"/>
              <w:rPr>
                <w:kern w:val="0"/>
                <w:sz w:val="21"/>
                <w:szCs w:val="21"/>
              </w:rPr>
            </w:pPr>
            <w:r>
              <w:rPr>
                <w:kern w:val="0"/>
                <w:sz w:val="21"/>
                <w:szCs w:val="21"/>
              </w:rPr>
              <w:t>针阔混交林</w:t>
            </w:r>
          </w:p>
        </w:tc>
        <w:tc>
          <w:tcPr>
            <w:tcW w:w="1134" w:type="pct"/>
            <w:vAlign w:val="center"/>
          </w:tcPr>
          <w:p>
            <w:pPr>
              <w:widowControl/>
              <w:spacing w:line="240" w:lineRule="auto"/>
              <w:ind w:firstLine="0" w:firstLineChars="0"/>
              <w:contextualSpacing/>
              <w:jc w:val="center"/>
              <w:textAlignment w:val="top"/>
              <w:rPr>
                <w:kern w:val="0"/>
                <w:sz w:val="21"/>
                <w:szCs w:val="21"/>
              </w:rPr>
            </w:pPr>
            <w:r>
              <w:rPr>
                <w:kern w:val="0"/>
                <w:sz w:val="21"/>
                <w:szCs w:val="21"/>
              </w:rPr>
              <w:t>柏木+桤木混交林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continue"/>
            <w:vAlign w:val="center"/>
          </w:tcPr>
          <w:p>
            <w:pPr>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textAlignment w:val="top"/>
              <w:rPr>
                <w:kern w:val="0"/>
                <w:sz w:val="21"/>
                <w:szCs w:val="21"/>
              </w:rPr>
            </w:pPr>
            <w:r>
              <w:rPr>
                <w:kern w:val="0"/>
                <w:sz w:val="21"/>
                <w:szCs w:val="21"/>
              </w:rPr>
              <w:t>柏木+慈竹混交林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continue"/>
            <w:vAlign w:val="center"/>
          </w:tcPr>
          <w:p>
            <w:pPr>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textAlignment w:val="top"/>
              <w:rPr>
                <w:kern w:val="0"/>
                <w:sz w:val="21"/>
                <w:szCs w:val="21"/>
              </w:rPr>
            </w:pPr>
            <w:r>
              <w:rPr>
                <w:kern w:val="0"/>
                <w:sz w:val="21"/>
                <w:szCs w:val="21"/>
              </w:rPr>
              <w:t>柏木+香椿混交林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95" w:type="pct"/>
            <w:vAlign w:val="center"/>
          </w:tcPr>
          <w:p>
            <w:pPr>
              <w:widowControl/>
              <w:spacing w:line="240" w:lineRule="auto"/>
              <w:ind w:firstLine="0" w:firstLineChars="0"/>
              <w:contextualSpacing/>
              <w:jc w:val="center"/>
              <w:rPr>
                <w:kern w:val="0"/>
                <w:sz w:val="21"/>
                <w:szCs w:val="21"/>
              </w:rPr>
            </w:pPr>
            <w:r>
              <w:rPr>
                <w:kern w:val="0"/>
                <w:sz w:val="21"/>
                <w:szCs w:val="21"/>
              </w:rPr>
              <w:t>竹林</w:t>
            </w: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慈竹林</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restart"/>
            <w:vAlign w:val="center"/>
          </w:tcPr>
          <w:p>
            <w:pPr>
              <w:widowControl/>
              <w:spacing w:line="240" w:lineRule="auto"/>
              <w:ind w:firstLine="0" w:firstLineChars="0"/>
              <w:contextualSpacing/>
              <w:jc w:val="center"/>
              <w:rPr>
                <w:kern w:val="0"/>
                <w:sz w:val="21"/>
                <w:szCs w:val="21"/>
              </w:rPr>
            </w:pPr>
            <w:r>
              <w:rPr>
                <w:kern w:val="0"/>
                <w:sz w:val="21"/>
                <w:szCs w:val="21"/>
              </w:rPr>
              <w:t>灌丛</w:t>
            </w: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黄荆</w:t>
            </w:r>
            <w:r>
              <w:rPr>
                <w:rFonts w:hint="eastAsia"/>
                <w:kern w:val="0"/>
                <w:sz w:val="21"/>
                <w:szCs w:val="21"/>
              </w:rPr>
              <w:t>、马桑</w:t>
            </w:r>
            <w:r>
              <w:rPr>
                <w:kern w:val="0"/>
                <w:sz w:val="21"/>
                <w:szCs w:val="21"/>
              </w:rPr>
              <w:t>灌丛</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白栎、短柄枹栎灌丛</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restart"/>
            <w:vAlign w:val="center"/>
          </w:tcPr>
          <w:p>
            <w:pPr>
              <w:widowControl/>
              <w:spacing w:line="240" w:lineRule="auto"/>
              <w:ind w:firstLine="0" w:firstLineChars="0"/>
              <w:contextualSpacing/>
              <w:jc w:val="center"/>
              <w:rPr>
                <w:kern w:val="0"/>
                <w:sz w:val="21"/>
                <w:szCs w:val="21"/>
              </w:rPr>
            </w:pPr>
            <w:r>
              <w:rPr>
                <w:kern w:val="0"/>
                <w:sz w:val="21"/>
                <w:szCs w:val="21"/>
              </w:rPr>
              <w:t>草丛</w:t>
            </w:r>
          </w:p>
        </w:tc>
        <w:tc>
          <w:tcPr>
            <w:tcW w:w="1134" w:type="pct"/>
            <w:vAlign w:val="center"/>
          </w:tcPr>
          <w:p>
            <w:pPr>
              <w:widowControl/>
              <w:spacing w:line="240" w:lineRule="auto"/>
              <w:ind w:firstLine="0" w:firstLineChars="0"/>
              <w:contextualSpacing/>
              <w:jc w:val="center"/>
              <w:rPr>
                <w:kern w:val="0"/>
                <w:sz w:val="21"/>
                <w:szCs w:val="21"/>
              </w:rPr>
            </w:pPr>
            <w:r>
              <w:rPr>
                <w:rFonts w:hint="eastAsia"/>
                <w:kern w:val="0"/>
                <w:sz w:val="21"/>
                <w:szCs w:val="21"/>
              </w:rPr>
              <w:t>蕨类</w:t>
            </w:r>
            <w:r>
              <w:rPr>
                <w:kern w:val="0"/>
                <w:sz w:val="21"/>
                <w:szCs w:val="21"/>
              </w:rPr>
              <w:t>草丛</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芒+白茅草丛</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95" w:type="pct"/>
            <w:vMerge w:val="continue"/>
            <w:vAlign w:val="center"/>
          </w:tcPr>
          <w:p>
            <w:pPr>
              <w:widowControl/>
              <w:spacing w:line="240" w:lineRule="auto"/>
              <w:ind w:firstLine="0" w:firstLineChars="0"/>
              <w:contextualSpacing/>
              <w:jc w:val="center"/>
              <w:rPr>
                <w:kern w:val="0"/>
                <w:sz w:val="21"/>
                <w:szCs w:val="21"/>
              </w:rPr>
            </w:pPr>
          </w:p>
        </w:tc>
        <w:tc>
          <w:tcPr>
            <w:tcW w:w="1134" w:type="pct"/>
            <w:vAlign w:val="center"/>
          </w:tcPr>
          <w:p>
            <w:pPr>
              <w:widowControl/>
              <w:spacing w:line="240" w:lineRule="auto"/>
              <w:ind w:firstLine="0" w:firstLineChars="0"/>
              <w:contextualSpacing/>
              <w:jc w:val="center"/>
              <w:rPr>
                <w:kern w:val="0"/>
                <w:sz w:val="21"/>
                <w:szCs w:val="21"/>
              </w:rPr>
            </w:pPr>
            <w:r>
              <w:rPr>
                <w:kern w:val="0"/>
                <w:sz w:val="21"/>
                <w:szCs w:val="21"/>
              </w:rPr>
              <w:t>艾蒿草丛</w:t>
            </w:r>
          </w:p>
        </w:tc>
        <w:tc>
          <w:tcPr>
            <w:tcW w:w="2171" w:type="pct"/>
            <w:vAlign w:val="center"/>
          </w:tcPr>
          <w:p>
            <w:pPr>
              <w:widowControl/>
              <w:spacing w:line="240" w:lineRule="auto"/>
              <w:ind w:firstLine="0" w:firstLineChars="0"/>
              <w:contextualSpacing/>
              <w:jc w:val="center"/>
              <w:rPr>
                <w:kern w:val="0"/>
                <w:sz w:val="21"/>
                <w:szCs w:val="21"/>
              </w:rPr>
            </w:pPr>
            <w:r>
              <w:rPr>
                <w:kern w:val="0"/>
                <w:sz w:val="21"/>
                <w:szCs w:val="21"/>
              </w:rPr>
              <w:t>库区、灌区、干渠</w:t>
            </w:r>
          </w:p>
        </w:tc>
        <w:tc>
          <w:tcPr>
            <w:tcW w:w="898" w:type="pct"/>
            <w:vAlign w:val="center"/>
          </w:tcPr>
          <w:p>
            <w:pPr>
              <w:widowControl/>
              <w:spacing w:line="240" w:lineRule="auto"/>
              <w:ind w:firstLine="0" w:firstLineChars="0"/>
              <w:contextualSpacing/>
              <w:jc w:val="center"/>
              <w:rPr>
                <w:kern w:val="0"/>
                <w:sz w:val="21"/>
                <w:szCs w:val="21"/>
              </w:rPr>
            </w:pPr>
            <w:r>
              <w:rPr>
                <w:kern w:val="0"/>
                <w:sz w:val="21"/>
                <w:szCs w:val="21"/>
              </w:rPr>
              <w:t>2.0</w:t>
            </w:r>
          </w:p>
        </w:tc>
      </w:tr>
    </w:tbl>
    <w:p>
      <w:pPr>
        <w:spacing w:line="240" w:lineRule="auto"/>
        <w:ind w:firstLine="420"/>
        <w:contextualSpacing/>
        <w:rPr>
          <w:sz w:val="21"/>
          <w:szCs w:val="21"/>
        </w:rPr>
      </w:pPr>
      <w:r>
        <w:rPr>
          <w:sz w:val="21"/>
          <w:szCs w:val="21"/>
        </w:rPr>
        <w:t>注：农田植被，在评价区广布。主要有水稻，小麦、玉米、甘蔗、薯类、豆类、各类蔬菜、桑树、柑橘、柚子等。</w:t>
      </w:r>
    </w:p>
    <w:p>
      <w:pPr>
        <w:spacing w:line="160" w:lineRule="exact"/>
        <w:ind w:firstLine="480"/>
        <w:contextualSpacing/>
      </w:pPr>
    </w:p>
    <w:p>
      <w:pPr>
        <w:ind w:firstLine="480"/>
        <w:contextualSpacing/>
      </w:pPr>
      <w:r>
        <w:t>（3）评价区群落样方调查</w:t>
      </w:r>
    </w:p>
    <w:p>
      <w:pPr>
        <w:ind w:firstLine="480"/>
        <w:contextualSpacing/>
        <w:rPr>
          <w:bCs/>
          <w:lang w:bidi="en-US"/>
        </w:rPr>
      </w:pPr>
      <w:r>
        <w:rPr>
          <w:bCs/>
          <w:lang w:bidi="en-US"/>
        </w:rPr>
        <w:t>在全面考察了评价区环境现状和工程布置的基础上，</w:t>
      </w:r>
      <w:r>
        <w:t>根据推荐方案，对评价区典型植被采用样方法进行抽样调查，</w:t>
      </w:r>
      <w:r>
        <w:rPr>
          <w:bCs/>
          <w:lang w:bidi="en-US"/>
        </w:rPr>
        <w:t>样方布设位置见调查方法。样方集中分布于库区、工程区、干渠和支渠、减水河段河岸范围内，共布设样方</w:t>
      </w:r>
      <w:r>
        <w:rPr>
          <w:rFonts w:hint="eastAsia"/>
          <w:bCs/>
          <w:lang w:bidi="en-US"/>
        </w:rPr>
        <w:t>32</w:t>
      </w:r>
      <w:r>
        <w:rPr>
          <w:bCs/>
          <w:lang w:bidi="en-US"/>
        </w:rPr>
        <w:t>个。</w:t>
      </w:r>
    </w:p>
    <w:p>
      <w:pPr>
        <w:ind w:firstLine="482"/>
        <w:contextualSpacing/>
        <w:rPr>
          <w:b/>
          <w:bCs/>
        </w:rPr>
      </w:pPr>
      <w:r>
        <w:rPr>
          <w:b/>
          <w:bCs/>
        </w:rPr>
        <w:t>1）柏木林（Form.</w:t>
      </w:r>
      <w:r>
        <w:rPr>
          <w:b/>
          <w:bCs/>
          <w:i/>
          <w:iCs/>
        </w:rPr>
        <w:t>Cupressusfunebris</w:t>
      </w:r>
      <w:r>
        <w:rPr>
          <w:b/>
          <w:bCs/>
        </w:rPr>
        <w:t>）</w:t>
      </w:r>
    </w:p>
    <w:p>
      <w:pPr>
        <w:pStyle w:val="10"/>
        <w:ind w:firstLine="480"/>
        <w:contextualSpacing/>
      </w:pPr>
      <w:r>
        <w:t>柏木（</w:t>
      </w:r>
      <w:r>
        <w:rPr>
          <w:i/>
        </w:rPr>
        <w:t>Cupressusfunebris</w:t>
      </w:r>
      <w:r>
        <w:t>）为柏木属乔木，常绿针叶乔木，水库工程调查区域中，柏木林郁闭度在0.4-0.8之间。调查区域乔木层中柏木林的分布极为广泛，多在山丘中部至顶端混交生长，均为人工种植，但经过多年发育生长，该群丛已达到半人工林状态。其土壤类型为钙质、中性或石灰性土。群落中植物组成简单，林中伴生有少量水青冈、灯台树、光皮树等，灌草盖度一般为40％，林下灌木组成种类有构树</w:t>
      </w:r>
      <w:r>
        <w:rPr>
          <w:kern w:val="0"/>
          <w:sz w:val="21"/>
          <w:szCs w:val="21"/>
        </w:rPr>
        <w:t>、</w:t>
      </w:r>
      <w:r>
        <w:t>冬青、十大功劳、野蔷薇，伴生有黄荆、盐肤木等，草本有野黄菊、青蒿、胜红蓟、鸢尾、卷柏、土茯苓、小通草、冷水花、乌敛莓、大枝绣球等。由于林分郁闭度较高，林木保水保土功能较好。柏木形成了部分混交林，部分样方如下表：</w:t>
      </w:r>
    </w:p>
    <w:p>
      <w:pPr>
        <w:pStyle w:val="73"/>
        <w:adjustRightInd/>
        <w:snapToGrid/>
        <w:ind w:firstLine="0" w:firstLineChars="0"/>
        <w:contextualSpacing/>
        <w:rPr>
          <w:rFonts w:eastAsia="宋体"/>
          <w:b/>
          <w:sz w:val="21"/>
          <w:szCs w:val="21"/>
        </w:rPr>
      </w:pPr>
      <w:r>
        <w:rPr>
          <w:rFonts w:eastAsia="宋体"/>
          <w:b/>
          <w:sz w:val="21"/>
          <w:szCs w:val="21"/>
        </w:rPr>
        <w:t>表4.7.1-6  柏木林植被样方（1）</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sz w:val="21"/>
                <w:szCs w:val="21"/>
              </w:rPr>
            </w:pPr>
            <w:r>
              <w:rPr>
                <w:rFonts w:hint="eastAsia"/>
                <w:sz w:val="21"/>
                <w:szCs w:val="21"/>
              </w:rPr>
              <w:t>HXS</w:t>
            </w:r>
            <w:r>
              <w:rPr>
                <w:sz w:val="21"/>
                <w:szCs w:val="21"/>
              </w:rPr>
              <w:t>-4</w:t>
            </w:r>
          </w:p>
        </w:tc>
        <w:tc>
          <w:tcPr>
            <w:tcW w:w="1500" w:type="dxa"/>
            <w:vAlign w:val="center"/>
          </w:tcPr>
          <w:p>
            <w:pPr>
              <w:spacing w:line="240" w:lineRule="auto"/>
              <w:ind w:firstLine="0" w:firstLineChars="0"/>
              <w:contextualSpacing/>
              <w:jc w:val="center"/>
              <w:rPr>
                <w:rFonts w:hint="eastAsia"/>
                <w:sz w:val="21"/>
                <w:szCs w:val="21"/>
              </w:rPr>
            </w:pPr>
            <w:r>
              <w:rPr>
                <w:b/>
                <w:bCs/>
                <w:sz w:val="21"/>
                <w:szCs w:val="21"/>
              </w:rPr>
              <w:t>样方号：</w:t>
            </w:r>
            <w:r>
              <w:rPr>
                <w:sz w:val="21"/>
                <w:szCs w:val="21"/>
              </w:rPr>
              <w:t>#</w:t>
            </w:r>
            <w:r>
              <w:rPr>
                <w:rFonts w:hint="eastAsia"/>
                <w:sz w:val="21"/>
                <w:szCs w:val="21"/>
              </w:rPr>
              <w:t>1</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sz w:val="21"/>
                <w:szCs w:val="21"/>
              </w:rPr>
            </w:pPr>
            <w:r>
              <w:rPr>
                <w:rFonts w:hint="eastAsia"/>
                <w:sz w:val="21"/>
                <w:szCs w:val="21"/>
              </w:rPr>
              <w:t>王家梁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106°50′11.456″E，31°57′29.085″N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sz w:val="21"/>
                <w:szCs w:val="21"/>
              </w:rPr>
            </w:pPr>
            <w:r>
              <w:rPr>
                <w:sz w:val="21"/>
                <w:szCs w:val="21"/>
              </w:rPr>
              <w:t>柏木</w:t>
            </w:r>
          </w:p>
        </w:tc>
        <w:tc>
          <w:tcPr>
            <w:tcW w:w="2455" w:type="dxa"/>
            <w:vAlign w:val="center"/>
          </w:tcPr>
          <w:p>
            <w:pPr>
              <w:spacing w:line="240" w:lineRule="auto"/>
              <w:ind w:firstLine="0" w:firstLineChars="0"/>
              <w:contextualSpacing/>
              <w:jc w:val="center"/>
              <w:rPr>
                <w:sz w:val="21"/>
                <w:szCs w:val="21"/>
              </w:rPr>
            </w:pPr>
            <w:r>
              <w:rPr>
                <w:i/>
                <w:iCs/>
                <w:sz w:val="21"/>
                <w:szCs w:val="21"/>
              </w:rPr>
              <w:t>Cupressusfunebris</w:t>
            </w:r>
          </w:p>
        </w:tc>
        <w:tc>
          <w:tcPr>
            <w:tcW w:w="1500" w:type="dxa"/>
            <w:vAlign w:val="center"/>
          </w:tcPr>
          <w:p>
            <w:pPr>
              <w:spacing w:line="240" w:lineRule="auto"/>
              <w:ind w:firstLine="0" w:firstLineChars="0"/>
              <w:contextualSpacing/>
              <w:jc w:val="center"/>
              <w:rPr>
                <w:i/>
                <w:iCs/>
                <w:sz w:val="21"/>
                <w:szCs w:val="21"/>
              </w:rPr>
            </w:pPr>
            <w:r>
              <w:rPr>
                <w:rFonts w:hint="eastAsia"/>
                <w:i/>
                <w:iCs/>
                <w:sz w:val="21"/>
                <w:szCs w:val="21"/>
              </w:rPr>
              <w:t>12</w:t>
            </w:r>
          </w:p>
        </w:tc>
        <w:tc>
          <w:tcPr>
            <w:tcW w:w="1433" w:type="dxa"/>
            <w:vAlign w:val="center"/>
          </w:tcPr>
          <w:p>
            <w:pPr>
              <w:spacing w:line="240" w:lineRule="auto"/>
              <w:ind w:firstLine="0" w:firstLineChars="0"/>
              <w:contextualSpacing/>
              <w:jc w:val="center"/>
              <w:rPr>
                <w:sz w:val="21"/>
                <w:szCs w:val="21"/>
              </w:rPr>
            </w:pPr>
            <w:r>
              <w:rPr>
                <w:sz w:val="21"/>
                <w:szCs w:val="21"/>
              </w:rPr>
              <w:t>0.5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bCs/>
                <w:sz w:val="21"/>
                <w:szCs w:val="21"/>
              </w:rPr>
              <w:t>柏木为优势种，样方郁闭度0.6，乔木高度12m左右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widowControl/>
              <w:spacing w:line="240" w:lineRule="auto"/>
              <w:ind w:firstLine="0" w:firstLineChars="0"/>
              <w:contextualSpacing/>
              <w:jc w:val="center"/>
              <w:rPr>
                <w:sz w:val="21"/>
                <w:szCs w:val="21"/>
              </w:rPr>
            </w:pPr>
            <w:r>
              <w:rPr>
                <w:bCs/>
                <w:sz w:val="21"/>
                <w:szCs w:val="21"/>
              </w:rPr>
              <w:t>苦楝</w:t>
            </w:r>
          </w:p>
        </w:tc>
        <w:tc>
          <w:tcPr>
            <w:tcW w:w="2455" w:type="dxa"/>
            <w:vAlign w:val="center"/>
          </w:tcPr>
          <w:p>
            <w:pPr>
              <w:widowControl/>
              <w:spacing w:line="240" w:lineRule="auto"/>
              <w:ind w:firstLine="0" w:firstLineChars="0"/>
              <w:contextualSpacing/>
              <w:jc w:val="center"/>
              <w:rPr>
                <w:sz w:val="21"/>
                <w:szCs w:val="21"/>
              </w:rPr>
            </w:pPr>
            <w:r>
              <w:rPr>
                <w:i/>
                <w:iCs/>
                <w:sz w:val="21"/>
                <w:szCs w:val="21"/>
              </w:rPr>
              <w:t>Meliaazedarach</w:t>
            </w:r>
          </w:p>
        </w:tc>
        <w:tc>
          <w:tcPr>
            <w:tcW w:w="1500" w:type="dxa"/>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vAlign w:val="center"/>
          </w:tcPr>
          <w:p>
            <w:pPr>
              <w:spacing w:line="240" w:lineRule="auto"/>
              <w:ind w:firstLine="0" w:firstLineChars="0"/>
              <w:contextualSpacing/>
              <w:jc w:val="center"/>
              <w:rPr>
                <w:sz w:val="21"/>
                <w:szCs w:val="21"/>
              </w:rPr>
            </w:pPr>
            <w:r>
              <w:rPr>
                <w:sz w:val="21"/>
                <w:szCs w:val="21"/>
              </w:rPr>
              <w:t>0.1</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rFonts w:hint="eastAsia"/>
                <w:sz w:val="21"/>
                <w:szCs w:val="21"/>
              </w:rPr>
              <w:t>桤木</w:t>
            </w:r>
          </w:p>
        </w:tc>
        <w:tc>
          <w:tcPr>
            <w:tcW w:w="2455"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Alnuscremastogyne</w:t>
            </w:r>
          </w:p>
        </w:tc>
        <w:tc>
          <w:tcPr>
            <w:tcW w:w="1500" w:type="dxa"/>
            <w:shd w:val="clear" w:color="auto" w:fill="FFFFFF"/>
            <w:vAlign w:val="center"/>
          </w:tcPr>
          <w:p>
            <w:pPr>
              <w:widowControl/>
              <w:spacing w:line="240" w:lineRule="auto"/>
              <w:ind w:firstLine="0" w:firstLineChars="0"/>
              <w:contextualSpacing/>
              <w:jc w:val="center"/>
              <w:rPr>
                <w:rFonts w:hint="eastAsia"/>
                <w:bCs/>
                <w:i/>
                <w:iCs/>
                <w:sz w:val="21"/>
                <w:szCs w:val="21"/>
              </w:rPr>
            </w:pPr>
            <w:r>
              <w:rPr>
                <w:rFonts w:hint="eastAsia"/>
                <w:i/>
                <w:iCs/>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10</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马尾松</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Quercusspinosa</w:t>
            </w:r>
          </w:p>
        </w:tc>
        <w:tc>
          <w:tcPr>
            <w:tcW w:w="1500" w:type="dxa"/>
            <w:shd w:val="clear" w:color="auto" w:fill="FFFFFF"/>
            <w:vAlign w:val="center"/>
          </w:tcPr>
          <w:p>
            <w:pPr>
              <w:widowControl/>
              <w:spacing w:line="240" w:lineRule="auto"/>
              <w:ind w:firstLine="0" w:firstLineChars="0"/>
              <w:contextualSpacing/>
              <w:jc w:val="center"/>
              <w:rPr>
                <w:rFonts w:hint="eastAsia"/>
                <w:bCs/>
                <w:i/>
                <w:iCs/>
                <w:sz w:val="21"/>
                <w:szCs w:val="21"/>
              </w:rPr>
            </w:pPr>
            <w:r>
              <w:rPr>
                <w:rFonts w:hint="eastAsia"/>
                <w:bCs/>
                <w:i/>
                <w:iCs/>
                <w:sz w:val="21"/>
                <w:szCs w:val="21"/>
              </w:rPr>
              <w:t>2</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0.1</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黄荆</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2</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10</w:t>
            </w:r>
          </w:p>
        </w:tc>
        <w:tc>
          <w:tcPr>
            <w:tcW w:w="2112" w:type="dxa"/>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总盖度：20%</w:t>
            </w:r>
          </w:p>
          <w:p>
            <w:pPr>
              <w:spacing w:line="240" w:lineRule="auto"/>
              <w:ind w:firstLine="0" w:firstLineChars="0"/>
              <w:contextualSpacing/>
              <w:jc w:val="center"/>
              <w:rPr>
                <w:sz w:val="21"/>
                <w:szCs w:val="21"/>
              </w:rPr>
            </w:pPr>
            <w:r>
              <w:rPr>
                <w:bCs/>
                <w:sz w:val="21"/>
                <w:szCs w:val="21"/>
              </w:rPr>
              <w:t>灌木均高约1.5m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白茅</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restart"/>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胜红蓟</w:t>
            </w:r>
          </w:p>
        </w:tc>
        <w:tc>
          <w:tcPr>
            <w:tcW w:w="2455" w:type="dxa"/>
            <w:vAlign w:val="center"/>
          </w:tcPr>
          <w:p>
            <w:pPr>
              <w:widowControl/>
              <w:spacing w:line="240" w:lineRule="auto"/>
              <w:ind w:firstLine="0" w:firstLineChars="0"/>
              <w:contextualSpacing/>
              <w:jc w:val="center"/>
              <w:rPr>
                <w:i/>
                <w:sz w:val="21"/>
                <w:szCs w:val="21"/>
              </w:rPr>
            </w:pPr>
            <w:r>
              <w:rPr>
                <w:i/>
                <w:sz w:val="21"/>
                <w:szCs w:val="21"/>
              </w:rPr>
              <w:t>Ageratumconyzoides</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鬼针草</w:t>
            </w:r>
          </w:p>
        </w:tc>
        <w:tc>
          <w:tcPr>
            <w:tcW w:w="2455" w:type="dxa"/>
            <w:vAlign w:val="center"/>
          </w:tcPr>
          <w:p>
            <w:pPr>
              <w:widowControl/>
              <w:spacing w:line="240" w:lineRule="auto"/>
              <w:ind w:firstLine="0" w:firstLineChars="0"/>
              <w:contextualSpacing/>
              <w:jc w:val="center"/>
              <w:rPr>
                <w:sz w:val="21"/>
                <w:szCs w:val="21"/>
              </w:rPr>
            </w:pPr>
            <w:r>
              <w:rPr>
                <w:i/>
                <w:sz w:val="21"/>
                <w:szCs w:val="21"/>
              </w:rPr>
              <w:t>Bidensbipinnata</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vAlign w:val="center"/>
          </w:tcPr>
          <w:p>
            <w:pPr>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bl>
    <w:p>
      <w:pPr>
        <w:pStyle w:val="73"/>
        <w:adjustRightInd/>
        <w:snapToGrid/>
        <w:ind w:firstLine="0" w:firstLineChars="0"/>
        <w:contextualSpacing/>
        <w:rPr>
          <w:rFonts w:eastAsia="宋体"/>
          <w:b/>
          <w:sz w:val="21"/>
          <w:szCs w:val="21"/>
        </w:rPr>
      </w:pPr>
      <w:r>
        <w:rPr>
          <w:rFonts w:eastAsia="宋体"/>
          <w:b/>
          <w:sz w:val="21"/>
          <w:szCs w:val="21"/>
        </w:rPr>
        <w:t>表</w:t>
      </w:r>
      <w:r>
        <w:rPr>
          <w:rFonts w:eastAsia="宋体"/>
          <w:b/>
          <w:bCs/>
          <w:sz w:val="21"/>
          <w:szCs w:val="21"/>
        </w:rPr>
        <w:t xml:space="preserve">4.7.1-7  </w:t>
      </w:r>
      <w:r>
        <w:rPr>
          <w:rFonts w:eastAsia="宋体"/>
          <w:b/>
          <w:sz w:val="21"/>
          <w:szCs w:val="21"/>
        </w:rPr>
        <w:t>柏木+慈竹混交林植被样方（2）</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sz w:val="21"/>
                <w:szCs w:val="21"/>
              </w:rPr>
            </w:pPr>
            <w:r>
              <w:rPr>
                <w:rFonts w:hint="eastAsia"/>
                <w:sz w:val="21"/>
                <w:szCs w:val="21"/>
              </w:rPr>
              <w:t>HXS</w:t>
            </w:r>
            <w:r>
              <w:rPr>
                <w:sz w:val="21"/>
                <w:szCs w:val="21"/>
              </w:rPr>
              <w:t>-4</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#2</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陈家山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106°50′14.469″E, 31°57′24.809″N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sz w:val="21"/>
                <w:szCs w:val="21"/>
              </w:rPr>
            </w:pPr>
            <w:r>
              <w:rPr>
                <w:sz w:val="21"/>
                <w:szCs w:val="21"/>
              </w:rPr>
              <w:t>柏木</w:t>
            </w:r>
          </w:p>
        </w:tc>
        <w:tc>
          <w:tcPr>
            <w:tcW w:w="2455" w:type="dxa"/>
            <w:vAlign w:val="center"/>
          </w:tcPr>
          <w:p>
            <w:pPr>
              <w:spacing w:line="240" w:lineRule="auto"/>
              <w:ind w:firstLine="0" w:firstLineChars="0"/>
              <w:contextualSpacing/>
              <w:jc w:val="center"/>
              <w:rPr>
                <w:sz w:val="21"/>
                <w:szCs w:val="21"/>
              </w:rPr>
            </w:pPr>
            <w:r>
              <w:rPr>
                <w:i/>
                <w:iCs/>
                <w:sz w:val="21"/>
                <w:szCs w:val="21"/>
              </w:rPr>
              <w:t>Cupressusfunebris</w:t>
            </w:r>
          </w:p>
        </w:tc>
        <w:tc>
          <w:tcPr>
            <w:tcW w:w="1500" w:type="dxa"/>
            <w:vAlign w:val="center"/>
          </w:tcPr>
          <w:p>
            <w:pPr>
              <w:spacing w:line="240" w:lineRule="auto"/>
              <w:ind w:firstLine="0" w:firstLineChars="0"/>
              <w:contextualSpacing/>
              <w:jc w:val="center"/>
              <w:rPr>
                <w:i/>
                <w:iCs/>
                <w:sz w:val="21"/>
                <w:szCs w:val="21"/>
              </w:rPr>
            </w:pPr>
            <w:r>
              <w:rPr>
                <w:rFonts w:hint="eastAsia"/>
                <w:i/>
                <w:iCs/>
                <w:sz w:val="21"/>
                <w:szCs w:val="21"/>
              </w:rPr>
              <w:t>20</w:t>
            </w:r>
          </w:p>
        </w:tc>
        <w:tc>
          <w:tcPr>
            <w:tcW w:w="1433" w:type="dxa"/>
            <w:vAlign w:val="center"/>
          </w:tcPr>
          <w:p>
            <w:pPr>
              <w:spacing w:line="240" w:lineRule="auto"/>
              <w:ind w:firstLine="0" w:firstLineChars="0"/>
              <w:contextualSpacing/>
              <w:jc w:val="center"/>
              <w:rPr>
                <w:sz w:val="21"/>
                <w:szCs w:val="21"/>
              </w:rPr>
            </w:pPr>
            <w:r>
              <w:rPr>
                <w:sz w:val="21"/>
                <w:szCs w:val="21"/>
              </w:rPr>
              <w:t>0.4</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bCs/>
                <w:sz w:val="21"/>
                <w:szCs w:val="21"/>
              </w:rPr>
              <w:t>柏木为优势种，样方郁闭度0.6，乔木高度10m左右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widowControl/>
              <w:spacing w:line="240" w:lineRule="auto"/>
              <w:ind w:firstLine="0" w:firstLineChars="0"/>
              <w:contextualSpacing/>
              <w:jc w:val="center"/>
              <w:rPr>
                <w:sz w:val="21"/>
                <w:szCs w:val="21"/>
              </w:rPr>
            </w:pPr>
            <w:r>
              <w:rPr>
                <w:bCs/>
                <w:sz w:val="21"/>
                <w:szCs w:val="21"/>
              </w:rPr>
              <w:t>慈竹</w:t>
            </w:r>
          </w:p>
        </w:tc>
        <w:tc>
          <w:tcPr>
            <w:tcW w:w="2455" w:type="dxa"/>
            <w:vAlign w:val="center"/>
          </w:tcPr>
          <w:p>
            <w:pPr>
              <w:widowControl/>
              <w:spacing w:line="240" w:lineRule="auto"/>
              <w:ind w:firstLine="0" w:firstLineChars="0"/>
              <w:contextualSpacing/>
              <w:jc w:val="center"/>
              <w:rPr>
                <w:sz w:val="21"/>
                <w:szCs w:val="21"/>
              </w:rPr>
            </w:pPr>
            <w:r>
              <w:rPr>
                <w:i/>
                <w:iCs/>
                <w:sz w:val="21"/>
                <w:szCs w:val="21"/>
              </w:rPr>
              <w:t>Neosinocalamusaffinis</w:t>
            </w:r>
          </w:p>
        </w:tc>
        <w:tc>
          <w:tcPr>
            <w:tcW w:w="1500" w:type="dxa"/>
            <w:vAlign w:val="center"/>
          </w:tcPr>
          <w:p>
            <w:pPr>
              <w:widowControl/>
              <w:spacing w:line="240" w:lineRule="auto"/>
              <w:ind w:firstLine="0" w:firstLineChars="0"/>
              <w:contextualSpacing/>
              <w:jc w:val="center"/>
              <w:rPr>
                <w:i/>
                <w:iCs/>
                <w:sz w:val="21"/>
                <w:szCs w:val="21"/>
              </w:rPr>
            </w:pPr>
            <w:r>
              <w:rPr>
                <w:rFonts w:hint="eastAsia"/>
                <w:i/>
                <w:iCs/>
                <w:sz w:val="21"/>
                <w:szCs w:val="21"/>
              </w:rPr>
              <w:t>16</w:t>
            </w:r>
          </w:p>
        </w:tc>
        <w:tc>
          <w:tcPr>
            <w:tcW w:w="1433" w:type="dxa"/>
            <w:vAlign w:val="center"/>
          </w:tcPr>
          <w:p>
            <w:pPr>
              <w:spacing w:line="240" w:lineRule="auto"/>
              <w:ind w:firstLine="0" w:firstLineChars="0"/>
              <w:contextualSpacing/>
              <w:jc w:val="center"/>
              <w:rPr>
                <w:sz w:val="21"/>
                <w:szCs w:val="21"/>
              </w:rPr>
            </w:pPr>
            <w:r>
              <w:rPr>
                <w:sz w:val="21"/>
                <w:szCs w:val="21"/>
              </w:rPr>
              <w:t>0.3</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桤木</w:t>
            </w:r>
          </w:p>
        </w:tc>
        <w:tc>
          <w:tcPr>
            <w:tcW w:w="2455"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Alnuscremastogyne</w:t>
            </w:r>
          </w:p>
        </w:tc>
        <w:tc>
          <w:tcPr>
            <w:tcW w:w="1500" w:type="dxa"/>
            <w:shd w:val="clear" w:color="auto" w:fill="FFFFFF"/>
            <w:vAlign w:val="center"/>
          </w:tcPr>
          <w:p>
            <w:pPr>
              <w:widowControl/>
              <w:spacing w:line="240" w:lineRule="auto"/>
              <w:ind w:firstLine="0" w:firstLineChars="0"/>
              <w:contextualSpacing/>
              <w:jc w:val="center"/>
              <w:rPr>
                <w:rFonts w:hint="eastAsia"/>
                <w:bCs/>
                <w:i/>
                <w:iCs/>
                <w:sz w:val="21"/>
                <w:szCs w:val="21"/>
              </w:rPr>
            </w:pPr>
            <w:r>
              <w:rPr>
                <w:rFonts w:hint="eastAsia"/>
                <w:bCs/>
                <w:i/>
                <w:iCs/>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0.1</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黄荆</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2</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10</w:t>
            </w:r>
          </w:p>
        </w:tc>
        <w:tc>
          <w:tcPr>
            <w:tcW w:w="2112" w:type="dxa"/>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总盖度：15%</w:t>
            </w:r>
          </w:p>
          <w:p>
            <w:pPr>
              <w:spacing w:line="240" w:lineRule="auto"/>
              <w:ind w:firstLine="0" w:firstLineChars="0"/>
              <w:contextualSpacing/>
              <w:jc w:val="center"/>
              <w:rPr>
                <w:sz w:val="21"/>
                <w:szCs w:val="21"/>
              </w:rPr>
            </w:pPr>
            <w:r>
              <w:rPr>
                <w:bCs/>
                <w:sz w:val="21"/>
                <w:szCs w:val="21"/>
              </w:rPr>
              <w:t>灌木均高约1.5m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淡竹叶</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Lophatherumgracile</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总盖度：10%</w:t>
            </w:r>
          </w:p>
          <w:p>
            <w:pPr>
              <w:spacing w:line="240" w:lineRule="auto"/>
              <w:ind w:firstLine="0" w:firstLineChars="0"/>
              <w:contextualSpacing/>
              <w:jc w:val="center"/>
              <w:rPr>
                <w:sz w:val="21"/>
                <w:szCs w:val="21"/>
              </w:rPr>
            </w:pPr>
            <w:r>
              <w:rPr>
                <w:bCs/>
                <w:sz w:val="21"/>
                <w:szCs w:val="21"/>
              </w:rPr>
              <w:t>草本均高0.2-0.5m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冷水花</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Pileanotata</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荩草</w:t>
            </w:r>
          </w:p>
        </w:tc>
        <w:tc>
          <w:tcPr>
            <w:tcW w:w="2455" w:type="dxa"/>
            <w:vAlign w:val="center"/>
          </w:tcPr>
          <w:p>
            <w:pPr>
              <w:widowControl/>
              <w:spacing w:line="240" w:lineRule="auto"/>
              <w:ind w:firstLine="0" w:firstLineChars="0"/>
              <w:contextualSpacing/>
              <w:jc w:val="center"/>
              <w:rPr>
                <w:sz w:val="21"/>
                <w:szCs w:val="21"/>
              </w:rPr>
            </w:pPr>
            <w:r>
              <w:rPr>
                <w:i/>
                <w:iCs/>
                <w:sz w:val="21"/>
                <w:szCs w:val="21"/>
              </w:rPr>
              <w:t>Arthraxonhispidus</w:t>
            </w:r>
          </w:p>
        </w:tc>
        <w:tc>
          <w:tcPr>
            <w:tcW w:w="1500" w:type="dxa"/>
            <w:vAlign w:val="center"/>
          </w:tcPr>
          <w:p>
            <w:pPr>
              <w:widowControl/>
              <w:spacing w:line="240" w:lineRule="auto"/>
              <w:ind w:firstLine="0" w:firstLineChars="0"/>
              <w:contextualSpacing/>
              <w:jc w:val="center"/>
              <w:rPr>
                <w:i/>
                <w:sz w:val="21"/>
                <w:szCs w:val="21"/>
              </w:rPr>
            </w:pPr>
            <w:r>
              <w:rPr>
                <w:i/>
                <w:sz w:val="21"/>
                <w:szCs w:val="21"/>
              </w:rPr>
              <w:t>1</w:t>
            </w:r>
          </w:p>
        </w:tc>
        <w:tc>
          <w:tcPr>
            <w:tcW w:w="1433" w:type="dxa"/>
            <w:vAlign w:val="center"/>
          </w:tcPr>
          <w:p>
            <w:pPr>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bl>
    <w:p>
      <w:pPr>
        <w:pStyle w:val="73"/>
        <w:adjustRightInd/>
        <w:snapToGrid/>
        <w:ind w:firstLine="0" w:firstLineChars="0"/>
        <w:contextualSpacing/>
        <w:rPr>
          <w:rFonts w:eastAsia="宋体"/>
          <w:b/>
          <w:sz w:val="21"/>
          <w:szCs w:val="21"/>
        </w:rPr>
      </w:pPr>
      <w:r>
        <w:rPr>
          <w:rFonts w:eastAsia="宋体"/>
          <w:b/>
          <w:sz w:val="21"/>
          <w:szCs w:val="21"/>
        </w:rPr>
        <w:t>表</w:t>
      </w:r>
      <w:r>
        <w:rPr>
          <w:rFonts w:eastAsia="宋体"/>
          <w:b/>
          <w:bCs/>
          <w:sz w:val="21"/>
          <w:szCs w:val="21"/>
        </w:rPr>
        <w:t>4.7.1-</w:t>
      </w:r>
      <w:r>
        <w:rPr>
          <w:rFonts w:hint="eastAsia" w:eastAsia="宋体"/>
          <w:b/>
          <w:bCs/>
          <w:sz w:val="21"/>
          <w:szCs w:val="21"/>
        </w:rPr>
        <w:t>8</w:t>
      </w:r>
      <w:r>
        <w:rPr>
          <w:rFonts w:eastAsia="宋体"/>
          <w:b/>
          <w:bCs/>
          <w:sz w:val="21"/>
          <w:szCs w:val="21"/>
        </w:rPr>
        <w:t xml:space="preserve">  </w:t>
      </w:r>
      <w:r>
        <w:rPr>
          <w:rFonts w:eastAsia="宋体"/>
          <w:b/>
          <w:sz w:val="21"/>
          <w:szCs w:val="21"/>
        </w:rPr>
        <w:t>柏木+桤木混交林植被样方（4）</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rFonts w:hint="eastAsia"/>
                <w:sz w:val="21"/>
                <w:szCs w:val="21"/>
              </w:rPr>
            </w:pPr>
            <w:r>
              <w:rPr>
                <w:rFonts w:hint="eastAsia"/>
                <w:sz w:val="21"/>
                <w:szCs w:val="21"/>
              </w:rPr>
              <w:t>HXS</w:t>
            </w:r>
            <w:r>
              <w:rPr>
                <w:sz w:val="21"/>
                <w:szCs w:val="21"/>
              </w:rPr>
              <w:t>-</w:t>
            </w:r>
            <w:r>
              <w:rPr>
                <w:rFonts w:hint="eastAsia"/>
                <w:sz w:val="21"/>
                <w:szCs w:val="21"/>
              </w:rPr>
              <w:t>5</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#2</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岳家坡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106°50′24.955″E, 31°57′10.316″N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sz w:val="21"/>
                <w:szCs w:val="21"/>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sz w:val="21"/>
                <w:szCs w:val="21"/>
              </w:rPr>
            </w:pPr>
            <w:r>
              <w:rPr>
                <w:sz w:val="21"/>
                <w:szCs w:val="21"/>
              </w:rPr>
              <w:t>柏木</w:t>
            </w:r>
          </w:p>
        </w:tc>
        <w:tc>
          <w:tcPr>
            <w:tcW w:w="2455" w:type="dxa"/>
            <w:vAlign w:val="center"/>
          </w:tcPr>
          <w:p>
            <w:pPr>
              <w:spacing w:line="240" w:lineRule="auto"/>
              <w:ind w:firstLine="0" w:firstLineChars="0"/>
              <w:contextualSpacing/>
              <w:jc w:val="center"/>
              <w:rPr>
                <w:sz w:val="21"/>
                <w:szCs w:val="21"/>
              </w:rPr>
            </w:pPr>
            <w:r>
              <w:rPr>
                <w:i/>
                <w:iCs/>
                <w:sz w:val="21"/>
                <w:szCs w:val="21"/>
              </w:rPr>
              <w:t>Cupressusfunebris</w:t>
            </w:r>
          </w:p>
        </w:tc>
        <w:tc>
          <w:tcPr>
            <w:tcW w:w="1500" w:type="dxa"/>
            <w:vAlign w:val="center"/>
          </w:tcPr>
          <w:p>
            <w:pPr>
              <w:spacing w:line="240" w:lineRule="auto"/>
              <w:ind w:firstLine="0" w:firstLineChars="0"/>
              <w:contextualSpacing/>
              <w:jc w:val="center"/>
              <w:rPr>
                <w:i/>
                <w:iCs/>
                <w:sz w:val="21"/>
                <w:szCs w:val="21"/>
              </w:rPr>
            </w:pPr>
            <w:r>
              <w:rPr>
                <w:i/>
                <w:iCs/>
                <w:sz w:val="21"/>
                <w:szCs w:val="21"/>
              </w:rPr>
              <w:t>12</w:t>
            </w:r>
          </w:p>
        </w:tc>
        <w:tc>
          <w:tcPr>
            <w:tcW w:w="1433" w:type="dxa"/>
            <w:vAlign w:val="center"/>
          </w:tcPr>
          <w:p>
            <w:pPr>
              <w:spacing w:line="240" w:lineRule="auto"/>
              <w:ind w:firstLine="0" w:firstLineChars="0"/>
              <w:contextualSpacing/>
              <w:jc w:val="center"/>
              <w:rPr>
                <w:sz w:val="21"/>
                <w:szCs w:val="21"/>
              </w:rPr>
            </w:pPr>
            <w:r>
              <w:rPr>
                <w:sz w:val="21"/>
                <w:szCs w:val="21"/>
              </w:rPr>
              <w:t>0.3</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bCs/>
                <w:sz w:val="21"/>
                <w:szCs w:val="21"/>
              </w:rPr>
              <w:t>柏木为优势种，样方郁闭度0.5，乔木高度10m左右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widowControl/>
              <w:spacing w:line="240" w:lineRule="auto"/>
              <w:ind w:firstLine="0" w:firstLineChars="0"/>
              <w:contextualSpacing/>
              <w:jc w:val="center"/>
              <w:rPr>
                <w:sz w:val="21"/>
                <w:szCs w:val="21"/>
              </w:rPr>
            </w:pPr>
            <w:r>
              <w:rPr>
                <w:sz w:val="21"/>
                <w:szCs w:val="21"/>
              </w:rPr>
              <w:t>桤木</w:t>
            </w:r>
          </w:p>
        </w:tc>
        <w:tc>
          <w:tcPr>
            <w:tcW w:w="2455" w:type="dxa"/>
            <w:vAlign w:val="center"/>
          </w:tcPr>
          <w:p>
            <w:pPr>
              <w:widowControl/>
              <w:spacing w:line="240" w:lineRule="auto"/>
              <w:ind w:firstLine="0" w:firstLineChars="0"/>
              <w:contextualSpacing/>
              <w:jc w:val="center"/>
              <w:rPr>
                <w:sz w:val="21"/>
                <w:szCs w:val="21"/>
              </w:rPr>
            </w:pPr>
            <w:r>
              <w:rPr>
                <w:bCs/>
                <w:i/>
                <w:iCs/>
                <w:sz w:val="21"/>
                <w:szCs w:val="21"/>
              </w:rPr>
              <w:t>Alnuscremastogyne</w:t>
            </w:r>
          </w:p>
        </w:tc>
        <w:tc>
          <w:tcPr>
            <w:tcW w:w="1500" w:type="dxa"/>
            <w:vAlign w:val="center"/>
          </w:tcPr>
          <w:p>
            <w:pPr>
              <w:widowControl/>
              <w:spacing w:line="240" w:lineRule="auto"/>
              <w:ind w:firstLine="0" w:firstLineChars="0"/>
              <w:contextualSpacing/>
              <w:jc w:val="center"/>
              <w:rPr>
                <w:i/>
                <w:iCs/>
                <w:sz w:val="21"/>
                <w:szCs w:val="21"/>
              </w:rPr>
            </w:pPr>
            <w:r>
              <w:rPr>
                <w:rFonts w:hint="eastAsia"/>
                <w:bCs/>
                <w:i/>
                <w:iCs/>
                <w:sz w:val="21"/>
                <w:szCs w:val="21"/>
              </w:rPr>
              <w:t>10</w:t>
            </w:r>
          </w:p>
        </w:tc>
        <w:tc>
          <w:tcPr>
            <w:tcW w:w="1433" w:type="dxa"/>
            <w:vAlign w:val="center"/>
          </w:tcPr>
          <w:p>
            <w:pPr>
              <w:spacing w:line="240" w:lineRule="auto"/>
              <w:ind w:firstLine="0" w:firstLineChars="0"/>
              <w:contextualSpacing/>
              <w:jc w:val="center"/>
              <w:rPr>
                <w:sz w:val="21"/>
                <w:szCs w:val="21"/>
              </w:rPr>
            </w:pPr>
            <w:r>
              <w:rPr>
                <w:bCs/>
                <w:i/>
                <w:iCs/>
                <w:sz w:val="21"/>
                <w:szCs w:val="21"/>
              </w:rPr>
              <w:t>0.3</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黄荆</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4</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总盖度：8%</w:t>
            </w:r>
          </w:p>
          <w:p>
            <w:pPr>
              <w:spacing w:line="240" w:lineRule="auto"/>
              <w:ind w:firstLine="0" w:firstLineChars="0"/>
              <w:contextualSpacing/>
              <w:jc w:val="center"/>
              <w:rPr>
                <w:sz w:val="21"/>
                <w:szCs w:val="21"/>
              </w:rPr>
            </w:pPr>
            <w:r>
              <w:rPr>
                <w:bCs/>
                <w:sz w:val="21"/>
                <w:szCs w:val="21"/>
              </w:rPr>
              <w:t>灌木均高约1.5m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淡竹叶</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Lophatherumgracile</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总盖度：10%</w:t>
            </w:r>
          </w:p>
          <w:p>
            <w:pPr>
              <w:spacing w:line="240" w:lineRule="auto"/>
              <w:ind w:firstLine="0" w:firstLineChars="0"/>
              <w:contextualSpacing/>
              <w:jc w:val="center"/>
              <w:rPr>
                <w:sz w:val="21"/>
                <w:szCs w:val="21"/>
              </w:rPr>
            </w:pPr>
            <w:r>
              <w:rPr>
                <w:bCs/>
                <w:sz w:val="21"/>
                <w:szCs w:val="21"/>
              </w:rPr>
              <w:t>草本均高0.2-0.5m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冷水花</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Pileanotata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1</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荩草</w:t>
            </w:r>
          </w:p>
        </w:tc>
        <w:tc>
          <w:tcPr>
            <w:tcW w:w="2455" w:type="dxa"/>
            <w:vAlign w:val="center"/>
          </w:tcPr>
          <w:p>
            <w:pPr>
              <w:widowControl/>
              <w:spacing w:line="240" w:lineRule="auto"/>
              <w:ind w:firstLine="0" w:firstLineChars="0"/>
              <w:contextualSpacing/>
              <w:jc w:val="center"/>
              <w:rPr>
                <w:sz w:val="21"/>
                <w:szCs w:val="21"/>
              </w:rPr>
            </w:pPr>
            <w:r>
              <w:rPr>
                <w:i/>
                <w:iCs/>
                <w:sz w:val="21"/>
                <w:szCs w:val="21"/>
              </w:rPr>
              <w:t>Arthraxonhispidus</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3</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鬼针草</w:t>
            </w:r>
          </w:p>
        </w:tc>
        <w:tc>
          <w:tcPr>
            <w:tcW w:w="2455" w:type="dxa"/>
            <w:vAlign w:val="center"/>
          </w:tcPr>
          <w:p>
            <w:pPr>
              <w:widowControl/>
              <w:spacing w:line="240" w:lineRule="auto"/>
              <w:ind w:firstLine="0" w:firstLineChars="0"/>
              <w:contextualSpacing/>
              <w:jc w:val="center"/>
              <w:rPr>
                <w:i/>
                <w:iCs/>
                <w:sz w:val="21"/>
                <w:szCs w:val="21"/>
              </w:rPr>
            </w:pPr>
            <w:r>
              <w:rPr>
                <w:i/>
                <w:sz w:val="21"/>
                <w:szCs w:val="21"/>
              </w:rPr>
              <w:t>Bidensbipinnata</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8</w:t>
            </w:r>
          </w:p>
        </w:tc>
        <w:tc>
          <w:tcPr>
            <w:tcW w:w="1433" w:type="dxa"/>
            <w:vAlign w:val="center"/>
          </w:tcPr>
          <w:p>
            <w:pPr>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jc w:val="left"/>
        <w:rPr>
          <w:rFonts w:ascii="Times New Roman" w:hAnsi="Times New Roman"/>
          <w:b/>
          <w:bCs/>
        </w:rPr>
      </w:pPr>
      <w:r>
        <w:rPr>
          <w:rFonts w:ascii="Times New Roman" w:hAnsi="Times New Roman"/>
          <w:b/>
          <w:bCs/>
        </w:rPr>
        <w:t>2）马尾松林（Form.</w:t>
      </w:r>
      <w:r>
        <w:rPr>
          <w:rFonts w:ascii="Times New Roman" w:hAnsi="Times New Roman"/>
          <w:b/>
          <w:bCs/>
          <w:i/>
          <w:iCs/>
        </w:rPr>
        <w:t>Pinusmassoniana</w:t>
      </w:r>
      <w:r>
        <w:rPr>
          <w:rFonts w:ascii="Times New Roman" w:hAnsi="Times New Roman"/>
          <w:b/>
          <w:bCs/>
        </w:rPr>
        <w:t>）</w:t>
      </w:r>
    </w:p>
    <w:p>
      <w:pPr>
        <w:pStyle w:val="73"/>
        <w:adjustRightInd/>
        <w:snapToGrid/>
        <w:ind w:firstLine="480"/>
        <w:contextualSpacing/>
        <w:jc w:val="left"/>
        <w:rPr>
          <w:rFonts w:eastAsia="宋体"/>
          <w:b/>
        </w:rPr>
      </w:pPr>
      <w:r>
        <w:rPr>
          <w:rFonts w:eastAsia="宋体"/>
        </w:rPr>
        <w:t>马尾松是本区域的本该有的原生植被，属暖性常绿针叶林，但是目前所见均为退耕还林种植的树木。马尾松是向阳、喜温暖的树种，分布于酸性土壤，分布海拔幅度200-1500米，郁闭度0.4-0.8在大部分地区可以成为纯林，本评价区域的马尾松林为含有多种阔叶树的马尾松林，群落外貌绿色，林冠整齐。这是本区域群落正向演替的终极群落，但是由于人工的干扰经济利益的追求，退耕还林，常常选用速生树种。调查区域的马尾松林的特点为组成种类复杂，林下多喜阴成分、层片结构复杂，也常有柏木混生其中。阔叶树种主要由栎科等树种组成。常见树种为青冈、刺叶栎等。林下灌木茂密，常见种为黄荆、山蚂蝗等。草本以白茅、鬼针草、马唐等组成，层外植物多见孔雀草、假杜</w:t>
      </w:r>
      <w:r>
        <w:rPr>
          <w:rFonts w:eastAsia="宋体"/>
          <w:bCs/>
        </w:rPr>
        <w:t>鹃等。部分样方如下</w:t>
      </w:r>
      <w:r>
        <w:rPr>
          <w:rFonts w:eastAsia="宋体"/>
          <w:b/>
        </w:rPr>
        <w:t>：</w:t>
      </w:r>
    </w:p>
    <w:p>
      <w:pPr>
        <w:pStyle w:val="73"/>
        <w:adjustRightInd/>
        <w:snapToGrid/>
        <w:ind w:firstLine="0" w:firstLineChars="0"/>
        <w:contextualSpacing/>
        <w:rPr>
          <w:rFonts w:eastAsia="宋体"/>
          <w:b/>
          <w:sz w:val="21"/>
          <w:szCs w:val="21"/>
        </w:rPr>
      </w:pPr>
      <w:r>
        <w:rPr>
          <w:rFonts w:eastAsia="宋体"/>
          <w:b/>
          <w:sz w:val="21"/>
          <w:szCs w:val="21"/>
        </w:rPr>
        <w:t>表4.7.1-10  马尾松林植被样方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rFonts w:hint="eastAsia"/>
                <w:sz w:val="21"/>
                <w:szCs w:val="21"/>
              </w:rPr>
            </w:pPr>
            <w:r>
              <w:rPr>
                <w:rFonts w:hint="eastAsia"/>
                <w:sz w:val="21"/>
                <w:szCs w:val="21"/>
              </w:rPr>
              <w:t>HXS</w:t>
            </w:r>
            <w:r>
              <w:rPr>
                <w:sz w:val="21"/>
                <w:szCs w:val="21"/>
              </w:rPr>
              <w:t>-</w:t>
            </w:r>
            <w:r>
              <w:rPr>
                <w:rFonts w:hint="eastAsia"/>
                <w:sz w:val="21"/>
                <w:szCs w:val="21"/>
              </w:rPr>
              <w:t>2</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#5</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sz w:val="21"/>
                <w:szCs w:val="21"/>
              </w:rPr>
            </w:pPr>
            <w:r>
              <w:rPr>
                <w:rFonts w:hint="eastAsia"/>
                <w:sz w:val="21"/>
                <w:szCs w:val="21"/>
              </w:rPr>
              <w:t>寺岭村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106°50′53.325″E, 31°58′36.912″N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2" w:type="dxa"/>
            <w:vAlign w:val="center"/>
          </w:tcPr>
          <w:p>
            <w:pPr>
              <w:widowControl/>
              <w:spacing w:line="240" w:lineRule="auto"/>
              <w:ind w:firstLine="0" w:firstLineChars="0"/>
              <w:contextualSpacing/>
              <w:jc w:val="center"/>
              <w:rPr>
                <w:sz w:val="21"/>
                <w:szCs w:val="21"/>
              </w:rPr>
            </w:pPr>
            <w:r>
              <w:rPr>
                <w:sz w:val="21"/>
                <w:szCs w:val="21"/>
              </w:rPr>
              <w:t>马尾松</w:t>
            </w:r>
          </w:p>
        </w:tc>
        <w:tc>
          <w:tcPr>
            <w:tcW w:w="2455" w:type="dxa"/>
            <w:vAlign w:val="center"/>
          </w:tcPr>
          <w:p>
            <w:pPr>
              <w:widowControl/>
              <w:spacing w:line="240" w:lineRule="auto"/>
              <w:ind w:firstLine="0" w:firstLineChars="0"/>
              <w:contextualSpacing/>
              <w:jc w:val="center"/>
              <w:rPr>
                <w:sz w:val="21"/>
                <w:szCs w:val="21"/>
              </w:rPr>
            </w:pPr>
            <w:r>
              <w:rPr>
                <w:bCs/>
                <w:i/>
                <w:iCs/>
                <w:sz w:val="21"/>
                <w:szCs w:val="21"/>
              </w:rPr>
              <w:t>Quercusspinosa</w:t>
            </w:r>
          </w:p>
        </w:tc>
        <w:tc>
          <w:tcPr>
            <w:tcW w:w="1500" w:type="dxa"/>
            <w:vAlign w:val="center"/>
          </w:tcPr>
          <w:p>
            <w:pPr>
              <w:spacing w:line="240" w:lineRule="auto"/>
              <w:ind w:firstLine="0" w:firstLineChars="0"/>
              <w:contextualSpacing/>
              <w:jc w:val="center"/>
              <w:rPr>
                <w:i/>
                <w:iCs/>
                <w:sz w:val="21"/>
                <w:szCs w:val="21"/>
              </w:rPr>
            </w:pPr>
            <w:r>
              <w:rPr>
                <w:rFonts w:hint="eastAsia"/>
                <w:i/>
                <w:iCs/>
                <w:sz w:val="21"/>
                <w:szCs w:val="21"/>
              </w:rPr>
              <w:t>20</w:t>
            </w:r>
          </w:p>
        </w:tc>
        <w:tc>
          <w:tcPr>
            <w:tcW w:w="1433" w:type="dxa"/>
            <w:vAlign w:val="center"/>
          </w:tcPr>
          <w:p>
            <w:pPr>
              <w:spacing w:line="240" w:lineRule="auto"/>
              <w:ind w:firstLine="0" w:firstLineChars="0"/>
              <w:contextualSpacing/>
              <w:jc w:val="center"/>
              <w:rPr>
                <w:sz w:val="21"/>
                <w:szCs w:val="21"/>
              </w:rPr>
            </w:pPr>
            <w:r>
              <w:rPr>
                <w:sz w:val="21"/>
                <w:szCs w:val="21"/>
              </w:rPr>
              <w:t>0.4</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sz w:val="21"/>
                <w:szCs w:val="21"/>
              </w:rPr>
              <w:t>马尾松、</w:t>
            </w:r>
            <w:r>
              <w:rPr>
                <w:bCs/>
                <w:sz w:val="21"/>
                <w:szCs w:val="21"/>
              </w:rPr>
              <w:t>柏木为优势种，样方郁闭度0.5，乔木高度14m左右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spacing w:line="240" w:lineRule="auto"/>
              <w:ind w:firstLine="0" w:firstLineChars="0"/>
              <w:contextualSpacing/>
              <w:jc w:val="center"/>
              <w:rPr>
                <w:bCs/>
                <w:sz w:val="21"/>
                <w:szCs w:val="21"/>
              </w:rPr>
            </w:pPr>
            <w:r>
              <w:rPr>
                <w:sz w:val="21"/>
                <w:szCs w:val="21"/>
              </w:rPr>
              <w:t>柏木</w:t>
            </w:r>
          </w:p>
        </w:tc>
        <w:tc>
          <w:tcPr>
            <w:tcW w:w="2455" w:type="dxa"/>
            <w:vAlign w:val="center"/>
          </w:tcPr>
          <w:p>
            <w:pPr>
              <w:spacing w:line="240" w:lineRule="auto"/>
              <w:ind w:firstLine="0" w:firstLineChars="0"/>
              <w:contextualSpacing/>
              <w:jc w:val="center"/>
              <w:rPr>
                <w:i/>
                <w:iCs/>
                <w:sz w:val="21"/>
                <w:szCs w:val="21"/>
              </w:rPr>
            </w:pPr>
            <w:r>
              <w:rPr>
                <w:i/>
                <w:iCs/>
                <w:sz w:val="21"/>
                <w:szCs w:val="21"/>
              </w:rPr>
              <w:t>Cupressusfunebris</w:t>
            </w:r>
          </w:p>
        </w:tc>
        <w:tc>
          <w:tcPr>
            <w:tcW w:w="1500" w:type="dxa"/>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6</w:t>
            </w:r>
          </w:p>
        </w:tc>
        <w:tc>
          <w:tcPr>
            <w:tcW w:w="1433" w:type="dxa"/>
            <w:vAlign w:val="center"/>
          </w:tcPr>
          <w:p>
            <w:pPr>
              <w:spacing w:line="240" w:lineRule="auto"/>
              <w:ind w:firstLine="0" w:firstLineChars="0"/>
              <w:contextualSpacing/>
              <w:jc w:val="center"/>
              <w:rPr>
                <w:sz w:val="21"/>
                <w:szCs w:val="21"/>
              </w:rPr>
            </w:pPr>
            <w:r>
              <w:rPr>
                <w:sz w:val="21"/>
                <w:szCs w:val="21"/>
              </w:rPr>
              <w:t>0.2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山蚂蝗</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Desmodiumracemosum</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5</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2</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总盖度：20%</w:t>
            </w:r>
          </w:p>
          <w:p>
            <w:pPr>
              <w:spacing w:line="240" w:lineRule="auto"/>
              <w:ind w:firstLine="0" w:firstLineChars="0"/>
              <w:contextualSpacing/>
              <w:jc w:val="center"/>
              <w:rPr>
                <w:sz w:val="21"/>
                <w:szCs w:val="21"/>
              </w:rPr>
            </w:pPr>
            <w:r>
              <w:rPr>
                <w:bCs/>
                <w:sz w:val="21"/>
                <w:szCs w:val="21"/>
              </w:rPr>
              <w:t>灌木均高约2.5m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黄荆</w:t>
            </w:r>
          </w:p>
        </w:tc>
        <w:tc>
          <w:tcPr>
            <w:tcW w:w="2455"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9</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10</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蕨</w:t>
            </w:r>
          </w:p>
        </w:tc>
        <w:tc>
          <w:tcPr>
            <w:tcW w:w="2455" w:type="dxa"/>
            <w:shd w:val="clear" w:color="auto" w:fill="FFFFFF"/>
            <w:vAlign w:val="center"/>
          </w:tcPr>
          <w:p>
            <w:pPr>
              <w:widowControl/>
              <w:spacing w:line="240" w:lineRule="auto"/>
              <w:ind w:firstLine="0" w:firstLineChars="0"/>
              <w:contextualSpacing/>
              <w:jc w:val="center"/>
              <w:rPr>
                <w:i/>
                <w:sz w:val="21"/>
                <w:szCs w:val="21"/>
              </w:rPr>
            </w:pPr>
            <w:r>
              <w:rPr>
                <w:i/>
                <w:sz w:val="21"/>
                <w:szCs w:val="21"/>
              </w:rPr>
              <w:t>Pteridiumaquilinum</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6</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10</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总盖度：30%</w:t>
            </w:r>
          </w:p>
          <w:p>
            <w:pPr>
              <w:spacing w:line="240" w:lineRule="auto"/>
              <w:ind w:firstLine="0" w:firstLineChars="0"/>
              <w:contextualSpacing/>
              <w:jc w:val="center"/>
              <w:rPr>
                <w:sz w:val="21"/>
                <w:szCs w:val="21"/>
              </w:rPr>
            </w:pPr>
            <w:r>
              <w:rPr>
                <w:bCs/>
                <w:sz w:val="21"/>
                <w:szCs w:val="21"/>
              </w:rPr>
              <w:t>草本均高0.2-0.5m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蜈蚣草</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Pterisvittata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白茅</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马唐</w:t>
            </w:r>
          </w:p>
        </w:tc>
        <w:tc>
          <w:tcPr>
            <w:tcW w:w="2455" w:type="dxa"/>
            <w:vAlign w:val="center"/>
          </w:tcPr>
          <w:p>
            <w:pPr>
              <w:widowControl/>
              <w:spacing w:line="240" w:lineRule="auto"/>
              <w:ind w:firstLine="0" w:firstLineChars="0"/>
              <w:contextualSpacing/>
              <w:jc w:val="center"/>
              <w:rPr>
                <w:i/>
                <w:sz w:val="21"/>
                <w:szCs w:val="21"/>
              </w:rPr>
            </w:pPr>
            <w:r>
              <w:rPr>
                <w:i/>
                <w:sz w:val="21"/>
                <w:szCs w:val="21"/>
              </w:rPr>
              <w:t>Digitariasanguinalis</w:t>
            </w:r>
          </w:p>
        </w:tc>
        <w:tc>
          <w:tcPr>
            <w:tcW w:w="1500" w:type="dxa"/>
            <w:vAlign w:val="center"/>
          </w:tcPr>
          <w:p>
            <w:pPr>
              <w:widowControl/>
              <w:spacing w:line="240" w:lineRule="auto"/>
              <w:ind w:firstLine="0" w:firstLineChars="0"/>
              <w:contextualSpacing/>
              <w:jc w:val="center"/>
              <w:rPr>
                <w:i/>
                <w:sz w:val="21"/>
                <w:szCs w:val="21"/>
              </w:rPr>
            </w:pPr>
            <w:r>
              <w:rPr>
                <w:i/>
                <w:sz w:val="21"/>
                <w:szCs w:val="21"/>
              </w:rPr>
              <w:t>1</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淡竹叶</w:t>
            </w:r>
          </w:p>
        </w:tc>
        <w:tc>
          <w:tcPr>
            <w:tcW w:w="2455" w:type="dxa"/>
            <w:vAlign w:val="center"/>
          </w:tcPr>
          <w:p>
            <w:pPr>
              <w:widowControl/>
              <w:spacing w:line="240" w:lineRule="auto"/>
              <w:ind w:firstLine="0" w:firstLineChars="0"/>
              <w:contextualSpacing/>
              <w:jc w:val="center"/>
              <w:rPr>
                <w:sz w:val="21"/>
                <w:szCs w:val="21"/>
              </w:rPr>
            </w:pPr>
            <w:r>
              <w:rPr>
                <w:i/>
                <w:sz w:val="21"/>
                <w:szCs w:val="21"/>
              </w:rPr>
              <w:t>Lophatherumgracile</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vAlign w:val="center"/>
          </w:tcPr>
          <w:p>
            <w:pPr>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冷水花</w:t>
            </w:r>
          </w:p>
        </w:tc>
        <w:tc>
          <w:tcPr>
            <w:tcW w:w="2455" w:type="dxa"/>
            <w:vAlign w:val="center"/>
          </w:tcPr>
          <w:p>
            <w:pPr>
              <w:widowControl/>
              <w:spacing w:line="240" w:lineRule="auto"/>
              <w:ind w:firstLine="0" w:firstLineChars="0"/>
              <w:contextualSpacing/>
              <w:jc w:val="center"/>
              <w:rPr>
                <w:sz w:val="21"/>
                <w:szCs w:val="21"/>
              </w:rPr>
            </w:pPr>
            <w:r>
              <w:rPr>
                <w:i/>
                <w:iCs/>
                <w:sz w:val="21"/>
                <w:szCs w:val="21"/>
              </w:rPr>
              <w:t>Pileanotata</w:t>
            </w:r>
          </w:p>
        </w:tc>
        <w:tc>
          <w:tcPr>
            <w:tcW w:w="1500" w:type="dxa"/>
            <w:vAlign w:val="center"/>
          </w:tcPr>
          <w:p>
            <w:pPr>
              <w:widowControl/>
              <w:spacing w:line="240" w:lineRule="auto"/>
              <w:ind w:firstLine="0" w:firstLineChars="0"/>
              <w:contextualSpacing/>
              <w:jc w:val="center"/>
              <w:rPr>
                <w:i/>
                <w:sz w:val="21"/>
                <w:szCs w:val="21"/>
              </w:rPr>
            </w:pPr>
            <w:r>
              <w:rPr>
                <w:i/>
                <w:sz w:val="21"/>
                <w:szCs w:val="21"/>
              </w:rPr>
              <w:t>1</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荩草</w:t>
            </w:r>
          </w:p>
        </w:tc>
        <w:tc>
          <w:tcPr>
            <w:tcW w:w="2455" w:type="dxa"/>
            <w:vAlign w:val="center"/>
          </w:tcPr>
          <w:p>
            <w:pPr>
              <w:widowControl/>
              <w:spacing w:line="240" w:lineRule="auto"/>
              <w:ind w:firstLine="0" w:firstLineChars="0"/>
              <w:contextualSpacing/>
              <w:jc w:val="center"/>
              <w:rPr>
                <w:sz w:val="21"/>
                <w:szCs w:val="21"/>
              </w:rPr>
            </w:pPr>
            <w:r>
              <w:rPr>
                <w:i/>
                <w:iCs/>
                <w:sz w:val="21"/>
                <w:szCs w:val="21"/>
              </w:rPr>
              <w:t>Arthraxonhispidus</w:t>
            </w:r>
          </w:p>
        </w:tc>
        <w:tc>
          <w:tcPr>
            <w:tcW w:w="1500" w:type="dxa"/>
            <w:vAlign w:val="center"/>
          </w:tcPr>
          <w:p>
            <w:pPr>
              <w:widowControl/>
              <w:spacing w:line="240" w:lineRule="auto"/>
              <w:ind w:firstLine="0" w:firstLineChars="0"/>
              <w:contextualSpacing/>
              <w:jc w:val="center"/>
              <w:rPr>
                <w:rFonts w:hint="eastAsia"/>
                <w:i/>
                <w:sz w:val="21"/>
                <w:szCs w:val="21"/>
              </w:rPr>
            </w:pPr>
            <w:r>
              <w:rPr>
                <w:rFonts w:hint="eastAsia"/>
                <w:i/>
                <w:sz w:val="21"/>
                <w:szCs w:val="21"/>
              </w:rPr>
              <w:t>4</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kern w:val="0"/>
                <w:sz w:val="21"/>
                <w:szCs w:val="21"/>
              </w:rPr>
              <w:t>夏枯草</w:t>
            </w:r>
          </w:p>
        </w:tc>
        <w:tc>
          <w:tcPr>
            <w:tcW w:w="2455" w:type="dxa"/>
            <w:vAlign w:val="center"/>
          </w:tcPr>
          <w:p>
            <w:pPr>
              <w:widowControl/>
              <w:spacing w:line="240" w:lineRule="auto"/>
              <w:ind w:firstLine="0" w:firstLineChars="0"/>
              <w:contextualSpacing/>
              <w:jc w:val="center"/>
              <w:rPr>
                <w:i/>
                <w:iCs/>
                <w:sz w:val="21"/>
                <w:szCs w:val="21"/>
              </w:rPr>
            </w:pPr>
            <w:r>
              <w:rPr>
                <w:i/>
                <w:iCs/>
                <w:sz w:val="21"/>
                <w:szCs w:val="21"/>
              </w:rPr>
              <w:t>Prunellavulgaris</w:t>
            </w:r>
          </w:p>
        </w:tc>
        <w:tc>
          <w:tcPr>
            <w:tcW w:w="1500" w:type="dxa"/>
            <w:vAlign w:val="center"/>
          </w:tcPr>
          <w:p>
            <w:pPr>
              <w:widowControl/>
              <w:spacing w:line="240" w:lineRule="auto"/>
              <w:ind w:firstLine="0" w:firstLineChars="0"/>
              <w:contextualSpacing/>
              <w:jc w:val="center"/>
              <w:rPr>
                <w:i/>
                <w:sz w:val="21"/>
                <w:szCs w:val="21"/>
              </w:rPr>
            </w:pPr>
            <w:r>
              <w:rPr>
                <w:i/>
                <w:sz w:val="21"/>
                <w:szCs w:val="21"/>
              </w:rPr>
              <w:t>1</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3</w:t>
      </w:r>
      <w:r>
        <w:rPr>
          <w:rFonts w:ascii="Times New Roman" w:hAnsi="Times New Roman"/>
          <w:b/>
          <w:bCs/>
        </w:rPr>
        <w:t>）构树林（Form.</w:t>
      </w:r>
      <w:r>
        <w:rPr>
          <w:rFonts w:ascii="Times New Roman" w:hAnsi="Times New Roman"/>
          <w:b/>
          <w:bCs/>
          <w:i/>
          <w:iCs/>
        </w:rPr>
        <w:t>Broussonetiapapyrifera</w:t>
      </w:r>
      <w:r>
        <w:rPr>
          <w:rFonts w:ascii="Times New Roman" w:hAnsi="Times New Roman"/>
          <w:b/>
          <w:bCs/>
        </w:rPr>
        <w:t>）</w:t>
      </w:r>
    </w:p>
    <w:p>
      <w:pPr>
        <w:pStyle w:val="10"/>
        <w:ind w:firstLine="480"/>
        <w:contextualSpacing/>
      </w:pPr>
      <w:r>
        <w:t>构树具有速生、适应性强、分布广、易</w:t>
      </w:r>
      <w:r>
        <w:rPr>
          <w:kern w:val="0"/>
        </w:rPr>
        <w:t>繁殖</w:t>
      </w:r>
      <w:r>
        <w:t>、热量高、轮伐期短的特点。构树根系浅，侧根分布很广，生长快，萌芽力和分蘖力强，耐修剪。抗污染性强。在中国的温带、热带均有分布，不论平原、丘陵或山地都能生长，其叶是很好的猪饲料，其韧皮纤维是造纸的高级原料，材质洁白，其根和种子均可入药，树液可治皮肤病，经济价值很高。以构树为优势种构成的灌丛，灌木层由构树和八角枫构成，草本层主要种类有刻叶紫堇、冷水花、窃衣、牛筋草、乌蕨等。部分样方如下：</w:t>
      </w:r>
    </w:p>
    <w:p>
      <w:pPr>
        <w:pStyle w:val="73"/>
        <w:adjustRightInd/>
        <w:snapToGrid/>
        <w:ind w:firstLine="0" w:firstLineChars="0"/>
        <w:contextualSpacing/>
        <w:rPr>
          <w:rFonts w:eastAsia="宋体"/>
          <w:b/>
          <w:sz w:val="21"/>
          <w:szCs w:val="21"/>
        </w:rPr>
      </w:pPr>
      <w:r>
        <w:rPr>
          <w:rFonts w:eastAsia="宋体"/>
          <w:b/>
          <w:sz w:val="21"/>
          <w:szCs w:val="21"/>
        </w:rPr>
        <w:t>表4.7.1-1</w:t>
      </w:r>
      <w:r>
        <w:rPr>
          <w:rFonts w:hint="eastAsia" w:eastAsia="宋体"/>
          <w:b/>
          <w:sz w:val="21"/>
          <w:szCs w:val="21"/>
        </w:rPr>
        <w:t>1</w:t>
      </w:r>
      <w:r>
        <w:rPr>
          <w:rFonts w:eastAsia="宋体"/>
          <w:b/>
          <w:sz w:val="21"/>
          <w:szCs w:val="21"/>
        </w:rPr>
        <w:t xml:space="preserve">  构树林植被样方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sz w:val="21"/>
                <w:szCs w:val="21"/>
              </w:rPr>
            </w:pPr>
            <w:r>
              <w:rPr>
                <w:rFonts w:hint="eastAsia"/>
                <w:sz w:val="21"/>
                <w:szCs w:val="21"/>
              </w:rPr>
              <w:t>HXS</w:t>
            </w:r>
            <w:r>
              <w:rPr>
                <w:sz w:val="21"/>
                <w:szCs w:val="21"/>
              </w:rPr>
              <w:t>-</w:t>
            </w:r>
            <w:r>
              <w:rPr>
                <w:rFonts w:hint="eastAsia"/>
                <w:sz w:val="21"/>
                <w:szCs w:val="21"/>
              </w:rPr>
              <w:t>3</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#3</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范家寨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106°50′29.648″E, 31°54′54.113″N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sz w:val="21"/>
                <w:szCs w:val="21"/>
              </w:rPr>
            </w:pPr>
            <w:r>
              <w:rPr>
                <w:bCs/>
                <w:sz w:val="21"/>
                <w:szCs w:val="21"/>
              </w:rPr>
              <w:t>构树</w:t>
            </w:r>
          </w:p>
        </w:tc>
        <w:tc>
          <w:tcPr>
            <w:tcW w:w="2455" w:type="dxa"/>
            <w:vAlign w:val="center"/>
          </w:tcPr>
          <w:p>
            <w:pPr>
              <w:spacing w:line="240" w:lineRule="auto"/>
              <w:ind w:firstLine="0" w:firstLineChars="0"/>
              <w:contextualSpacing/>
              <w:jc w:val="center"/>
              <w:rPr>
                <w:sz w:val="21"/>
                <w:szCs w:val="21"/>
              </w:rPr>
            </w:pPr>
            <w:r>
              <w:rPr>
                <w:bCs/>
                <w:i/>
                <w:iCs/>
                <w:sz w:val="21"/>
                <w:szCs w:val="21"/>
              </w:rPr>
              <w:t>Broussonetiapapyrifera</w:t>
            </w:r>
          </w:p>
        </w:tc>
        <w:tc>
          <w:tcPr>
            <w:tcW w:w="1500" w:type="dxa"/>
            <w:vAlign w:val="center"/>
          </w:tcPr>
          <w:p>
            <w:pPr>
              <w:spacing w:line="240" w:lineRule="auto"/>
              <w:ind w:firstLine="0" w:firstLineChars="0"/>
              <w:contextualSpacing/>
              <w:jc w:val="center"/>
              <w:rPr>
                <w:i/>
                <w:iCs/>
                <w:sz w:val="21"/>
                <w:szCs w:val="21"/>
              </w:rPr>
            </w:pPr>
            <w:r>
              <w:rPr>
                <w:i/>
                <w:iCs/>
                <w:sz w:val="21"/>
                <w:szCs w:val="21"/>
              </w:rPr>
              <w:t>16</w:t>
            </w:r>
          </w:p>
        </w:tc>
        <w:tc>
          <w:tcPr>
            <w:tcW w:w="1433" w:type="dxa"/>
            <w:vAlign w:val="center"/>
          </w:tcPr>
          <w:p>
            <w:pPr>
              <w:spacing w:line="240" w:lineRule="auto"/>
              <w:ind w:firstLine="0" w:firstLineChars="0"/>
              <w:contextualSpacing/>
              <w:jc w:val="center"/>
              <w:rPr>
                <w:sz w:val="21"/>
                <w:szCs w:val="21"/>
              </w:rPr>
            </w:pPr>
            <w:r>
              <w:rPr>
                <w:sz w:val="21"/>
                <w:szCs w:val="21"/>
              </w:rPr>
              <w:t>0.4</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bCs/>
                <w:sz w:val="21"/>
                <w:szCs w:val="21"/>
              </w:rPr>
              <w:t>构树为优势种，样方郁闭度0.5，乔木高度7m左右，构树均高2m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widowControl/>
              <w:spacing w:line="240" w:lineRule="auto"/>
              <w:ind w:firstLine="0" w:firstLineChars="0"/>
              <w:contextualSpacing/>
              <w:jc w:val="center"/>
              <w:rPr>
                <w:sz w:val="21"/>
                <w:szCs w:val="21"/>
              </w:rPr>
            </w:pPr>
            <w:r>
              <w:rPr>
                <w:sz w:val="21"/>
                <w:szCs w:val="21"/>
              </w:rPr>
              <w:t>桤木</w:t>
            </w:r>
          </w:p>
        </w:tc>
        <w:tc>
          <w:tcPr>
            <w:tcW w:w="2455" w:type="dxa"/>
            <w:vAlign w:val="center"/>
          </w:tcPr>
          <w:p>
            <w:pPr>
              <w:widowControl/>
              <w:spacing w:line="240" w:lineRule="auto"/>
              <w:ind w:firstLine="0" w:firstLineChars="0"/>
              <w:contextualSpacing/>
              <w:jc w:val="center"/>
              <w:rPr>
                <w:sz w:val="21"/>
                <w:szCs w:val="21"/>
              </w:rPr>
            </w:pPr>
            <w:r>
              <w:rPr>
                <w:bCs/>
                <w:i/>
                <w:iCs/>
                <w:sz w:val="21"/>
                <w:szCs w:val="21"/>
              </w:rPr>
              <w:t>Alnuscremastogyne</w:t>
            </w:r>
          </w:p>
        </w:tc>
        <w:tc>
          <w:tcPr>
            <w:tcW w:w="1500" w:type="dxa"/>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6</w:t>
            </w:r>
          </w:p>
        </w:tc>
        <w:tc>
          <w:tcPr>
            <w:tcW w:w="1433" w:type="dxa"/>
            <w:vAlign w:val="center"/>
          </w:tcPr>
          <w:p>
            <w:pPr>
              <w:spacing w:line="240" w:lineRule="auto"/>
              <w:ind w:firstLine="0" w:firstLineChars="0"/>
              <w:contextualSpacing/>
              <w:jc w:val="center"/>
              <w:rPr>
                <w:sz w:val="21"/>
                <w:szCs w:val="21"/>
              </w:rPr>
            </w:pPr>
            <w:r>
              <w:rPr>
                <w:sz w:val="21"/>
                <w:szCs w:val="21"/>
              </w:rPr>
              <w:t>0.3</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22" w:type="dxa"/>
            <w:shd w:val="clear" w:color="auto" w:fill="FFFFFF"/>
            <w:vAlign w:val="center"/>
          </w:tcPr>
          <w:p>
            <w:pPr>
              <w:spacing w:line="240" w:lineRule="auto"/>
              <w:ind w:firstLine="0" w:firstLineChars="0"/>
              <w:contextualSpacing/>
              <w:jc w:val="center"/>
              <w:rPr>
                <w:sz w:val="21"/>
                <w:szCs w:val="21"/>
              </w:rPr>
            </w:pPr>
            <w:r>
              <w:rPr>
                <w:sz w:val="21"/>
                <w:szCs w:val="21"/>
              </w:rPr>
              <w:t>柏木</w:t>
            </w:r>
          </w:p>
        </w:tc>
        <w:tc>
          <w:tcPr>
            <w:tcW w:w="2455" w:type="dxa"/>
            <w:shd w:val="clear" w:color="auto" w:fill="FFFFFF"/>
            <w:vAlign w:val="center"/>
          </w:tcPr>
          <w:p>
            <w:pPr>
              <w:spacing w:line="240" w:lineRule="auto"/>
              <w:ind w:firstLine="0" w:firstLineChars="0"/>
              <w:contextualSpacing/>
              <w:jc w:val="center"/>
              <w:rPr>
                <w:sz w:val="21"/>
                <w:szCs w:val="21"/>
              </w:rPr>
            </w:pPr>
            <w:r>
              <w:rPr>
                <w:i/>
                <w:iCs/>
                <w:sz w:val="21"/>
                <w:szCs w:val="21"/>
              </w:rPr>
              <w:t>Cupressusfunebris</w:t>
            </w:r>
          </w:p>
        </w:tc>
        <w:tc>
          <w:tcPr>
            <w:tcW w:w="1500" w:type="dxa"/>
            <w:shd w:val="clear" w:color="auto" w:fill="FFFFFF"/>
            <w:vAlign w:val="center"/>
          </w:tcPr>
          <w:p>
            <w:pPr>
              <w:widowControl/>
              <w:spacing w:line="240" w:lineRule="auto"/>
              <w:ind w:firstLine="0" w:firstLineChars="0"/>
              <w:contextualSpacing/>
              <w:jc w:val="center"/>
              <w:rPr>
                <w:rFonts w:hint="eastAsia"/>
                <w:bCs/>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10</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桑</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Morusalba</w:t>
            </w:r>
          </w:p>
        </w:tc>
        <w:tc>
          <w:tcPr>
            <w:tcW w:w="1500"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1</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3</w:t>
            </w:r>
          </w:p>
        </w:tc>
        <w:tc>
          <w:tcPr>
            <w:tcW w:w="2112" w:type="dxa"/>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总盖度：12%</w:t>
            </w:r>
          </w:p>
          <w:p>
            <w:pPr>
              <w:spacing w:line="240" w:lineRule="auto"/>
              <w:ind w:firstLine="0" w:firstLineChars="0"/>
              <w:contextualSpacing/>
              <w:jc w:val="center"/>
              <w:rPr>
                <w:sz w:val="21"/>
                <w:szCs w:val="21"/>
              </w:rPr>
            </w:pPr>
            <w:r>
              <w:rPr>
                <w:bCs/>
                <w:sz w:val="21"/>
                <w:szCs w:val="21"/>
              </w:rPr>
              <w:t>灌木均高约2m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冷水花</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Pileanotata</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总盖度：25%</w:t>
            </w:r>
          </w:p>
          <w:p>
            <w:pPr>
              <w:spacing w:line="240" w:lineRule="auto"/>
              <w:ind w:firstLine="0" w:firstLineChars="0"/>
              <w:contextualSpacing/>
              <w:jc w:val="center"/>
              <w:rPr>
                <w:sz w:val="21"/>
                <w:szCs w:val="21"/>
              </w:rPr>
            </w:pPr>
            <w:r>
              <w:rPr>
                <w:bCs/>
                <w:sz w:val="21"/>
                <w:szCs w:val="21"/>
              </w:rPr>
              <w:t>草本均高0.2-0.5m，</w:t>
            </w:r>
            <w:r>
              <w:rPr>
                <w:sz w:val="21"/>
                <w:szCs w:val="21"/>
              </w:rPr>
              <w:t>葎草为攀缘植物，样方内多匍匐在地。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荩草</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Arthraxonhispidus</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葎草</w:t>
            </w:r>
          </w:p>
        </w:tc>
        <w:tc>
          <w:tcPr>
            <w:tcW w:w="2455" w:type="dxa"/>
            <w:vAlign w:val="center"/>
          </w:tcPr>
          <w:p>
            <w:pPr>
              <w:widowControl/>
              <w:spacing w:line="240" w:lineRule="auto"/>
              <w:ind w:firstLine="0" w:firstLineChars="0"/>
              <w:contextualSpacing/>
              <w:jc w:val="center"/>
              <w:rPr>
                <w:sz w:val="21"/>
                <w:szCs w:val="21"/>
              </w:rPr>
            </w:pPr>
            <w:r>
              <w:rPr>
                <w:i/>
                <w:iCs/>
                <w:sz w:val="21"/>
                <w:szCs w:val="21"/>
              </w:rPr>
              <w:t>Humulusscandens</w:t>
            </w:r>
          </w:p>
        </w:tc>
        <w:tc>
          <w:tcPr>
            <w:tcW w:w="1500" w:type="dxa"/>
            <w:vAlign w:val="center"/>
          </w:tcPr>
          <w:p>
            <w:pPr>
              <w:widowControl/>
              <w:spacing w:line="240" w:lineRule="auto"/>
              <w:ind w:firstLine="0" w:firstLineChars="0"/>
              <w:contextualSpacing/>
              <w:jc w:val="center"/>
              <w:rPr>
                <w:i/>
                <w:sz w:val="21"/>
                <w:szCs w:val="21"/>
              </w:rPr>
            </w:pPr>
            <w:r>
              <w:rPr>
                <w:i/>
                <w:sz w:val="21"/>
                <w:szCs w:val="21"/>
              </w:rPr>
              <w:t>4</w:t>
            </w:r>
          </w:p>
        </w:tc>
        <w:tc>
          <w:tcPr>
            <w:tcW w:w="1433" w:type="dxa"/>
            <w:vAlign w:val="center"/>
          </w:tcPr>
          <w:p>
            <w:pPr>
              <w:spacing w:line="240" w:lineRule="auto"/>
              <w:ind w:firstLine="0" w:firstLineChars="0"/>
              <w:contextualSpacing/>
              <w:jc w:val="center"/>
              <w:rPr>
                <w:sz w:val="21"/>
                <w:szCs w:val="21"/>
              </w:rPr>
            </w:pPr>
            <w:r>
              <w:rPr>
                <w:sz w:val="21"/>
                <w:szCs w:val="21"/>
              </w:rPr>
              <w:t>20</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4</w:t>
      </w:r>
      <w:r>
        <w:rPr>
          <w:rFonts w:ascii="Times New Roman" w:hAnsi="Times New Roman"/>
          <w:b/>
          <w:bCs/>
        </w:rPr>
        <w:t>）慈竹林（Form.</w:t>
      </w:r>
      <w:r>
        <w:rPr>
          <w:rFonts w:ascii="Times New Roman" w:hAnsi="Times New Roman"/>
          <w:b/>
          <w:bCs/>
          <w:i/>
          <w:iCs/>
        </w:rPr>
        <w:t>Sinocalamasaffinis</w:t>
      </w:r>
      <w:r>
        <w:rPr>
          <w:rFonts w:ascii="Times New Roman" w:hAnsi="Times New Roman"/>
          <w:b/>
          <w:bCs/>
        </w:rPr>
        <w:t>）</w:t>
      </w:r>
    </w:p>
    <w:p>
      <w:pPr>
        <w:pStyle w:val="10"/>
        <w:ind w:firstLine="480"/>
        <w:contextualSpacing/>
      </w:pPr>
      <w:r>
        <w:t>工程建设项目评价区内竹种较多，有慈竹、斑竹等竹种。水库工程影响区域周边及山顶部分均有竹林分布，主要组成为慈竹、斑竹、毛竹等，竹林群落间或混交柏木、麻栎等区域性优势乔木，并有苦楝等伴生树种，一般为单竹种成林。样方竹层盖度在30%左右，竹均高9m左右，胸均径9cm左右，层下灌木或有火棘、水麻等，但不多；层下草本多蕨类，伴有麦冬、接骨草等。</w:t>
      </w:r>
    </w:p>
    <w:p>
      <w:pPr>
        <w:pStyle w:val="73"/>
        <w:adjustRightInd/>
        <w:snapToGrid/>
        <w:ind w:firstLine="0" w:firstLineChars="0"/>
        <w:contextualSpacing/>
        <w:rPr>
          <w:rFonts w:eastAsia="宋体"/>
          <w:b/>
          <w:sz w:val="21"/>
          <w:szCs w:val="21"/>
        </w:rPr>
      </w:pPr>
      <w:r>
        <w:rPr>
          <w:rFonts w:eastAsia="宋体"/>
          <w:b/>
          <w:sz w:val="21"/>
          <w:szCs w:val="21"/>
        </w:rPr>
        <w:t>表4.7.1-13  慈竹林植被样方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sz w:val="21"/>
                <w:szCs w:val="21"/>
              </w:rPr>
            </w:pPr>
            <w:r>
              <w:rPr>
                <w:rFonts w:hint="eastAsia"/>
                <w:sz w:val="21"/>
                <w:szCs w:val="21"/>
              </w:rPr>
              <w:t>HXS-</w:t>
            </w:r>
            <w:r>
              <w:rPr>
                <w:sz w:val="21"/>
                <w:szCs w:val="21"/>
              </w:rPr>
              <w:t>2</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#1</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梁家咀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106°50′30.401″E, 31°55′5.555″N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2" w:type="dxa"/>
            <w:vAlign w:val="center"/>
          </w:tcPr>
          <w:p>
            <w:pPr>
              <w:widowControl/>
              <w:spacing w:line="240" w:lineRule="auto"/>
              <w:ind w:firstLine="0" w:firstLineChars="0"/>
              <w:contextualSpacing/>
              <w:jc w:val="center"/>
              <w:rPr>
                <w:sz w:val="21"/>
                <w:szCs w:val="21"/>
              </w:rPr>
            </w:pPr>
            <w:r>
              <w:rPr>
                <w:sz w:val="21"/>
                <w:szCs w:val="21"/>
              </w:rPr>
              <w:t>慈竹</w:t>
            </w:r>
          </w:p>
        </w:tc>
        <w:tc>
          <w:tcPr>
            <w:tcW w:w="2455" w:type="dxa"/>
            <w:vAlign w:val="center"/>
          </w:tcPr>
          <w:p>
            <w:pPr>
              <w:widowControl/>
              <w:spacing w:line="240" w:lineRule="auto"/>
              <w:ind w:firstLine="0" w:firstLineChars="0"/>
              <w:contextualSpacing/>
              <w:jc w:val="center"/>
              <w:rPr>
                <w:sz w:val="21"/>
                <w:szCs w:val="21"/>
              </w:rPr>
            </w:pPr>
            <w:r>
              <w:rPr>
                <w:i/>
                <w:iCs/>
                <w:sz w:val="21"/>
                <w:szCs w:val="21"/>
              </w:rPr>
              <w:t>Neosinocalamusaffinis</w:t>
            </w:r>
          </w:p>
        </w:tc>
        <w:tc>
          <w:tcPr>
            <w:tcW w:w="1500" w:type="dxa"/>
            <w:vAlign w:val="center"/>
          </w:tcPr>
          <w:p>
            <w:pPr>
              <w:spacing w:line="240" w:lineRule="auto"/>
              <w:ind w:firstLine="0" w:firstLineChars="0"/>
              <w:contextualSpacing/>
              <w:jc w:val="center"/>
              <w:rPr>
                <w:i/>
                <w:iCs/>
                <w:sz w:val="21"/>
                <w:szCs w:val="21"/>
              </w:rPr>
            </w:pPr>
            <w:r>
              <w:rPr>
                <w:rFonts w:hint="eastAsia"/>
                <w:i/>
                <w:iCs/>
                <w:sz w:val="21"/>
                <w:szCs w:val="21"/>
              </w:rPr>
              <w:t>52</w:t>
            </w:r>
          </w:p>
        </w:tc>
        <w:tc>
          <w:tcPr>
            <w:tcW w:w="1433" w:type="dxa"/>
            <w:vAlign w:val="center"/>
          </w:tcPr>
          <w:p>
            <w:pPr>
              <w:spacing w:line="240" w:lineRule="auto"/>
              <w:ind w:firstLine="0" w:firstLineChars="0"/>
              <w:contextualSpacing/>
              <w:jc w:val="center"/>
              <w:rPr>
                <w:sz w:val="21"/>
                <w:szCs w:val="21"/>
              </w:rPr>
            </w:pPr>
            <w:r>
              <w:rPr>
                <w:sz w:val="21"/>
                <w:szCs w:val="21"/>
              </w:rPr>
              <w:t>0.3</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sz w:val="21"/>
                <w:szCs w:val="21"/>
              </w:rPr>
              <w:t>桉树</w:t>
            </w:r>
            <w:r>
              <w:rPr>
                <w:bCs/>
                <w:sz w:val="21"/>
                <w:szCs w:val="21"/>
              </w:rPr>
              <w:t>为优势种，样方郁闭度0.5，高度10m左右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22" w:type="dxa"/>
            <w:vAlign w:val="center"/>
          </w:tcPr>
          <w:p>
            <w:pPr>
              <w:spacing w:line="240" w:lineRule="auto"/>
              <w:ind w:firstLine="0" w:firstLineChars="0"/>
              <w:contextualSpacing/>
              <w:jc w:val="center"/>
              <w:rPr>
                <w:bCs/>
                <w:sz w:val="21"/>
                <w:szCs w:val="21"/>
              </w:rPr>
            </w:pPr>
            <w:r>
              <w:rPr>
                <w:sz w:val="21"/>
                <w:szCs w:val="21"/>
              </w:rPr>
              <w:t>毛竹</w:t>
            </w:r>
          </w:p>
        </w:tc>
        <w:tc>
          <w:tcPr>
            <w:tcW w:w="2455" w:type="dxa"/>
            <w:vAlign w:val="center"/>
          </w:tcPr>
          <w:p>
            <w:pPr>
              <w:spacing w:line="240" w:lineRule="auto"/>
              <w:ind w:firstLine="0" w:firstLineChars="0"/>
              <w:contextualSpacing/>
              <w:jc w:val="center"/>
              <w:rPr>
                <w:i/>
                <w:iCs/>
                <w:sz w:val="21"/>
                <w:szCs w:val="21"/>
              </w:rPr>
            </w:pPr>
            <w:r>
              <w:rPr>
                <w:i/>
                <w:iCs/>
                <w:sz w:val="21"/>
                <w:szCs w:val="21"/>
              </w:rPr>
              <w:t>Phyllostachysheterocycla</w:t>
            </w:r>
          </w:p>
        </w:tc>
        <w:tc>
          <w:tcPr>
            <w:tcW w:w="1500" w:type="dxa"/>
            <w:vAlign w:val="center"/>
          </w:tcPr>
          <w:p>
            <w:pPr>
              <w:widowControl/>
              <w:spacing w:line="240" w:lineRule="auto"/>
              <w:ind w:firstLine="0" w:firstLineChars="0"/>
              <w:contextualSpacing/>
              <w:jc w:val="center"/>
              <w:rPr>
                <w:i/>
                <w:iCs/>
                <w:sz w:val="21"/>
                <w:szCs w:val="21"/>
              </w:rPr>
            </w:pPr>
            <w:r>
              <w:rPr>
                <w:rFonts w:hint="eastAsia"/>
                <w:i/>
                <w:iCs/>
                <w:sz w:val="21"/>
                <w:szCs w:val="21"/>
              </w:rPr>
              <w:t>22</w:t>
            </w:r>
          </w:p>
        </w:tc>
        <w:tc>
          <w:tcPr>
            <w:tcW w:w="1433" w:type="dxa"/>
            <w:vAlign w:val="center"/>
          </w:tcPr>
          <w:p>
            <w:pPr>
              <w:spacing w:line="240" w:lineRule="auto"/>
              <w:ind w:firstLine="0" w:firstLineChars="0"/>
              <w:contextualSpacing/>
              <w:jc w:val="center"/>
              <w:rPr>
                <w:sz w:val="21"/>
                <w:szCs w:val="21"/>
              </w:rPr>
            </w:pPr>
            <w:r>
              <w:rPr>
                <w:sz w:val="21"/>
                <w:szCs w:val="21"/>
              </w:rPr>
              <w:t>0.2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sz w:val="21"/>
                <w:szCs w:val="21"/>
              </w:rPr>
              <w:t>火棘</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Pyracanthafortuneana</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2</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总盖度：2%</w:t>
            </w:r>
          </w:p>
          <w:p>
            <w:pPr>
              <w:spacing w:line="240" w:lineRule="auto"/>
              <w:ind w:firstLine="0" w:firstLineChars="0"/>
              <w:contextualSpacing/>
              <w:jc w:val="center"/>
              <w:rPr>
                <w:sz w:val="21"/>
                <w:szCs w:val="21"/>
              </w:rPr>
            </w:pPr>
            <w:r>
              <w:rPr>
                <w:bCs/>
                <w:sz w:val="21"/>
                <w:szCs w:val="21"/>
              </w:rPr>
              <w:t>灌木均高约1.2m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水麻</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iCs/>
                <w:sz w:val="21"/>
                <w:szCs w:val="21"/>
              </w:rPr>
              <w:t>Boehmeriapenduliflora</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1</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空心莲子草</w:t>
            </w:r>
          </w:p>
        </w:tc>
        <w:tc>
          <w:tcPr>
            <w:tcW w:w="2455" w:type="dxa"/>
            <w:shd w:val="clear" w:color="auto" w:fill="FFFFFF"/>
            <w:vAlign w:val="center"/>
          </w:tcPr>
          <w:p>
            <w:pPr>
              <w:widowControl/>
              <w:spacing w:line="240" w:lineRule="auto"/>
              <w:ind w:firstLine="0" w:firstLineChars="0"/>
              <w:contextualSpacing/>
              <w:jc w:val="center"/>
              <w:rPr>
                <w:i/>
                <w:sz w:val="21"/>
                <w:szCs w:val="21"/>
              </w:rPr>
            </w:pPr>
            <w:r>
              <w:rPr>
                <w:i/>
                <w:sz w:val="21"/>
                <w:szCs w:val="21"/>
              </w:rPr>
              <w:t>Alternantheraphiloxeroides</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5</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2</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总盖度：5%</w:t>
            </w:r>
          </w:p>
          <w:p>
            <w:pPr>
              <w:spacing w:line="240" w:lineRule="auto"/>
              <w:ind w:firstLine="0" w:firstLineChars="0"/>
              <w:contextualSpacing/>
              <w:jc w:val="center"/>
              <w:rPr>
                <w:sz w:val="21"/>
                <w:szCs w:val="21"/>
              </w:rPr>
            </w:pPr>
            <w:r>
              <w:rPr>
                <w:bCs/>
                <w:sz w:val="21"/>
                <w:szCs w:val="21"/>
              </w:rPr>
              <w:t>草本均高0.2-0.4m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蕨</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6</w:t>
            </w:r>
          </w:p>
        </w:tc>
        <w:tc>
          <w:tcPr>
            <w:tcW w:w="1433"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麦冬</w:t>
            </w:r>
          </w:p>
        </w:tc>
        <w:tc>
          <w:tcPr>
            <w:tcW w:w="2455" w:type="dxa"/>
            <w:vAlign w:val="center"/>
          </w:tcPr>
          <w:p>
            <w:pPr>
              <w:widowControl/>
              <w:spacing w:line="240" w:lineRule="auto"/>
              <w:ind w:firstLine="0" w:firstLineChars="0"/>
              <w:contextualSpacing/>
              <w:jc w:val="center"/>
              <w:rPr>
                <w:sz w:val="21"/>
                <w:szCs w:val="21"/>
              </w:rPr>
            </w:pPr>
            <w:r>
              <w:rPr>
                <w:i/>
                <w:iCs/>
                <w:sz w:val="21"/>
                <w:szCs w:val="21"/>
              </w:rPr>
              <w:t>Ophiopogonjaponicus</w:t>
            </w:r>
          </w:p>
        </w:tc>
        <w:tc>
          <w:tcPr>
            <w:tcW w:w="1500" w:type="dxa"/>
            <w:vAlign w:val="center"/>
          </w:tcPr>
          <w:p>
            <w:pPr>
              <w:widowControl/>
              <w:spacing w:line="240" w:lineRule="auto"/>
              <w:ind w:firstLine="0" w:firstLineChars="0"/>
              <w:contextualSpacing/>
              <w:jc w:val="center"/>
              <w:rPr>
                <w:i/>
                <w:sz w:val="21"/>
                <w:szCs w:val="21"/>
              </w:rPr>
            </w:pPr>
            <w:r>
              <w:rPr>
                <w:i/>
                <w:sz w:val="21"/>
                <w:szCs w:val="21"/>
              </w:rPr>
              <w:t>2</w:t>
            </w:r>
          </w:p>
        </w:tc>
        <w:tc>
          <w:tcPr>
            <w:tcW w:w="1433" w:type="dxa"/>
            <w:vAlign w:val="center"/>
          </w:tcPr>
          <w:p>
            <w:pPr>
              <w:spacing w:line="240" w:lineRule="auto"/>
              <w:ind w:firstLine="0" w:firstLineChars="0"/>
              <w:contextualSpacing/>
              <w:jc w:val="center"/>
              <w:rPr>
                <w:sz w:val="21"/>
                <w:szCs w:val="21"/>
              </w:rPr>
            </w:pPr>
            <w:r>
              <w:rPr>
                <w:sz w:val="21"/>
                <w:szCs w:val="21"/>
              </w:rPr>
              <w:t>1</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widowControl/>
              <w:spacing w:line="240" w:lineRule="auto"/>
              <w:ind w:firstLine="0" w:firstLineChars="0"/>
              <w:contextualSpacing/>
              <w:jc w:val="center"/>
              <w:rPr>
                <w:sz w:val="21"/>
                <w:szCs w:val="21"/>
              </w:rPr>
            </w:pPr>
            <w:r>
              <w:rPr>
                <w:sz w:val="21"/>
                <w:szCs w:val="21"/>
              </w:rPr>
              <w:t>接骨草</w:t>
            </w:r>
          </w:p>
        </w:tc>
        <w:tc>
          <w:tcPr>
            <w:tcW w:w="2455" w:type="dxa"/>
            <w:vAlign w:val="center"/>
          </w:tcPr>
          <w:p>
            <w:pPr>
              <w:widowControl/>
              <w:spacing w:line="240" w:lineRule="auto"/>
              <w:ind w:firstLine="0" w:firstLineChars="0"/>
              <w:contextualSpacing/>
              <w:jc w:val="center"/>
              <w:rPr>
                <w:i/>
                <w:iCs/>
                <w:sz w:val="21"/>
                <w:szCs w:val="21"/>
              </w:rPr>
            </w:pPr>
            <w:r>
              <w:rPr>
                <w:i/>
                <w:iCs/>
                <w:sz w:val="21"/>
                <w:szCs w:val="21"/>
              </w:rPr>
              <w:t>Sambucuschinensis</w:t>
            </w:r>
          </w:p>
        </w:tc>
        <w:tc>
          <w:tcPr>
            <w:tcW w:w="1500" w:type="dxa"/>
            <w:vAlign w:val="center"/>
          </w:tcPr>
          <w:p>
            <w:pPr>
              <w:widowControl/>
              <w:spacing w:line="240" w:lineRule="auto"/>
              <w:ind w:firstLine="0" w:firstLineChars="0"/>
              <w:contextualSpacing/>
              <w:jc w:val="center"/>
              <w:rPr>
                <w:i/>
                <w:sz w:val="21"/>
                <w:szCs w:val="21"/>
              </w:rPr>
            </w:pPr>
            <w:r>
              <w:rPr>
                <w:i/>
                <w:sz w:val="21"/>
                <w:szCs w:val="21"/>
              </w:rPr>
              <w:t>1</w:t>
            </w:r>
          </w:p>
        </w:tc>
        <w:tc>
          <w:tcPr>
            <w:tcW w:w="1433" w:type="dxa"/>
            <w:vAlign w:val="center"/>
          </w:tcPr>
          <w:p>
            <w:pPr>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5</w:t>
      </w:r>
      <w:r>
        <w:rPr>
          <w:rFonts w:ascii="Times New Roman" w:hAnsi="Times New Roman"/>
          <w:b/>
          <w:bCs/>
        </w:rPr>
        <w:t>）黄荆灌丛（Form.</w:t>
      </w:r>
      <w:r>
        <w:rPr>
          <w:rFonts w:ascii="Times New Roman" w:hAnsi="Times New Roman"/>
          <w:b/>
          <w:bCs/>
          <w:i/>
          <w:iCs/>
        </w:rPr>
        <w:t>Vitexnegundo</w:t>
      </w:r>
      <w:r>
        <w:rPr>
          <w:rFonts w:ascii="Times New Roman" w:hAnsi="Times New Roman"/>
          <w:i/>
          <w:sz w:val="14"/>
          <w:szCs w:val="14"/>
          <w:shd w:val="clear" w:color="auto" w:fill="FFFFFF"/>
        </w:rPr>
        <w:t> </w:t>
      </w:r>
      <w:r>
        <w:rPr>
          <w:rFonts w:ascii="Times New Roman" w:hAnsi="Times New Roman"/>
          <w:b/>
          <w:bCs/>
        </w:rPr>
        <w:t>）</w:t>
      </w:r>
    </w:p>
    <w:p>
      <w:pPr>
        <w:pStyle w:val="10"/>
        <w:ind w:firstLine="480"/>
        <w:contextualSpacing/>
      </w:pPr>
      <w:r>
        <w:t>该群丛由黄荆和马桑组建而成，外观绿色，丛状，参差不齐，平均盖度60%，平均株高约1.4m，所采各样方内优势种株数不一。其中，火棘、水麻、马鞍羊蹄甲也在群从中占有一定数量。</w:t>
      </w:r>
    </w:p>
    <w:p>
      <w:pPr>
        <w:pStyle w:val="73"/>
        <w:adjustRightInd/>
        <w:snapToGrid/>
        <w:ind w:firstLine="0" w:firstLineChars="0"/>
        <w:contextualSpacing/>
        <w:rPr>
          <w:rFonts w:eastAsia="宋体"/>
          <w:b/>
          <w:sz w:val="21"/>
          <w:szCs w:val="21"/>
        </w:rPr>
      </w:pPr>
      <w:r>
        <w:rPr>
          <w:rFonts w:eastAsia="宋体"/>
          <w:b/>
          <w:sz w:val="21"/>
          <w:szCs w:val="21"/>
        </w:rPr>
        <w:t>表4.7.1-14  黄荆灌丛植被样方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vAlign w:val="center"/>
          </w:tcPr>
          <w:p>
            <w:pPr>
              <w:spacing w:line="240" w:lineRule="auto"/>
              <w:ind w:firstLine="420"/>
              <w:contextualSpacing/>
              <w:jc w:val="center"/>
              <w:rPr>
                <w:sz w:val="21"/>
                <w:szCs w:val="21"/>
              </w:rPr>
            </w:pPr>
            <w:r>
              <w:rPr>
                <w:rFonts w:hint="eastAsia"/>
                <w:sz w:val="21"/>
                <w:szCs w:val="21"/>
              </w:rPr>
              <w:t>HXS</w:t>
            </w:r>
            <w:r>
              <w:rPr>
                <w:sz w:val="21"/>
                <w:szCs w:val="21"/>
              </w:rPr>
              <w:t>-1</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#4</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sz w:val="21"/>
                <w:szCs w:val="21"/>
              </w:rPr>
            </w:pPr>
            <w:r>
              <w:rPr>
                <w:rFonts w:hint="eastAsia"/>
                <w:sz w:val="21"/>
                <w:szCs w:val="21"/>
              </w:rPr>
              <w:t>罗筐岩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vAlign w:val="center"/>
          </w:tcPr>
          <w:p>
            <w:pPr>
              <w:spacing w:line="240" w:lineRule="auto"/>
              <w:ind w:firstLine="420"/>
              <w:contextualSpacing/>
              <w:jc w:val="center"/>
              <w:rPr>
                <w:sz w:val="21"/>
                <w:szCs w:val="21"/>
              </w:rPr>
            </w:pPr>
            <w:r>
              <w:rPr>
                <w:rFonts w:hint="eastAsia"/>
                <w:sz w:val="21"/>
                <w:szCs w:val="21"/>
              </w:rPr>
              <w:t>106°51′40.513″E, 31°58′46.437″N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sz w:val="21"/>
                <w:szCs w:val="21"/>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2" w:type="dxa"/>
            <w:vAlign w:val="center"/>
          </w:tcPr>
          <w:p>
            <w:pPr>
              <w:widowControl/>
              <w:spacing w:line="240" w:lineRule="auto"/>
              <w:ind w:firstLine="0" w:firstLineChars="0"/>
              <w:contextualSpacing/>
              <w:jc w:val="center"/>
              <w:rPr>
                <w:sz w:val="21"/>
                <w:szCs w:val="21"/>
              </w:rPr>
            </w:pPr>
            <w:r>
              <w:rPr>
                <w:sz w:val="21"/>
                <w:szCs w:val="21"/>
              </w:rPr>
              <w:t>/</w:t>
            </w:r>
          </w:p>
        </w:tc>
        <w:tc>
          <w:tcPr>
            <w:tcW w:w="2455" w:type="dxa"/>
            <w:vAlign w:val="center"/>
          </w:tcPr>
          <w:p>
            <w:pPr>
              <w:widowControl/>
              <w:spacing w:line="240" w:lineRule="auto"/>
              <w:ind w:firstLine="0" w:firstLineChars="0"/>
              <w:contextualSpacing/>
              <w:jc w:val="center"/>
              <w:rPr>
                <w:sz w:val="21"/>
                <w:szCs w:val="21"/>
              </w:rPr>
            </w:pPr>
            <w:r>
              <w:rPr>
                <w:sz w:val="21"/>
                <w:szCs w:val="21"/>
              </w:rPr>
              <w:t>/</w:t>
            </w:r>
          </w:p>
        </w:tc>
        <w:tc>
          <w:tcPr>
            <w:tcW w:w="1500" w:type="dxa"/>
            <w:vAlign w:val="center"/>
          </w:tcPr>
          <w:p>
            <w:pPr>
              <w:spacing w:line="240" w:lineRule="auto"/>
              <w:ind w:firstLine="0" w:firstLineChars="0"/>
              <w:contextualSpacing/>
              <w:jc w:val="center"/>
              <w:rPr>
                <w:i/>
                <w:iCs/>
                <w:sz w:val="21"/>
                <w:szCs w:val="21"/>
              </w:rPr>
            </w:pPr>
            <w:r>
              <w:rPr>
                <w:i/>
                <w:iCs/>
                <w:sz w:val="21"/>
                <w:szCs w:val="21"/>
              </w:rPr>
              <w:t>/</w:t>
            </w:r>
          </w:p>
        </w:tc>
        <w:tc>
          <w:tcPr>
            <w:tcW w:w="1433" w:type="dxa"/>
            <w:vAlign w:val="center"/>
          </w:tcPr>
          <w:p>
            <w:pPr>
              <w:spacing w:line="240" w:lineRule="auto"/>
              <w:ind w:firstLine="0" w:firstLineChars="0"/>
              <w:contextualSpacing/>
              <w:jc w:val="center"/>
              <w:rPr>
                <w:sz w:val="21"/>
                <w:szCs w:val="21"/>
              </w:rPr>
            </w:pPr>
            <w:r>
              <w:rPr>
                <w:sz w:val="21"/>
                <w:szCs w:val="21"/>
              </w:rPr>
              <w:t>/</w:t>
            </w:r>
          </w:p>
        </w:tc>
        <w:tc>
          <w:tcPr>
            <w:tcW w:w="2112" w:type="dxa"/>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vAlign w:val="center"/>
          </w:tcPr>
          <w:p>
            <w:pPr>
              <w:widowControl/>
              <w:spacing w:line="240" w:lineRule="auto"/>
              <w:ind w:firstLine="0" w:firstLineChars="0"/>
              <w:contextualSpacing/>
              <w:jc w:val="center"/>
              <w:rPr>
                <w:bCs/>
                <w:sz w:val="21"/>
                <w:szCs w:val="21"/>
              </w:rPr>
            </w:pPr>
            <w:r>
              <w:rPr>
                <w:bCs/>
                <w:sz w:val="21"/>
                <w:szCs w:val="21"/>
              </w:rPr>
              <w:t>黄荆</w:t>
            </w:r>
          </w:p>
        </w:tc>
        <w:tc>
          <w:tcPr>
            <w:tcW w:w="2455"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6</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40</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总盖度：60%</w:t>
            </w:r>
          </w:p>
          <w:p>
            <w:pPr>
              <w:spacing w:line="240" w:lineRule="auto"/>
              <w:ind w:firstLine="0" w:firstLineChars="0"/>
              <w:contextualSpacing/>
              <w:jc w:val="center"/>
              <w:rPr>
                <w:sz w:val="21"/>
                <w:szCs w:val="21"/>
              </w:rPr>
            </w:pPr>
            <w:r>
              <w:rPr>
                <w:bCs/>
                <w:sz w:val="21"/>
                <w:szCs w:val="21"/>
              </w:rPr>
              <w:t>灌木均高约1.2m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马桑</w:t>
            </w:r>
          </w:p>
        </w:tc>
        <w:tc>
          <w:tcPr>
            <w:tcW w:w="2455"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Coriarianepalensis</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20</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火棘</w:t>
            </w:r>
          </w:p>
        </w:tc>
        <w:tc>
          <w:tcPr>
            <w:tcW w:w="2455" w:type="dxa"/>
            <w:shd w:val="clear" w:color="auto" w:fill="FFFFFF"/>
            <w:vAlign w:val="center"/>
          </w:tcPr>
          <w:p>
            <w:pPr>
              <w:widowControl/>
              <w:spacing w:line="240" w:lineRule="auto"/>
              <w:ind w:firstLine="0" w:firstLineChars="0"/>
              <w:contextualSpacing/>
              <w:jc w:val="center"/>
              <w:rPr>
                <w:i/>
                <w:iCs/>
                <w:sz w:val="21"/>
                <w:szCs w:val="21"/>
              </w:rPr>
            </w:pPr>
            <w:r>
              <w:rPr>
                <w:bCs/>
                <w:i/>
                <w:iCs/>
                <w:sz w:val="21"/>
                <w:szCs w:val="21"/>
              </w:rPr>
              <w:t>Pyracanthafortuneana</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马鞍羊蹄甲</w:t>
            </w:r>
          </w:p>
        </w:tc>
        <w:tc>
          <w:tcPr>
            <w:tcW w:w="2455"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Bauhiniafaberi</w:t>
            </w:r>
          </w:p>
        </w:tc>
        <w:tc>
          <w:tcPr>
            <w:tcW w:w="1500" w:type="dxa"/>
            <w:shd w:val="clear" w:color="auto" w:fill="FFFFFF"/>
            <w:vAlign w:val="center"/>
          </w:tcPr>
          <w:p>
            <w:pPr>
              <w:widowControl/>
              <w:spacing w:line="240" w:lineRule="auto"/>
              <w:ind w:firstLine="0" w:firstLineChars="0"/>
              <w:contextualSpacing/>
              <w:jc w:val="center"/>
              <w:rPr>
                <w:i/>
                <w:iCs/>
                <w:sz w:val="21"/>
                <w:szCs w:val="21"/>
              </w:rPr>
            </w:pPr>
            <w:r>
              <w:rPr>
                <w:rFonts w:hint="eastAsia"/>
                <w:i/>
                <w:iCs/>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蕨</w:t>
            </w:r>
          </w:p>
        </w:tc>
        <w:tc>
          <w:tcPr>
            <w:tcW w:w="2455" w:type="dxa"/>
            <w:shd w:val="clear" w:color="auto" w:fill="FFFFFF"/>
            <w:vAlign w:val="center"/>
          </w:tcPr>
          <w:p>
            <w:pPr>
              <w:widowControl/>
              <w:spacing w:line="240" w:lineRule="auto"/>
              <w:ind w:firstLine="0" w:firstLineChars="0"/>
              <w:contextualSpacing/>
              <w:jc w:val="center"/>
              <w:rPr>
                <w:i/>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8</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总盖度：5%</w:t>
            </w:r>
          </w:p>
          <w:p>
            <w:pPr>
              <w:spacing w:line="240" w:lineRule="auto"/>
              <w:ind w:firstLine="0" w:firstLineChars="0"/>
              <w:contextualSpacing/>
              <w:jc w:val="center"/>
              <w:rPr>
                <w:sz w:val="21"/>
                <w:szCs w:val="21"/>
              </w:rPr>
            </w:pPr>
            <w:r>
              <w:rPr>
                <w:bCs/>
                <w:sz w:val="21"/>
                <w:szCs w:val="21"/>
              </w:rPr>
              <w:t>草本均高0.2-0.4m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22" w:type="dxa"/>
            <w:shd w:val="clear" w:color="auto" w:fill="FFFFFF"/>
            <w:vAlign w:val="center"/>
          </w:tcPr>
          <w:p>
            <w:pPr>
              <w:widowControl/>
              <w:spacing w:line="240" w:lineRule="auto"/>
              <w:ind w:firstLine="0" w:firstLineChars="0"/>
              <w:contextualSpacing/>
              <w:jc w:val="center"/>
              <w:rPr>
                <w:sz w:val="21"/>
                <w:szCs w:val="21"/>
              </w:rPr>
            </w:pPr>
            <w:r>
              <w:rPr>
                <w:sz w:val="21"/>
                <w:szCs w:val="21"/>
              </w:rPr>
              <w:t>白茅</w:t>
            </w:r>
          </w:p>
        </w:tc>
        <w:tc>
          <w:tcPr>
            <w:tcW w:w="2455" w:type="dxa"/>
            <w:shd w:val="clear" w:color="auto" w:fill="FFFFFF"/>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6</w:t>
      </w:r>
      <w:r>
        <w:rPr>
          <w:rFonts w:ascii="Times New Roman" w:hAnsi="Times New Roman"/>
          <w:b/>
          <w:bCs/>
        </w:rPr>
        <w:t>）盐肤木（Form.</w:t>
      </w:r>
      <w:r>
        <w:rPr>
          <w:rFonts w:ascii="Times New Roman" w:hAnsi="Times New Roman"/>
          <w:b/>
          <w:bCs/>
          <w:i/>
          <w:iCs/>
        </w:rPr>
        <w:t>Rhuschinensis</w:t>
      </w:r>
      <w:r>
        <w:rPr>
          <w:rFonts w:ascii="Times New Roman" w:hAnsi="Times New Roman"/>
          <w:b/>
          <w:bCs/>
        </w:rPr>
        <w:t>）</w:t>
      </w:r>
    </w:p>
    <w:p>
      <w:pPr>
        <w:pStyle w:val="10"/>
        <w:ind w:firstLine="480"/>
        <w:contextualSpacing/>
      </w:pPr>
      <w:r>
        <w:t>生于向阳山坡、沟谷、溪边的疏林或灌丛中。常见树种为盐肤木、黄荆，分布于农田周围，草本由白茅、野黄菊等构成。</w:t>
      </w:r>
    </w:p>
    <w:p>
      <w:pPr>
        <w:pStyle w:val="73"/>
        <w:adjustRightInd/>
        <w:snapToGrid/>
        <w:ind w:firstLine="0" w:firstLineChars="0"/>
        <w:contextualSpacing/>
        <w:rPr>
          <w:rFonts w:eastAsia="宋体"/>
          <w:b/>
          <w:sz w:val="21"/>
          <w:szCs w:val="21"/>
        </w:rPr>
      </w:pPr>
      <w:r>
        <w:rPr>
          <w:rFonts w:eastAsia="宋体"/>
          <w:b/>
          <w:sz w:val="21"/>
          <w:szCs w:val="21"/>
        </w:rPr>
        <w:t>表4.7.1-15  盐肤木林植被样方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455"/>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noWrap/>
            <w:vAlign w:val="center"/>
          </w:tcPr>
          <w:p>
            <w:pPr>
              <w:spacing w:line="240" w:lineRule="auto"/>
              <w:ind w:firstLine="0" w:firstLineChars="0"/>
              <w:contextualSpacing/>
              <w:jc w:val="center"/>
              <w:rPr>
                <w:b/>
                <w:bCs/>
                <w:sz w:val="21"/>
                <w:szCs w:val="21"/>
              </w:rPr>
            </w:pPr>
            <w:r>
              <w:rPr>
                <w:b/>
                <w:bCs/>
                <w:sz w:val="21"/>
                <w:szCs w:val="21"/>
              </w:rPr>
              <w:t>样线号</w:t>
            </w:r>
          </w:p>
        </w:tc>
        <w:tc>
          <w:tcPr>
            <w:tcW w:w="2455" w:type="dxa"/>
            <w:noWrap/>
            <w:vAlign w:val="center"/>
          </w:tcPr>
          <w:p>
            <w:pPr>
              <w:spacing w:line="240" w:lineRule="auto"/>
              <w:ind w:firstLine="420"/>
              <w:contextualSpacing/>
              <w:jc w:val="center"/>
              <w:rPr>
                <w:sz w:val="21"/>
                <w:szCs w:val="21"/>
              </w:rPr>
            </w:pPr>
            <w:r>
              <w:rPr>
                <w:rFonts w:hint="eastAsia"/>
                <w:sz w:val="21"/>
                <w:szCs w:val="21"/>
              </w:rPr>
              <w:t>HXS</w:t>
            </w:r>
            <w:r>
              <w:rPr>
                <w:sz w:val="21"/>
                <w:szCs w:val="21"/>
              </w:rPr>
              <w:t>-6</w:t>
            </w:r>
          </w:p>
        </w:tc>
        <w:tc>
          <w:tcPr>
            <w:tcW w:w="1500" w:type="dxa"/>
            <w:noWrap/>
            <w:vAlign w:val="center"/>
          </w:tcPr>
          <w:p>
            <w:pPr>
              <w:spacing w:line="240" w:lineRule="auto"/>
              <w:ind w:firstLine="0" w:firstLineChars="0"/>
              <w:contextualSpacing/>
              <w:jc w:val="center"/>
              <w:rPr>
                <w:sz w:val="21"/>
                <w:szCs w:val="21"/>
              </w:rPr>
            </w:pPr>
            <w:r>
              <w:rPr>
                <w:b/>
                <w:bCs/>
                <w:sz w:val="21"/>
                <w:szCs w:val="21"/>
              </w:rPr>
              <w:t>样方号：</w:t>
            </w:r>
            <w:r>
              <w:rPr>
                <w:sz w:val="21"/>
                <w:szCs w:val="21"/>
              </w:rPr>
              <w:t>#5</w:t>
            </w:r>
          </w:p>
        </w:tc>
        <w:tc>
          <w:tcPr>
            <w:tcW w:w="1433" w:type="dxa"/>
            <w:noWrap/>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noWrap/>
            <w:vAlign w:val="center"/>
          </w:tcPr>
          <w:p>
            <w:pPr>
              <w:spacing w:line="240" w:lineRule="auto"/>
              <w:ind w:firstLine="0" w:firstLineChars="0"/>
              <w:contextualSpacing/>
              <w:jc w:val="center"/>
              <w:rPr>
                <w:sz w:val="21"/>
                <w:szCs w:val="21"/>
              </w:rPr>
            </w:pPr>
            <w:r>
              <w:rPr>
                <w:rFonts w:hint="eastAsia"/>
                <w:sz w:val="21"/>
                <w:szCs w:val="21"/>
              </w:rPr>
              <w:t>杨家坪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22" w:type="dxa"/>
            <w:noWrap/>
            <w:vAlign w:val="center"/>
          </w:tcPr>
          <w:p>
            <w:pPr>
              <w:spacing w:line="240" w:lineRule="auto"/>
              <w:ind w:firstLine="0" w:firstLineChars="0"/>
              <w:contextualSpacing/>
              <w:jc w:val="center"/>
              <w:rPr>
                <w:b/>
                <w:bCs/>
                <w:sz w:val="21"/>
                <w:szCs w:val="21"/>
              </w:rPr>
            </w:pPr>
            <w:r>
              <w:rPr>
                <w:b/>
                <w:bCs/>
                <w:sz w:val="21"/>
                <w:szCs w:val="21"/>
              </w:rPr>
              <w:t>经纬度</w:t>
            </w:r>
          </w:p>
        </w:tc>
        <w:tc>
          <w:tcPr>
            <w:tcW w:w="3955" w:type="dxa"/>
            <w:gridSpan w:val="2"/>
            <w:noWrap/>
            <w:vAlign w:val="center"/>
          </w:tcPr>
          <w:p>
            <w:pPr>
              <w:spacing w:line="240" w:lineRule="auto"/>
              <w:ind w:firstLine="420"/>
              <w:contextualSpacing/>
              <w:jc w:val="center"/>
              <w:rPr>
                <w:sz w:val="21"/>
                <w:szCs w:val="21"/>
              </w:rPr>
            </w:pPr>
            <w:r>
              <w:rPr>
                <w:rFonts w:hint="eastAsia"/>
                <w:sz w:val="21"/>
                <w:szCs w:val="21"/>
              </w:rPr>
              <w:t>106°50′43.900″E, 31°54′0.767″N</w:t>
            </w:r>
          </w:p>
        </w:tc>
        <w:tc>
          <w:tcPr>
            <w:tcW w:w="1433" w:type="dxa"/>
            <w:noWrap/>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noWrap/>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noWrap/>
            <w:vAlign w:val="center"/>
          </w:tcPr>
          <w:p>
            <w:pPr>
              <w:spacing w:line="240" w:lineRule="auto"/>
              <w:ind w:firstLine="0" w:firstLineChars="0"/>
              <w:contextualSpacing/>
              <w:jc w:val="center"/>
              <w:rPr>
                <w:b/>
                <w:bCs/>
                <w:sz w:val="21"/>
                <w:szCs w:val="21"/>
              </w:rPr>
            </w:pPr>
            <w:r>
              <w:rPr>
                <w:b/>
                <w:bCs/>
                <w:sz w:val="21"/>
                <w:szCs w:val="21"/>
              </w:rPr>
              <w:t>乔木层</w:t>
            </w:r>
          </w:p>
        </w:tc>
        <w:tc>
          <w:tcPr>
            <w:tcW w:w="2455" w:type="dxa"/>
            <w:noWrap/>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noWrap/>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noWrap/>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noWrap/>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2" w:type="dxa"/>
            <w:noWrap/>
            <w:vAlign w:val="center"/>
          </w:tcPr>
          <w:p>
            <w:pPr>
              <w:widowControl/>
              <w:spacing w:line="240" w:lineRule="auto"/>
              <w:ind w:firstLine="0" w:firstLineChars="0"/>
              <w:contextualSpacing/>
              <w:jc w:val="center"/>
              <w:rPr>
                <w:sz w:val="21"/>
                <w:szCs w:val="21"/>
              </w:rPr>
            </w:pPr>
            <w:r>
              <w:rPr>
                <w:bCs/>
                <w:sz w:val="21"/>
                <w:szCs w:val="21"/>
              </w:rPr>
              <w:t>盐肤木</w:t>
            </w:r>
          </w:p>
        </w:tc>
        <w:tc>
          <w:tcPr>
            <w:tcW w:w="2455" w:type="dxa"/>
            <w:noWrap/>
            <w:vAlign w:val="center"/>
          </w:tcPr>
          <w:p>
            <w:pPr>
              <w:widowControl/>
              <w:spacing w:line="240" w:lineRule="auto"/>
              <w:ind w:firstLine="0" w:firstLineChars="0"/>
              <w:contextualSpacing/>
              <w:jc w:val="center"/>
              <w:rPr>
                <w:sz w:val="21"/>
                <w:szCs w:val="21"/>
              </w:rPr>
            </w:pPr>
            <w:r>
              <w:rPr>
                <w:bCs/>
                <w:i/>
                <w:iCs/>
                <w:sz w:val="21"/>
                <w:szCs w:val="21"/>
              </w:rPr>
              <w:t>Rhuschinensis</w:t>
            </w:r>
          </w:p>
        </w:tc>
        <w:tc>
          <w:tcPr>
            <w:tcW w:w="1500" w:type="dxa"/>
            <w:noWrap/>
            <w:vAlign w:val="center"/>
          </w:tcPr>
          <w:p>
            <w:pPr>
              <w:spacing w:line="240" w:lineRule="auto"/>
              <w:ind w:firstLine="0" w:firstLineChars="0"/>
              <w:contextualSpacing/>
              <w:jc w:val="center"/>
              <w:rPr>
                <w:i/>
                <w:iCs/>
                <w:sz w:val="21"/>
                <w:szCs w:val="21"/>
              </w:rPr>
            </w:pPr>
            <w:r>
              <w:rPr>
                <w:rFonts w:hint="eastAsia"/>
                <w:i/>
                <w:iCs/>
                <w:sz w:val="21"/>
                <w:szCs w:val="21"/>
              </w:rPr>
              <w:t>28</w:t>
            </w:r>
          </w:p>
        </w:tc>
        <w:tc>
          <w:tcPr>
            <w:tcW w:w="1433" w:type="dxa"/>
            <w:noWrap/>
            <w:vAlign w:val="center"/>
          </w:tcPr>
          <w:p>
            <w:pPr>
              <w:spacing w:line="240" w:lineRule="auto"/>
              <w:ind w:firstLine="0" w:firstLineChars="0"/>
              <w:contextualSpacing/>
              <w:jc w:val="center"/>
              <w:rPr>
                <w:sz w:val="21"/>
                <w:szCs w:val="21"/>
              </w:rPr>
            </w:pPr>
            <w:r>
              <w:rPr>
                <w:sz w:val="21"/>
                <w:szCs w:val="21"/>
              </w:rPr>
              <w:t>0.5</w:t>
            </w:r>
          </w:p>
        </w:tc>
        <w:tc>
          <w:tcPr>
            <w:tcW w:w="2112" w:type="dxa"/>
            <w:noWrap/>
            <w:vAlign w:val="center"/>
          </w:tcPr>
          <w:p>
            <w:pPr>
              <w:spacing w:line="240" w:lineRule="auto"/>
              <w:ind w:firstLine="0" w:firstLineChars="0"/>
              <w:contextualSpacing/>
              <w:jc w:val="center"/>
              <w:rPr>
                <w:b/>
                <w:bCs/>
                <w:sz w:val="21"/>
                <w:szCs w:val="21"/>
              </w:rPr>
            </w:pPr>
            <w:r>
              <w:rPr>
                <w:b/>
                <w:bCs/>
                <w:sz w:val="21"/>
                <w:szCs w:val="21"/>
              </w:rPr>
              <w:t>样方：20×20m</w:t>
            </w:r>
          </w:p>
          <w:p>
            <w:pPr>
              <w:spacing w:line="240" w:lineRule="auto"/>
              <w:ind w:firstLine="0" w:firstLineChars="0"/>
              <w:contextualSpacing/>
              <w:jc w:val="center"/>
              <w:rPr>
                <w:sz w:val="21"/>
                <w:szCs w:val="21"/>
              </w:rPr>
            </w:pPr>
            <w:r>
              <w:rPr>
                <w:sz w:val="21"/>
                <w:szCs w:val="21"/>
              </w:rPr>
              <w:t>高度1.5-5m，胸径1-8cm.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noWrap/>
            <w:vAlign w:val="center"/>
          </w:tcPr>
          <w:p>
            <w:pPr>
              <w:spacing w:line="240" w:lineRule="auto"/>
              <w:ind w:firstLine="0" w:firstLineChars="0"/>
              <w:contextualSpacing/>
              <w:jc w:val="center"/>
              <w:rPr>
                <w:b/>
                <w:bCs/>
                <w:sz w:val="21"/>
                <w:szCs w:val="21"/>
              </w:rPr>
            </w:pPr>
            <w:r>
              <w:rPr>
                <w:b/>
                <w:bCs/>
                <w:sz w:val="21"/>
                <w:szCs w:val="21"/>
              </w:rPr>
              <w:t>灌木层</w:t>
            </w:r>
          </w:p>
        </w:tc>
        <w:tc>
          <w:tcPr>
            <w:tcW w:w="2455" w:type="dxa"/>
            <w:noWrap/>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noWrap/>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noWrap/>
            <w:vAlign w:val="center"/>
          </w:tcPr>
          <w:p>
            <w:pPr>
              <w:spacing w:line="240" w:lineRule="auto"/>
              <w:ind w:firstLine="0" w:firstLineChars="0"/>
              <w:contextualSpacing/>
              <w:jc w:val="center"/>
              <w:rPr>
                <w:b/>
                <w:bCs/>
                <w:sz w:val="21"/>
                <w:szCs w:val="21"/>
              </w:rPr>
            </w:pPr>
            <w:r>
              <w:rPr>
                <w:b/>
                <w:bCs/>
                <w:sz w:val="21"/>
                <w:szCs w:val="21"/>
              </w:rPr>
              <w:t>盖度%</w:t>
            </w:r>
          </w:p>
        </w:tc>
        <w:tc>
          <w:tcPr>
            <w:tcW w:w="2112" w:type="dxa"/>
            <w:noWrap/>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2" w:type="dxa"/>
            <w:shd w:val="clear" w:color="auto" w:fill="FFFFFF"/>
            <w:noWrap/>
            <w:vAlign w:val="center"/>
          </w:tcPr>
          <w:p>
            <w:pPr>
              <w:widowControl/>
              <w:spacing w:line="240" w:lineRule="auto"/>
              <w:ind w:firstLine="0" w:firstLineChars="0"/>
              <w:contextualSpacing/>
              <w:jc w:val="center"/>
              <w:rPr>
                <w:bCs/>
                <w:sz w:val="21"/>
                <w:szCs w:val="21"/>
              </w:rPr>
            </w:pPr>
            <w:r>
              <w:rPr>
                <w:bCs/>
                <w:sz w:val="21"/>
                <w:szCs w:val="21"/>
              </w:rPr>
              <w:t>黄荆</w:t>
            </w:r>
          </w:p>
        </w:tc>
        <w:tc>
          <w:tcPr>
            <w:tcW w:w="2455" w:type="dxa"/>
            <w:shd w:val="clear" w:color="auto" w:fill="FFFFFF"/>
            <w:noWrap/>
            <w:vAlign w:val="center"/>
          </w:tcPr>
          <w:p>
            <w:pPr>
              <w:widowControl/>
              <w:spacing w:line="240" w:lineRule="auto"/>
              <w:ind w:firstLine="0" w:firstLineChars="0"/>
              <w:contextualSpacing/>
              <w:jc w:val="center"/>
              <w:rPr>
                <w:bCs/>
                <w:i/>
                <w:iCs/>
                <w:sz w:val="21"/>
                <w:szCs w:val="21"/>
              </w:rPr>
            </w:pPr>
            <w:r>
              <w:rPr>
                <w:bCs/>
                <w:i/>
                <w:iCs/>
                <w:sz w:val="21"/>
                <w:szCs w:val="21"/>
              </w:rPr>
              <w:t>Vitexnegundo</w:t>
            </w:r>
          </w:p>
        </w:tc>
        <w:tc>
          <w:tcPr>
            <w:tcW w:w="1500" w:type="dxa"/>
            <w:shd w:val="clear" w:color="auto" w:fill="FFFFFF"/>
            <w:noWrap/>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5</w:t>
            </w:r>
          </w:p>
        </w:tc>
        <w:tc>
          <w:tcPr>
            <w:tcW w:w="1433" w:type="dxa"/>
            <w:shd w:val="clear" w:color="auto" w:fill="FFFFFF"/>
            <w:noWrap/>
            <w:vAlign w:val="center"/>
          </w:tcPr>
          <w:p>
            <w:pPr>
              <w:widowControl/>
              <w:spacing w:line="240" w:lineRule="auto"/>
              <w:ind w:firstLine="0" w:firstLineChars="0"/>
              <w:contextualSpacing/>
              <w:jc w:val="center"/>
              <w:rPr>
                <w:bCs/>
                <w:i/>
                <w:iCs/>
                <w:sz w:val="21"/>
                <w:szCs w:val="21"/>
              </w:rPr>
            </w:pPr>
            <w:r>
              <w:rPr>
                <w:bCs/>
                <w:i/>
                <w:iCs/>
                <w:sz w:val="21"/>
                <w:szCs w:val="21"/>
              </w:rPr>
              <w:t>10</w:t>
            </w:r>
          </w:p>
        </w:tc>
        <w:tc>
          <w:tcPr>
            <w:tcW w:w="2112" w:type="dxa"/>
            <w:vMerge w:val="restart"/>
            <w:noWrap/>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总盖度：40%</w:t>
            </w:r>
          </w:p>
          <w:p>
            <w:pPr>
              <w:spacing w:line="240" w:lineRule="auto"/>
              <w:ind w:firstLine="0" w:firstLineChars="0"/>
              <w:contextualSpacing/>
              <w:jc w:val="center"/>
              <w:rPr>
                <w:sz w:val="21"/>
                <w:szCs w:val="21"/>
              </w:rPr>
            </w:pPr>
            <w:r>
              <w:rPr>
                <w:bCs/>
                <w:sz w:val="21"/>
                <w:szCs w:val="21"/>
              </w:rPr>
              <w:t>灌木均高约1.2m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22"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水麻</w:t>
            </w:r>
          </w:p>
        </w:tc>
        <w:tc>
          <w:tcPr>
            <w:tcW w:w="2455" w:type="dxa"/>
            <w:shd w:val="clear" w:color="auto" w:fill="FFFFFF"/>
            <w:noWrap/>
            <w:vAlign w:val="center"/>
          </w:tcPr>
          <w:p>
            <w:pPr>
              <w:widowControl/>
              <w:spacing w:line="240" w:lineRule="auto"/>
              <w:ind w:firstLine="0" w:firstLineChars="0"/>
              <w:contextualSpacing/>
              <w:jc w:val="center"/>
              <w:rPr>
                <w:sz w:val="21"/>
                <w:szCs w:val="21"/>
              </w:rPr>
            </w:pPr>
            <w:r>
              <w:rPr>
                <w:i/>
                <w:iCs/>
                <w:sz w:val="21"/>
                <w:szCs w:val="21"/>
              </w:rPr>
              <w:t>Boehmeriapenduliflora</w:t>
            </w:r>
          </w:p>
        </w:tc>
        <w:tc>
          <w:tcPr>
            <w:tcW w:w="1500" w:type="dxa"/>
            <w:shd w:val="clear" w:color="auto" w:fill="FFFFFF"/>
            <w:noWrap/>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noWrap/>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FFFFFF"/>
            <w:noWrap/>
            <w:vAlign w:val="center"/>
          </w:tcPr>
          <w:p>
            <w:pPr>
              <w:spacing w:line="240" w:lineRule="auto"/>
              <w:ind w:firstLine="0" w:firstLineChars="0"/>
              <w:contextualSpacing/>
              <w:jc w:val="center"/>
              <w:rPr>
                <w:b/>
                <w:bCs/>
                <w:sz w:val="21"/>
                <w:szCs w:val="21"/>
              </w:rPr>
            </w:pPr>
            <w:r>
              <w:rPr>
                <w:b/>
                <w:bCs/>
                <w:sz w:val="21"/>
                <w:szCs w:val="21"/>
              </w:rPr>
              <w:t>草本层</w:t>
            </w:r>
          </w:p>
        </w:tc>
        <w:tc>
          <w:tcPr>
            <w:tcW w:w="2455" w:type="dxa"/>
            <w:shd w:val="clear" w:color="auto" w:fill="FFFFFF"/>
            <w:noWrap/>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noWrap/>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noWrap/>
            <w:vAlign w:val="center"/>
          </w:tcPr>
          <w:p>
            <w:pPr>
              <w:spacing w:line="240" w:lineRule="auto"/>
              <w:ind w:firstLine="0" w:firstLineChars="0"/>
              <w:contextualSpacing/>
              <w:jc w:val="center"/>
              <w:rPr>
                <w:b/>
                <w:bCs/>
                <w:sz w:val="21"/>
                <w:szCs w:val="21"/>
              </w:rPr>
            </w:pPr>
            <w:r>
              <w:rPr>
                <w:b/>
                <w:bCs/>
                <w:sz w:val="21"/>
                <w:szCs w:val="21"/>
              </w:rPr>
              <w:t>盖度%</w:t>
            </w:r>
          </w:p>
        </w:tc>
        <w:tc>
          <w:tcPr>
            <w:tcW w:w="2112" w:type="dxa"/>
            <w:noWrap/>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22" w:type="dxa"/>
            <w:shd w:val="clear" w:color="auto" w:fill="FFFFFF"/>
            <w:noWrap/>
            <w:vAlign w:val="center"/>
          </w:tcPr>
          <w:p>
            <w:pPr>
              <w:widowControl/>
              <w:spacing w:line="240" w:lineRule="auto"/>
              <w:ind w:firstLine="0" w:firstLineChars="0"/>
              <w:contextualSpacing/>
              <w:jc w:val="center"/>
              <w:rPr>
                <w:sz w:val="21"/>
                <w:szCs w:val="21"/>
              </w:rPr>
            </w:pPr>
            <w:r>
              <w:rPr>
                <w:kern w:val="0"/>
                <w:sz w:val="21"/>
                <w:szCs w:val="21"/>
              </w:rPr>
              <w:t>蕨</w:t>
            </w:r>
          </w:p>
        </w:tc>
        <w:tc>
          <w:tcPr>
            <w:tcW w:w="2455" w:type="dxa"/>
            <w:shd w:val="clear" w:color="auto" w:fill="FFFFFF"/>
            <w:noWrap/>
            <w:vAlign w:val="center"/>
          </w:tcPr>
          <w:p>
            <w:pPr>
              <w:widowControl/>
              <w:spacing w:line="240" w:lineRule="auto"/>
              <w:ind w:firstLine="0" w:firstLineChars="0"/>
              <w:contextualSpacing/>
              <w:jc w:val="center"/>
              <w:rPr>
                <w:i/>
                <w:sz w:val="21"/>
                <w:szCs w:val="21"/>
              </w:rPr>
            </w:pPr>
            <w:r>
              <w:rPr>
                <w:i/>
                <w:sz w:val="21"/>
                <w:szCs w:val="21"/>
              </w:rPr>
              <w:t>Imperatacylindrica</w:t>
            </w:r>
          </w:p>
        </w:tc>
        <w:tc>
          <w:tcPr>
            <w:tcW w:w="1500" w:type="dxa"/>
            <w:shd w:val="clear" w:color="auto" w:fill="FFFFFF"/>
            <w:noWrap/>
            <w:vAlign w:val="center"/>
          </w:tcPr>
          <w:p>
            <w:pPr>
              <w:widowControl/>
              <w:spacing w:line="240" w:lineRule="auto"/>
              <w:ind w:firstLine="0" w:firstLineChars="0"/>
              <w:contextualSpacing/>
              <w:jc w:val="center"/>
              <w:rPr>
                <w:rFonts w:hint="eastAsia"/>
                <w:i/>
                <w:sz w:val="21"/>
                <w:szCs w:val="21"/>
              </w:rPr>
            </w:pPr>
            <w:r>
              <w:rPr>
                <w:rFonts w:hint="eastAsia"/>
                <w:i/>
                <w:sz w:val="21"/>
                <w:szCs w:val="21"/>
              </w:rPr>
              <w:t>8</w:t>
            </w:r>
          </w:p>
        </w:tc>
        <w:tc>
          <w:tcPr>
            <w:tcW w:w="1433" w:type="dxa"/>
            <w:shd w:val="clear" w:color="auto" w:fill="FFFFFF"/>
            <w:noWrap/>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Merge w:val="restart"/>
            <w:noWrap/>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总盖度：10%</w:t>
            </w:r>
          </w:p>
          <w:p>
            <w:pPr>
              <w:spacing w:line="240" w:lineRule="auto"/>
              <w:ind w:firstLine="0" w:firstLineChars="0"/>
              <w:contextualSpacing/>
              <w:jc w:val="center"/>
              <w:rPr>
                <w:sz w:val="21"/>
                <w:szCs w:val="21"/>
              </w:rPr>
            </w:pPr>
            <w:r>
              <w:rPr>
                <w:bCs/>
                <w:sz w:val="21"/>
                <w:szCs w:val="21"/>
              </w:rPr>
              <w:t>草本均高0.2-0.6m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22"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白茅</w:t>
            </w:r>
          </w:p>
        </w:tc>
        <w:tc>
          <w:tcPr>
            <w:tcW w:w="2455" w:type="dxa"/>
            <w:shd w:val="clear" w:color="auto" w:fill="FFFFFF"/>
            <w:noWrap/>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noWrap/>
            <w:vAlign w:val="center"/>
          </w:tcPr>
          <w:p>
            <w:pPr>
              <w:widowControl/>
              <w:spacing w:line="240" w:lineRule="auto"/>
              <w:ind w:firstLine="0" w:firstLineChars="0"/>
              <w:contextualSpacing/>
              <w:jc w:val="center"/>
              <w:rPr>
                <w:i/>
                <w:sz w:val="21"/>
                <w:szCs w:val="21"/>
              </w:rPr>
            </w:pPr>
            <w:r>
              <w:rPr>
                <w:i/>
                <w:sz w:val="21"/>
                <w:szCs w:val="21"/>
              </w:rPr>
              <w:t>10</w:t>
            </w:r>
          </w:p>
        </w:tc>
        <w:tc>
          <w:tcPr>
            <w:tcW w:w="1433"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5</w:t>
            </w:r>
          </w:p>
        </w:tc>
        <w:tc>
          <w:tcPr>
            <w:tcW w:w="2112" w:type="dxa"/>
            <w:vMerge w:val="continue"/>
            <w:noWrap/>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22"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马唐</w:t>
            </w:r>
          </w:p>
        </w:tc>
        <w:tc>
          <w:tcPr>
            <w:tcW w:w="2455" w:type="dxa"/>
            <w:shd w:val="clear" w:color="auto" w:fill="FFFFFF"/>
            <w:noWrap/>
            <w:vAlign w:val="center"/>
          </w:tcPr>
          <w:p>
            <w:pPr>
              <w:widowControl/>
              <w:spacing w:line="240" w:lineRule="auto"/>
              <w:ind w:firstLine="0" w:firstLineChars="0"/>
              <w:contextualSpacing/>
              <w:jc w:val="center"/>
              <w:rPr>
                <w:i/>
                <w:sz w:val="21"/>
                <w:szCs w:val="21"/>
              </w:rPr>
            </w:pPr>
            <w:r>
              <w:rPr>
                <w:i/>
                <w:sz w:val="21"/>
                <w:szCs w:val="21"/>
              </w:rPr>
              <w:t>Digitariasanguinalis</w:t>
            </w:r>
          </w:p>
        </w:tc>
        <w:tc>
          <w:tcPr>
            <w:tcW w:w="1500" w:type="dxa"/>
            <w:shd w:val="clear" w:color="auto" w:fill="FFFFFF"/>
            <w:noWrap/>
            <w:vAlign w:val="center"/>
          </w:tcPr>
          <w:p>
            <w:pPr>
              <w:widowControl/>
              <w:spacing w:line="240" w:lineRule="auto"/>
              <w:ind w:firstLine="0" w:firstLineChars="0"/>
              <w:contextualSpacing/>
              <w:jc w:val="center"/>
              <w:rPr>
                <w:rFonts w:hint="eastAsia"/>
                <w:i/>
                <w:sz w:val="21"/>
                <w:szCs w:val="21"/>
              </w:rPr>
            </w:pPr>
            <w:r>
              <w:rPr>
                <w:rFonts w:hint="eastAsia"/>
                <w:i/>
                <w:sz w:val="21"/>
                <w:szCs w:val="21"/>
              </w:rPr>
              <w:t>2</w:t>
            </w:r>
          </w:p>
        </w:tc>
        <w:tc>
          <w:tcPr>
            <w:tcW w:w="1433" w:type="dxa"/>
            <w:shd w:val="clear" w:color="auto" w:fill="FFFFFF"/>
            <w:noWrap/>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noWrap/>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7</w:t>
      </w:r>
      <w:r>
        <w:rPr>
          <w:rFonts w:ascii="Times New Roman" w:hAnsi="Times New Roman"/>
          <w:b/>
          <w:bCs/>
        </w:rPr>
        <w:t>）蔷薇灌丛（Form.</w:t>
      </w:r>
      <w:r>
        <w:rPr>
          <w:rFonts w:ascii="Times New Roman" w:hAnsi="Times New Roman"/>
          <w:b/>
          <w:bCs/>
          <w:i/>
          <w:iCs/>
        </w:rPr>
        <w:t>Rosasp.</w:t>
      </w:r>
      <w:r>
        <w:rPr>
          <w:rFonts w:ascii="Times New Roman" w:hAnsi="Times New Roman"/>
          <w:b/>
          <w:bCs/>
        </w:rPr>
        <w:t>）</w:t>
      </w:r>
    </w:p>
    <w:p>
      <w:pPr>
        <w:pStyle w:val="10"/>
        <w:ind w:firstLine="480"/>
        <w:contextualSpacing/>
      </w:pPr>
      <w:r>
        <w:rPr>
          <w:kern w:val="0"/>
        </w:rPr>
        <w:t>此类灌丛零星分布于坡顶、山腰，常与柏木林、马尾松林镶嵌分布。组成群落的种类成分与栎林的林下植物相差不大，常见灌木为小果蔷薇、火棘、黄荆、马桑、映山红、细齿叶拎、茶梅，部分茂盛群丛含金樱子、悬钩子类多刺成分；从草本成分看，向阳处则以铁芒萁、芒为优势，环境偏阴湿则多苔草和蕨等较喜阴湿的成分。</w:t>
      </w:r>
    </w:p>
    <w:p>
      <w:pPr>
        <w:pStyle w:val="73"/>
        <w:adjustRightInd/>
        <w:snapToGrid/>
        <w:ind w:firstLine="0" w:firstLineChars="0"/>
        <w:contextualSpacing/>
        <w:rPr>
          <w:rFonts w:eastAsia="宋体"/>
          <w:b/>
          <w:sz w:val="21"/>
          <w:szCs w:val="21"/>
        </w:rPr>
      </w:pPr>
      <w:r>
        <w:rPr>
          <w:rFonts w:eastAsia="宋体"/>
          <w:b/>
          <w:sz w:val="21"/>
          <w:szCs w:val="21"/>
        </w:rPr>
        <w:t>表4.7.1-16  蔷薇灌丛植被样方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387"/>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vAlign w:val="center"/>
          </w:tcPr>
          <w:p>
            <w:pPr>
              <w:spacing w:line="240" w:lineRule="auto"/>
              <w:ind w:firstLine="0" w:firstLineChars="0"/>
              <w:contextualSpacing/>
              <w:jc w:val="center"/>
              <w:rPr>
                <w:b/>
                <w:bCs/>
                <w:sz w:val="21"/>
                <w:szCs w:val="21"/>
              </w:rPr>
            </w:pPr>
            <w:r>
              <w:rPr>
                <w:b/>
                <w:bCs/>
                <w:sz w:val="21"/>
                <w:szCs w:val="21"/>
              </w:rPr>
              <w:t>样线号</w:t>
            </w:r>
          </w:p>
        </w:tc>
        <w:tc>
          <w:tcPr>
            <w:tcW w:w="2387" w:type="dxa"/>
            <w:vAlign w:val="center"/>
          </w:tcPr>
          <w:p>
            <w:pPr>
              <w:spacing w:line="240" w:lineRule="auto"/>
              <w:ind w:firstLine="420"/>
              <w:contextualSpacing/>
              <w:jc w:val="center"/>
              <w:rPr>
                <w:rFonts w:hint="eastAsia"/>
                <w:sz w:val="21"/>
                <w:szCs w:val="21"/>
              </w:rPr>
            </w:pPr>
            <w:r>
              <w:rPr>
                <w:rFonts w:hint="eastAsia"/>
                <w:sz w:val="21"/>
                <w:szCs w:val="21"/>
              </w:rPr>
              <w:t>HXS</w:t>
            </w:r>
            <w:r>
              <w:rPr>
                <w:sz w:val="21"/>
                <w:szCs w:val="21"/>
              </w:rPr>
              <w:t>-</w:t>
            </w:r>
            <w:r>
              <w:rPr>
                <w:rFonts w:hint="eastAsia"/>
                <w:sz w:val="21"/>
                <w:szCs w:val="21"/>
              </w:rPr>
              <w:t>8</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#4</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rFonts w:hint="eastAsia"/>
                <w:sz w:val="21"/>
                <w:szCs w:val="21"/>
              </w:rPr>
            </w:pPr>
            <w:r>
              <w:rPr>
                <w:rFonts w:hint="eastAsia"/>
                <w:sz w:val="21"/>
                <w:szCs w:val="21"/>
              </w:rPr>
              <w:t>郑家沟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0" w:type="dxa"/>
            <w:vAlign w:val="center"/>
          </w:tcPr>
          <w:p>
            <w:pPr>
              <w:spacing w:line="240" w:lineRule="auto"/>
              <w:ind w:firstLine="0" w:firstLineChars="0"/>
              <w:contextualSpacing/>
              <w:jc w:val="center"/>
              <w:rPr>
                <w:b/>
                <w:bCs/>
                <w:sz w:val="21"/>
                <w:szCs w:val="21"/>
              </w:rPr>
            </w:pPr>
            <w:r>
              <w:rPr>
                <w:b/>
                <w:bCs/>
                <w:sz w:val="21"/>
                <w:szCs w:val="21"/>
              </w:rPr>
              <w:t>经纬度</w:t>
            </w:r>
          </w:p>
        </w:tc>
        <w:tc>
          <w:tcPr>
            <w:tcW w:w="3887" w:type="dxa"/>
            <w:gridSpan w:val="2"/>
            <w:vAlign w:val="center"/>
          </w:tcPr>
          <w:p>
            <w:pPr>
              <w:spacing w:line="240" w:lineRule="auto"/>
              <w:ind w:firstLine="420"/>
              <w:contextualSpacing/>
              <w:jc w:val="center"/>
              <w:rPr>
                <w:sz w:val="21"/>
                <w:szCs w:val="21"/>
              </w:rPr>
            </w:pPr>
            <w:r>
              <w:rPr>
                <w:rFonts w:hint="eastAsia"/>
                <w:sz w:val="21"/>
                <w:szCs w:val="21"/>
              </w:rPr>
              <w:t>106°50′17.868″E, 31°53′51.192″N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spacing w:line="240" w:lineRule="auto"/>
              <w:ind w:firstLine="0" w:firstLineChars="0"/>
              <w:contextualSpacing/>
              <w:jc w:val="center"/>
              <w:rPr>
                <w:b/>
                <w:bCs/>
                <w:sz w:val="21"/>
                <w:szCs w:val="21"/>
              </w:rPr>
            </w:pPr>
            <w:r>
              <w:rPr>
                <w:b/>
                <w:bCs/>
                <w:sz w:val="21"/>
                <w:szCs w:val="21"/>
              </w:rPr>
              <w:t>乔木层</w:t>
            </w:r>
          </w:p>
        </w:tc>
        <w:tc>
          <w:tcPr>
            <w:tcW w:w="2387"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90" w:type="dxa"/>
            <w:vAlign w:val="center"/>
          </w:tcPr>
          <w:p>
            <w:pPr>
              <w:widowControl/>
              <w:spacing w:line="240" w:lineRule="auto"/>
              <w:ind w:firstLine="0" w:firstLineChars="0"/>
              <w:contextualSpacing/>
              <w:jc w:val="center"/>
              <w:rPr>
                <w:sz w:val="21"/>
                <w:szCs w:val="21"/>
              </w:rPr>
            </w:pPr>
            <w:r>
              <w:rPr>
                <w:sz w:val="21"/>
                <w:szCs w:val="21"/>
              </w:rPr>
              <w:t>/</w:t>
            </w:r>
          </w:p>
        </w:tc>
        <w:tc>
          <w:tcPr>
            <w:tcW w:w="2387" w:type="dxa"/>
            <w:vAlign w:val="center"/>
          </w:tcPr>
          <w:p>
            <w:pPr>
              <w:widowControl/>
              <w:spacing w:line="240" w:lineRule="auto"/>
              <w:ind w:firstLine="0" w:firstLineChars="0"/>
              <w:contextualSpacing/>
              <w:jc w:val="center"/>
              <w:rPr>
                <w:sz w:val="21"/>
                <w:szCs w:val="21"/>
              </w:rPr>
            </w:pPr>
            <w:r>
              <w:rPr>
                <w:sz w:val="21"/>
                <w:szCs w:val="21"/>
              </w:rPr>
              <w:t>/</w:t>
            </w:r>
          </w:p>
        </w:tc>
        <w:tc>
          <w:tcPr>
            <w:tcW w:w="1500" w:type="dxa"/>
            <w:vAlign w:val="center"/>
          </w:tcPr>
          <w:p>
            <w:pPr>
              <w:spacing w:line="240" w:lineRule="auto"/>
              <w:ind w:firstLine="0" w:firstLineChars="0"/>
              <w:contextualSpacing/>
              <w:jc w:val="center"/>
              <w:rPr>
                <w:i/>
                <w:iCs/>
                <w:sz w:val="21"/>
                <w:szCs w:val="21"/>
              </w:rPr>
            </w:pPr>
            <w:r>
              <w:rPr>
                <w:i/>
                <w:iCs/>
                <w:sz w:val="21"/>
                <w:szCs w:val="21"/>
              </w:rPr>
              <w:t>/</w:t>
            </w:r>
          </w:p>
        </w:tc>
        <w:tc>
          <w:tcPr>
            <w:tcW w:w="1433" w:type="dxa"/>
            <w:vAlign w:val="center"/>
          </w:tcPr>
          <w:p>
            <w:pPr>
              <w:spacing w:line="240" w:lineRule="auto"/>
              <w:ind w:firstLine="0" w:firstLineChars="0"/>
              <w:contextualSpacing/>
              <w:jc w:val="center"/>
              <w:rPr>
                <w:sz w:val="21"/>
                <w:szCs w:val="21"/>
              </w:rPr>
            </w:pPr>
            <w:r>
              <w:rPr>
                <w:sz w:val="21"/>
                <w:szCs w:val="21"/>
              </w:rPr>
              <w:t>/</w:t>
            </w:r>
          </w:p>
        </w:tc>
        <w:tc>
          <w:tcPr>
            <w:tcW w:w="2112" w:type="dxa"/>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spacing w:line="240" w:lineRule="auto"/>
              <w:ind w:firstLine="0" w:firstLineChars="0"/>
              <w:contextualSpacing/>
              <w:jc w:val="center"/>
              <w:rPr>
                <w:b/>
                <w:bCs/>
                <w:sz w:val="21"/>
                <w:szCs w:val="21"/>
              </w:rPr>
            </w:pPr>
            <w:r>
              <w:rPr>
                <w:b/>
                <w:bCs/>
                <w:sz w:val="21"/>
                <w:szCs w:val="21"/>
              </w:rPr>
              <w:t>灌木层</w:t>
            </w:r>
          </w:p>
        </w:tc>
        <w:tc>
          <w:tcPr>
            <w:tcW w:w="2387"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shd w:val="clear" w:color="auto" w:fill="FFFFFF"/>
            <w:vAlign w:val="center"/>
          </w:tcPr>
          <w:p>
            <w:pPr>
              <w:widowControl/>
              <w:spacing w:line="240" w:lineRule="auto"/>
              <w:ind w:firstLine="0" w:firstLineChars="0"/>
              <w:contextualSpacing/>
              <w:jc w:val="center"/>
              <w:rPr>
                <w:bCs/>
                <w:sz w:val="21"/>
                <w:szCs w:val="21"/>
              </w:rPr>
            </w:pPr>
            <w:r>
              <w:rPr>
                <w:bCs/>
                <w:sz w:val="21"/>
                <w:szCs w:val="21"/>
              </w:rPr>
              <w:t>小果蔷薇</w:t>
            </w:r>
          </w:p>
        </w:tc>
        <w:tc>
          <w:tcPr>
            <w:tcW w:w="2387"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Rosacymosa</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5</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25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样方：5×5m，</w:t>
            </w:r>
          </w:p>
          <w:p>
            <w:pPr>
              <w:spacing w:line="240" w:lineRule="auto"/>
              <w:ind w:firstLine="0" w:firstLineChars="0"/>
              <w:contextualSpacing/>
              <w:jc w:val="center"/>
              <w:rPr>
                <w:b/>
                <w:bCs/>
                <w:sz w:val="21"/>
                <w:szCs w:val="21"/>
              </w:rPr>
            </w:pPr>
            <w:r>
              <w:rPr>
                <w:b/>
                <w:bCs/>
                <w:sz w:val="21"/>
                <w:szCs w:val="21"/>
              </w:rPr>
              <w:t>总盖度：50%</w:t>
            </w:r>
          </w:p>
          <w:p>
            <w:pPr>
              <w:spacing w:line="240" w:lineRule="auto"/>
              <w:ind w:firstLine="0" w:firstLineChars="0"/>
              <w:contextualSpacing/>
              <w:jc w:val="center"/>
              <w:rPr>
                <w:sz w:val="21"/>
                <w:szCs w:val="21"/>
              </w:rPr>
            </w:pPr>
            <w:r>
              <w:rPr>
                <w:bCs/>
                <w:sz w:val="21"/>
                <w:szCs w:val="21"/>
              </w:rPr>
              <w:t>灌木均高约1.5m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sz w:val="21"/>
                <w:szCs w:val="21"/>
              </w:rPr>
              <w:t>细齿叶柃</w:t>
            </w:r>
          </w:p>
        </w:tc>
        <w:tc>
          <w:tcPr>
            <w:tcW w:w="2387"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Euryanitida</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2</w:t>
            </w:r>
          </w:p>
        </w:tc>
        <w:tc>
          <w:tcPr>
            <w:tcW w:w="1433" w:type="dxa"/>
            <w:shd w:val="clear" w:color="auto" w:fill="FFFFFF"/>
            <w:vAlign w:val="center"/>
          </w:tcPr>
          <w:p>
            <w:pPr>
              <w:widowControl/>
              <w:spacing w:line="240" w:lineRule="auto"/>
              <w:ind w:firstLine="0" w:firstLineChars="0"/>
              <w:contextualSpacing/>
              <w:jc w:val="center"/>
              <w:rPr>
                <w:rFonts w:hint="eastAsia"/>
                <w:sz w:val="21"/>
                <w:szCs w:val="21"/>
              </w:rPr>
            </w:pPr>
            <w:r>
              <w:rPr>
                <w:rFonts w:hint="eastAsia"/>
                <w:sz w:val="21"/>
                <w:szCs w:val="21"/>
              </w:rPr>
              <w:t>5</w:t>
            </w:r>
          </w:p>
        </w:tc>
        <w:tc>
          <w:tcPr>
            <w:tcW w:w="2112" w:type="dxa"/>
            <w:vMerge w:val="continue"/>
            <w:vAlign w:val="center"/>
          </w:tcPr>
          <w:p>
            <w:pPr>
              <w:spacing w:line="240" w:lineRule="auto"/>
              <w:ind w:firstLine="0" w:firstLineChars="0"/>
              <w:contextualSpacing/>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shd w:val="clear" w:color="auto" w:fill="FFFFFF"/>
            <w:vAlign w:val="center"/>
          </w:tcPr>
          <w:p>
            <w:pPr>
              <w:widowControl/>
              <w:spacing w:line="240" w:lineRule="auto"/>
              <w:ind w:firstLine="0" w:firstLineChars="0"/>
              <w:contextualSpacing/>
              <w:jc w:val="center"/>
              <w:rPr>
                <w:bCs/>
                <w:sz w:val="21"/>
                <w:szCs w:val="21"/>
              </w:rPr>
            </w:pPr>
            <w:r>
              <w:rPr>
                <w:bCs/>
                <w:sz w:val="21"/>
                <w:szCs w:val="21"/>
              </w:rPr>
              <w:t>黄荆</w:t>
            </w:r>
          </w:p>
        </w:tc>
        <w:tc>
          <w:tcPr>
            <w:tcW w:w="2387"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Vitexnegundo</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2</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sz w:val="21"/>
                <w:szCs w:val="21"/>
              </w:rPr>
              <w:t>火棘</w:t>
            </w:r>
          </w:p>
        </w:tc>
        <w:tc>
          <w:tcPr>
            <w:tcW w:w="2387" w:type="dxa"/>
            <w:shd w:val="clear" w:color="auto" w:fill="FFFFFF"/>
            <w:vAlign w:val="center"/>
          </w:tcPr>
          <w:p>
            <w:pPr>
              <w:widowControl/>
              <w:spacing w:line="240" w:lineRule="auto"/>
              <w:ind w:firstLine="0" w:firstLineChars="0"/>
              <w:contextualSpacing/>
              <w:jc w:val="center"/>
              <w:rPr>
                <w:sz w:val="21"/>
                <w:szCs w:val="21"/>
              </w:rPr>
            </w:pPr>
            <w:r>
              <w:rPr>
                <w:bCs/>
                <w:i/>
                <w:iCs/>
                <w:sz w:val="21"/>
                <w:szCs w:val="21"/>
              </w:rPr>
              <w:t>Pyracanthafortuneana</w:t>
            </w:r>
          </w:p>
        </w:tc>
        <w:tc>
          <w:tcPr>
            <w:tcW w:w="1500" w:type="dxa"/>
            <w:shd w:val="clear" w:color="auto" w:fill="FFFFFF"/>
            <w:vAlign w:val="center"/>
          </w:tcPr>
          <w:p>
            <w:pPr>
              <w:widowControl/>
              <w:spacing w:line="240" w:lineRule="auto"/>
              <w:ind w:firstLine="0" w:firstLineChars="0"/>
              <w:contextualSpacing/>
              <w:jc w:val="center"/>
              <w:rPr>
                <w:i/>
                <w:iCs/>
                <w:sz w:val="21"/>
                <w:szCs w:val="21"/>
              </w:rPr>
            </w:pPr>
            <w:r>
              <w:rPr>
                <w:i/>
                <w:iCs/>
                <w:sz w:val="21"/>
                <w:szCs w:val="21"/>
              </w:rPr>
              <w:t>1</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90" w:type="dxa"/>
            <w:shd w:val="clear" w:color="auto" w:fill="FFFFFF"/>
            <w:vAlign w:val="center"/>
          </w:tcPr>
          <w:p>
            <w:pPr>
              <w:widowControl/>
              <w:spacing w:line="240" w:lineRule="auto"/>
              <w:ind w:firstLine="0" w:firstLineChars="0"/>
              <w:contextualSpacing/>
              <w:jc w:val="center"/>
              <w:rPr>
                <w:bCs/>
                <w:sz w:val="21"/>
                <w:szCs w:val="21"/>
              </w:rPr>
            </w:pPr>
            <w:r>
              <w:rPr>
                <w:sz w:val="21"/>
                <w:szCs w:val="21"/>
              </w:rPr>
              <w:t>马桑</w:t>
            </w:r>
          </w:p>
        </w:tc>
        <w:tc>
          <w:tcPr>
            <w:tcW w:w="2387" w:type="dxa"/>
            <w:shd w:val="clear" w:color="auto" w:fill="FFFFFF"/>
            <w:vAlign w:val="center"/>
          </w:tcPr>
          <w:p>
            <w:pPr>
              <w:widowControl/>
              <w:spacing w:line="240" w:lineRule="auto"/>
              <w:ind w:firstLine="0" w:firstLineChars="0"/>
              <w:contextualSpacing/>
              <w:jc w:val="center"/>
              <w:rPr>
                <w:bCs/>
                <w:i/>
                <w:iCs/>
                <w:sz w:val="21"/>
                <w:szCs w:val="21"/>
              </w:rPr>
            </w:pPr>
            <w:r>
              <w:rPr>
                <w:i/>
                <w:iCs/>
                <w:sz w:val="21"/>
                <w:szCs w:val="21"/>
              </w:rPr>
              <w:t>Coriarianepalensis</w:t>
            </w:r>
          </w:p>
        </w:tc>
        <w:tc>
          <w:tcPr>
            <w:tcW w:w="1500" w:type="dxa"/>
            <w:shd w:val="clear" w:color="auto" w:fill="FFFFFF"/>
            <w:vAlign w:val="center"/>
          </w:tcPr>
          <w:p>
            <w:pPr>
              <w:widowControl/>
              <w:spacing w:line="240" w:lineRule="auto"/>
              <w:ind w:firstLine="0" w:firstLineChars="0"/>
              <w:contextualSpacing/>
              <w:jc w:val="center"/>
              <w:rPr>
                <w:rFonts w:hint="eastAsia"/>
                <w:i/>
                <w:iCs/>
                <w:sz w:val="21"/>
                <w:szCs w:val="21"/>
              </w:rPr>
            </w:pPr>
            <w:r>
              <w:rPr>
                <w:rFonts w:hint="eastAsia"/>
                <w:i/>
                <w:iCs/>
                <w:sz w:val="21"/>
                <w:szCs w:val="21"/>
              </w:rPr>
              <w:t>3</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2</w:t>
            </w:r>
          </w:p>
        </w:tc>
        <w:tc>
          <w:tcPr>
            <w:tcW w:w="2112"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387"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蕨</w:t>
            </w:r>
          </w:p>
        </w:tc>
        <w:tc>
          <w:tcPr>
            <w:tcW w:w="2387" w:type="dxa"/>
            <w:shd w:val="clear" w:color="auto" w:fill="FFFFFF"/>
            <w:vAlign w:val="center"/>
          </w:tcPr>
          <w:p>
            <w:pPr>
              <w:widowControl/>
              <w:spacing w:line="240" w:lineRule="auto"/>
              <w:ind w:firstLine="0" w:firstLineChars="0"/>
              <w:contextualSpacing/>
              <w:jc w:val="center"/>
              <w:rPr>
                <w:i/>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7</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总盖度：15%</w:t>
            </w:r>
          </w:p>
          <w:p>
            <w:pPr>
              <w:spacing w:line="240" w:lineRule="auto"/>
              <w:ind w:firstLine="0" w:firstLineChars="0"/>
              <w:contextualSpacing/>
              <w:jc w:val="center"/>
              <w:rPr>
                <w:sz w:val="21"/>
                <w:szCs w:val="21"/>
              </w:rPr>
            </w:pPr>
            <w:r>
              <w:rPr>
                <w:bCs/>
                <w:sz w:val="21"/>
                <w:szCs w:val="21"/>
              </w:rPr>
              <w:t>草本均高0.2-0.8m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sz w:val="21"/>
                <w:szCs w:val="21"/>
              </w:rPr>
              <w:t>白茅</w:t>
            </w:r>
          </w:p>
        </w:tc>
        <w:tc>
          <w:tcPr>
            <w:tcW w:w="2387" w:type="dxa"/>
            <w:shd w:val="clear" w:color="auto" w:fill="FFFFFF"/>
            <w:vAlign w:val="center"/>
          </w:tcPr>
          <w:p>
            <w:pPr>
              <w:widowControl/>
              <w:spacing w:line="240" w:lineRule="auto"/>
              <w:ind w:firstLine="0" w:firstLineChars="0"/>
              <w:contextualSpacing/>
              <w:jc w:val="center"/>
              <w:rPr>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sz w:val="21"/>
                <w:szCs w:val="21"/>
              </w:rPr>
              <w:t>薹草</w:t>
            </w:r>
          </w:p>
        </w:tc>
        <w:tc>
          <w:tcPr>
            <w:tcW w:w="2387" w:type="dxa"/>
            <w:shd w:val="clear" w:color="auto" w:fill="FFFFFF"/>
            <w:vAlign w:val="center"/>
          </w:tcPr>
          <w:p>
            <w:pPr>
              <w:widowControl/>
              <w:spacing w:line="240" w:lineRule="auto"/>
              <w:ind w:firstLine="0" w:firstLineChars="0"/>
              <w:contextualSpacing/>
              <w:jc w:val="center"/>
              <w:rPr>
                <w:i/>
                <w:sz w:val="21"/>
                <w:szCs w:val="21"/>
              </w:rPr>
            </w:pPr>
            <w:r>
              <w:rPr>
                <w:i/>
                <w:sz w:val="21"/>
                <w:szCs w:val="21"/>
              </w:rPr>
              <w:t>Carexspp.</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5</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sz w:val="21"/>
                <w:szCs w:val="21"/>
              </w:rPr>
              <w:t>铁芒萁</w:t>
            </w:r>
          </w:p>
        </w:tc>
        <w:tc>
          <w:tcPr>
            <w:tcW w:w="2387" w:type="dxa"/>
            <w:shd w:val="clear" w:color="auto" w:fill="FFFFFF"/>
            <w:vAlign w:val="center"/>
          </w:tcPr>
          <w:p>
            <w:pPr>
              <w:widowControl/>
              <w:spacing w:line="240" w:lineRule="auto"/>
              <w:ind w:firstLine="0" w:firstLineChars="0"/>
              <w:contextualSpacing/>
              <w:jc w:val="center"/>
              <w:rPr>
                <w:i/>
                <w:sz w:val="21"/>
                <w:szCs w:val="21"/>
              </w:rPr>
            </w:pPr>
            <w:r>
              <w:rPr>
                <w:i/>
                <w:sz w:val="21"/>
                <w:szCs w:val="21"/>
              </w:rPr>
              <w:t>Dicranopterislinearis</w:t>
            </w:r>
          </w:p>
        </w:tc>
        <w:tc>
          <w:tcPr>
            <w:tcW w:w="1500" w:type="dxa"/>
            <w:shd w:val="clear" w:color="auto" w:fill="FFFFFF"/>
            <w:vAlign w:val="center"/>
          </w:tcPr>
          <w:p>
            <w:pPr>
              <w:widowControl/>
              <w:spacing w:line="240" w:lineRule="auto"/>
              <w:ind w:firstLine="0" w:firstLineChars="0"/>
              <w:contextualSpacing/>
              <w:jc w:val="center"/>
              <w:rPr>
                <w:i/>
                <w:sz w:val="21"/>
                <w:szCs w:val="21"/>
              </w:rPr>
            </w:pPr>
            <w:r>
              <w:rPr>
                <w:i/>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pStyle w:val="2"/>
        <w:spacing w:before="0"/>
        <w:ind w:left="0" w:firstLine="482"/>
        <w:contextualSpacing/>
        <w:rPr>
          <w:rFonts w:ascii="Times New Roman" w:hAnsi="Times New Roman"/>
          <w:b/>
          <w:bCs/>
        </w:rPr>
      </w:pPr>
      <w:r>
        <w:rPr>
          <w:rFonts w:hint="eastAsia" w:ascii="Times New Roman" w:hAnsi="Times New Roman"/>
          <w:b/>
          <w:bCs/>
        </w:rPr>
        <w:t>8</w:t>
      </w:r>
      <w:r>
        <w:rPr>
          <w:rFonts w:ascii="Times New Roman" w:hAnsi="Times New Roman"/>
          <w:b/>
          <w:bCs/>
        </w:rPr>
        <w:t>）芒+白茅草丛</w:t>
      </w:r>
      <w:r>
        <w:rPr>
          <w:rFonts w:ascii="Times New Roman" w:hAnsi="Times New Roman"/>
        </w:rPr>
        <w:t>（Form.</w:t>
      </w:r>
      <w:r>
        <w:rPr>
          <w:rFonts w:ascii="Times New Roman" w:hAnsi="Times New Roman"/>
          <w:i/>
          <w:iCs/>
        </w:rPr>
        <w:t>Miscanthussinensis+Imperatacylindrica</w:t>
      </w:r>
      <w:r>
        <w:rPr>
          <w:rFonts w:ascii="Times New Roman" w:hAnsi="Times New Roman"/>
        </w:rPr>
        <w:t>）</w:t>
      </w:r>
    </w:p>
    <w:p>
      <w:pPr>
        <w:pStyle w:val="10"/>
        <w:ind w:firstLine="480"/>
        <w:contextualSpacing/>
      </w:pPr>
      <w:r>
        <w:t>白茅（Imperata cylindrica）为绝对优势草种，广泛分布，耐干旱，在河岸、沙土地、</w:t>
      </w:r>
      <w:r>
        <w:rPr>
          <w:kern w:val="0"/>
        </w:rPr>
        <w:t>干旱</w:t>
      </w:r>
      <w:r>
        <w:t>坡地均可旺盛生长。其生长周边伴生种多，对其他植被无大危害。针茅在大部分地区作为建群种存在。白茅草丛在四川除西部的高山峡谷、高原外，各地均有分布，其中以盆地内部的低山、丘陵地区较多。虽然草丛分布地区极为广泛，但各地都比较零星小块。其群落无明显层次，总盖度多在50％以上。白茅常占草丛的主要优势，盖度一般为20-30％，一些地段盖度可达80％左右，植株高40-60厘米。除白茅外，金发草，芒萁蕨、球光香青也常形成5-10％的盖度。常见的草本植物还有双花草、芸香草、荩草、野古草、滇蔗茅、狗牙根、翻白草、瓜子金、细叶苦荬、苦荬菜、糯米团、风轮菜等。白茅的典型样方盖度在40%左右，均高0.6-1.7m。如下是典型样方的植被种类。</w:t>
      </w:r>
    </w:p>
    <w:p>
      <w:pPr>
        <w:pStyle w:val="73"/>
        <w:adjustRightInd/>
        <w:snapToGrid/>
        <w:ind w:firstLine="0" w:firstLineChars="0"/>
        <w:contextualSpacing/>
        <w:rPr>
          <w:rFonts w:eastAsia="宋体"/>
          <w:b/>
          <w:sz w:val="21"/>
          <w:szCs w:val="21"/>
        </w:rPr>
      </w:pPr>
      <w:r>
        <w:rPr>
          <w:rFonts w:eastAsia="宋体"/>
          <w:b/>
          <w:sz w:val="21"/>
          <w:szCs w:val="21"/>
        </w:rPr>
        <w:t>表4.7.1-17  芒+白茅草丛植被样方</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387"/>
        <w:gridCol w:w="1500"/>
        <w:gridCol w:w="143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vAlign w:val="center"/>
          </w:tcPr>
          <w:p>
            <w:pPr>
              <w:spacing w:line="240" w:lineRule="auto"/>
              <w:ind w:firstLine="0" w:firstLineChars="0"/>
              <w:contextualSpacing/>
              <w:jc w:val="center"/>
              <w:rPr>
                <w:b/>
                <w:bCs/>
                <w:sz w:val="21"/>
                <w:szCs w:val="21"/>
              </w:rPr>
            </w:pPr>
            <w:r>
              <w:rPr>
                <w:b/>
                <w:bCs/>
                <w:sz w:val="21"/>
                <w:szCs w:val="21"/>
              </w:rPr>
              <w:t>样线号</w:t>
            </w:r>
          </w:p>
        </w:tc>
        <w:tc>
          <w:tcPr>
            <w:tcW w:w="2387" w:type="dxa"/>
            <w:vAlign w:val="center"/>
          </w:tcPr>
          <w:p>
            <w:pPr>
              <w:spacing w:line="240" w:lineRule="auto"/>
              <w:ind w:firstLine="420"/>
              <w:contextualSpacing/>
              <w:jc w:val="center"/>
              <w:rPr>
                <w:sz w:val="21"/>
                <w:szCs w:val="21"/>
              </w:rPr>
            </w:pPr>
            <w:r>
              <w:rPr>
                <w:rFonts w:hint="eastAsia"/>
                <w:sz w:val="21"/>
                <w:szCs w:val="21"/>
              </w:rPr>
              <w:t>HXS</w:t>
            </w:r>
            <w:r>
              <w:rPr>
                <w:sz w:val="21"/>
                <w:szCs w:val="21"/>
              </w:rPr>
              <w:t>-8</w:t>
            </w:r>
          </w:p>
        </w:tc>
        <w:tc>
          <w:tcPr>
            <w:tcW w:w="1500" w:type="dxa"/>
            <w:vAlign w:val="center"/>
          </w:tcPr>
          <w:p>
            <w:pPr>
              <w:spacing w:line="240" w:lineRule="auto"/>
              <w:ind w:firstLine="0" w:firstLineChars="0"/>
              <w:contextualSpacing/>
              <w:jc w:val="center"/>
              <w:rPr>
                <w:sz w:val="21"/>
                <w:szCs w:val="21"/>
              </w:rPr>
            </w:pPr>
            <w:r>
              <w:rPr>
                <w:b/>
                <w:bCs/>
                <w:sz w:val="21"/>
                <w:szCs w:val="21"/>
              </w:rPr>
              <w:t>样方号：</w:t>
            </w:r>
            <w:r>
              <w:rPr>
                <w:sz w:val="21"/>
                <w:szCs w:val="21"/>
              </w:rPr>
              <w:t>#2</w:t>
            </w:r>
          </w:p>
        </w:tc>
        <w:tc>
          <w:tcPr>
            <w:tcW w:w="1433" w:type="dxa"/>
            <w:vAlign w:val="center"/>
          </w:tcPr>
          <w:p>
            <w:pPr>
              <w:spacing w:line="240" w:lineRule="auto"/>
              <w:ind w:firstLine="0" w:firstLineChars="0"/>
              <w:contextualSpacing/>
              <w:jc w:val="center"/>
              <w:rPr>
                <w:b/>
                <w:bCs/>
                <w:sz w:val="21"/>
                <w:szCs w:val="21"/>
              </w:rPr>
            </w:pPr>
            <w:r>
              <w:rPr>
                <w:b/>
                <w:bCs/>
                <w:sz w:val="21"/>
                <w:szCs w:val="21"/>
              </w:rPr>
              <w:t>小地名</w:t>
            </w:r>
          </w:p>
        </w:tc>
        <w:tc>
          <w:tcPr>
            <w:tcW w:w="2112" w:type="dxa"/>
            <w:vAlign w:val="center"/>
          </w:tcPr>
          <w:p>
            <w:pPr>
              <w:spacing w:line="240" w:lineRule="auto"/>
              <w:ind w:firstLine="0" w:firstLineChars="0"/>
              <w:contextualSpacing/>
              <w:jc w:val="center"/>
              <w:rPr>
                <w:sz w:val="21"/>
                <w:szCs w:val="21"/>
              </w:rPr>
            </w:pPr>
            <w:r>
              <w:rPr>
                <w:rFonts w:hint="eastAsia"/>
                <w:sz w:val="21"/>
                <w:szCs w:val="21"/>
              </w:rPr>
              <w:t>郑家沟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0" w:type="dxa"/>
            <w:vAlign w:val="center"/>
          </w:tcPr>
          <w:p>
            <w:pPr>
              <w:spacing w:line="240" w:lineRule="auto"/>
              <w:ind w:firstLine="0" w:firstLineChars="0"/>
              <w:contextualSpacing/>
              <w:jc w:val="center"/>
              <w:rPr>
                <w:b/>
                <w:bCs/>
                <w:sz w:val="21"/>
                <w:szCs w:val="21"/>
              </w:rPr>
            </w:pPr>
            <w:r>
              <w:rPr>
                <w:b/>
                <w:bCs/>
                <w:sz w:val="21"/>
                <w:szCs w:val="21"/>
              </w:rPr>
              <w:t>经纬度</w:t>
            </w:r>
          </w:p>
        </w:tc>
        <w:tc>
          <w:tcPr>
            <w:tcW w:w="3887" w:type="dxa"/>
            <w:gridSpan w:val="2"/>
            <w:vAlign w:val="center"/>
          </w:tcPr>
          <w:p>
            <w:pPr>
              <w:spacing w:line="240" w:lineRule="auto"/>
              <w:ind w:firstLine="420"/>
              <w:contextualSpacing/>
              <w:jc w:val="center"/>
              <w:rPr>
                <w:sz w:val="21"/>
                <w:szCs w:val="21"/>
              </w:rPr>
            </w:pPr>
            <w:r>
              <w:rPr>
                <w:rFonts w:hint="eastAsia"/>
                <w:sz w:val="21"/>
                <w:szCs w:val="21"/>
              </w:rPr>
              <w:t>106°50′18.254″E, 31°53′51.717″N</w:t>
            </w:r>
          </w:p>
        </w:tc>
        <w:tc>
          <w:tcPr>
            <w:tcW w:w="1433" w:type="dxa"/>
            <w:vAlign w:val="center"/>
          </w:tcPr>
          <w:p>
            <w:pPr>
              <w:spacing w:line="240" w:lineRule="auto"/>
              <w:ind w:firstLine="0" w:firstLineChars="0"/>
              <w:contextualSpacing/>
              <w:jc w:val="center"/>
              <w:rPr>
                <w:b/>
                <w:bCs/>
                <w:sz w:val="21"/>
                <w:szCs w:val="21"/>
              </w:rPr>
            </w:pPr>
            <w:r>
              <w:rPr>
                <w:b/>
                <w:bCs/>
                <w:sz w:val="21"/>
                <w:szCs w:val="21"/>
              </w:rPr>
              <w:t>海拔（m）</w:t>
            </w:r>
          </w:p>
        </w:tc>
        <w:tc>
          <w:tcPr>
            <w:tcW w:w="2112" w:type="dxa"/>
            <w:vAlign w:val="center"/>
          </w:tcPr>
          <w:p>
            <w:pPr>
              <w:spacing w:line="240" w:lineRule="auto"/>
              <w:ind w:firstLine="0" w:firstLineChars="0"/>
              <w:contextualSpacing/>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spacing w:line="240" w:lineRule="auto"/>
              <w:ind w:firstLine="0" w:firstLineChars="0"/>
              <w:contextualSpacing/>
              <w:jc w:val="center"/>
              <w:rPr>
                <w:b/>
                <w:bCs/>
                <w:sz w:val="21"/>
                <w:szCs w:val="21"/>
              </w:rPr>
            </w:pPr>
            <w:r>
              <w:rPr>
                <w:b/>
                <w:bCs/>
                <w:sz w:val="21"/>
                <w:szCs w:val="21"/>
              </w:rPr>
              <w:t>乔木层</w:t>
            </w:r>
          </w:p>
        </w:tc>
        <w:tc>
          <w:tcPr>
            <w:tcW w:w="2387"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w:t>
            </w:r>
          </w:p>
        </w:tc>
        <w:tc>
          <w:tcPr>
            <w:tcW w:w="1433" w:type="dxa"/>
            <w:vAlign w:val="center"/>
          </w:tcPr>
          <w:p>
            <w:pPr>
              <w:spacing w:line="240" w:lineRule="auto"/>
              <w:ind w:firstLine="0" w:firstLineChars="0"/>
              <w:contextualSpacing/>
              <w:jc w:val="center"/>
              <w:rPr>
                <w:b/>
                <w:bCs/>
                <w:sz w:val="21"/>
                <w:szCs w:val="21"/>
              </w:rPr>
            </w:pPr>
            <w:r>
              <w:rPr>
                <w:b/>
                <w:bCs/>
                <w:sz w:val="21"/>
                <w:szCs w:val="21"/>
              </w:rPr>
              <w:t>郁闭度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90" w:type="dxa"/>
            <w:vAlign w:val="center"/>
          </w:tcPr>
          <w:p>
            <w:pPr>
              <w:widowControl/>
              <w:spacing w:line="240" w:lineRule="auto"/>
              <w:ind w:firstLine="0" w:firstLineChars="0"/>
              <w:contextualSpacing/>
              <w:jc w:val="center"/>
              <w:rPr>
                <w:sz w:val="21"/>
                <w:szCs w:val="21"/>
              </w:rPr>
            </w:pPr>
            <w:r>
              <w:rPr>
                <w:sz w:val="21"/>
                <w:szCs w:val="21"/>
              </w:rPr>
              <w:t>/</w:t>
            </w:r>
          </w:p>
        </w:tc>
        <w:tc>
          <w:tcPr>
            <w:tcW w:w="2387" w:type="dxa"/>
            <w:vAlign w:val="center"/>
          </w:tcPr>
          <w:p>
            <w:pPr>
              <w:widowControl/>
              <w:spacing w:line="240" w:lineRule="auto"/>
              <w:ind w:firstLine="0" w:firstLineChars="0"/>
              <w:contextualSpacing/>
              <w:jc w:val="center"/>
              <w:rPr>
                <w:sz w:val="21"/>
                <w:szCs w:val="21"/>
              </w:rPr>
            </w:pPr>
            <w:r>
              <w:rPr>
                <w:sz w:val="21"/>
                <w:szCs w:val="21"/>
              </w:rPr>
              <w:t>/</w:t>
            </w:r>
          </w:p>
        </w:tc>
        <w:tc>
          <w:tcPr>
            <w:tcW w:w="1500" w:type="dxa"/>
            <w:vAlign w:val="center"/>
          </w:tcPr>
          <w:p>
            <w:pPr>
              <w:spacing w:line="240" w:lineRule="auto"/>
              <w:ind w:firstLine="0" w:firstLineChars="0"/>
              <w:contextualSpacing/>
              <w:jc w:val="center"/>
              <w:rPr>
                <w:i/>
                <w:iCs/>
                <w:sz w:val="21"/>
                <w:szCs w:val="21"/>
              </w:rPr>
            </w:pPr>
            <w:r>
              <w:rPr>
                <w:i/>
                <w:iCs/>
                <w:sz w:val="21"/>
                <w:szCs w:val="21"/>
              </w:rPr>
              <w:t>/</w:t>
            </w:r>
          </w:p>
        </w:tc>
        <w:tc>
          <w:tcPr>
            <w:tcW w:w="1433" w:type="dxa"/>
            <w:vAlign w:val="center"/>
          </w:tcPr>
          <w:p>
            <w:pPr>
              <w:spacing w:line="240" w:lineRule="auto"/>
              <w:ind w:firstLine="0" w:firstLineChars="0"/>
              <w:contextualSpacing/>
              <w:jc w:val="center"/>
              <w:rPr>
                <w:sz w:val="21"/>
                <w:szCs w:val="21"/>
              </w:rPr>
            </w:pPr>
            <w:r>
              <w:rPr>
                <w:sz w:val="21"/>
                <w:szCs w:val="21"/>
              </w:rPr>
              <w:t>/</w:t>
            </w:r>
          </w:p>
        </w:tc>
        <w:tc>
          <w:tcPr>
            <w:tcW w:w="2112" w:type="dxa"/>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spacing w:line="240" w:lineRule="auto"/>
              <w:ind w:firstLine="0" w:firstLineChars="0"/>
              <w:contextualSpacing/>
              <w:jc w:val="center"/>
              <w:rPr>
                <w:b/>
                <w:bCs/>
                <w:sz w:val="21"/>
                <w:szCs w:val="21"/>
              </w:rPr>
            </w:pPr>
            <w:r>
              <w:rPr>
                <w:b/>
                <w:bCs/>
                <w:sz w:val="21"/>
                <w:szCs w:val="21"/>
              </w:rPr>
              <w:t>灌木层</w:t>
            </w:r>
          </w:p>
        </w:tc>
        <w:tc>
          <w:tcPr>
            <w:tcW w:w="2387" w:type="dxa"/>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0" w:firstLineChars="0"/>
              <w:contextualSpacing/>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90" w:type="dxa"/>
            <w:shd w:val="clear" w:color="auto" w:fill="FFFFFF"/>
            <w:vAlign w:val="center"/>
          </w:tcPr>
          <w:p>
            <w:pPr>
              <w:widowControl/>
              <w:spacing w:line="240" w:lineRule="auto"/>
              <w:ind w:firstLine="0" w:firstLineChars="0"/>
              <w:contextualSpacing/>
              <w:jc w:val="center"/>
              <w:rPr>
                <w:bCs/>
                <w:sz w:val="21"/>
                <w:szCs w:val="21"/>
              </w:rPr>
            </w:pPr>
            <w:r>
              <w:rPr>
                <w:sz w:val="21"/>
                <w:szCs w:val="21"/>
              </w:rPr>
              <w:t>/</w:t>
            </w:r>
          </w:p>
        </w:tc>
        <w:tc>
          <w:tcPr>
            <w:tcW w:w="2387" w:type="dxa"/>
            <w:shd w:val="clear" w:color="auto" w:fill="FFFFFF"/>
            <w:vAlign w:val="center"/>
          </w:tcPr>
          <w:p>
            <w:pPr>
              <w:widowControl/>
              <w:spacing w:line="240" w:lineRule="auto"/>
              <w:ind w:firstLine="0" w:firstLineChars="0"/>
              <w:contextualSpacing/>
              <w:jc w:val="center"/>
              <w:rPr>
                <w:bCs/>
                <w:i/>
                <w:iCs/>
                <w:sz w:val="21"/>
                <w:szCs w:val="21"/>
              </w:rPr>
            </w:pPr>
            <w:r>
              <w:rPr>
                <w:sz w:val="21"/>
                <w:szCs w:val="21"/>
              </w:rPr>
              <w:t>/</w:t>
            </w:r>
          </w:p>
        </w:tc>
        <w:tc>
          <w:tcPr>
            <w:tcW w:w="1500" w:type="dxa"/>
            <w:shd w:val="clear" w:color="auto" w:fill="FFFFFF"/>
            <w:vAlign w:val="center"/>
          </w:tcPr>
          <w:p>
            <w:pPr>
              <w:spacing w:line="240" w:lineRule="auto"/>
              <w:ind w:firstLine="0" w:firstLineChars="0"/>
              <w:contextualSpacing/>
              <w:jc w:val="center"/>
              <w:rPr>
                <w:i/>
                <w:iCs/>
                <w:sz w:val="21"/>
                <w:szCs w:val="21"/>
              </w:rPr>
            </w:pPr>
            <w:r>
              <w:rPr>
                <w:i/>
                <w:iCs/>
                <w:sz w:val="21"/>
                <w:szCs w:val="21"/>
              </w:rPr>
              <w:t>/</w:t>
            </w:r>
          </w:p>
        </w:tc>
        <w:tc>
          <w:tcPr>
            <w:tcW w:w="1433" w:type="dxa"/>
            <w:shd w:val="clear" w:color="auto" w:fill="FFFFFF"/>
            <w:vAlign w:val="center"/>
          </w:tcPr>
          <w:p>
            <w:pPr>
              <w:spacing w:line="240" w:lineRule="auto"/>
              <w:ind w:firstLine="0" w:firstLineChars="0"/>
              <w:contextualSpacing/>
              <w:jc w:val="center"/>
              <w:rPr>
                <w:bCs/>
                <w:i/>
                <w:iCs/>
                <w:sz w:val="21"/>
                <w:szCs w:val="21"/>
              </w:rPr>
            </w:pPr>
            <w:r>
              <w:rPr>
                <w:sz w:val="21"/>
                <w:szCs w:val="21"/>
              </w:rPr>
              <w:t>/</w:t>
            </w:r>
          </w:p>
        </w:tc>
        <w:tc>
          <w:tcPr>
            <w:tcW w:w="2112" w:type="dxa"/>
            <w:vAlign w:val="center"/>
          </w:tcPr>
          <w:p>
            <w:pPr>
              <w:spacing w:line="240" w:lineRule="auto"/>
              <w:ind w:firstLine="0" w:firstLineChars="0"/>
              <w:contextualSpacing/>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FFFFFF"/>
            <w:vAlign w:val="center"/>
          </w:tcPr>
          <w:p>
            <w:pPr>
              <w:spacing w:line="240" w:lineRule="auto"/>
              <w:ind w:firstLine="0" w:firstLineChars="0"/>
              <w:contextualSpacing/>
              <w:jc w:val="center"/>
              <w:rPr>
                <w:b/>
                <w:bCs/>
                <w:sz w:val="21"/>
                <w:szCs w:val="21"/>
              </w:rPr>
            </w:pPr>
            <w:r>
              <w:rPr>
                <w:b/>
                <w:bCs/>
                <w:sz w:val="21"/>
                <w:szCs w:val="21"/>
              </w:rPr>
              <w:t>草本层</w:t>
            </w:r>
          </w:p>
        </w:tc>
        <w:tc>
          <w:tcPr>
            <w:tcW w:w="2387" w:type="dxa"/>
            <w:shd w:val="clear" w:color="auto" w:fill="FFFFFF"/>
            <w:vAlign w:val="center"/>
          </w:tcPr>
          <w:p>
            <w:pPr>
              <w:spacing w:line="240" w:lineRule="auto"/>
              <w:ind w:firstLine="0" w:firstLineChars="0"/>
              <w:contextualSpacing/>
              <w:jc w:val="center"/>
              <w:rPr>
                <w:b/>
                <w:bCs/>
                <w:sz w:val="21"/>
                <w:szCs w:val="21"/>
              </w:rPr>
            </w:pPr>
            <w:r>
              <w:rPr>
                <w:b/>
                <w:bCs/>
                <w:sz w:val="21"/>
                <w:szCs w:val="21"/>
              </w:rPr>
              <w:t>拉丁名</w:t>
            </w:r>
          </w:p>
        </w:tc>
        <w:tc>
          <w:tcPr>
            <w:tcW w:w="1500" w:type="dxa"/>
            <w:shd w:val="clear" w:color="auto" w:fill="FFFFFF"/>
            <w:vAlign w:val="center"/>
          </w:tcPr>
          <w:p>
            <w:pPr>
              <w:spacing w:line="240" w:lineRule="auto"/>
              <w:ind w:firstLine="0" w:firstLineChars="0"/>
              <w:contextualSpacing/>
              <w:jc w:val="center"/>
              <w:rPr>
                <w:b/>
                <w:bCs/>
                <w:sz w:val="21"/>
                <w:szCs w:val="21"/>
              </w:rPr>
            </w:pPr>
            <w:r>
              <w:rPr>
                <w:b/>
                <w:bCs/>
                <w:sz w:val="21"/>
                <w:szCs w:val="21"/>
              </w:rPr>
              <w:t>数量（株/丛）</w:t>
            </w:r>
          </w:p>
        </w:tc>
        <w:tc>
          <w:tcPr>
            <w:tcW w:w="1433" w:type="dxa"/>
            <w:shd w:val="clear" w:color="auto" w:fill="FFFFFF"/>
            <w:vAlign w:val="center"/>
          </w:tcPr>
          <w:p>
            <w:pPr>
              <w:spacing w:line="240" w:lineRule="auto"/>
              <w:ind w:firstLine="0" w:firstLineChars="0"/>
              <w:contextualSpacing/>
              <w:jc w:val="center"/>
              <w:rPr>
                <w:b/>
                <w:bCs/>
                <w:sz w:val="21"/>
                <w:szCs w:val="21"/>
              </w:rPr>
            </w:pPr>
            <w:r>
              <w:rPr>
                <w:b/>
                <w:bCs/>
                <w:sz w:val="21"/>
                <w:szCs w:val="21"/>
              </w:rPr>
              <w:t>盖度%</w:t>
            </w:r>
          </w:p>
        </w:tc>
        <w:tc>
          <w:tcPr>
            <w:tcW w:w="2112" w:type="dxa"/>
            <w:vAlign w:val="center"/>
          </w:tcPr>
          <w:p>
            <w:pPr>
              <w:spacing w:line="240" w:lineRule="auto"/>
              <w:ind w:firstLine="422"/>
              <w:contextualSpacing/>
              <w:jc w:val="center"/>
              <w:rPr>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白茅</w:t>
            </w:r>
          </w:p>
        </w:tc>
        <w:tc>
          <w:tcPr>
            <w:tcW w:w="2387" w:type="dxa"/>
            <w:shd w:val="clear" w:color="auto" w:fill="FFFFFF"/>
            <w:vAlign w:val="center"/>
          </w:tcPr>
          <w:p>
            <w:pPr>
              <w:spacing w:line="240" w:lineRule="auto"/>
              <w:ind w:firstLine="0" w:firstLineChars="0"/>
              <w:contextualSpacing/>
              <w:jc w:val="center"/>
              <w:rPr>
                <w:i/>
                <w:sz w:val="21"/>
                <w:szCs w:val="21"/>
              </w:rPr>
            </w:pPr>
            <w:r>
              <w:rPr>
                <w:bCs/>
                <w:i/>
                <w:iCs/>
                <w:sz w:val="21"/>
                <w:szCs w:val="21"/>
              </w:rPr>
              <w:t>Imperatacylindrica</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bCs/>
                <w:sz w:val="21"/>
                <w:szCs w:val="21"/>
              </w:rPr>
              <w:t>1</w:t>
            </w:r>
            <w:r>
              <w:rPr>
                <w:rFonts w:hint="eastAsia"/>
                <w:bCs/>
                <w:sz w:val="21"/>
                <w:szCs w:val="21"/>
              </w:rPr>
              <w:t>2</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50</w:t>
            </w:r>
          </w:p>
        </w:tc>
        <w:tc>
          <w:tcPr>
            <w:tcW w:w="2112" w:type="dxa"/>
            <w:vMerge w:val="restart"/>
            <w:vAlign w:val="center"/>
          </w:tcPr>
          <w:p>
            <w:pPr>
              <w:spacing w:line="240" w:lineRule="auto"/>
              <w:ind w:firstLine="0" w:firstLineChars="0"/>
              <w:contextualSpacing/>
              <w:jc w:val="center"/>
              <w:rPr>
                <w:b/>
                <w:bCs/>
                <w:sz w:val="21"/>
                <w:szCs w:val="21"/>
              </w:rPr>
            </w:pPr>
            <w:r>
              <w:rPr>
                <w:b/>
                <w:bCs/>
                <w:sz w:val="21"/>
                <w:szCs w:val="21"/>
              </w:rPr>
              <w:t>样方：1×1m</w:t>
            </w:r>
          </w:p>
          <w:p>
            <w:pPr>
              <w:spacing w:line="240" w:lineRule="auto"/>
              <w:ind w:firstLine="0" w:firstLineChars="0"/>
              <w:contextualSpacing/>
              <w:jc w:val="center"/>
              <w:rPr>
                <w:b/>
                <w:bCs/>
                <w:sz w:val="21"/>
                <w:szCs w:val="21"/>
              </w:rPr>
            </w:pPr>
            <w:r>
              <w:rPr>
                <w:b/>
                <w:bCs/>
                <w:sz w:val="21"/>
                <w:szCs w:val="21"/>
              </w:rPr>
              <w:t>总盖度：15%</w:t>
            </w:r>
          </w:p>
          <w:p>
            <w:pPr>
              <w:spacing w:line="240" w:lineRule="auto"/>
              <w:ind w:firstLine="0" w:firstLineChars="0"/>
              <w:contextualSpacing/>
              <w:jc w:val="center"/>
              <w:rPr>
                <w:sz w:val="21"/>
                <w:szCs w:val="21"/>
              </w:rPr>
            </w:pPr>
            <w:r>
              <w:rPr>
                <w:bCs/>
                <w:sz w:val="21"/>
                <w:szCs w:val="21"/>
              </w:rPr>
              <w:t>草本均高0.2-0.8m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芒</w:t>
            </w:r>
          </w:p>
        </w:tc>
        <w:tc>
          <w:tcPr>
            <w:tcW w:w="2387" w:type="dxa"/>
            <w:shd w:val="clear" w:color="auto" w:fill="FFFFFF"/>
            <w:vAlign w:val="center"/>
          </w:tcPr>
          <w:p>
            <w:pPr>
              <w:spacing w:line="240" w:lineRule="auto"/>
              <w:ind w:firstLine="0" w:firstLineChars="0"/>
              <w:contextualSpacing/>
              <w:jc w:val="center"/>
              <w:rPr>
                <w:sz w:val="21"/>
                <w:szCs w:val="21"/>
              </w:rPr>
            </w:pPr>
            <w:r>
              <w:rPr>
                <w:bCs/>
                <w:i/>
                <w:iCs/>
                <w:sz w:val="21"/>
                <w:szCs w:val="21"/>
              </w:rPr>
              <w:t>Miscanthussinensis</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rFonts w:hint="eastAsia"/>
                <w:bCs/>
                <w:i/>
                <w:iCs/>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15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widowControl/>
              <w:spacing w:line="240" w:lineRule="auto"/>
              <w:ind w:firstLine="0" w:firstLineChars="0"/>
              <w:contextualSpacing/>
              <w:jc w:val="center"/>
              <w:rPr>
                <w:sz w:val="21"/>
                <w:szCs w:val="21"/>
              </w:rPr>
            </w:pPr>
            <w:r>
              <w:rPr>
                <w:kern w:val="0"/>
                <w:sz w:val="21"/>
                <w:szCs w:val="21"/>
              </w:rPr>
              <w:t>蕨</w:t>
            </w:r>
          </w:p>
        </w:tc>
        <w:tc>
          <w:tcPr>
            <w:tcW w:w="2387" w:type="dxa"/>
            <w:shd w:val="clear" w:color="auto" w:fill="FFFFFF"/>
            <w:vAlign w:val="center"/>
          </w:tcPr>
          <w:p>
            <w:pPr>
              <w:widowControl/>
              <w:spacing w:line="240" w:lineRule="auto"/>
              <w:ind w:firstLine="0" w:firstLineChars="0"/>
              <w:contextualSpacing/>
              <w:jc w:val="center"/>
              <w:rPr>
                <w:i/>
                <w:sz w:val="21"/>
                <w:szCs w:val="21"/>
              </w:rPr>
            </w:pPr>
            <w:r>
              <w:rPr>
                <w:i/>
                <w:sz w:val="21"/>
                <w:szCs w:val="21"/>
              </w:rPr>
              <w:t>Imperatacylindrica</w:t>
            </w:r>
          </w:p>
        </w:tc>
        <w:tc>
          <w:tcPr>
            <w:tcW w:w="1500" w:type="dxa"/>
            <w:shd w:val="clear" w:color="auto" w:fill="FFFFFF"/>
            <w:vAlign w:val="center"/>
          </w:tcPr>
          <w:p>
            <w:pPr>
              <w:widowControl/>
              <w:spacing w:line="240" w:lineRule="auto"/>
              <w:ind w:firstLine="0" w:firstLineChars="0"/>
              <w:contextualSpacing/>
              <w:jc w:val="center"/>
              <w:rPr>
                <w:rFonts w:hint="eastAsia"/>
                <w:i/>
                <w:sz w:val="21"/>
                <w:szCs w:val="21"/>
              </w:rPr>
            </w:pPr>
            <w:r>
              <w:rPr>
                <w:rFonts w:hint="eastAsia"/>
                <w:i/>
                <w:sz w:val="21"/>
                <w:szCs w:val="21"/>
              </w:rPr>
              <w:t>6</w:t>
            </w:r>
          </w:p>
        </w:tc>
        <w:tc>
          <w:tcPr>
            <w:tcW w:w="1433" w:type="dxa"/>
            <w:shd w:val="clear" w:color="auto" w:fill="FFFFFF"/>
            <w:vAlign w:val="center"/>
          </w:tcPr>
          <w:p>
            <w:pPr>
              <w:widowControl/>
              <w:spacing w:line="240" w:lineRule="auto"/>
              <w:ind w:firstLine="0" w:firstLineChars="0"/>
              <w:contextualSpacing/>
              <w:jc w:val="center"/>
              <w:rPr>
                <w:bCs/>
                <w:i/>
                <w:iCs/>
                <w:sz w:val="21"/>
                <w:szCs w:val="21"/>
              </w:rPr>
            </w:pPr>
            <w:r>
              <w:rPr>
                <w:bCs/>
                <w:i/>
                <w:iCs/>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水麻</w:t>
            </w:r>
          </w:p>
        </w:tc>
        <w:tc>
          <w:tcPr>
            <w:tcW w:w="2387" w:type="dxa"/>
            <w:shd w:val="clear" w:color="auto" w:fill="FFFFFF"/>
            <w:vAlign w:val="center"/>
          </w:tcPr>
          <w:p>
            <w:pPr>
              <w:spacing w:line="240" w:lineRule="auto"/>
              <w:ind w:firstLine="0" w:firstLineChars="0"/>
              <w:contextualSpacing/>
              <w:jc w:val="center"/>
              <w:rPr>
                <w:i/>
                <w:sz w:val="21"/>
                <w:szCs w:val="21"/>
              </w:rPr>
            </w:pPr>
            <w:r>
              <w:rPr>
                <w:bCs/>
                <w:i/>
                <w:iCs/>
                <w:sz w:val="21"/>
                <w:szCs w:val="21"/>
              </w:rPr>
              <w:t>Debregeasiaorientalis</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rFonts w:hint="eastAsia"/>
                <w:bCs/>
                <w:i/>
                <w:iCs/>
                <w:sz w:val="21"/>
                <w:szCs w:val="21"/>
              </w:rPr>
              <w:t>1</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10</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地瓜藤</w:t>
            </w:r>
          </w:p>
        </w:tc>
        <w:tc>
          <w:tcPr>
            <w:tcW w:w="2387" w:type="dxa"/>
            <w:shd w:val="clear" w:color="auto" w:fill="FFFFFF"/>
            <w:vAlign w:val="center"/>
          </w:tcPr>
          <w:p>
            <w:pPr>
              <w:spacing w:line="240" w:lineRule="auto"/>
              <w:ind w:firstLine="0" w:firstLineChars="0"/>
              <w:contextualSpacing/>
              <w:jc w:val="center"/>
              <w:rPr>
                <w:i/>
                <w:sz w:val="21"/>
                <w:szCs w:val="21"/>
              </w:rPr>
            </w:pPr>
            <w:r>
              <w:rPr>
                <w:bCs/>
                <w:i/>
                <w:iCs/>
                <w:sz w:val="21"/>
                <w:szCs w:val="21"/>
              </w:rPr>
              <w:t>CaulisFiciTikouae</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rFonts w:hint="eastAsia"/>
                <w:bCs/>
                <w:i/>
                <w:iCs/>
                <w:sz w:val="21"/>
                <w:szCs w:val="21"/>
              </w:rPr>
              <w:t>4</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5</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荩草</w:t>
            </w:r>
          </w:p>
        </w:tc>
        <w:tc>
          <w:tcPr>
            <w:tcW w:w="2387" w:type="dxa"/>
            <w:shd w:val="clear" w:color="auto" w:fill="FFFFFF"/>
            <w:vAlign w:val="center"/>
          </w:tcPr>
          <w:p>
            <w:pPr>
              <w:spacing w:line="240" w:lineRule="auto"/>
              <w:ind w:firstLine="0" w:firstLineChars="0"/>
              <w:contextualSpacing/>
              <w:jc w:val="center"/>
              <w:rPr>
                <w:i/>
                <w:sz w:val="21"/>
                <w:szCs w:val="21"/>
              </w:rPr>
            </w:pPr>
            <w:r>
              <w:rPr>
                <w:bCs/>
                <w:i/>
                <w:iCs/>
                <w:sz w:val="21"/>
                <w:szCs w:val="21"/>
              </w:rPr>
              <w:t>Arthraxonhispidus</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rFonts w:hint="eastAsia"/>
                <w:bCs/>
                <w:i/>
                <w:iCs/>
                <w:sz w:val="21"/>
                <w:szCs w:val="21"/>
              </w:rPr>
              <w:t>6</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0" w:type="dxa"/>
            <w:shd w:val="clear" w:color="auto" w:fill="FFFFFF"/>
            <w:vAlign w:val="center"/>
          </w:tcPr>
          <w:p>
            <w:pPr>
              <w:spacing w:line="240" w:lineRule="auto"/>
              <w:ind w:firstLine="0" w:firstLineChars="0"/>
              <w:contextualSpacing/>
              <w:jc w:val="center"/>
              <w:rPr>
                <w:sz w:val="21"/>
                <w:szCs w:val="21"/>
              </w:rPr>
            </w:pPr>
            <w:r>
              <w:rPr>
                <w:sz w:val="21"/>
                <w:szCs w:val="21"/>
              </w:rPr>
              <w:t>千里光</w:t>
            </w:r>
          </w:p>
        </w:tc>
        <w:tc>
          <w:tcPr>
            <w:tcW w:w="2387" w:type="dxa"/>
            <w:shd w:val="clear" w:color="auto" w:fill="FFFFFF"/>
            <w:vAlign w:val="center"/>
          </w:tcPr>
          <w:p>
            <w:pPr>
              <w:spacing w:line="240" w:lineRule="auto"/>
              <w:ind w:firstLine="0" w:firstLineChars="0"/>
              <w:contextualSpacing/>
              <w:jc w:val="center"/>
              <w:rPr>
                <w:i/>
                <w:sz w:val="21"/>
                <w:szCs w:val="21"/>
              </w:rPr>
            </w:pPr>
            <w:r>
              <w:rPr>
                <w:bCs/>
                <w:i/>
                <w:iCs/>
                <w:sz w:val="21"/>
                <w:szCs w:val="21"/>
              </w:rPr>
              <w:t>Senecioscandens</w:t>
            </w:r>
          </w:p>
        </w:tc>
        <w:tc>
          <w:tcPr>
            <w:tcW w:w="1500" w:type="dxa"/>
            <w:shd w:val="clear" w:color="auto" w:fill="FFFFFF"/>
            <w:vAlign w:val="center"/>
          </w:tcPr>
          <w:p>
            <w:pPr>
              <w:spacing w:line="240" w:lineRule="auto"/>
              <w:ind w:firstLine="0" w:firstLineChars="0"/>
              <w:contextualSpacing/>
              <w:jc w:val="center"/>
              <w:rPr>
                <w:rFonts w:hint="eastAsia"/>
                <w:i/>
                <w:sz w:val="21"/>
                <w:szCs w:val="21"/>
              </w:rPr>
            </w:pPr>
            <w:r>
              <w:rPr>
                <w:rFonts w:hint="eastAsia"/>
                <w:bCs/>
                <w:i/>
                <w:iCs/>
                <w:sz w:val="21"/>
                <w:szCs w:val="21"/>
              </w:rPr>
              <w:t>2</w:t>
            </w:r>
          </w:p>
        </w:tc>
        <w:tc>
          <w:tcPr>
            <w:tcW w:w="1433" w:type="dxa"/>
            <w:shd w:val="clear" w:color="auto" w:fill="FFFFFF"/>
            <w:vAlign w:val="center"/>
          </w:tcPr>
          <w:p>
            <w:pPr>
              <w:widowControl/>
              <w:spacing w:line="240" w:lineRule="auto"/>
              <w:ind w:firstLine="0" w:firstLineChars="0"/>
              <w:contextualSpacing/>
              <w:jc w:val="center"/>
              <w:rPr>
                <w:sz w:val="21"/>
                <w:szCs w:val="21"/>
              </w:rPr>
            </w:pPr>
            <w:r>
              <w:rPr>
                <w:sz w:val="21"/>
                <w:szCs w:val="21"/>
              </w:rPr>
              <w:t>2</w:t>
            </w:r>
          </w:p>
        </w:tc>
        <w:tc>
          <w:tcPr>
            <w:tcW w:w="2112" w:type="dxa"/>
            <w:vMerge w:val="continue"/>
            <w:vAlign w:val="center"/>
          </w:tcPr>
          <w:p>
            <w:pPr>
              <w:spacing w:line="240" w:lineRule="auto"/>
              <w:ind w:firstLine="420"/>
              <w:contextualSpacing/>
              <w:jc w:val="center"/>
              <w:rPr>
                <w:sz w:val="21"/>
                <w:szCs w:val="21"/>
              </w:rPr>
            </w:pPr>
          </w:p>
        </w:tc>
      </w:tr>
    </w:tbl>
    <w:p>
      <w:pPr>
        <w:spacing w:line="160" w:lineRule="exact"/>
        <w:ind w:firstLine="0" w:firstLineChars="0"/>
        <w:contextualSpacing/>
      </w:pPr>
    </w:p>
    <w:p>
      <w:pPr>
        <w:ind w:left="480" w:firstLine="0" w:firstLineChars="0"/>
        <w:contextualSpacing/>
      </w:pPr>
      <w:r>
        <w:t>（5）工程各重点区域植被概况</w:t>
      </w:r>
    </w:p>
    <w:p>
      <w:pPr>
        <w:pStyle w:val="23"/>
        <w:ind w:firstLine="480" w:firstLineChars="200"/>
        <w:contextualSpacing/>
        <w:rPr>
          <w:rFonts w:eastAsia="宋体"/>
          <w:color w:val="auto"/>
          <w:sz w:val="24"/>
          <w:szCs w:val="24"/>
        </w:rPr>
      </w:pPr>
      <w:r>
        <w:rPr>
          <w:rFonts w:eastAsia="宋体"/>
          <w:color w:val="auto"/>
          <w:sz w:val="24"/>
          <w:szCs w:val="24"/>
        </w:rPr>
        <w:t>工程各重点区域植被状况见表4.7.1-21。</w:t>
      </w:r>
    </w:p>
    <w:p>
      <w:pPr>
        <w:pStyle w:val="73"/>
        <w:adjustRightInd/>
        <w:snapToGrid/>
        <w:ind w:firstLine="0" w:firstLineChars="0"/>
        <w:contextualSpacing/>
        <w:rPr>
          <w:rFonts w:eastAsia="宋体"/>
          <w:b/>
          <w:sz w:val="21"/>
          <w:szCs w:val="21"/>
        </w:rPr>
      </w:pPr>
      <w:r>
        <w:rPr>
          <w:rFonts w:eastAsia="宋体"/>
          <w:b/>
          <w:sz w:val="21"/>
          <w:szCs w:val="21"/>
        </w:rPr>
        <w:t>表4.7.1-21  工程各重点区域植被状况</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2"/>
        <w:gridCol w:w="6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gridSpan w:val="2"/>
            <w:vAlign w:val="center"/>
          </w:tcPr>
          <w:p>
            <w:pPr>
              <w:pStyle w:val="23"/>
              <w:spacing w:line="240" w:lineRule="auto"/>
              <w:ind w:firstLine="0" w:firstLineChars="0"/>
              <w:contextualSpacing/>
              <w:jc w:val="center"/>
              <w:rPr>
                <w:rFonts w:eastAsia="宋体"/>
                <w:b/>
                <w:bCs/>
                <w:color w:val="auto"/>
                <w:sz w:val="21"/>
                <w:szCs w:val="21"/>
              </w:rPr>
            </w:pPr>
            <w:r>
              <w:rPr>
                <w:rFonts w:eastAsia="宋体"/>
                <w:b/>
                <w:bCs/>
                <w:color w:val="auto"/>
                <w:sz w:val="21"/>
                <w:szCs w:val="21"/>
              </w:rPr>
              <w:t>工程区域</w:t>
            </w:r>
          </w:p>
        </w:tc>
        <w:tc>
          <w:tcPr>
            <w:tcW w:w="4104" w:type="pct"/>
            <w:vAlign w:val="center"/>
          </w:tcPr>
          <w:p>
            <w:pPr>
              <w:pStyle w:val="23"/>
              <w:spacing w:line="240" w:lineRule="auto"/>
              <w:ind w:firstLine="0" w:firstLineChars="0"/>
              <w:contextualSpacing/>
              <w:jc w:val="center"/>
              <w:rPr>
                <w:rFonts w:eastAsia="宋体"/>
                <w:b/>
                <w:bCs/>
                <w:color w:val="auto"/>
                <w:sz w:val="21"/>
                <w:szCs w:val="21"/>
              </w:rPr>
            </w:pPr>
            <w:r>
              <w:rPr>
                <w:rFonts w:eastAsia="宋体"/>
                <w:b/>
                <w:bCs/>
                <w:color w:val="auto"/>
                <w:sz w:val="21"/>
                <w:szCs w:val="21"/>
              </w:rPr>
              <w:t>植被状况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pStyle w:val="23"/>
              <w:spacing w:line="240" w:lineRule="auto"/>
              <w:ind w:firstLine="0" w:firstLineChars="0"/>
              <w:contextualSpacing/>
              <w:jc w:val="center"/>
              <w:rPr>
                <w:rFonts w:eastAsia="宋体"/>
                <w:b/>
                <w:bCs/>
                <w:color w:val="auto"/>
                <w:sz w:val="21"/>
                <w:szCs w:val="21"/>
              </w:rPr>
            </w:pPr>
            <w:r>
              <w:rPr>
                <w:rFonts w:eastAsia="宋体"/>
                <w:b/>
                <w:bCs/>
                <w:color w:val="auto"/>
                <w:sz w:val="21"/>
                <w:szCs w:val="21"/>
              </w:rPr>
              <w:t>永久占地区域</w:t>
            </w:r>
          </w:p>
        </w:tc>
        <w:tc>
          <w:tcPr>
            <w:tcW w:w="499" w:type="pct"/>
            <w:vAlign w:val="center"/>
          </w:tcPr>
          <w:p>
            <w:pPr>
              <w:spacing w:line="240" w:lineRule="auto"/>
              <w:ind w:firstLine="0" w:firstLineChars="0"/>
              <w:contextualSpacing/>
              <w:jc w:val="center"/>
              <w:rPr>
                <w:b/>
                <w:bCs/>
                <w:sz w:val="21"/>
                <w:szCs w:val="21"/>
              </w:rPr>
            </w:pPr>
            <w:r>
              <w:rPr>
                <w:b/>
                <w:bCs/>
                <w:sz w:val="21"/>
                <w:szCs w:val="21"/>
              </w:rPr>
              <w:t>坝址</w:t>
            </w:r>
          </w:p>
        </w:tc>
        <w:tc>
          <w:tcPr>
            <w:tcW w:w="4104" w:type="pct"/>
            <w:vAlign w:val="center"/>
          </w:tcPr>
          <w:p>
            <w:pPr>
              <w:spacing w:line="240" w:lineRule="auto"/>
              <w:ind w:firstLine="0" w:firstLineChars="0"/>
              <w:contextualSpacing/>
              <w:jc w:val="center"/>
              <w:rPr>
                <w:b/>
                <w:bCs/>
                <w:sz w:val="21"/>
                <w:szCs w:val="21"/>
              </w:rPr>
            </w:pPr>
            <w:r>
              <w:rPr>
                <w:rFonts w:hint="eastAsia"/>
                <w:sz w:val="21"/>
                <w:szCs w:val="21"/>
              </w:rPr>
              <w:t>坝址两岸下部多为柏木林</w:t>
            </w:r>
            <w:r>
              <w:rPr>
                <w:sz w:val="21"/>
                <w:szCs w:val="21"/>
              </w:rPr>
              <w:t>，其间有少量</w:t>
            </w:r>
            <w:r>
              <w:rPr>
                <w:rFonts w:hint="eastAsia"/>
                <w:sz w:val="21"/>
                <w:szCs w:val="21"/>
              </w:rPr>
              <w:t>桤木</w:t>
            </w:r>
            <w:r>
              <w:rPr>
                <w:sz w:val="21"/>
                <w:szCs w:val="21"/>
              </w:rPr>
              <w:t>、黄荆灌丛。主要植物种类有</w:t>
            </w:r>
            <w:r>
              <w:rPr>
                <w:rFonts w:hint="eastAsia"/>
                <w:sz w:val="21"/>
                <w:szCs w:val="21"/>
              </w:rPr>
              <w:t>柏木、合欢、乌桕、宜昌悬钩子、盐肤木、冬青、黄荆、冷水花、马桑、粗糠柴、白茅、土牛膝、商陆、繁缕、山酢浆草、四川新木姜子、打破碗花花、白花碎米荠、香花崖豆藤、短序荚蒾、艾蒿、杜蒿、牛筋草、微绒绣球</w:t>
            </w:r>
            <w:r>
              <w:rPr>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pStyle w:val="23"/>
              <w:spacing w:line="240" w:lineRule="auto"/>
              <w:ind w:firstLine="0" w:firstLineChars="0"/>
              <w:contextualSpacing/>
              <w:jc w:val="center"/>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淹没区</w:t>
            </w:r>
          </w:p>
        </w:tc>
        <w:tc>
          <w:tcPr>
            <w:tcW w:w="4104" w:type="pct"/>
            <w:vAlign w:val="center"/>
          </w:tcPr>
          <w:p>
            <w:pPr>
              <w:pStyle w:val="23"/>
              <w:spacing w:line="240" w:lineRule="auto"/>
              <w:ind w:firstLine="0" w:firstLineChars="0"/>
              <w:contextualSpacing/>
              <w:jc w:val="center"/>
              <w:rPr>
                <w:rFonts w:eastAsia="宋体"/>
                <w:b/>
                <w:bCs/>
                <w:color w:val="auto"/>
                <w:sz w:val="21"/>
                <w:szCs w:val="21"/>
              </w:rPr>
            </w:pPr>
            <w:r>
              <w:rPr>
                <w:rFonts w:hint="eastAsia" w:eastAsia="宋体"/>
                <w:color w:val="auto"/>
                <w:sz w:val="21"/>
                <w:szCs w:val="21"/>
              </w:rPr>
              <w:t>淹没区两岸主要为农田和柏木林。</w:t>
            </w:r>
            <w:r>
              <w:rPr>
                <w:rFonts w:eastAsia="宋体"/>
                <w:color w:val="auto"/>
                <w:sz w:val="21"/>
                <w:szCs w:val="21"/>
              </w:rPr>
              <w:t>淹没区主要植物种类有慈竹、柏木、盐肤木、黄荆、桤木、枫杨、乌桕、马桑、悬钩子、楤木、合欢、清香木姜子、车前、刚毛忍冬、短序荚蒾、苦荬菜、千里光、芦竹、芒、蒲公英、菝葜、狗牙根、白顶早熟禾、土牛膝、碎米莎草、绞股蓝、杜蒿、灰苞蒿、艾蒿以及水稻、小麦、玉米、冬瓜、南瓜、马铃薯、辣椒、蚕豆、大豆等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pStyle w:val="23"/>
              <w:spacing w:line="240" w:lineRule="auto"/>
              <w:ind w:firstLine="0" w:firstLineChars="0"/>
              <w:contextualSpacing/>
              <w:jc w:val="center"/>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渠系永久占地</w:t>
            </w:r>
          </w:p>
        </w:tc>
        <w:tc>
          <w:tcPr>
            <w:tcW w:w="4104" w:type="pct"/>
            <w:vAlign w:val="center"/>
          </w:tcPr>
          <w:p>
            <w:pPr>
              <w:spacing w:line="240" w:lineRule="auto"/>
              <w:ind w:firstLine="0" w:firstLineChars="0"/>
              <w:contextualSpacing/>
              <w:jc w:val="center"/>
              <w:rPr>
                <w:b/>
                <w:bCs/>
                <w:sz w:val="21"/>
                <w:szCs w:val="21"/>
              </w:rPr>
            </w:pPr>
            <w:r>
              <w:rPr>
                <w:sz w:val="21"/>
                <w:szCs w:val="21"/>
              </w:rPr>
              <w:t>渠系占地区主要植被类型为农作物植被，禾本、蒿草草丛及黄荆-马桑灌丛。主要植物种类有黄荆、马桑、白茅、盐肤木、芒、油桐、短序荚蒾、苦苣菜、商陆、繁缕、水麻、桑、金色狗尾草、宜昌悬钩子、高梁泡、火棘、楤木、马棘、粗糠柴、竹叶椒、茜草、艾蒿、紫菀、三叶鬼针草、苍耳以及水稻、小麦、玉米、葱、薯蓣、牛皮菜等农田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spacing w:line="240" w:lineRule="auto"/>
              <w:ind w:firstLine="0" w:firstLineChars="0"/>
              <w:contextualSpacing/>
              <w:jc w:val="center"/>
              <w:rPr>
                <w:b/>
                <w:bCs/>
                <w:sz w:val="21"/>
                <w:szCs w:val="21"/>
              </w:rPr>
            </w:pPr>
            <w:r>
              <w:rPr>
                <w:b/>
                <w:bCs/>
                <w:sz w:val="21"/>
                <w:szCs w:val="21"/>
              </w:rPr>
              <w:t>临时占地区域</w:t>
            </w:r>
          </w:p>
          <w:p>
            <w:pPr>
              <w:pStyle w:val="23"/>
              <w:spacing w:line="240" w:lineRule="auto"/>
              <w:ind w:firstLine="0" w:firstLineChars="0"/>
              <w:contextualSpacing/>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施工生产生活区</w:t>
            </w:r>
          </w:p>
        </w:tc>
        <w:tc>
          <w:tcPr>
            <w:tcW w:w="4104" w:type="pct"/>
            <w:vAlign w:val="center"/>
          </w:tcPr>
          <w:p>
            <w:pPr>
              <w:spacing w:line="240" w:lineRule="auto"/>
              <w:ind w:firstLine="0" w:firstLineChars="0"/>
              <w:contextualSpacing/>
              <w:jc w:val="center"/>
              <w:rPr>
                <w:b/>
                <w:bCs/>
                <w:sz w:val="21"/>
                <w:szCs w:val="21"/>
              </w:rPr>
            </w:pPr>
            <w:r>
              <w:rPr>
                <w:sz w:val="21"/>
                <w:szCs w:val="21"/>
              </w:rPr>
              <w:t>生活区以禾本、蒿草草丛、农田植被为主，主要植物种类有桑、水稻、白茅、松蒿、苦苣菜、剪股草、小麦、玉米、马铃薯、牛筋草、鱼眼草、艾蒿、打碗花、繁缕、地果、山酢浆草、车前、三叶鬼针草、豌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pStyle w:val="23"/>
              <w:spacing w:line="240" w:lineRule="auto"/>
              <w:ind w:firstLine="0" w:firstLineChars="0"/>
              <w:contextualSpacing/>
              <w:jc w:val="center"/>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施工道路占地区</w:t>
            </w:r>
          </w:p>
        </w:tc>
        <w:tc>
          <w:tcPr>
            <w:tcW w:w="4104" w:type="pct"/>
            <w:vAlign w:val="center"/>
          </w:tcPr>
          <w:p>
            <w:pPr>
              <w:spacing w:line="240" w:lineRule="auto"/>
              <w:ind w:firstLine="0" w:firstLineChars="0"/>
              <w:contextualSpacing/>
              <w:jc w:val="center"/>
              <w:rPr>
                <w:b/>
                <w:bCs/>
                <w:sz w:val="21"/>
                <w:szCs w:val="21"/>
              </w:rPr>
            </w:pPr>
            <w:r>
              <w:rPr>
                <w:sz w:val="21"/>
                <w:szCs w:val="21"/>
              </w:rPr>
              <w:t>施工道路主要为现用公路，仍有一部分为新建施工公路，涉及到的植被类型主要为农作物植被和禾本、蒿草草丛。主要植物有慈竹、枫杨、旱柳、桤木、麻栎、香椿、盐肤木、马桑、马鞭草、风轮菜、艾蒿、苦苣菜、细叶早熟禾、狗牙根、白茅、竹叶茅以及农作物植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pStyle w:val="23"/>
              <w:spacing w:line="240" w:lineRule="auto"/>
              <w:ind w:firstLine="0" w:firstLineChars="0"/>
              <w:contextualSpacing/>
              <w:jc w:val="center"/>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料场占地区</w:t>
            </w:r>
          </w:p>
        </w:tc>
        <w:tc>
          <w:tcPr>
            <w:tcW w:w="4104" w:type="pct"/>
            <w:vAlign w:val="center"/>
          </w:tcPr>
          <w:p>
            <w:pPr>
              <w:spacing w:line="240" w:lineRule="auto"/>
              <w:ind w:firstLine="0" w:firstLineChars="0"/>
              <w:contextualSpacing/>
              <w:jc w:val="center"/>
              <w:rPr>
                <w:b/>
                <w:bCs/>
                <w:sz w:val="21"/>
                <w:szCs w:val="21"/>
              </w:rPr>
            </w:pPr>
            <w:r>
              <w:rPr>
                <w:sz w:val="21"/>
                <w:szCs w:val="21"/>
              </w:rPr>
              <w:t>料场占地主要为农田植被、竹林、黄荆灌丛，农田植物组为玉米、小麦、水稻、黄豆、扁豆、繁缕、蒲公英、蜈蚣草、酸模、豆、大豆、辣椒、地桃花、紫菀、三叶鬼针草、茅叶荩草、看麦娘。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pStyle w:val="23"/>
              <w:spacing w:line="240" w:lineRule="auto"/>
              <w:ind w:firstLine="0" w:firstLineChars="0"/>
              <w:contextualSpacing/>
              <w:jc w:val="center"/>
              <w:rPr>
                <w:rFonts w:eastAsia="宋体"/>
                <w:b/>
                <w:bCs/>
                <w:color w:val="auto"/>
                <w:sz w:val="21"/>
                <w:szCs w:val="21"/>
              </w:rPr>
            </w:pPr>
          </w:p>
        </w:tc>
        <w:tc>
          <w:tcPr>
            <w:tcW w:w="499" w:type="pct"/>
            <w:vAlign w:val="center"/>
          </w:tcPr>
          <w:p>
            <w:pPr>
              <w:spacing w:line="240" w:lineRule="auto"/>
              <w:ind w:firstLine="0" w:firstLineChars="0"/>
              <w:contextualSpacing/>
              <w:jc w:val="center"/>
              <w:rPr>
                <w:b/>
                <w:bCs/>
                <w:sz w:val="21"/>
                <w:szCs w:val="21"/>
              </w:rPr>
            </w:pPr>
            <w:r>
              <w:rPr>
                <w:b/>
                <w:bCs/>
                <w:sz w:val="21"/>
                <w:szCs w:val="21"/>
              </w:rPr>
              <w:t>渣场占地区</w:t>
            </w:r>
          </w:p>
          <w:p>
            <w:pPr>
              <w:pStyle w:val="23"/>
              <w:spacing w:line="240" w:lineRule="auto"/>
              <w:ind w:firstLine="0" w:firstLineChars="0"/>
              <w:contextualSpacing/>
              <w:jc w:val="center"/>
              <w:rPr>
                <w:rFonts w:eastAsia="宋体"/>
                <w:b/>
                <w:bCs/>
                <w:color w:val="auto"/>
                <w:sz w:val="21"/>
                <w:szCs w:val="21"/>
              </w:rPr>
            </w:pPr>
          </w:p>
        </w:tc>
        <w:tc>
          <w:tcPr>
            <w:tcW w:w="4104" w:type="pct"/>
            <w:vAlign w:val="center"/>
          </w:tcPr>
          <w:p>
            <w:pPr>
              <w:spacing w:line="240" w:lineRule="auto"/>
              <w:ind w:firstLine="0" w:firstLineChars="0"/>
              <w:contextualSpacing/>
              <w:jc w:val="center"/>
              <w:rPr>
                <w:b/>
                <w:bCs/>
                <w:sz w:val="21"/>
                <w:szCs w:val="21"/>
              </w:rPr>
            </w:pPr>
            <w:r>
              <w:rPr>
                <w:sz w:val="21"/>
                <w:szCs w:val="21"/>
              </w:rPr>
              <w:t>各弃渣场植被主要为禾本、蒿草草丛，及农田植物组为黄豆、扁豆、茅叶荩草、看麦娘、白茅等，油菜、蒜、茄、白菜、乌桕、柏木、悬钩子、黄荆、山麦冬、蕨、芒萁等。</w:t>
            </w:r>
          </w:p>
        </w:tc>
      </w:tr>
    </w:tbl>
    <w:p>
      <w:pPr>
        <w:spacing w:line="160" w:lineRule="exact"/>
        <w:ind w:firstLine="480"/>
        <w:contextualSpacing/>
      </w:pPr>
    </w:p>
    <w:p>
      <w:pPr>
        <w:ind w:firstLine="480"/>
        <w:contextualSpacing/>
      </w:pPr>
      <w:r>
        <w:t>（5）主要植被类型生物生产力</w:t>
      </w:r>
    </w:p>
    <w:p>
      <w:pPr>
        <w:ind w:firstLine="480"/>
        <w:contextualSpacing/>
      </w:pPr>
      <w:r>
        <w:t>根据本工程占地区主要植被的实地样方生物量测定，结合《中国森林生态系统的生物量和生产力》等相关资料进行分析，估算评价区植被生产力为</w:t>
      </w:r>
      <w:r>
        <w:rPr>
          <w:bCs/>
          <w:lang w:bidi="en-US"/>
        </w:rPr>
        <w:t>评价区植被生产力为</w:t>
      </w:r>
      <w:r>
        <w:rPr>
          <w:kern w:val="0"/>
        </w:rPr>
        <w:t>41112.1</w:t>
      </w:r>
      <w:r>
        <w:rPr>
          <w:bCs/>
          <w:lang w:bidi="en-US"/>
        </w:rPr>
        <w:t>t/hm</w:t>
      </w:r>
      <w:r>
        <w:rPr>
          <w:bCs/>
          <w:vertAlign w:val="superscript"/>
          <w:lang w:bidi="en-US"/>
        </w:rPr>
        <w:t>2</w:t>
      </w:r>
      <w:r>
        <w:rPr>
          <w:bCs/>
          <w:lang w:bidi="en-US"/>
        </w:rPr>
        <w:t>·a。</w:t>
      </w:r>
      <w:r>
        <w:t>评价区内主要植被类型的平均净生产力和总生产力见表4.7.1-22。</w:t>
      </w:r>
    </w:p>
    <w:p>
      <w:pPr>
        <w:pStyle w:val="73"/>
        <w:adjustRightInd/>
        <w:snapToGrid/>
        <w:ind w:firstLine="0" w:firstLineChars="0"/>
        <w:contextualSpacing/>
        <w:rPr>
          <w:rFonts w:eastAsia="宋体"/>
          <w:b/>
          <w:sz w:val="21"/>
          <w:szCs w:val="21"/>
        </w:rPr>
      </w:pPr>
      <w:r>
        <w:rPr>
          <w:rFonts w:eastAsia="宋体"/>
          <w:b/>
          <w:sz w:val="21"/>
          <w:szCs w:val="21"/>
        </w:rPr>
        <w:t>表4.7.1-22  寒溪寺水库工程评价区植被生产力分析表</w:t>
      </w:r>
    </w:p>
    <w:tbl>
      <w:tblPr>
        <w:tblStyle w:val="38"/>
        <w:tblW w:w="8326" w:type="dxa"/>
        <w:tblInd w:w="0" w:type="dxa"/>
        <w:tblLayout w:type="fixed"/>
        <w:tblCellMar>
          <w:top w:w="0" w:type="dxa"/>
          <w:left w:w="0" w:type="dxa"/>
          <w:bottom w:w="0" w:type="dxa"/>
          <w:right w:w="0" w:type="dxa"/>
        </w:tblCellMar>
      </w:tblPr>
      <w:tblGrid>
        <w:gridCol w:w="719"/>
        <w:gridCol w:w="1744"/>
        <w:gridCol w:w="1942"/>
        <w:gridCol w:w="1043"/>
        <w:gridCol w:w="1650"/>
        <w:gridCol w:w="1228"/>
      </w:tblGrid>
      <w:tr>
        <w:tblPrEx>
          <w:tblCellMar>
            <w:top w:w="0" w:type="dxa"/>
            <w:left w:w="0" w:type="dxa"/>
            <w:bottom w:w="0" w:type="dxa"/>
            <w:right w:w="0" w:type="dxa"/>
          </w:tblCellMar>
        </w:tblPrEx>
        <w:trPr>
          <w:trHeight w:val="9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sz w:val="21"/>
                <w:szCs w:val="21"/>
              </w:rPr>
            </w:pPr>
            <w:r>
              <w:rPr>
                <w:b/>
                <w:kern w:val="0"/>
                <w:sz w:val="21"/>
                <w:szCs w:val="21"/>
              </w:rPr>
              <w:t>序号</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sz w:val="21"/>
                <w:szCs w:val="21"/>
              </w:rPr>
            </w:pPr>
            <w:r>
              <w:rPr>
                <w:b/>
                <w:kern w:val="0"/>
                <w:sz w:val="21"/>
                <w:szCs w:val="21"/>
              </w:rPr>
              <w:t>植被类型</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sz w:val="21"/>
                <w:szCs w:val="21"/>
              </w:rPr>
            </w:pPr>
            <w:r>
              <w:rPr>
                <w:b/>
                <w:kern w:val="0"/>
                <w:sz w:val="21"/>
                <w:szCs w:val="21"/>
              </w:rPr>
              <w:t>主要建群种</w:t>
            </w:r>
          </w:p>
        </w:tc>
        <w:tc>
          <w:tcPr>
            <w:tcW w:w="1043" w:type="dxa"/>
            <w:tcBorders>
              <w:top w:val="single" w:color="000000" w:sz="4" w:space="0"/>
              <w:left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kern w:val="0"/>
                <w:sz w:val="21"/>
                <w:szCs w:val="21"/>
              </w:rPr>
            </w:pPr>
            <w:r>
              <w:rPr>
                <w:b/>
                <w:kern w:val="0"/>
                <w:sz w:val="21"/>
                <w:szCs w:val="21"/>
              </w:rPr>
              <w:t>面积</w:t>
            </w:r>
          </w:p>
          <w:p>
            <w:pPr>
              <w:widowControl/>
              <w:spacing w:line="240" w:lineRule="auto"/>
              <w:ind w:firstLine="0" w:firstLineChars="0"/>
              <w:contextualSpacing/>
              <w:jc w:val="center"/>
              <w:textAlignment w:val="center"/>
              <w:rPr>
                <w:b/>
                <w:sz w:val="21"/>
                <w:szCs w:val="21"/>
              </w:rPr>
            </w:pPr>
            <w:r>
              <w:rPr>
                <w:b/>
                <w:kern w:val="0"/>
                <w:sz w:val="21"/>
                <w:szCs w:val="21"/>
              </w:rPr>
              <w:t>（hm</w:t>
            </w:r>
            <w:r>
              <w:rPr>
                <w:b/>
                <w:kern w:val="0"/>
                <w:sz w:val="21"/>
                <w:szCs w:val="21"/>
                <w:vertAlign w:val="superscript"/>
              </w:rPr>
              <w:t>2</w:t>
            </w:r>
            <w:r>
              <w:rPr>
                <w:b/>
                <w:kern w:val="0"/>
                <w:sz w:val="21"/>
                <w:szCs w:val="21"/>
              </w:rPr>
              <w:t>）</w:t>
            </w:r>
          </w:p>
        </w:tc>
        <w:tc>
          <w:tcPr>
            <w:tcW w:w="1650" w:type="dxa"/>
            <w:tcBorders>
              <w:top w:val="single" w:color="000000" w:sz="4" w:space="0"/>
              <w:left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sz w:val="21"/>
                <w:szCs w:val="21"/>
              </w:rPr>
            </w:pPr>
            <w:r>
              <w:rPr>
                <w:b/>
                <w:kern w:val="0"/>
                <w:sz w:val="21"/>
                <w:szCs w:val="21"/>
              </w:rPr>
              <w:t>平均净生产力</w:t>
            </w:r>
          </w:p>
          <w:p>
            <w:pPr>
              <w:widowControl/>
              <w:spacing w:line="240" w:lineRule="auto"/>
              <w:ind w:firstLine="0" w:firstLineChars="0"/>
              <w:contextualSpacing/>
              <w:jc w:val="center"/>
              <w:textAlignment w:val="center"/>
              <w:rPr>
                <w:b/>
                <w:sz w:val="21"/>
                <w:szCs w:val="21"/>
              </w:rPr>
            </w:pPr>
            <w:r>
              <w:rPr>
                <w:b/>
                <w:kern w:val="0"/>
                <w:sz w:val="21"/>
                <w:szCs w:val="21"/>
              </w:rPr>
              <w:t>（t/hm</w:t>
            </w:r>
            <w:r>
              <w:rPr>
                <w:b/>
                <w:kern w:val="0"/>
                <w:sz w:val="21"/>
                <w:szCs w:val="21"/>
                <w:vertAlign w:val="superscript"/>
              </w:rPr>
              <w:t>2</w:t>
            </w:r>
            <w:r>
              <w:rPr>
                <w:b/>
                <w:kern w:val="0"/>
                <w:sz w:val="21"/>
                <w:szCs w:val="21"/>
              </w:rPr>
              <w:t>·a</w:t>
            </w:r>
            <w:r>
              <w:rPr>
                <w:rStyle w:val="75"/>
                <w:rFonts w:hint="default" w:ascii="Times New Roman" w:hAnsi="Times New Roman" w:cs="Times New Roman"/>
                <w:color w:val="auto"/>
              </w:rPr>
              <w:t>）</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kern w:val="0"/>
                <w:sz w:val="21"/>
                <w:szCs w:val="21"/>
              </w:rPr>
            </w:pPr>
            <w:r>
              <w:rPr>
                <w:b/>
                <w:kern w:val="0"/>
                <w:sz w:val="21"/>
                <w:szCs w:val="21"/>
              </w:rPr>
              <w:t>总生产力</w:t>
            </w:r>
          </w:p>
          <w:p>
            <w:pPr>
              <w:widowControl/>
              <w:spacing w:line="240" w:lineRule="auto"/>
              <w:ind w:firstLine="0" w:firstLineChars="0"/>
              <w:contextualSpacing/>
              <w:jc w:val="center"/>
              <w:textAlignment w:val="center"/>
              <w:rPr>
                <w:b/>
                <w:sz w:val="21"/>
                <w:szCs w:val="21"/>
              </w:rPr>
            </w:pPr>
            <w:r>
              <w:rPr>
                <w:b/>
                <w:kern w:val="0"/>
                <w:sz w:val="21"/>
                <w:szCs w:val="21"/>
              </w:rPr>
              <w:t>（t/hm</w:t>
            </w:r>
            <w:r>
              <w:rPr>
                <w:b/>
                <w:kern w:val="0"/>
                <w:sz w:val="21"/>
                <w:szCs w:val="21"/>
                <w:vertAlign w:val="superscript"/>
              </w:rPr>
              <w:t>2</w:t>
            </w:r>
            <w:r>
              <w:rPr>
                <w:b/>
                <w:kern w:val="0"/>
                <w:sz w:val="21"/>
                <w:szCs w:val="21"/>
              </w:rPr>
              <w:t>·a</w:t>
            </w:r>
            <w:r>
              <w:rPr>
                <w:rStyle w:val="75"/>
                <w:rFonts w:hint="default" w:ascii="Times New Roman" w:hAnsi="Times New Roman" w:cs="Times New Roman"/>
                <w:color w:val="auto"/>
              </w:rPr>
              <w:t>）</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1</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柏木林</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柏木</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420"/>
              <w:jc w:val="center"/>
              <w:textAlignment w:val="center"/>
              <w:rPr>
                <w:sz w:val="21"/>
                <w:szCs w:val="21"/>
              </w:rPr>
            </w:pPr>
            <w:r>
              <w:rPr>
                <w:kern w:val="0"/>
                <w:sz w:val="21"/>
                <w:szCs w:val="21"/>
                <w:lang w:bidi="ar"/>
              </w:rPr>
              <w:t>34.6</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14.3</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818.6</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2</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马尾松林</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马尾松等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420"/>
              <w:jc w:val="center"/>
              <w:textAlignment w:val="center"/>
              <w:rPr>
                <w:sz w:val="21"/>
                <w:szCs w:val="21"/>
              </w:rPr>
            </w:pPr>
            <w:r>
              <w:rPr>
                <w:kern w:val="0"/>
                <w:sz w:val="21"/>
                <w:szCs w:val="21"/>
                <w:lang w:bidi="ar"/>
              </w:rPr>
              <w:t>24</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7.1</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113.5</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3</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rFonts w:hint="eastAsia"/>
                <w:sz w:val="21"/>
                <w:szCs w:val="21"/>
              </w:rPr>
              <w:t>桤木林</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rFonts w:hint="eastAsia"/>
                <w:kern w:val="0"/>
                <w:sz w:val="21"/>
                <w:szCs w:val="21"/>
              </w:rPr>
              <w:t>桤木、柏树等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22.4</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15.2</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401.2</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rPr>
                <w:sz w:val="21"/>
                <w:szCs w:val="21"/>
              </w:rPr>
            </w:pPr>
            <w:r>
              <w:rPr>
                <w:sz w:val="21"/>
                <w:szCs w:val="21"/>
              </w:rPr>
              <w:t>4</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rFonts w:hint="eastAsia"/>
                <w:sz w:val="21"/>
                <w:szCs w:val="21"/>
              </w:rPr>
              <w:t>栎类林</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rFonts w:hint="eastAsia"/>
                <w:sz w:val="21"/>
                <w:szCs w:val="21"/>
              </w:rPr>
            </w:pPr>
            <w:r>
              <w:rPr>
                <w:rFonts w:hint="eastAsia"/>
                <w:sz w:val="21"/>
                <w:szCs w:val="21"/>
              </w:rPr>
              <w:t>麻栎、青冈等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420"/>
              <w:jc w:val="center"/>
              <w:textAlignment w:val="center"/>
              <w:rPr>
                <w:sz w:val="21"/>
                <w:szCs w:val="21"/>
              </w:rPr>
            </w:pPr>
            <w:r>
              <w:rPr>
                <w:kern w:val="0"/>
                <w:sz w:val="21"/>
                <w:szCs w:val="21"/>
                <w:lang w:bidi="ar"/>
              </w:rPr>
              <w:t>34.1</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11.2</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587.6</w:t>
            </w:r>
          </w:p>
        </w:tc>
      </w:tr>
      <w:tr>
        <w:tblPrEx>
          <w:tblCellMar>
            <w:top w:w="0" w:type="dxa"/>
            <w:left w:w="0" w:type="dxa"/>
            <w:bottom w:w="0" w:type="dxa"/>
            <w:right w:w="0" w:type="dxa"/>
          </w:tblCellMar>
        </w:tblPrEx>
        <w:trPr>
          <w:trHeight w:val="292"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8</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慈竹林</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慈竹等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45.7</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420"/>
              <w:jc w:val="center"/>
              <w:textAlignment w:val="center"/>
              <w:rPr>
                <w:sz w:val="21"/>
                <w:szCs w:val="21"/>
              </w:rPr>
            </w:pPr>
            <w:r>
              <w:rPr>
                <w:kern w:val="0"/>
                <w:sz w:val="21"/>
                <w:szCs w:val="21"/>
                <w:lang w:bidi="ar"/>
              </w:rPr>
              <w:t>4.9</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305.1</w:t>
            </w:r>
          </w:p>
        </w:tc>
      </w:tr>
      <w:tr>
        <w:tblPrEx>
          <w:tblCellMar>
            <w:top w:w="0" w:type="dxa"/>
            <w:left w:w="0" w:type="dxa"/>
            <w:bottom w:w="0" w:type="dxa"/>
            <w:right w:w="0" w:type="dxa"/>
          </w:tblCellMar>
        </w:tblPrEx>
        <w:trPr>
          <w:trHeight w:val="34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10</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黄荆灌丛</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黄荆</w:t>
            </w:r>
            <w:r>
              <w:rPr>
                <w:rFonts w:hint="eastAsia"/>
                <w:kern w:val="0"/>
                <w:sz w:val="21"/>
                <w:szCs w:val="21"/>
              </w:rPr>
              <w:t>、马桑等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420"/>
              <w:jc w:val="center"/>
              <w:textAlignment w:val="center"/>
              <w:rPr>
                <w:sz w:val="21"/>
                <w:szCs w:val="21"/>
              </w:rPr>
            </w:pPr>
            <w:r>
              <w:rPr>
                <w:kern w:val="0"/>
                <w:sz w:val="21"/>
                <w:szCs w:val="21"/>
                <w:lang w:bidi="ar"/>
              </w:rPr>
              <w:t>32.5</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2.5</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131.6</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11</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多花蔷薇灌丛</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蔷薇</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31.9</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1.9</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56.5</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12</w:t>
            </w:r>
          </w:p>
        </w:tc>
        <w:tc>
          <w:tcPr>
            <w:tcW w:w="174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rFonts w:hint="eastAsia"/>
                <w:kern w:val="0"/>
                <w:sz w:val="21"/>
                <w:szCs w:val="21"/>
              </w:rPr>
              <w:t>蕨草草丛</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rFonts w:hint="eastAsia"/>
                <w:sz w:val="21"/>
                <w:szCs w:val="21"/>
              </w:rPr>
            </w:pPr>
            <w:r>
              <w:rPr>
                <w:rFonts w:hint="eastAsia"/>
                <w:kern w:val="0"/>
                <w:sz w:val="21"/>
                <w:szCs w:val="21"/>
              </w:rPr>
              <w:t>蕨</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23.5</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1.6</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37.1</w:t>
            </w:r>
          </w:p>
        </w:tc>
      </w:tr>
      <w:tr>
        <w:tblPrEx>
          <w:tblCellMar>
            <w:top w:w="0" w:type="dxa"/>
            <w:left w:w="0" w:type="dxa"/>
            <w:bottom w:w="0" w:type="dxa"/>
            <w:right w:w="0" w:type="dxa"/>
          </w:tblCellMar>
        </w:tblPrEx>
        <w:trPr>
          <w:trHeight w:val="30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sz w:val="21"/>
                <w:szCs w:val="21"/>
              </w:rPr>
              <w:t>13</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芒+白茅草丛</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白茅、芒</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67.8</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1.2</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90.1</w:t>
            </w:r>
          </w:p>
        </w:tc>
      </w:tr>
      <w:tr>
        <w:tblPrEx>
          <w:tblCellMar>
            <w:top w:w="0" w:type="dxa"/>
            <w:left w:w="0" w:type="dxa"/>
            <w:bottom w:w="0" w:type="dxa"/>
            <w:right w:w="0" w:type="dxa"/>
          </w:tblCellMar>
        </w:tblPrEx>
        <w:trPr>
          <w:trHeight w:val="340"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sz w:val="21"/>
                <w:szCs w:val="21"/>
              </w:rPr>
              <w:t>14</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艾蒿草丛</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艾蒿、青蒿</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43.2</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1.1</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52.6</w:t>
            </w:r>
          </w:p>
        </w:tc>
      </w:tr>
      <w:tr>
        <w:tblPrEx>
          <w:tblCellMar>
            <w:top w:w="0" w:type="dxa"/>
            <w:left w:w="0" w:type="dxa"/>
            <w:bottom w:w="0" w:type="dxa"/>
            <w:right w:w="0" w:type="dxa"/>
          </w:tblCellMar>
        </w:tblPrEx>
        <w:trPr>
          <w:trHeight w:val="1218" w:hRule="atLeast"/>
        </w:trPr>
        <w:tc>
          <w:tcPr>
            <w:tcW w:w="7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15</w:t>
            </w:r>
          </w:p>
        </w:tc>
        <w:tc>
          <w:tcPr>
            <w:tcW w:w="17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人工栽培植被</w:t>
            </w:r>
          </w:p>
        </w:tc>
        <w:tc>
          <w:tcPr>
            <w:tcW w:w="19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水稻，小麦、玉米、甘蔗、薯类、豆类、各类蔬菜、桑树、柑橘、柚子等</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1132.8</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23.5</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widowControl/>
              <w:ind w:firstLine="420"/>
              <w:jc w:val="center"/>
              <w:textAlignment w:val="bottom"/>
              <w:rPr>
                <w:sz w:val="21"/>
                <w:szCs w:val="21"/>
              </w:rPr>
            </w:pPr>
            <w:r>
              <w:rPr>
                <w:kern w:val="0"/>
                <w:sz w:val="21"/>
                <w:szCs w:val="21"/>
                <w:lang w:bidi="ar"/>
              </w:rPr>
              <w:t>37539.1</w:t>
            </w:r>
          </w:p>
        </w:tc>
      </w:tr>
      <w:tr>
        <w:tblPrEx>
          <w:tblCellMar>
            <w:top w:w="0" w:type="dxa"/>
            <w:left w:w="0" w:type="dxa"/>
            <w:bottom w:w="0" w:type="dxa"/>
            <w:right w:w="0" w:type="dxa"/>
          </w:tblCellMar>
        </w:tblPrEx>
        <w:trPr>
          <w:trHeight w:val="300" w:hRule="atLeast"/>
        </w:trPr>
        <w:tc>
          <w:tcPr>
            <w:tcW w:w="4405"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rPr>
                <w:sz w:val="21"/>
                <w:szCs w:val="21"/>
              </w:rPr>
            </w:pPr>
            <w:r>
              <w:rPr>
                <w:kern w:val="0"/>
                <w:sz w:val="21"/>
                <w:szCs w:val="21"/>
              </w:rPr>
              <w:t>合计</w:t>
            </w:r>
          </w:p>
        </w:tc>
        <w:tc>
          <w:tcPr>
            <w:tcW w:w="104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rFonts w:hint="eastAsia"/>
                <w:kern w:val="0"/>
                <w:sz w:val="21"/>
                <w:szCs w:val="21"/>
              </w:rPr>
              <w:t>1492.5</w:t>
            </w:r>
          </w:p>
        </w:tc>
        <w:tc>
          <w:tcPr>
            <w:tcW w:w="1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w:t>
            </w:r>
          </w:p>
        </w:tc>
        <w:tc>
          <w:tcPr>
            <w:tcW w:w="122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rFonts w:hint="eastAsia"/>
                <w:sz w:val="21"/>
                <w:szCs w:val="21"/>
              </w:rPr>
              <w:t>28540.65</w:t>
            </w:r>
          </w:p>
        </w:tc>
      </w:tr>
    </w:tbl>
    <w:p>
      <w:pPr>
        <w:spacing w:line="160" w:lineRule="exact"/>
        <w:ind w:firstLine="480"/>
        <w:contextualSpacing/>
      </w:pPr>
      <w:bookmarkStart w:id="452" w:name="_Toc12545"/>
      <w:bookmarkStart w:id="453" w:name="_Toc4458"/>
      <w:bookmarkStart w:id="454" w:name="_Toc21552"/>
    </w:p>
    <w:p>
      <w:pPr>
        <w:pStyle w:val="5"/>
        <w:ind w:firstLine="0" w:firstLineChars="0"/>
        <w:contextualSpacing/>
        <w:rPr>
          <w:rFonts w:ascii="Times New Roman" w:hAnsi="Times New Roman"/>
        </w:rPr>
      </w:pPr>
      <w:r>
        <w:rPr>
          <w:rFonts w:ascii="Times New Roman" w:hAnsi="Times New Roman"/>
        </w:rPr>
        <w:t>4.7.3陆生动物</w:t>
      </w:r>
      <w:bookmarkEnd w:id="452"/>
      <w:bookmarkEnd w:id="453"/>
      <w:bookmarkEnd w:id="454"/>
    </w:p>
    <w:p>
      <w:pPr>
        <w:ind w:firstLine="0" w:firstLineChars="0"/>
        <w:contextualSpacing/>
        <w:outlineLvl w:val="3"/>
        <w:rPr>
          <w:b/>
          <w:bCs/>
        </w:rPr>
      </w:pPr>
      <w:r>
        <w:rPr>
          <w:b/>
          <w:bCs/>
        </w:rPr>
        <w:t>4.7.3.1陆生动物概况</w:t>
      </w:r>
    </w:p>
    <w:p>
      <w:pPr>
        <w:ind w:firstLine="480"/>
        <w:contextualSpacing/>
      </w:pPr>
      <w:r>
        <w:t>工程区域陆生野生动物调查工作在参考相关资料的同时，对评价区域进行了详细的实地调查，经初步统计评价区域内共有脊椎动物</w:t>
      </w:r>
      <w:r>
        <w:rPr>
          <w:rFonts w:hint="eastAsia"/>
        </w:rPr>
        <w:t>22</w:t>
      </w:r>
      <w:r>
        <w:t>目</w:t>
      </w:r>
      <w:r>
        <w:rPr>
          <w:rFonts w:hint="eastAsia"/>
        </w:rPr>
        <w:t>56</w:t>
      </w:r>
      <w:r>
        <w:t>科</w:t>
      </w:r>
      <w:r>
        <w:rPr>
          <w:rFonts w:hint="eastAsia"/>
        </w:rPr>
        <w:t>141</w:t>
      </w:r>
      <w:r>
        <w:t>属</w:t>
      </w:r>
      <w:r>
        <w:rPr>
          <w:rFonts w:hint="eastAsia"/>
        </w:rPr>
        <w:t>190</w:t>
      </w:r>
      <w:r>
        <w:t>种（见表4.7.3-1）。其中，两栖动物共1个目5个科7个属</w:t>
      </w:r>
      <w:r>
        <w:rPr>
          <w:rFonts w:hint="eastAsia"/>
        </w:rPr>
        <w:t>9</w:t>
      </w:r>
      <w:r>
        <w:t>种，其中蛙科4种，是优势类群，蟾蜍科、雨蛙科、树蛙科和姬蛙科各1种</w:t>
      </w:r>
      <w:r>
        <w:rPr>
          <w:kern w:val="0"/>
        </w:rPr>
        <w:t>；爬行动物</w:t>
      </w:r>
      <w:r>
        <w:rPr>
          <w:rFonts w:hint="eastAsia"/>
          <w:kern w:val="0"/>
        </w:rPr>
        <w:t>1</w:t>
      </w:r>
      <w:r>
        <w:rPr>
          <w:kern w:val="0"/>
        </w:rPr>
        <w:t>个目</w:t>
      </w:r>
      <w:r>
        <w:rPr>
          <w:rFonts w:hint="eastAsia"/>
          <w:kern w:val="0"/>
        </w:rPr>
        <w:t>5</w:t>
      </w:r>
      <w:r>
        <w:rPr>
          <w:kern w:val="0"/>
        </w:rPr>
        <w:t>个科</w:t>
      </w:r>
      <w:r>
        <w:rPr>
          <w:rFonts w:hint="eastAsia"/>
          <w:kern w:val="0"/>
        </w:rPr>
        <w:t>10</w:t>
      </w:r>
      <w:r>
        <w:rPr>
          <w:kern w:val="0"/>
        </w:rPr>
        <w:t>个属</w:t>
      </w:r>
      <w:r>
        <w:rPr>
          <w:rFonts w:hint="eastAsia"/>
          <w:kern w:val="0"/>
        </w:rPr>
        <w:t>11</w:t>
      </w:r>
      <w:r>
        <w:rPr>
          <w:kern w:val="0"/>
        </w:rPr>
        <w:t>种，属于蜥蜴亚目的有4科4种（占种总数的3</w:t>
      </w:r>
      <w:r>
        <w:rPr>
          <w:rFonts w:hint="eastAsia"/>
          <w:kern w:val="0"/>
        </w:rPr>
        <w:t>6.4</w:t>
      </w:r>
      <w:r>
        <w:rPr>
          <w:kern w:val="0"/>
        </w:rPr>
        <w:t>%），属于蛇亚目的有1科7种（占种总数的</w:t>
      </w:r>
      <w:r>
        <w:rPr>
          <w:rFonts w:hint="eastAsia"/>
          <w:kern w:val="0"/>
        </w:rPr>
        <w:t>63.6</w:t>
      </w:r>
      <w:r>
        <w:rPr>
          <w:kern w:val="0"/>
        </w:rPr>
        <w:t>%），是优势类群，以游蛇科种类最多；</w:t>
      </w:r>
      <w:r>
        <w:t>鸟类属于</w:t>
      </w:r>
      <w:r>
        <w:rPr>
          <w:rFonts w:hint="eastAsia"/>
        </w:rPr>
        <w:t>15</w:t>
      </w:r>
      <w:r>
        <w:t>个目</w:t>
      </w:r>
      <w:r>
        <w:rPr>
          <w:rFonts w:hint="eastAsia"/>
        </w:rPr>
        <w:t>36</w:t>
      </w:r>
      <w:r>
        <w:t>个科</w:t>
      </w:r>
      <w:r>
        <w:rPr>
          <w:rFonts w:hint="eastAsia"/>
        </w:rPr>
        <w:t>102</w:t>
      </w:r>
      <w:r>
        <w:t>个属</w:t>
      </w:r>
      <w:r>
        <w:rPr>
          <w:rFonts w:hint="eastAsia"/>
        </w:rPr>
        <w:t>146</w:t>
      </w:r>
      <w:r>
        <w:t>种，其中雀形目鸟类</w:t>
      </w:r>
      <w:r>
        <w:rPr>
          <w:rFonts w:hint="eastAsia"/>
        </w:rPr>
        <w:t>78</w:t>
      </w:r>
      <w:r>
        <w:t>种，占总量的</w:t>
      </w:r>
      <w:r>
        <w:rPr>
          <w:rFonts w:hint="eastAsia"/>
        </w:rPr>
        <w:t>53.4</w:t>
      </w:r>
      <w:r>
        <w:t>%，非雀形目鸟类</w:t>
      </w:r>
      <w:r>
        <w:rPr>
          <w:rFonts w:hint="eastAsia"/>
        </w:rPr>
        <w:t>68</w:t>
      </w:r>
      <w:r>
        <w:t>种，占总量的</w:t>
      </w:r>
      <w:r>
        <w:rPr>
          <w:rFonts w:hint="eastAsia"/>
        </w:rPr>
        <w:t>46.6</w:t>
      </w:r>
      <w:r>
        <w:t>%，调查区域以雀形目鸟类占优势；哺乳纲动物有5目10科22属24种，调查区兽类的组成中以啮齿目和食肉目物种占优势，各有11种和6种，各占兽类种类的45.8%和25%，此外，食虫目4种、翼手目2种、兔形目1种，种类相对较少。</w:t>
      </w:r>
    </w:p>
    <w:p>
      <w:pPr>
        <w:pStyle w:val="73"/>
        <w:adjustRightInd/>
        <w:snapToGrid/>
        <w:ind w:firstLine="0" w:firstLineChars="0"/>
        <w:contextualSpacing/>
        <w:rPr>
          <w:rFonts w:eastAsia="宋体"/>
          <w:b/>
          <w:sz w:val="21"/>
          <w:szCs w:val="21"/>
        </w:rPr>
      </w:pPr>
      <w:r>
        <w:rPr>
          <w:rFonts w:eastAsia="宋体"/>
          <w:b/>
          <w:sz w:val="21"/>
          <w:szCs w:val="21"/>
        </w:rPr>
        <w:t>表4.7.3-1  调查评价区陆生野生动物资源统计表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61"/>
        <w:gridCol w:w="2577"/>
        <w:gridCol w:w="1058"/>
        <w:gridCol w:w="39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564" w:type="pct"/>
            <w:vAlign w:val="center"/>
          </w:tcPr>
          <w:p>
            <w:pPr>
              <w:spacing w:line="240" w:lineRule="auto"/>
              <w:ind w:firstLine="0" w:firstLineChars="0"/>
              <w:contextualSpacing/>
              <w:jc w:val="center"/>
              <w:rPr>
                <w:sz w:val="21"/>
                <w:szCs w:val="21"/>
              </w:rPr>
            </w:pPr>
            <w:r>
              <w:rPr>
                <w:sz w:val="21"/>
                <w:szCs w:val="21"/>
              </w:rPr>
              <w:t>种类</w:t>
            </w:r>
          </w:p>
        </w:tc>
        <w:tc>
          <w:tcPr>
            <w:tcW w:w="1512" w:type="pct"/>
            <w:vAlign w:val="center"/>
          </w:tcPr>
          <w:p>
            <w:pPr>
              <w:spacing w:line="240" w:lineRule="auto"/>
              <w:ind w:firstLine="0" w:firstLineChars="0"/>
              <w:contextualSpacing/>
              <w:jc w:val="center"/>
              <w:rPr>
                <w:sz w:val="21"/>
                <w:szCs w:val="21"/>
              </w:rPr>
            </w:pPr>
            <w:r>
              <w:rPr>
                <w:sz w:val="21"/>
                <w:szCs w:val="21"/>
              </w:rPr>
              <w:t>目、科、属</w:t>
            </w:r>
          </w:p>
        </w:tc>
        <w:tc>
          <w:tcPr>
            <w:tcW w:w="621" w:type="pct"/>
            <w:vAlign w:val="center"/>
          </w:tcPr>
          <w:p>
            <w:pPr>
              <w:spacing w:line="240" w:lineRule="auto"/>
              <w:ind w:firstLine="0" w:firstLineChars="0"/>
              <w:contextualSpacing/>
              <w:jc w:val="center"/>
              <w:rPr>
                <w:sz w:val="21"/>
                <w:szCs w:val="21"/>
              </w:rPr>
            </w:pPr>
            <w:r>
              <w:rPr>
                <w:sz w:val="21"/>
                <w:szCs w:val="21"/>
              </w:rPr>
              <w:t>数量（种）</w:t>
            </w:r>
          </w:p>
        </w:tc>
        <w:tc>
          <w:tcPr>
            <w:tcW w:w="2301" w:type="pct"/>
            <w:vAlign w:val="center"/>
          </w:tcPr>
          <w:p>
            <w:pPr>
              <w:spacing w:line="240" w:lineRule="auto"/>
              <w:ind w:firstLine="0" w:firstLineChars="0"/>
              <w:contextualSpacing/>
              <w:jc w:val="center"/>
              <w:rPr>
                <w:sz w:val="21"/>
                <w:szCs w:val="21"/>
              </w:rPr>
            </w:pPr>
            <w:r>
              <w:rPr>
                <w:sz w:val="21"/>
                <w:szCs w:val="21"/>
              </w:rPr>
              <w:t>保护物种数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 w:hRule="atLeast"/>
        </w:trPr>
        <w:tc>
          <w:tcPr>
            <w:tcW w:w="564" w:type="pct"/>
            <w:vAlign w:val="center"/>
          </w:tcPr>
          <w:p>
            <w:pPr>
              <w:spacing w:line="240" w:lineRule="auto"/>
              <w:ind w:firstLine="0" w:firstLineChars="0"/>
              <w:contextualSpacing/>
              <w:jc w:val="center"/>
              <w:rPr>
                <w:sz w:val="21"/>
                <w:szCs w:val="21"/>
              </w:rPr>
            </w:pPr>
            <w:r>
              <w:rPr>
                <w:sz w:val="21"/>
                <w:szCs w:val="21"/>
              </w:rPr>
              <w:t>两栖纲</w:t>
            </w:r>
          </w:p>
        </w:tc>
        <w:tc>
          <w:tcPr>
            <w:tcW w:w="1512" w:type="pct"/>
            <w:vAlign w:val="center"/>
          </w:tcPr>
          <w:p>
            <w:pPr>
              <w:spacing w:line="240" w:lineRule="auto"/>
              <w:ind w:firstLine="0" w:firstLineChars="0"/>
              <w:contextualSpacing/>
              <w:jc w:val="center"/>
              <w:rPr>
                <w:sz w:val="21"/>
                <w:szCs w:val="21"/>
              </w:rPr>
            </w:pPr>
            <w:r>
              <w:rPr>
                <w:sz w:val="21"/>
                <w:szCs w:val="21"/>
              </w:rPr>
              <w:t>1个目5个科7个属</w:t>
            </w:r>
          </w:p>
        </w:tc>
        <w:tc>
          <w:tcPr>
            <w:tcW w:w="621" w:type="pct"/>
            <w:vAlign w:val="center"/>
          </w:tcPr>
          <w:p>
            <w:pPr>
              <w:spacing w:line="240" w:lineRule="auto"/>
              <w:ind w:firstLine="0" w:firstLineChars="0"/>
              <w:contextualSpacing/>
              <w:jc w:val="center"/>
              <w:rPr>
                <w:rFonts w:hint="eastAsia"/>
                <w:sz w:val="21"/>
                <w:szCs w:val="21"/>
              </w:rPr>
            </w:pPr>
            <w:r>
              <w:rPr>
                <w:rFonts w:hint="eastAsia"/>
                <w:sz w:val="21"/>
                <w:szCs w:val="21"/>
              </w:rPr>
              <w:t>9</w:t>
            </w:r>
          </w:p>
        </w:tc>
        <w:tc>
          <w:tcPr>
            <w:tcW w:w="2301" w:type="pct"/>
            <w:vAlign w:val="center"/>
          </w:tcPr>
          <w:p>
            <w:pPr>
              <w:spacing w:line="240" w:lineRule="auto"/>
              <w:ind w:firstLine="0" w:firstLineChars="0"/>
              <w:contextualSpacing/>
              <w:jc w:val="center"/>
              <w:rPr>
                <w:sz w:val="21"/>
                <w:szCs w:val="21"/>
              </w:rPr>
            </w:pPr>
            <w:r>
              <w:rPr>
                <w:sz w:val="21"/>
                <w:szCs w:val="21"/>
              </w:rPr>
              <w:t>特有种4种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 w:hRule="atLeast"/>
        </w:trPr>
        <w:tc>
          <w:tcPr>
            <w:tcW w:w="564" w:type="pct"/>
            <w:vAlign w:val="center"/>
          </w:tcPr>
          <w:p>
            <w:pPr>
              <w:spacing w:line="240" w:lineRule="auto"/>
              <w:ind w:firstLine="0" w:firstLineChars="0"/>
              <w:contextualSpacing/>
              <w:jc w:val="center"/>
              <w:rPr>
                <w:sz w:val="21"/>
                <w:szCs w:val="21"/>
              </w:rPr>
            </w:pPr>
            <w:r>
              <w:rPr>
                <w:sz w:val="21"/>
                <w:szCs w:val="21"/>
              </w:rPr>
              <w:t>爬行纲</w:t>
            </w:r>
          </w:p>
        </w:tc>
        <w:tc>
          <w:tcPr>
            <w:tcW w:w="1512" w:type="pct"/>
            <w:vAlign w:val="center"/>
          </w:tcPr>
          <w:p>
            <w:pPr>
              <w:spacing w:line="240" w:lineRule="auto"/>
              <w:ind w:firstLine="0" w:firstLineChars="0"/>
              <w:contextualSpacing/>
              <w:jc w:val="center"/>
              <w:rPr>
                <w:sz w:val="21"/>
                <w:szCs w:val="21"/>
              </w:rPr>
            </w:pPr>
            <w:r>
              <w:rPr>
                <w:rFonts w:hint="eastAsia"/>
                <w:kern w:val="0"/>
                <w:sz w:val="21"/>
                <w:szCs w:val="21"/>
              </w:rPr>
              <w:t>1</w:t>
            </w:r>
            <w:r>
              <w:rPr>
                <w:kern w:val="0"/>
                <w:sz w:val="21"/>
                <w:szCs w:val="21"/>
              </w:rPr>
              <w:t>个目</w:t>
            </w:r>
            <w:r>
              <w:rPr>
                <w:rFonts w:hint="eastAsia"/>
                <w:kern w:val="0"/>
                <w:sz w:val="21"/>
                <w:szCs w:val="21"/>
              </w:rPr>
              <w:t>5</w:t>
            </w:r>
            <w:r>
              <w:rPr>
                <w:kern w:val="0"/>
                <w:sz w:val="21"/>
                <w:szCs w:val="21"/>
              </w:rPr>
              <w:t>个科</w:t>
            </w:r>
            <w:r>
              <w:rPr>
                <w:rFonts w:hint="eastAsia"/>
                <w:kern w:val="0"/>
                <w:sz w:val="21"/>
                <w:szCs w:val="21"/>
              </w:rPr>
              <w:t>10</w:t>
            </w:r>
            <w:r>
              <w:rPr>
                <w:kern w:val="0"/>
                <w:sz w:val="21"/>
                <w:szCs w:val="21"/>
              </w:rPr>
              <w:t>个属</w:t>
            </w:r>
          </w:p>
        </w:tc>
        <w:tc>
          <w:tcPr>
            <w:tcW w:w="621" w:type="pct"/>
            <w:vAlign w:val="center"/>
          </w:tcPr>
          <w:p>
            <w:pPr>
              <w:spacing w:line="240" w:lineRule="auto"/>
              <w:ind w:firstLine="0" w:firstLineChars="0"/>
              <w:contextualSpacing/>
              <w:jc w:val="center"/>
              <w:rPr>
                <w:sz w:val="21"/>
                <w:szCs w:val="21"/>
              </w:rPr>
            </w:pPr>
            <w:r>
              <w:rPr>
                <w:rFonts w:hint="eastAsia"/>
                <w:kern w:val="0"/>
                <w:sz w:val="21"/>
                <w:szCs w:val="21"/>
              </w:rPr>
              <w:t>11</w:t>
            </w:r>
          </w:p>
        </w:tc>
        <w:tc>
          <w:tcPr>
            <w:tcW w:w="2301" w:type="pct"/>
            <w:vAlign w:val="center"/>
          </w:tcPr>
          <w:p>
            <w:pPr>
              <w:spacing w:line="240" w:lineRule="auto"/>
              <w:ind w:firstLine="0" w:firstLineChars="0"/>
              <w:contextualSpacing/>
              <w:jc w:val="center"/>
              <w:rPr>
                <w:sz w:val="21"/>
                <w:szCs w:val="21"/>
              </w:rPr>
            </w:pPr>
            <w:r>
              <w:rPr>
                <w:sz w:val="21"/>
                <w:szCs w:val="21"/>
              </w:rPr>
              <w:t>特有种</w:t>
            </w:r>
            <w:r>
              <w:rPr>
                <w:kern w:val="0"/>
                <w:sz w:val="21"/>
                <w:szCs w:val="21"/>
              </w:rPr>
              <w:t>2种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 w:hRule="atLeast"/>
        </w:trPr>
        <w:tc>
          <w:tcPr>
            <w:tcW w:w="564" w:type="pct"/>
            <w:vAlign w:val="center"/>
          </w:tcPr>
          <w:p>
            <w:pPr>
              <w:spacing w:line="240" w:lineRule="auto"/>
              <w:ind w:firstLine="0" w:firstLineChars="0"/>
              <w:contextualSpacing/>
              <w:jc w:val="center"/>
              <w:rPr>
                <w:sz w:val="21"/>
                <w:szCs w:val="21"/>
              </w:rPr>
            </w:pPr>
            <w:r>
              <w:rPr>
                <w:sz w:val="21"/>
                <w:szCs w:val="21"/>
              </w:rPr>
              <w:t>鸟纲</w:t>
            </w:r>
          </w:p>
        </w:tc>
        <w:tc>
          <w:tcPr>
            <w:tcW w:w="1512" w:type="pct"/>
            <w:vAlign w:val="center"/>
          </w:tcPr>
          <w:p>
            <w:pPr>
              <w:spacing w:line="240" w:lineRule="auto"/>
              <w:ind w:firstLine="0" w:firstLineChars="0"/>
              <w:contextualSpacing/>
              <w:jc w:val="center"/>
              <w:rPr>
                <w:sz w:val="21"/>
                <w:szCs w:val="21"/>
              </w:rPr>
            </w:pPr>
            <w:r>
              <w:rPr>
                <w:rFonts w:hint="eastAsia"/>
                <w:sz w:val="21"/>
                <w:szCs w:val="21"/>
              </w:rPr>
              <w:t>15</w:t>
            </w:r>
            <w:r>
              <w:rPr>
                <w:sz w:val="21"/>
                <w:szCs w:val="21"/>
              </w:rPr>
              <w:t>个目</w:t>
            </w:r>
            <w:r>
              <w:rPr>
                <w:rFonts w:hint="eastAsia"/>
                <w:sz w:val="21"/>
                <w:szCs w:val="21"/>
              </w:rPr>
              <w:t>36</w:t>
            </w:r>
            <w:r>
              <w:rPr>
                <w:sz w:val="21"/>
                <w:szCs w:val="21"/>
              </w:rPr>
              <w:t>个科</w:t>
            </w:r>
            <w:r>
              <w:rPr>
                <w:rFonts w:hint="eastAsia"/>
                <w:sz w:val="21"/>
                <w:szCs w:val="21"/>
              </w:rPr>
              <w:t>102</w:t>
            </w:r>
            <w:r>
              <w:rPr>
                <w:sz w:val="21"/>
                <w:szCs w:val="21"/>
              </w:rPr>
              <w:t>个属</w:t>
            </w:r>
          </w:p>
        </w:tc>
        <w:tc>
          <w:tcPr>
            <w:tcW w:w="621" w:type="pct"/>
            <w:vAlign w:val="center"/>
          </w:tcPr>
          <w:p>
            <w:pPr>
              <w:spacing w:line="240" w:lineRule="auto"/>
              <w:ind w:firstLine="0" w:firstLineChars="0"/>
              <w:contextualSpacing/>
              <w:jc w:val="center"/>
              <w:rPr>
                <w:sz w:val="21"/>
                <w:szCs w:val="21"/>
              </w:rPr>
            </w:pPr>
            <w:r>
              <w:rPr>
                <w:rFonts w:hint="eastAsia"/>
                <w:sz w:val="21"/>
                <w:szCs w:val="21"/>
              </w:rPr>
              <w:t>146</w:t>
            </w:r>
          </w:p>
        </w:tc>
        <w:tc>
          <w:tcPr>
            <w:tcW w:w="2301" w:type="pct"/>
            <w:vAlign w:val="center"/>
          </w:tcPr>
          <w:p>
            <w:pPr>
              <w:spacing w:line="240" w:lineRule="auto"/>
              <w:ind w:firstLine="0" w:firstLineChars="0"/>
              <w:contextualSpacing/>
              <w:jc w:val="center"/>
              <w:rPr>
                <w:sz w:val="21"/>
                <w:szCs w:val="21"/>
              </w:rPr>
            </w:pPr>
            <w:r>
              <w:rPr>
                <w:sz w:val="21"/>
                <w:szCs w:val="21"/>
              </w:rPr>
              <w:t>国家Ⅱ级</w:t>
            </w:r>
            <w:r>
              <w:rPr>
                <w:rFonts w:hint="eastAsia"/>
                <w:sz w:val="21"/>
                <w:szCs w:val="21"/>
              </w:rPr>
              <w:t>4</w:t>
            </w:r>
            <w:r>
              <w:rPr>
                <w:sz w:val="21"/>
                <w:szCs w:val="21"/>
              </w:rPr>
              <w:t>种；省级1种；特有种1种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 w:hRule="atLeast"/>
        </w:trPr>
        <w:tc>
          <w:tcPr>
            <w:tcW w:w="564" w:type="pct"/>
            <w:vAlign w:val="center"/>
          </w:tcPr>
          <w:p>
            <w:pPr>
              <w:spacing w:line="240" w:lineRule="auto"/>
              <w:ind w:firstLine="0" w:firstLineChars="0"/>
              <w:contextualSpacing/>
              <w:jc w:val="center"/>
              <w:rPr>
                <w:sz w:val="21"/>
                <w:szCs w:val="21"/>
              </w:rPr>
            </w:pPr>
            <w:r>
              <w:rPr>
                <w:sz w:val="21"/>
                <w:szCs w:val="21"/>
              </w:rPr>
              <w:t>哺乳纲</w:t>
            </w:r>
          </w:p>
        </w:tc>
        <w:tc>
          <w:tcPr>
            <w:tcW w:w="1512" w:type="pct"/>
            <w:vAlign w:val="center"/>
          </w:tcPr>
          <w:p>
            <w:pPr>
              <w:spacing w:line="240" w:lineRule="auto"/>
              <w:ind w:firstLine="0" w:firstLineChars="0"/>
              <w:contextualSpacing/>
              <w:jc w:val="center"/>
              <w:rPr>
                <w:sz w:val="21"/>
                <w:szCs w:val="21"/>
              </w:rPr>
            </w:pPr>
            <w:r>
              <w:rPr>
                <w:sz w:val="21"/>
                <w:szCs w:val="21"/>
              </w:rPr>
              <w:t>5个目10个科22个属</w:t>
            </w:r>
          </w:p>
        </w:tc>
        <w:tc>
          <w:tcPr>
            <w:tcW w:w="621" w:type="pct"/>
            <w:vAlign w:val="center"/>
          </w:tcPr>
          <w:p>
            <w:pPr>
              <w:spacing w:line="240" w:lineRule="auto"/>
              <w:ind w:firstLine="0" w:firstLineChars="0"/>
              <w:contextualSpacing/>
              <w:jc w:val="center"/>
              <w:rPr>
                <w:sz w:val="21"/>
                <w:szCs w:val="21"/>
              </w:rPr>
            </w:pPr>
            <w:r>
              <w:rPr>
                <w:sz w:val="21"/>
                <w:szCs w:val="21"/>
              </w:rPr>
              <w:t>24</w:t>
            </w:r>
          </w:p>
        </w:tc>
        <w:tc>
          <w:tcPr>
            <w:tcW w:w="2301" w:type="pct"/>
            <w:vAlign w:val="center"/>
          </w:tcPr>
          <w:p>
            <w:pPr>
              <w:spacing w:line="240" w:lineRule="auto"/>
              <w:ind w:firstLine="0" w:firstLineChars="0"/>
              <w:contextualSpacing/>
              <w:jc w:val="center"/>
              <w:rPr>
                <w:sz w:val="21"/>
                <w:szCs w:val="21"/>
              </w:rPr>
            </w:pPr>
            <w:r>
              <w:rPr>
                <w:sz w:val="21"/>
                <w:szCs w:val="21"/>
              </w:rPr>
              <w:t>特有种3种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 w:hRule="atLeast"/>
        </w:trPr>
        <w:tc>
          <w:tcPr>
            <w:tcW w:w="564" w:type="pct"/>
            <w:vAlign w:val="center"/>
          </w:tcPr>
          <w:p>
            <w:pPr>
              <w:spacing w:line="240" w:lineRule="auto"/>
              <w:ind w:firstLine="0" w:firstLineChars="0"/>
              <w:contextualSpacing/>
              <w:jc w:val="center"/>
              <w:rPr>
                <w:b/>
                <w:sz w:val="21"/>
                <w:szCs w:val="21"/>
              </w:rPr>
            </w:pPr>
            <w:r>
              <w:rPr>
                <w:b/>
                <w:sz w:val="21"/>
                <w:szCs w:val="21"/>
              </w:rPr>
              <w:t>合计</w:t>
            </w:r>
          </w:p>
        </w:tc>
        <w:tc>
          <w:tcPr>
            <w:tcW w:w="1512" w:type="pct"/>
            <w:vAlign w:val="center"/>
          </w:tcPr>
          <w:p>
            <w:pPr>
              <w:spacing w:line="240" w:lineRule="auto"/>
              <w:ind w:firstLine="0" w:firstLineChars="0"/>
              <w:contextualSpacing/>
              <w:jc w:val="center"/>
              <w:rPr>
                <w:b/>
                <w:sz w:val="21"/>
                <w:szCs w:val="21"/>
              </w:rPr>
            </w:pPr>
            <w:r>
              <w:rPr>
                <w:rFonts w:hint="eastAsia"/>
                <w:b/>
                <w:sz w:val="21"/>
                <w:szCs w:val="21"/>
              </w:rPr>
              <w:t>22</w:t>
            </w:r>
            <w:r>
              <w:rPr>
                <w:b/>
                <w:sz w:val="21"/>
                <w:szCs w:val="21"/>
              </w:rPr>
              <w:t>个目</w:t>
            </w:r>
            <w:r>
              <w:rPr>
                <w:rFonts w:hint="eastAsia"/>
                <w:b/>
                <w:sz w:val="21"/>
                <w:szCs w:val="21"/>
              </w:rPr>
              <w:t>56</w:t>
            </w:r>
            <w:r>
              <w:rPr>
                <w:b/>
                <w:sz w:val="21"/>
                <w:szCs w:val="21"/>
              </w:rPr>
              <w:t>个科</w:t>
            </w:r>
            <w:r>
              <w:rPr>
                <w:rFonts w:hint="eastAsia"/>
                <w:b/>
                <w:sz w:val="21"/>
                <w:szCs w:val="21"/>
              </w:rPr>
              <w:t>141</w:t>
            </w:r>
            <w:r>
              <w:rPr>
                <w:b/>
                <w:sz w:val="21"/>
                <w:szCs w:val="21"/>
              </w:rPr>
              <w:t>个属</w:t>
            </w:r>
          </w:p>
        </w:tc>
        <w:tc>
          <w:tcPr>
            <w:tcW w:w="621" w:type="pct"/>
            <w:vAlign w:val="center"/>
          </w:tcPr>
          <w:p>
            <w:pPr>
              <w:spacing w:line="240" w:lineRule="auto"/>
              <w:ind w:firstLine="0" w:firstLineChars="0"/>
              <w:contextualSpacing/>
              <w:jc w:val="center"/>
              <w:rPr>
                <w:b/>
                <w:sz w:val="21"/>
                <w:szCs w:val="21"/>
              </w:rPr>
            </w:pPr>
            <w:r>
              <w:rPr>
                <w:rFonts w:hint="eastAsia"/>
                <w:b/>
                <w:sz w:val="21"/>
                <w:szCs w:val="21"/>
              </w:rPr>
              <w:t>190</w:t>
            </w:r>
            <w:r>
              <w:rPr>
                <w:b/>
                <w:sz w:val="21"/>
                <w:szCs w:val="21"/>
              </w:rPr>
              <w:t>种</w:t>
            </w:r>
          </w:p>
        </w:tc>
        <w:tc>
          <w:tcPr>
            <w:tcW w:w="2301" w:type="pct"/>
            <w:vAlign w:val="center"/>
          </w:tcPr>
          <w:p>
            <w:pPr>
              <w:spacing w:line="240" w:lineRule="auto"/>
              <w:ind w:firstLine="0" w:firstLineChars="0"/>
              <w:contextualSpacing/>
              <w:jc w:val="center"/>
              <w:rPr>
                <w:b/>
                <w:sz w:val="21"/>
                <w:szCs w:val="21"/>
              </w:rPr>
            </w:pPr>
            <w:r>
              <w:rPr>
                <w:b/>
                <w:sz w:val="21"/>
                <w:szCs w:val="21"/>
              </w:rPr>
              <w:t>国家Ⅱ级</w:t>
            </w:r>
            <w:r>
              <w:rPr>
                <w:rFonts w:hint="eastAsia"/>
                <w:b/>
                <w:sz w:val="21"/>
                <w:szCs w:val="21"/>
              </w:rPr>
              <w:t>4</w:t>
            </w:r>
            <w:r>
              <w:rPr>
                <w:b/>
                <w:sz w:val="21"/>
                <w:szCs w:val="21"/>
              </w:rPr>
              <w:t>种；省级</w:t>
            </w:r>
            <w:r>
              <w:rPr>
                <w:b/>
                <w:kern w:val="0"/>
                <w:sz w:val="21"/>
                <w:szCs w:val="21"/>
              </w:rPr>
              <w:t>1</w:t>
            </w:r>
            <w:r>
              <w:rPr>
                <w:b/>
                <w:sz w:val="21"/>
                <w:szCs w:val="21"/>
              </w:rPr>
              <w:t>种；特有种10种</w:t>
            </w:r>
          </w:p>
        </w:tc>
      </w:tr>
    </w:tbl>
    <w:p>
      <w:pPr>
        <w:ind w:firstLine="0" w:firstLineChars="0"/>
        <w:contextualSpacing/>
        <w:outlineLvl w:val="3"/>
        <w:rPr>
          <w:b/>
          <w:bCs/>
        </w:rPr>
      </w:pPr>
      <w:r>
        <w:rPr>
          <w:b/>
          <w:bCs/>
        </w:rPr>
        <w:t>4.7.3.2珍稀保护保护动物种类及分布</w:t>
      </w:r>
    </w:p>
    <w:p>
      <w:pPr>
        <w:ind w:firstLine="600" w:firstLineChars="250"/>
        <w:contextualSpacing/>
        <w:rPr>
          <w:iCs/>
          <w:kern w:val="0"/>
        </w:rPr>
      </w:pPr>
      <w:r>
        <w:rPr>
          <w:rFonts w:hint="eastAsia"/>
        </w:rPr>
        <w:t>根据调查，寒溪寺水库工程不涉及珍稀濒危野生动物栖息地，工程占地范围无国家级重点保护鸟类及其繁殖巢穴记录。评价区内</w:t>
      </w:r>
      <w:r>
        <w:t>其他调查区段</w:t>
      </w:r>
      <w:r>
        <w:rPr>
          <w:rFonts w:hint="eastAsia"/>
        </w:rPr>
        <w:t>调查发现</w:t>
      </w:r>
      <w:r>
        <w:t>有国家Ⅱ级重点保护动物</w:t>
      </w:r>
      <w:r>
        <w:rPr>
          <w:rFonts w:hint="eastAsia"/>
        </w:rPr>
        <w:t>4</w:t>
      </w:r>
      <w:r>
        <w:t>种，红隼</w:t>
      </w:r>
      <w:r>
        <w:rPr>
          <w:i/>
        </w:rPr>
        <w:t>Falco tinnunculus</w:t>
      </w:r>
      <w:r>
        <w:rPr>
          <w:rFonts w:hint="eastAsia"/>
          <w:i/>
        </w:rPr>
        <w:t>、</w:t>
      </w:r>
      <w:r>
        <w:rPr>
          <w:rFonts w:hint="eastAsia"/>
          <w:iCs/>
        </w:rPr>
        <w:t>鸢</w:t>
      </w:r>
      <w:r>
        <w:rPr>
          <w:rFonts w:hint="eastAsia"/>
          <w:i/>
        </w:rPr>
        <w:t>Milvus migrans、</w:t>
      </w:r>
      <w:r>
        <w:rPr>
          <w:rFonts w:hint="eastAsia"/>
          <w:iCs/>
        </w:rPr>
        <w:t>普通鵟</w:t>
      </w:r>
      <w:r>
        <w:rPr>
          <w:rFonts w:hint="eastAsia"/>
          <w:i/>
        </w:rPr>
        <w:t>Buteo buteo、</w:t>
      </w:r>
      <w:r>
        <w:rPr>
          <w:rFonts w:hint="eastAsia"/>
          <w:iCs/>
        </w:rPr>
        <w:t>斑头鸺鹠</w:t>
      </w:r>
      <w:r>
        <w:rPr>
          <w:rFonts w:hint="eastAsia"/>
          <w:i/>
        </w:rPr>
        <w:t>Glaucidium cuculoides</w:t>
      </w:r>
      <w:r>
        <w:rPr>
          <w:rFonts w:hint="eastAsia"/>
          <w:iCs/>
        </w:rPr>
        <w:t>。另</w:t>
      </w:r>
      <w:r>
        <w:t>有四川省重点保护动物1种，为</w:t>
      </w:r>
      <w:r>
        <w:rPr>
          <w:kern w:val="0"/>
        </w:rPr>
        <w:t>小鸊鷉</w:t>
      </w:r>
      <w:r>
        <w:rPr>
          <w:i/>
          <w:iCs/>
          <w:kern w:val="0"/>
        </w:rPr>
        <w:t>Tahybaptus ruficollis poggei</w:t>
      </w:r>
      <w:r>
        <w:rPr>
          <w:iCs/>
          <w:kern w:val="0"/>
        </w:rPr>
        <w:t>。</w:t>
      </w:r>
    </w:p>
    <w:p>
      <w:pPr>
        <w:ind w:firstLine="480"/>
        <w:contextualSpacing/>
      </w:pPr>
      <w:r>
        <w:t>水库工程影响区域还有中国特有动物10种。中国特有两栖动物中有4种，即</w:t>
      </w:r>
      <w:r>
        <w:rPr>
          <w:kern w:val="0"/>
        </w:rPr>
        <w:t>中华蟾蜍华西亚种</w:t>
      </w:r>
      <w:r>
        <w:rPr>
          <w:i/>
          <w:kern w:val="0"/>
        </w:rPr>
        <w:t>Bufo</w:t>
      </w:r>
      <w:r>
        <w:rPr>
          <w:rFonts w:hint="eastAsia"/>
          <w:i/>
          <w:kern w:val="0"/>
        </w:rPr>
        <w:t xml:space="preserve"> </w:t>
      </w:r>
      <w:r>
        <w:rPr>
          <w:i/>
          <w:kern w:val="0"/>
        </w:rPr>
        <w:t>gargarizans</w:t>
      </w:r>
      <w:r>
        <w:rPr>
          <w:rFonts w:hint="eastAsia"/>
          <w:i/>
          <w:kern w:val="0"/>
        </w:rPr>
        <w:t xml:space="preserve"> </w:t>
      </w:r>
      <w:r>
        <w:rPr>
          <w:i/>
          <w:kern w:val="0"/>
        </w:rPr>
        <w:t>andrewsi</w:t>
      </w:r>
      <w:r>
        <w:rPr>
          <w:kern w:val="0"/>
        </w:rPr>
        <w:t>，崇安湍蛙</w:t>
      </w:r>
      <w:r>
        <w:rPr>
          <w:i/>
          <w:kern w:val="0"/>
        </w:rPr>
        <w:t>Amolops</w:t>
      </w:r>
      <w:r>
        <w:rPr>
          <w:rFonts w:hint="eastAsia"/>
          <w:i/>
          <w:kern w:val="0"/>
        </w:rPr>
        <w:t xml:space="preserve"> </w:t>
      </w:r>
      <w:r>
        <w:rPr>
          <w:i/>
          <w:kern w:val="0"/>
        </w:rPr>
        <w:t>chunganensis</w:t>
      </w:r>
      <w:r>
        <w:rPr>
          <w:kern w:val="0"/>
        </w:rPr>
        <w:t>，沼水蛙</w:t>
      </w:r>
      <w:r>
        <w:rPr>
          <w:i/>
          <w:kern w:val="0"/>
        </w:rPr>
        <w:t>Hylarana</w:t>
      </w:r>
      <w:r>
        <w:rPr>
          <w:rFonts w:hint="eastAsia"/>
          <w:i/>
          <w:kern w:val="0"/>
        </w:rPr>
        <w:t xml:space="preserve"> </w:t>
      </w:r>
      <w:r>
        <w:rPr>
          <w:i/>
          <w:kern w:val="0"/>
        </w:rPr>
        <w:t>guentheri</w:t>
      </w:r>
      <w:r>
        <w:rPr>
          <w:kern w:val="0"/>
        </w:rPr>
        <w:t>斑腿树蛙</w:t>
      </w:r>
      <w:r>
        <w:rPr>
          <w:i/>
          <w:kern w:val="0"/>
        </w:rPr>
        <w:t>Rhacophorus</w:t>
      </w:r>
      <w:r>
        <w:rPr>
          <w:rFonts w:hint="eastAsia"/>
          <w:i/>
          <w:kern w:val="0"/>
        </w:rPr>
        <w:t xml:space="preserve"> </w:t>
      </w:r>
      <w:r>
        <w:rPr>
          <w:i/>
          <w:kern w:val="0"/>
        </w:rPr>
        <w:t>megacephalus</w:t>
      </w:r>
      <w:r>
        <w:rPr>
          <w:kern w:val="0"/>
        </w:rPr>
        <w:t>。中国特有爬行动物有2种，即</w:t>
      </w:r>
      <w:r>
        <w:t>蹼趾壁虎</w:t>
      </w:r>
      <w:r>
        <w:rPr>
          <w:i/>
        </w:rPr>
        <w:t>Gekko</w:t>
      </w:r>
      <w:r>
        <w:rPr>
          <w:rFonts w:hint="eastAsia"/>
          <w:i/>
        </w:rPr>
        <w:t xml:space="preserve"> </w:t>
      </w:r>
      <w:r>
        <w:rPr>
          <w:i/>
        </w:rPr>
        <w:t>subpalmatus</w:t>
      </w:r>
      <w:r>
        <w:t>、乌梢蛇</w:t>
      </w:r>
      <w:r>
        <w:rPr>
          <w:i/>
        </w:rPr>
        <w:t>Zaocys</w:t>
      </w:r>
      <w:r>
        <w:rPr>
          <w:rFonts w:hint="eastAsia"/>
          <w:i/>
        </w:rPr>
        <w:t xml:space="preserve"> </w:t>
      </w:r>
      <w:r>
        <w:rPr>
          <w:i/>
        </w:rPr>
        <w:t>dhumnades</w:t>
      </w:r>
      <w:r>
        <w:t>。有中国特有鸟类1种，</w:t>
      </w:r>
      <w:r>
        <w:rPr>
          <w:kern w:val="0"/>
        </w:rPr>
        <w:t>棕头鸦雀</w:t>
      </w:r>
      <w:r>
        <w:rPr>
          <w:i/>
          <w:iCs/>
          <w:kern w:val="0"/>
        </w:rPr>
        <w:t>Paradoxornis</w:t>
      </w:r>
      <w:r>
        <w:rPr>
          <w:rFonts w:hint="eastAsia"/>
          <w:i/>
          <w:iCs/>
          <w:kern w:val="0"/>
        </w:rPr>
        <w:t xml:space="preserve"> </w:t>
      </w:r>
      <w:r>
        <w:rPr>
          <w:i/>
          <w:iCs/>
          <w:kern w:val="0"/>
        </w:rPr>
        <w:t>webbianus</w:t>
      </w:r>
      <w:r>
        <w:t>。中国特有兽类3种，</w:t>
      </w:r>
      <w:r>
        <w:rPr>
          <w:kern w:val="0"/>
        </w:rPr>
        <w:t>川鼩</w:t>
      </w:r>
      <w:r>
        <w:rPr>
          <w:i/>
          <w:kern w:val="0"/>
        </w:rPr>
        <w:t>Blarinella</w:t>
      </w:r>
      <w:r>
        <w:rPr>
          <w:rFonts w:hint="eastAsia"/>
          <w:i/>
          <w:kern w:val="0"/>
        </w:rPr>
        <w:t xml:space="preserve"> </w:t>
      </w:r>
      <w:r>
        <w:rPr>
          <w:i/>
          <w:kern w:val="0"/>
        </w:rPr>
        <w:t>quadraticauda、</w:t>
      </w:r>
      <w:r>
        <w:rPr>
          <w:kern w:val="0"/>
        </w:rPr>
        <w:t>中华山蝠</w:t>
      </w:r>
      <w:r>
        <w:rPr>
          <w:i/>
          <w:kern w:val="0"/>
        </w:rPr>
        <w:t>Nyctalus</w:t>
      </w:r>
      <w:r>
        <w:rPr>
          <w:rFonts w:hint="eastAsia"/>
          <w:i/>
          <w:kern w:val="0"/>
        </w:rPr>
        <w:t xml:space="preserve"> </w:t>
      </w:r>
      <w:r>
        <w:rPr>
          <w:i/>
          <w:kern w:val="0"/>
        </w:rPr>
        <w:t>velutinus</w:t>
      </w:r>
      <w:r>
        <w:t>和</w:t>
      </w:r>
      <w:r>
        <w:rPr>
          <w:kern w:val="0"/>
        </w:rPr>
        <w:t>岩松鼠</w:t>
      </w:r>
      <w:r>
        <w:rPr>
          <w:i/>
          <w:kern w:val="0"/>
        </w:rPr>
        <w:t>Sciurotamias</w:t>
      </w:r>
      <w:r>
        <w:rPr>
          <w:rFonts w:hint="eastAsia"/>
          <w:i/>
          <w:kern w:val="0"/>
        </w:rPr>
        <w:t xml:space="preserve"> </w:t>
      </w:r>
      <w:r>
        <w:rPr>
          <w:i/>
          <w:kern w:val="0"/>
        </w:rPr>
        <w:t>davidianus</w:t>
      </w:r>
      <w:r>
        <w:t>。</w:t>
      </w:r>
    </w:p>
    <w:p>
      <w:pPr>
        <w:ind w:firstLine="0" w:firstLineChars="0"/>
        <w:contextualSpacing/>
        <w:outlineLvl w:val="3"/>
        <w:rPr>
          <w:b/>
          <w:bCs/>
        </w:rPr>
      </w:pPr>
      <w:r>
        <w:rPr>
          <w:b/>
          <w:bCs/>
        </w:rPr>
        <w:t>4.7.3.3评价区野生动物种类及区系组成</w:t>
      </w:r>
    </w:p>
    <w:p>
      <w:pPr>
        <w:ind w:firstLine="480"/>
        <w:contextualSpacing/>
      </w:pPr>
      <w:r>
        <w:t>（1）两栖类</w:t>
      </w:r>
    </w:p>
    <w:p>
      <w:pPr>
        <w:ind w:firstLine="480"/>
        <w:contextualSpacing/>
        <w:rPr>
          <w:kern w:val="0"/>
        </w:rPr>
      </w:pPr>
      <w:r>
        <w:t>此项调查共调查到两栖动物共1个目5个科7个属8种（</w:t>
      </w:r>
      <w:r>
        <w:rPr>
          <w:kern w:val="0"/>
        </w:rPr>
        <w:t>具体名录详见附表2）</w:t>
      </w:r>
      <w:r>
        <w:t>，其中蛙科优势类群；蟾蜍科、雨蛙科、树蛙科和姬蛙科各1种。</w:t>
      </w:r>
    </w:p>
    <w:p>
      <w:pPr>
        <w:ind w:firstLine="600" w:firstLineChars="250"/>
        <w:contextualSpacing/>
        <w:rPr>
          <w:i/>
        </w:rPr>
      </w:pPr>
      <w:r>
        <w:t>从区系成份看，8种两栖动物中有5种为东洋界的物种，3种为古北界物种。以东洋型为主，占3种，分别是</w:t>
      </w:r>
      <w:r>
        <w:rPr>
          <w:kern w:val="0"/>
        </w:rPr>
        <w:t>泽陆蛙</w:t>
      </w:r>
      <w:r>
        <w:rPr>
          <w:i/>
          <w:kern w:val="0"/>
        </w:rPr>
        <w:t>Pelophylax</w:t>
      </w:r>
      <w:r>
        <w:rPr>
          <w:rFonts w:hint="eastAsia"/>
          <w:i/>
          <w:kern w:val="0"/>
        </w:rPr>
        <w:t xml:space="preserve"> </w:t>
      </w:r>
      <w:r>
        <w:rPr>
          <w:i/>
          <w:kern w:val="0"/>
        </w:rPr>
        <w:t>limnocharis</w:t>
      </w:r>
      <w:r>
        <w:rPr>
          <w:kern w:val="0"/>
        </w:rPr>
        <w:t>，斑腿树蛙</w:t>
      </w:r>
      <w:r>
        <w:rPr>
          <w:i/>
          <w:kern w:val="0"/>
        </w:rPr>
        <w:t>Rhacophorus</w:t>
      </w:r>
      <w:r>
        <w:rPr>
          <w:rFonts w:hint="eastAsia"/>
          <w:i/>
          <w:kern w:val="0"/>
        </w:rPr>
        <w:t xml:space="preserve"> </w:t>
      </w:r>
      <w:r>
        <w:rPr>
          <w:i/>
          <w:kern w:val="0"/>
        </w:rPr>
        <w:t>megacephalus</w:t>
      </w:r>
      <w:r>
        <w:rPr>
          <w:kern w:val="0"/>
        </w:rPr>
        <w:t>，饰纹姬蛙</w:t>
      </w:r>
      <w:r>
        <w:rPr>
          <w:i/>
        </w:rPr>
        <w:t>Mycrohyla</w:t>
      </w:r>
      <w:r>
        <w:rPr>
          <w:rFonts w:hint="eastAsia"/>
          <w:i/>
        </w:rPr>
        <w:t xml:space="preserve"> </w:t>
      </w:r>
      <w:r>
        <w:rPr>
          <w:i/>
        </w:rPr>
        <w:t>ornata</w:t>
      </w:r>
      <w:r>
        <w:rPr>
          <w:iCs/>
        </w:rPr>
        <w:t>。其次为</w:t>
      </w:r>
      <w:r>
        <w:t>喜马拉雅-横断山区型和南中国型，各占2种，分别是</w:t>
      </w:r>
      <w:r>
        <w:rPr>
          <w:kern w:val="0"/>
        </w:rPr>
        <w:t>中华蟾蜍华西亚种</w:t>
      </w:r>
      <w:r>
        <w:rPr>
          <w:i/>
          <w:kern w:val="0"/>
        </w:rPr>
        <w:t>Bufo</w:t>
      </w:r>
      <w:r>
        <w:rPr>
          <w:rFonts w:hint="eastAsia"/>
          <w:i/>
          <w:kern w:val="0"/>
        </w:rPr>
        <w:t xml:space="preserve"> </w:t>
      </w:r>
      <w:r>
        <w:rPr>
          <w:i/>
          <w:kern w:val="0"/>
        </w:rPr>
        <w:t>gargarizans</w:t>
      </w:r>
      <w:r>
        <w:rPr>
          <w:rFonts w:hint="eastAsia"/>
          <w:i/>
          <w:kern w:val="0"/>
        </w:rPr>
        <w:t xml:space="preserve"> </w:t>
      </w:r>
      <w:r>
        <w:rPr>
          <w:i/>
          <w:kern w:val="0"/>
        </w:rPr>
        <w:t>andrewsi，</w:t>
      </w:r>
      <w:r>
        <w:rPr>
          <w:kern w:val="0"/>
        </w:rPr>
        <w:t>华西雨蛙武陵亚种</w:t>
      </w:r>
      <w:r>
        <w:rPr>
          <w:i/>
          <w:kern w:val="0"/>
        </w:rPr>
        <w:t>Hyla</w:t>
      </w:r>
      <w:r>
        <w:rPr>
          <w:rFonts w:hint="eastAsia"/>
          <w:i/>
          <w:kern w:val="0"/>
        </w:rPr>
        <w:t xml:space="preserve"> </w:t>
      </w:r>
      <w:r>
        <w:rPr>
          <w:i/>
          <w:kern w:val="0"/>
        </w:rPr>
        <w:t>annectans</w:t>
      </w:r>
      <w:r>
        <w:rPr>
          <w:rFonts w:hint="eastAsia"/>
          <w:i/>
          <w:kern w:val="0"/>
        </w:rPr>
        <w:t xml:space="preserve"> </w:t>
      </w:r>
      <w:r>
        <w:rPr>
          <w:i/>
          <w:kern w:val="0"/>
        </w:rPr>
        <w:t>wulingensis，</w:t>
      </w:r>
      <w:r>
        <w:rPr>
          <w:kern w:val="0"/>
        </w:rPr>
        <w:t>崇安湍蛙</w:t>
      </w:r>
      <w:r>
        <w:rPr>
          <w:i/>
          <w:kern w:val="0"/>
        </w:rPr>
        <w:t>Amolops</w:t>
      </w:r>
      <w:r>
        <w:rPr>
          <w:rFonts w:hint="eastAsia"/>
          <w:i/>
          <w:kern w:val="0"/>
        </w:rPr>
        <w:t xml:space="preserve"> </w:t>
      </w:r>
      <w:r>
        <w:rPr>
          <w:i/>
          <w:kern w:val="0"/>
        </w:rPr>
        <w:t>chunganensis，</w:t>
      </w:r>
      <w:r>
        <w:rPr>
          <w:kern w:val="0"/>
        </w:rPr>
        <w:t>沼水蛙</w:t>
      </w:r>
      <w:r>
        <w:rPr>
          <w:i/>
          <w:kern w:val="0"/>
        </w:rPr>
        <w:t>Hylarana</w:t>
      </w:r>
      <w:r>
        <w:rPr>
          <w:rFonts w:hint="eastAsia"/>
          <w:i/>
          <w:kern w:val="0"/>
        </w:rPr>
        <w:t xml:space="preserve"> </w:t>
      </w:r>
      <w:r>
        <w:rPr>
          <w:i/>
          <w:kern w:val="0"/>
        </w:rPr>
        <w:t>guentheri</w:t>
      </w:r>
      <w:r>
        <w:rPr>
          <w:kern w:val="0"/>
        </w:rPr>
        <w:t>。</w:t>
      </w:r>
      <w:r>
        <w:t>季风型仅1种既黑斑侧褶蛙</w:t>
      </w:r>
      <w:r>
        <w:rPr>
          <w:i/>
        </w:rPr>
        <w:t>Pelophylax</w:t>
      </w:r>
      <w:r>
        <w:rPr>
          <w:rFonts w:hint="eastAsia"/>
          <w:i/>
        </w:rPr>
        <w:t xml:space="preserve"> </w:t>
      </w:r>
      <w:r>
        <w:rPr>
          <w:i/>
        </w:rPr>
        <w:t>nigromaculata</w:t>
      </w:r>
      <w:r>
        <w:t>。</w:t>
      </w:r>
    </w:p>
    <w:p>
      <w:pPr>
        <w:ind w:firstLine="602" w:firstLineChars="250"/>
        <w:contextualSpacing/>
        <w:rPr>
          <w:i/>
          <w:kern w:val="0"/>
        </w:rPr>
      </w:pPr>
      <w:r>
        <w:rPr>
          <w:b/>
        </w:rPr>
        <w:t>从保护物种来看，该调查区段没有发现国家和省重点保护两栖类动物。</w:t>
      </w:r>
      <w:r>
        <w:t>该8种两栖动物中有4种为中国特有种，即</w:t>
      </w:r>
      <w:r>
        <w:rPr>
          <w:kern w:val="0"/>
        </w:rPr>
        <w:t>中华蟾蜍华西亚种</w:t>
      </w:r>
      <w:r>
        <w:rPr>
          <w:i/>
          <w:kern w:val="0"/>
        </w:rPr>
        <w:t>Bufo</w:t>
      </w:r>
      <w:r>
        <w:rPr>
          <w:rFonts w:hint="eastAsia"/>
          <w:i/>
          <w:kern w:val="0"/>
        </w:rPr>
        <w:t xml:space="preserve"> </w:t>
      </w:r>
      <w:r>
        <w:rPr>
          <w:i/>
          <w:kern w:val="0"/>
        </w:rPr>
        <w:t>gargarizans</w:t>
      </w:r>
      <w:r>
        <w:rPr>
          <w:rFonts w:hint="eastAsia"/>
          <w:i/>
          <w:kern w:val="0"/>
        </w:rPr>
        <w:t xml:space="preserve"> </w:t>
      </w:r>
      <w:r>
        <w:rPr>
          <w:i/>
          <w:kern w:val="0"/>
        </w:rPr>
        <w:t>andrewsi</w:t>
      </w:r>
      <w:r>
        <w:rPr>
          <w:kern w:val="0"/>
        </w:rPr>
        <w:t>，崇安湍蛙</w:t>
      </w:r>
      <w:r>
        <w:rPr>
          <w:i/>
          <w:kern w:val="0"/>
        </w:rPr>
        <w:t>Amolops</w:t>
      </w:r>
      <w:r>
        <w:rPr>
          <w:rFonts w:hint="eastAsia"/>
          <w:i/>
          <w:kern w:val="0"/>
        </w:rPr>
        <w:t xml:space="preserve"> </w:t>
      </w:r>
      <w:r>
        <w:rPr>
          <w:i/>
          <w:kern w:val="0"/>
        </w:rPr>
        <w:t>chunganensis</w:t>
      </w:r>
      <w:r>
        <w:rPr>
          <w:kern w:val="0"/>
        </w:rPr>
        <w:t>，沼水蛙</w:t>
      </w:r>
      <w:r>
        <w:rPr>
          <w:i/>
          <w:kern w:val="0"/>
        </w:rPr>
        <w:t>Hylarana</w:t>
      </w:r>
      <w:r>
        <w:rPr>
          <w:rFonts w:hint="eastAsia"/>
          <w:i/>
          <w:kern w:val="0"/>
        </w:rPr>
        <w:t xml:space="preserve"> </w:t>
      </w:r>
      <w:r>
        <w:rPr>
          <w:i/>
          <w:kern w:val="0"/>
        </w:rPr>
        <w:t>guentheri，</w:t>
      </w:r>
      <w:r>
        <w:rPr>
          <w:kern w:val="0"/>
        </w:rPr>
        <w:t>斑腿树蛙</w:t>
      </w:r>
      <w:r>
        <w:rPr>
          <w:i/>
          <w:kern w:val="0"/>
        </w:rPr>
        <w:t>Rhacophorus</w:t>
      </w:r>
      <w:r>
        <w:rPr>
          <w:rFonts w:hint="eastAsia"/>
          <w:i/>
          <w:kern w:val="0"/>
        </w:rPr>
        <w:t xml:space="preserve"> </w:t>
      </w:r>
      <w:r>
        <w:rPr>
          <w:i/>
          <w:kern w:val="0"/>
        </w:rPr>
        <w:t>megacephalus</w:t>
      </w:r>
      <w:r>
        <w:rPr>
          <w:kern w:val="0"/>
        </w:rPr>
        <w:t>。</w:t>
      </w:r>
    </w:p>
    <w:p>
      <w:pPr>
        <w:ind w:firstLine="480"/>
        <w:contextualSpacing/>
      </w:pPr>
      <w:r>
        <w:t>（2）爬行类</w:t>
      </w:r>
    </w:p>
    <w:p>
      <w:pPr>
        <w:ind w:firstLine="480"/>
        <w:contextualSpacing/>
        <w:rPr>
          <w:kern w:val="0"/>
        </w:rPr>
      </w:pPr>
      <w:r>
        <w:rPr>
          <w:kern w:val="0"/>
        </w:rPr>
        <w:t>此项调查共调查到爬行动物</w:t>
      </w:r>
      <w:r>
        <w:rPr>
          <w:rFonts w:hint="eastAsia"/>
          <w:kern w:val="0"/>
        </w:rPr>
        <w:t>1</w:t>
      </w:r>
      <w:r>
        <w:rPr>
          <w:kern w:val="0"/>
        </w:rPr>
        <w:t>个目</w:t>
      </w:r>
      <w:r>
        <w:rPr>
          <w:rFonts w:hint="eastAsia"/>
          <w:kern w:val="0"/>
        </w:rPr>
        <w:t>5</w:t>
      </w:r>
      <w:r>
        <w:rPr>
          <w:kern w:val="0"/>
        </w:rPr>
        <w:t>个科</w:t>
      </w:r>
      <w:r>
        <w:rPr>
          <w:rFonts w:hint="eastAsia"/>
          <w:kern w:val="0"/>
        </w:rPr>
        <w:t>10</w:t>
      </w:r>
      <w:r>
        <w:rPr>
          <w:kern w:val="0"/>
        </w:rPr>
        <w:t>个属</w:t>
      </w:r>
      <w:r>
        <w:rPr>
          <w:rFonts w:hint="eastAsia"/>
          <w:kern w:val="0"/>
        </w:rPr>
        <w:t>11</w:t>
      </w:r>
      <w:r>
        <w:rPr>
          <w:kern w:val="0"/>
        </w:rPr>
        <w:t>种（附表3）。有鳞目5科10属11种。其中属于蜥蜴亚目的有4科4种，占种总数的</w:t>
      </w:r>
      <w:r>
        <w:rPr>
          <w:rFonts w:hint="eastAsia"/>
          <w:kern w:val="0"/>
        </w:rPr>
        <w:t>36.4</w:t>
      </w:r>
      <w:r>
        <w:rPr>
          <w:kern w:val="0"/>
        </w:rPr>
        <w:t>%；属于蛇亚目的有1科7种，占</w:t>
      </w:r>
      <w:r>
        <w:rPr>
          <w:rFonts w:hint="eastAsia"/>
          <w:kern w:val="0"/>
        </w:rPr>
        <w:t>63.8</w:t>
      </w:r>
      <w:r>
        <w:rPr>
          <w:kern w:val="0"/>
        </w:rPr>
        <w:t>%，均为游蛇科，是优势类群。</w:t>
      </w:r>
    </w:p>
    <w:p>
      <w:pPr>
        <w:ind w:firstLine="600" w:firstLineChars="250"/>
        <w:contextualSpacing/>
      </w:pPr>
      <w:r>
        <w:t>从区系成份看，东洋界的物种有10种，广布种的物种有2种，古北界的物种有1种，东洋界物种为优势种。从分布型看，南中国型</w:t>
      </w:r>
      <w:r>
        <w:rPr>
          <w:rFonts w:hint="eastAsia"/>
        </w:rPr>
        <w:t>4</w:t>
      </w:r>
      <w:r>
        <w:t>种，分别有</w:t>
      </w:r>
      <w:r>
        <w:rPr>
          <w:kern w:val="0"/>
        </w:rPr>
        <w:t>蹼趾壁虎</w:t>
      </w:r>
      <w:r>
        <w:rPr>
          <w:i/>
          <w:kern w:val="0"/>
        </w:rPr>
        <w:t>Gekko</w:t>
      </w:r>
      <w:r>
        <w:rPr>
          <w:rFonts w:hint="eastAsia"/>
          <w:i/>
          <w:kern w:val="0"/>
        </w:rPr>
        <w:t xml:space="preserve"> </w:t>
      </w:r>
      <w:r>
        <w:rPr>
          <w:i/>
          <w:kern w:val="0"/>
        </w:rPr>
        <w:t>subpalmatus</w:t>
      </w:r>
      <w:r>
        <w:rPr>
          <w:kern w:val="0"/>
        </w:rPr>
        <w:t>、丽纹攀蜥</w:t>
      </w:r>
      <w:r>
        <w:rPr>
          <w:i/>
          <w:iCs/>
          <w:kern w:val="0"/>
        </w:rPr>
        <w:t>Japalura</w:t>
      </w:r>
      <w:r>
        <w:rPr>
          <w:rFonts w:hint="eastAsia"/>
          <w:i/>
          <w:iCs/>
          <w:kern w:val="0"/>
        </w:rPr>
        <w:t xml:space="preserve"> </w:t>
      </w:r>
      <w:r>
        <w:rPr>
          <w:i/>
          <w:iCs/>
          <w:kern w:val="0"/>
        </w:rPr>
        <w:t>splendida</w:t>
      </w:r>
      <w:r>
        <w:rPr>
          <w:kern w:val="0"/>
        </w:rPr>
        <w:t>、翠青蛇</w:t>
      </w:r>
      <w:r>
        <w:rPr>
          <w:i/>
          <w:kern w:val="0"/>
        </w:rPr>
        <w:t>Cyclophiops</w:t>
      </w:r>
      <w:r>
        <w:rPr>
          <w:rFonts w:hint="eastAsia"/>
          <w:i/>
          <w:kern w:val="0"/>
        </w:rPr>
        <w:t xml:space="preserve"> </w:t>
      </w:r>
      <w:r>
        <w:rPr>
          <w:i/>
          <w:kern w:val="0"/>
        </w:rPr>
        <w:t>major</w:t>
      </w:r>
      <w:r>
        <w:rPr>
          <w:kern w:val="0"/>
        </w:rPr>
        <w:t>、王锦蛇</w:t>
      </w:r>
      <w:r>
        <w:rPr>
          <w:i/>
          <w:kern w:val="0"/>
        </w:rPr>
        <w:t>Elaphe</w:t>
      </w:r>
      <w:r>
        <w:rPr>
          <w:rFonts w:hint="eastAsia"/>
          <w:i/>
          <w:kern w:val="0"/>
        </w:rPr>
        <w:t xml:space="preserve"> </w:t>
      </w:r>
      <w:r>
        <w:rPr>
          <w:i/>
          <w:kern w:val="0"/>
        </w:rPr>
        <w:t>carinata</w:t>
      </w:r>
      <w:r>
        <w:rPr>
          <w:kern w:val="0"/>
        </w:rPr>
        <w:t>；</w:t>
      </w:r>
      <w:r>
        <w:t>东洋型4种</w:t>
      </w:r>
      <w:r>
        <w:rPr>
          <w:kern w:val="0"/>
        </w:rPr>
        <w:t>铜蜓蜥</w:t>
      </w:r>
      <w:r>
        <w:rPr>
          <w:i/>
          <w:kern w:val="0"/>
        </w:rPr>
        <w:t>Sphenomorphus</w:t>
      </w:r>
      <w:r>
        <w:rPr>
          <w:rFonts w:hint="eastAsia"/>
          <w:i/>
          <w:kern w:val="0"/>
        </w:rPr>
        <w:t xml:space="preserve"> </w:t>
      </w:r>
      <w:r>
        <w:rPr>
          <w:i/>
          <w:kern w:val="0"/>
        </w:rPr>
        <w:t>indicus、</w:t>
      </w:r>
      <w:r>
        <w:rPr>
          <w:kern w:val="0"/>
        </w:rPr>
        <w:t>黑眉锦蛇</w:t>
      </w:r>
      <w:r>
        <w:rPr>
          <w:i/>
          <w:kern w:val="0"/>
        </w:rPr>
        <w:t>Elaphe</w:t>
      </w:r>
      <w:r>
        <w:rPr>
          <w:rFonts w:hint="eastAsia"/>
          <w:i/>
          <w:kern w:val="0"/>
        </w:rPr>
        <w:t xml:space="preserve"> </w:t>
      </w:r>
      <w:r>
        <w:rPr>
          <w:i/>
          <w:kern w:val="0"/>
        </w:rPr>
        <w:t>taeniura、</w:t>
      </w:r>
      <w:r>
        <w:rPr>
          <w:kern w:val="0"/>
        </w:rPr>
        <w:t>乌华游蛇</w:t>
      </w:r>
      <w:r>
        <w:rPr>
          <w:i/>
          <w:kern w:val="0"/>
        </w:rPr>
        <w:t>Sinonatrix</w:t>
      </w:r>
      <w:r>
        <w:rPr>
          <w:rFonts w:hint="eastAsia"/>
          <w:i/>
          <w:kern w:val="0"/>
        </w:rPr>
        <w:t xml:space="preserve"> </w:t>
      </w:r>
      <w:r>
        <w:rPr>
          <w:i/>
          <w:kern w:val="0"/>
        </w:rPr>
        <w:t>percarinata、</w:t>
      </w:r>
      <w:r>
        <w:rPr>
          <w:kern w:val="0"/>
        </w:rPr>
        <w:t>乌梢蛇</w:t>
      </w:r>
      <w:r>
        <w:rPr>
          <w:i/>
          <w:kern w:val="0"/>
        </w:rPr>
        <w:t>Zaocys</w:t>
      </w:r>
      <w:r>
        <w:rPr>
          <w:rFonts w:hint="eastAsia"/>
          <w:i/>
          <w:kern w:val="0"/>
        </w:rPr>
        <w:t xml:space="preserve"> </w:t>
      </w:r>
      <w:r>
        <w:rPr>
          <w:i/>
          <w:kern w:val="0"/>
        </w:rPr>
        <w:t>dhumnades</w:t>
      </w:r>
      <w:r>
        <w:t>；季风型</w:t>
      </w:r>
      <w:r>
        <w:rPr>
          <w:rFonts w:hint="eastAsia"/>
        </w:rPr>
        <w:t>3</w:t>
      </w:r>
      <w:r>
        <w:t>种</w:t>
      </w:r>
      <w:r>
        <w:rPr>
          <w:kern w:val="0"/>
        </w:rPr>
        <w:t>北草蜥</w:t>
      </w:r>
      <w:r>
        <w:rPr>
          <w:i/>
          <w:iCs/>
          <w:kern w:val="0"/>
        </w:rPr>
        <w:t>Takydromus</w:t>
      </w:r>
      <w:r>
        <w:rPr>
          <w:rFonts w:hint="eastAsia"/>
          <w:i/>
          <w:iCs/>
          <w:kern w:val="0"/>
        </w:rPr>
        <w:t xml:space="preserve"> </w:t>
      </w:r>
      <w:r>
        <w:rPr>
          <w:i/>
          <w:iCs/>
          <w:kern w:val="0"/>
        </w:rPr>
        <w:t>septentrionalis</w:t>
      </w:r>
      <w:r>
        <w:rPr>
          <w:kern w:val="0"/>
        </w:rPr>
        <w:t>、赤链蛇</w:t>
      </w:r>
      <w:r>
        <w:rPr>
          <w:i/>
          <w:iCs/>
          <w:kern w:val="0"/>
        </w:rPr>
        <w:t>Dinodon</w:t>
      </w:r>
      <w:r>
        <w:rPr>
          <w:rFonts w:hint="eastAsia"/>
          <w:i/>
          <w:iCs/>
          <w:kern w:val="0"/>
        </w:rPr>
        <w:t xml:space="preserve"> </w:t>
      </w:r>
      <w:r>
        <w:rPr>
          <w:i/>
          <w:iCs/>
          <w:kern w:val="0"/>
        </w:rPr>
        <w:t>rufozonatum</w:t>
      </w:r>
      <w:r>
        <w:t>，</w:t>
      </w:r>
      <w:r>
        <w:rPr>
          <w:kern w:val="0"/>
        </w:rPr>
        <w:t>虎斑颈槽蛇</w:t>
      </w:r>
      <w:r>
        <w:rPr>
          <w:i/>
          <w:iCs/>
          <w:kern w:val="0"/>
        </w:rPr>
        <w:t>Rhabdophis</w:t>
      </w:r>
      <w:r>
        <w:rPr>
          <w:rFonts w:hint="eastAsia"/>
          <w:i/>
          <w:iCs/>
          <w:kern w:val="0"/>
        </w:rPr>
        <w:t xml:space="preserve"> </w:t>
      </w:r>
      <w:r>
        <w:rPr>
          <w:i/>
          <w:iCs/>
          <w:kern w:val="0"/>
        </w:rPr>
        <w:t>tigrinnus</w:t>
      </w:r>
      <w:r>
        <w:t>。</w:t>
      </w:r>
    </w:p>
    <w:p>
      <w:pPr>
        <w:ind w:firstLine="482"/>
        <w:contextualSpacing/>
        <w:rPr>
          <w:i/>
          <w:kern w:val="0"/>
        </w:rPr>
      </w:pPr>
      <w:r>
        <w:rPr>
          <w:b/>
          <w:kern w:val="0"/>
        </w:rPr>
        <w:t>调查区段没有发现国家和省重点保护爬行类动物。</w:t>
      </w:r>
      <w:r>
        <w:rPr>
          <w:kern w:val="0"/>
        </w:rPr>
        <w:t>该</w:t>
      </w:r>
      <w:r>
        <w:rPr>
          <w:rFonts w:hint="eastAsia"/>
          <w:kern w:val="0"/>
        </w:rPr>
        <w:t>11</w:t>
      </w:r>
      <w:r>
        <w:rPr>
          <w:kern w:val="0"/>
        </w:rPr>
        <w:t>种动物中，中国特从保护物种来看，该种有2种，即</w:t>
      </w:r>
      <w:r>
        <w:t>蹼趾壁虎</w:t>
      </w:r>
      <w:r>
        <w:rPr>
          <w:i/>
        </w:rPr>
        <w:t>Gekko</w:t>
      </w:r>
      <w:r>
        <w:rPr>
          <w:rFonts w:hint="eastAsia"/>
          <w:i/>
        </w:rPr>
        <w:t xml:space="preserve"> </w:t>
      </w:r>
      <w:r>
        <w:rPr>
          <w:i/>
        </w:rPr>
        <w:t>subpalmatus、</w:t>
      </w:r>
      <w:r>
        <w:t>和乌梢蛇</w:t>
      </w:r>
      <w:r>
        <w:rPr>
          <w:i/>
        </w:rPr>
        <w:t>Zaocys</w:t>
      </w:r>
      <w:r>
        <w:rPr>
          <w:rFonts w:hint="eastAsia"/>
          <w:i/>
        </w:rPr>
        <w:t xml:space="preserve"> </w:t>
      </w:r>
      <w:r>
        <w:rPr>
          <w:i/>
        </w:rPr>
        <w:t>dhumnades</w:t>
      </w:r>
      <w:r>
        <w:t>。</w:t>
      </w:r>
    </w:p>
    <w:p>
      <w:pPr>
        <w:ind w:firstLine="480"/>
        <w:contextualSpacing/>
      </w:pPr>
      <w:r>
        <w:t>（3）鸟类</w:t>
      </w:r>
    </w:p>
    <w:p>
      <w:pPr>
        <w:widowControl/>
        <w:ind w:firstLine="480"/>
        <w:contextualSpacing/>
      </w:pPr>
      <w:r>
        <w:t>寒溪寺水库工程工程区域调查记录到</w:t>
      </w:r>
      <w:r>
        <w:rPr>
          <w:rFonts w:hint="eastAsia"/>
        </w:rPr>
        <w:t>鸟类94种，属于12个目30个科60个属</w:t>
      </w:r>
      <w:r>
        <w:rPr>
          <w:kern w:val="0"/>
        </w:rPr>
        <w:t>（附表4）</w:t>
      </w:r>
      <w:r>
        <w:t>。</w:t>
      </w:r>
      <w:r>
        <w:rPr>
          <w:rFonts w:hint="eastAsia"/>
        </w:rPr>
        <w:t>其中雀形目鸟类69种，占总量的73.4%；非雀形目鸟类25种，占总量的26.5%。调查区域以雀形目鸟类占优势。</w:t>
      </w:r>
    </w:p>
    <w:p>
      <w:pPr>
        <w:ind w:firstLine="480"/>
        <w:contextualSpacing/>
      </w:pPr>
      <w:r>
        <w:t>从物种的居留类型上看，调查区有留鸟66种，占70.21%；夏候鸟24种，占25.53%；调查区域以留鸟和夏候鸟为主，占了总数的绝大多数。</w:t>
      </w:r>
    </w:p>
    <w:p>
      <w:pPr>
        <w:ind w:firstLine="480"/>
        <w:contextualSpacing/>
      </w:pPr>
      <w:r>
        <w:t>从动物地理区系来看，在94种鸟中，完全或主要分布于古北界的有24种，占繁殖鸟总数的25.53%；；完全或主要分布于东洋界的有46种，占繁殖鸟总数的48.94%；；广泛分布于古北、东洋两界的或分布区较狭窄不易明显划分其界限的种，称为广布种，共24种，占繁殖鸟总数的25.53%，可见东洋界种类占优势。这与动物地理区划是相一致的。</w:t>
      </w:r>
    </w:p>
    <w:p>
      <w:pPr>
        <w:ind w:firstLine="480"/>
        <w:contextualSpacing/>
        <w:rPr>
          <w:highlight w:val="yellow"/>
        </w:rPr>
      </w:pPr>
      <w:r>
        <w:t>从该区鸟类的分布型来看，统计结果为全北型有8种，古北型14种，东北型5种，高地型2种，东洋型24种，喜马拉雅-横断山区型9种，南中国型14种，季风型3种，不易归类的有15种；在所有的分布型中以东洋型的种类最多，计有24种，占总数的25.53%；其次是古北型和南中国型，均为14种，均占总数的14.89%，分布最少的是高地型，仅2种。由此可见该区鸟类区系复杂，南北鸟类混杂比较明显。</w:t>
      </w:r>
    </w:p>
    <w:p>
      <w:pPr>
        <w:ind w:firstLine="602" w:firstLineChars="250"/>
        <w:contextualSpacing/>
        <w:rPr>
          <w:kern w:val="0"/>
        </w:rPr>
      </w:pPr>
      <w:r>
        <w:rPr>
          <w:b/>
        </w:rPr>
        <w:t>寒溪寺水库工程直接占地区域没有记录到国家级重点保护鸟类。</w:t>
      </w:r>
      <w:r>
        <w:t>但在直接占地区域外的其他调查区段和有国家Ⅱ级重点保护动物</w:t>
      </w:r>
      <w:r>
        <w:rPr>
          <w:rFonts w:hint="eastAsia"/>
        </w:rPr>
        <w:t>4</w:t>
      </w:r>
      <w:r>
        <w:t>种，</w:t>
      </w:r>
      <w:r>
        <w:rPr>
          <w:rFonts w:hint="eastAsia"/>
        </w:rPr>
        <w:t>红隼</w:t>
      </w:r>
      <w:r>
        <w:rPr>
          <w:rFonts w:hint="eastAsia"/>
          <w:i/>
          <w:iCs/>
        </w:rPr>
        <w:t>Falco tinnunculus</w:t>
      </w:r>
      <w:r>
        <w:rPr>
          <w:rFonts w:hint="eastAsia"/>
        </w:rPr>
        <w:t>、鸢</w:t>
      </w:r>
      <w:r>
        <w:rPr>
          <w:rFonts w:hint="eastAsia"/>
          <w:i/>
          <w:iCs/>
        </w:rPr>
        <w:t>Milvus migrans</w:t>
      </w:r>
      <w:r>
        <w:rPr>
          <w:rFonts w:hint="eastAsia"/>
        </w:rPr>
        <w:t>、普通鵟</w:t>
      </w:r>
      <w:r>
        <w:rPr>
          <w:rFonts w:hint="eastAsia"/>
          <w:i/>
          <w:iCs/>
        </w:rPr>
        <w:t>Buteo buteo</w:t>
      </w:r>
      <w:r>
        <w:rPr>
          <w:rFonts w:hint="eastAsia"/>
        </w:rPr>
        <w:t>、斑头鸺鹠</w:t>
      </w:r>
      <w:r>
        <w:rPr>
          <w:rFonts w:hint="eastAsia"/>
          <w:i/>
          <w:iCs/>
        </w:rPr>
        <w:t>Glaucidium cuculoides</w:t>
      </w:r>
      <w:r>
        <w:t>。另有四川省重点保护动物1种，鸟类为</w:t>
      </w:r>
      <w:r>
        <w:rPr>
          <w:kern w:val="0"/>
        </w:rPr>
        <w:t>小鸊鷉</w:t>
      </w:r>
      <w:r>
        <w:rPr>
          <w:i/>
          <w:iCs/>
          <w:kern w:val="0"/>
        </w:rPr>
        <w:t>Tahybaptus</w:t>
      </w:r>
      <w:r>
        <w:rPr>
          <w:rFonts w:hint="eastAsia"/>
          <w:i/>
          <w:iCs/>
          <w:kern w:val="0"/>
        </w:rPr>
        <w:t xml:space="preserve"> </w:t>
      </w:r>
      <w:r>
        <w:rPr>
          <w:i/>
          <w:iCs/>
          <w:kern w:val="0"/>
        </w:rPr>
        <w:t>ruficollis</w:t>
      </w:r>
      <w:r>
        <w:rPr>
          <w:rFonts w:hint="eastAsia"/>
          <w:i/>
          <w:iCs/>
          <w:kern w:val="0"/>
        </w:rPr>
        <w:t xml:space="preserve"> </w:t>
      </w:r>
      <w:r>
        <w:rPr>
          <w:i/>
          <w:iCs/>
          <w:kern w:val="0"/>
        </w:rPr>
        <w:t>poggei</w:t>
      </w:r>
      <w:r>
        <w:t>；有中国特有鸟类1种，</w:t>
      </w:r>
      <w:r>
        <w:rPr>
          <w:kern w:val="0"/>
        </w:rPr>
        <w:t>棕头鸦雀</w:t>
      </w:r>
      <w:r>
        <w:rPr>
          <w:i/>
          <w:iCs/>
          <w:kern w:val="0"/>
        </w:rPr>
        <w:t>Paradoxornis</w:t>
      </w:r>
      <w:r>
        <w:rPr>
          <w:rFonts w:hint="eastAsia"/>
          <w:i/>
          <w:iCs/>
          <w:kern w:val="0"/>
        </w:rPr>
        <w:t xml:space="preserve"> </w:t>
      </w:r>
      <w:r>
        <w:rPr>
          <w:i/>
          <w:iCs/>
          <w:kern w:val="0"/>
        </w:rPr>
        <w:t>webbianus</w:t>
      </w:r>
      <w:r>
        <w:t>。</w:t>
      </w:r>
    </w:p>
    <w:p>
      <w:pPr>
        <w:widowControl/>
        <w:ind w:firstLine="480"/>
        <w:contextualSpacing/>
        <w:rPr>
          <w:kern w:val="0"/>
        </w:rPr>
      </w:pPr>
      <w:r>
        <w:rPr>
          <w:kern w:val="0"/>
        </w:rPr>
        <w:t>调查区观测到的保护鸟类和特有鸟类共有9种，占总数的9.57%。</w:t>
      </w:r>
    </w:p>
    <w:p>
      <w:pPr>
        <w:ind w:firstLine="480"/>
        <w:contextualSpacing/>
      </w:pPr>
      <w:r>
        <w:t>（4）兽类</w:t>
      </w:r>
    </w:p>
    <w:p>
      <w:pPr>
        <w:ind w:firstLine="480"/>
        <w:contextualSpacing/>
      </w:pPr>
      <w:r>
        <w:t>此项调查共调查到兽类24种，隶属于5目10科22属（附表5）。调查区兽类的组成中以啮齿目和食肉目物种占优势，各有11种和6种，各占兽类种类的45.8%和25%，此外，食虫目4种、翼手目2种、兔形目1种，种类相对较少。</w:t>
      </w:r>
    </w:p>
    <w:p>
      <w:pPr>
        <w:ind w:firstLine="480"/>
        <w:contextualSpacing/>
      </w:pPr>
      <w:r>
        <w:t>在动物地理区划上，评价区地理位置处于属于东洋界西南山地亚区。根据张荣祖（1999）的划分标准，在动物地理区划上，调查区动物属于东洋界的15种，占62.5%，古北界种类有7种，占29.2%，广布种有2种，占8.3%。可见，东洋界种类占绝对优势，这与动物地理区划是相一致的，和鸟类的区系相一致。</w:t>
      </w:r>
    </w:p>
    <w:p>
      <w:pPr>
        <w:ind w:firstLine="480"/>
        <w:contextualSpacing/>
      </w:pPr>
      <w:r>
        <w:t>从分布型来看，这24种兽类中，东洋型11种，古北型7种，南中国型3种，喜马拉雅-横断山型1种，不易归类的广布种2种。调查区属东洋界西南山地亚区，东洋型和南中国型多反映了与该区动物地理区划相一致；而古北型也占7种，是南北动物区系相互渗透的结果。</w:t>
      </w:r>
    </w:p>
    <w:p>
      <w:pPr>
        <w:ind w:firstLine="480"/>
        <w:contextualSpacing/>
      </w:pPr>
      <w:r>
        <w:t>在评价区内分布的24种兽类中未见国家级、省级保护动物。共有中国特有兽类3种，占12%。分别是</w:t>
      </w:r>
      <w:r>
        <w:rPr>
          <w:kern w:val="0"/>
        </w:rPr>
        <w:t>川鼩</w:t>
      </w:r>
      <w:r>
        <w:rPr>
          <w:i/>
          <w:kern w:val="0"/>
        </w:rPr>
        <w:t>Blarinella</w:t>
      </w:r>
      <w:r>
        <w:rPr>
          <w:rFonts w:hint="eastAsia"/>
          <w:i/>
          <w:kern w:val="0"/>
        </w:rPr>
        <w:t xml:space="preserve"> </w:t>
      </w:r>
      <w:r>
        <w:rPr>
          <w:i/>
          <w:kern w:val="0"/>
        </w:rPr>
        <w:t>quadraticauda、</w:t>
      </w:r>
      <w:r>
        <w:rPr>
          <w:kern w:val="0"/>
        </w:rPr>
        <w:t>中华山蝠</w:t>
      </w:r>
      <w:r>
        <w:rPr>
          <w:i/>
          <w:kern w:val="0"/>
        </w:rPr>
        <w:t>Nyctalus</w:t>
      </w:r>
      <w:r>
        <w:rPr>
          <w:rFonts w:hint="eastAsia"/>
          <w:i/>
          <w:kern w:val="0"/>
        </w:rPr>
        <w:t xml:space="preserve"> </w:t>
      </w:r>
      <w:r>
        <w:rPr>
          <w:i/>
          <w:kern w:val="0"/>
        </w:rPr>
        <w:t>velutinus</w:t>
      </w:r>
      <w:r>
        <w:t>和</w:t>
      </w:r>
      <w:r>
        <w:rPr>
          <w:kern w:val="0"/>
        </w:rPr>
        <w:t>岩松鼠</w:t>
      </w:r>
      <w:r>
        <w:rPr>
          <w:i/>
          <w:iCs/>
          <w:kern w:val="0"/>
        </w:rPr>
        <w:t>Sciurotamias</w:t>
      </w:r>
      <w:r>
        <w:rPr>
          <w:rFonts w:hint="eastAsia"/>
          <w:i/>
          <w:iCs/>
          <w:kern w:val="0"/>
        </w:rPr>
        <w:t xml:space="preserve"> </w:t>
      </w:r>
      <w:r>
        <w:rPr>
          <w:i/>
          <w:iCs/>
          <w:kern w:val="0"/>
        </w:rPr>
        <w:t>davidanus</w:t>
      </w:r>
      <w:r>
        <w:t>。</w:t>
      </w:r>
    </w:p>
    <w:p>
      <w:pPr>
        <w:pStyle w:val="5"/>
        <w:ind w:firstLine="0" w:firstLineChars="0"/>
        <w:contextualSpacing/>
        <w:rPr>
          <w:rFonts w:ascii="Times New Roman" w:hAnsi="Times New Roman"/>
        </w:rPr>
      </w:pPr>
      <w:bookmarkStart w:id="455" w:name="_Toc22552"/>
      <w:bookmarkStart w:id="456" w:name="_Toc3719"/>
      <w:bookmarkStart w:id="457" w:name="_Toc15210"/>
      <w:r>
        <w:rPr>
          <w:rFonts w:ascii="Times New Roman" w:hAnsi="Times New Roman"/>
        </w:rPr>
        <w:t>4.7.4景观生态系统现状</w:t>
      </w:r>
      <w:bookmarkEnd w:id="455"/>
      <w:bookmarkEnd w:id="456"/>
      <w:bookmarkEnd w:id="457"/>
    </w:p>
    <w:p>
      <w:pPr>
        <w:ind w:firstLine="0" w:firstLineChars="0"/>
        <w:contextualSpacing/>
        <w:outlineLvl w:val="3"/>
        <w:rPr>
          <w:b/>
          <w:bCs/>
        </w:rPr>
      </w:pPr>
      <w:r>
        <w:rPr>
          <w:b/>
          <w:bCs/>
        </w:rPr>
        <w:t>4.7.4.1评价区生态系统现状</w:t>
      </w:r>
    </w:p>
    <w:p>
      <w:pPr>
        <w:ind w:firstLine="480"/>
        <w:contextualSpacing/>
      </w:pPr>
      <w:r>
        <w:t>按照景观结构和生态系统的划分原则，可以将寒溪寺水库工程评价区划分为自然生态系统和人工生态系统，以农田生态系统为主，现分述如下。</w:t>
      </w:r>
    </w:p>
    <w:p>
      <w:pPr>
        <w:ind w:firstLine="480"/>
        <w:contextualSpacing/>
      </w:pPr>
      <w:r>
        <w:t>（1）自然生态系统</w:t>
      </w:r>
    </w:p>
    <w:p>
      <w:pPr>
        <w:ind w:firstLine="480"/>
        <w:contextualSpacing/>
      </w:pPr>
      <w:r>
        <w:t>1）森林生态系统</w:t>
      </w:r>
    </w:p>
    <w:p>
      <w:pPr>
        <w:ind w:firstLine="480"/>
        <w:contextualSpacing/>
      </w:pPr>
      <w:r>
        <w:t>寒溪寺水库评价区内的森林生态系统主要有柏木林为主的针叶林森林生态系统。</w:t>
      </w:r>
    </w:p>
    <w:p>
      <w:pPr>
        <w:ind w:firstLine="480"/>
        <w:contextualSpacing/>
      </w:pPr>
      <w:r>
        <w:t>森林生态系统分布在湿润或较湿润的地区，其主要特点是动物种类繁多，群落的结构复杂，种群的密度和群落的结构能够长期处于稳定的状态。森林生态系统是评价区的主体，分布广泛。评价区内森林生态系统为人工林，分布于陡坎、不宜于耕作地带。代表性的植被类型有暖性针叶林、次生落叶阔叶林、针阔混交林、竹林和常绿阔叶林，主要针叶树种为柏木林等，柏木林是评价区内常见的针叶林型，主要分布于在海拔350－800m地区，在评价区内分布比较稀疏，林内通视度好，透光性强，郁闭度0.5-0.7，柏木林群落外貌翠绿色，林冠较整齐，群落外貌深绿，黄绿镶嵌，林冠不整齐；主要落叶阔叶树种有枫杨、桤木、野桐、构树、喜树、苦楝等。林下灌木层种类较少、盖度偏低，主要有黄荆、铁仔、蔷薇等。林下草本层常以常优群落状态呈现，盖度常与森林郁闭度和环境湿度密切相关，森林郁闭度小且环境湿度大的地段草本层盖度可达100%，反之，草本层盖度极低，主要的草本植物有白茅、荩草、粉葛等。</w:t>
      </w:r>
    </w:p>
    <w:p>
      <w:pPr>
        <w:ind w:firstLine="480"/>
        <w:contextualSpacing/>
      </w:pPr>
      <w:r>
        <w:t>虽然评价区内森林质量不高，但仍为鸟类、兽类、两栖类和爬行类动物提供了栖息环境，也为国家二级保护鸟类红隼等提供了食物。森林生态系统种动物种类主要有沼水蛙、斑腿树蛙、中华蟾蜍、社鼠、褐家鼠、黄鼬、山斑鸠、棕背伯劳、灰头啄木鸟、草兔、麻雀、大山雀、山麻雀、树鹨、乌梢蛇、赤链蛇等。</w:t>
      </w:r>
    </w:p>
    <w:p>
      <w:pPr>
        <w:ind w:firstLine="480"/>
        <w:contextualSpacing/>
      </w:pPr>
      <w:r>
        <w:t>2）竹林生态系统</w:t>
      </w:r>
    </w:p>
    <w:p>
      <w:pPr>
        <w:ind w:firstLine="480"/>
        <w:contextualSpacing/>
      </w:pPr>
      <w:r>
        <w:t>寒溪寺水库评价区当中以慈竹林、麻林为主的竹林生态系统，主要分布在区域内的河岸两旁、支沟河谷、村宅附近，外貌整齐。林分内除慈竹、硬头黄竹外，分布有少量杉木、八角枫、盐肤木、悬钩子、微绒绣球、展毛野牡丹、黄荆、马桑等。竹林生态系统种动物种类主要有泽陆蛙、中华蟾蜍、竹叶青、乌梢蛇、麻雀、社鼠、小家鼠等。</w:t>
      </w:r>
    </w:p>
    <w:p>
      <w:pPr>
        <w:ind w:firstLine="480"/>
        <w:contextualSpacing/>
      </w:pPr>
      <w:r>
        <w:t>3）灌丛生态系统</w:t>
      </w:r>
    </w:p>
    <w:p>
      <w:pPr>
        <w:ind w:firstLine="480"/>
        <w:contextualSpacing/>
      </w:pPr>
      <w:r>
        <w:t>寒溪寺水库评价区中，以黄荆为主的山地灌丛生态系统，主要分布在河谷两岸山体中上部，盖度在40%左右，除</w:t>
      </w:r>
      <w:r>
        <w:rPr>
          <w:rFonts w:hint="eastAsia"/>
        </w:rPr>
        <w:t>桤木</w:t>
      </w:r>
      <w:r>
        <w:t>和黄荆外其，还有少量的八角枫、粗糠柴、细齿叶柃、石斑木、高梁泡、地桃花、悬钩子等。草本植物有紫菀、三叶鬼针草、茅叶荩草、看麦娘、白茅等。</w:t>
      </w:r>
    </w:p>
    <w:p>
      <w:pPr>
        <w:ind w:firstLine="480"/>
        <w:contextualSpacing/>
      </w:pPr>
      <w:r>
        <w:t>灌丛生态系统种动物种类主要有泽陆蛙、斑腿树蛙、中华蟾蜍、蹼趾壁虎、竹叶青、乌梢蛇、白腰雨燕、火斑鸠、麻雀、喜鹊、棕背伯劳、暗绿柳莺、隐纹花松鼠、大耳蝠、草兔等。</w:t>
      </w:r>
    </w:p>
    <w:p>
      <w:pPr>
        <w:ind w:firstLine="480"/>
        <w:contextualSpacing/>
      </w:pPr>
      <w:r>
        <w:t>4）草丛生态系统</w:t>
      </w:r>
    </w:p>
    <w:p>
      <w:pPr>
        <w:ind w:firstLine="480"/>
        <w:contextualSpacing/>
      </w:pPr>
      <w:r>
        <w:t>禾本、蒿草草丛为主的草丛生态系统，分布在评价区内的田间地头未利用地、荒草坡、林缘以及河滩地周围。群落无明显层次，群落外观不整齐。总盖度多在0.8以上。常见种类有白茅、芦苇、蒿草、狗牙根、茅叶荩草、金色狗尾草、沿阶草、马鞭草、芒、车前、猪殃殃、异型莎草、菝葜、蜈蚣草、茅叶荩草、千里光、艾蒿、牛筋草等。</w:t>
      </w:r>
    </w:p>
    <w:p>
      <w:pPr>
        <w:ind w:firstLine="480"/>
        <w:contextualSpacing/>
      </w:pPr>
      <w:r>
        <w:t>动物种类主要有泽陆蛙、中华蟾蜍、乌梢蛇、翠青蛇、喜鹊、山麻雀、麻雀、黄鼬、褐家鼠、社鼠、小家鼠、草兔、灰尾兔等。</w:t>
      </w:r>
    </w:p>
    <w:p>
      <w:pPr>
        <w:ind w:firstLine="480"/>
        <w:contextualSpacing/>
      </w:pPr>
      <w:r>
        <w:t>5）湿地生态系统</w:t>
      </w:r>
    </w:p>
    <w:p>
      <w:pPr>
        <w:ind w:firstLine="480"/>
        <w:contextualSpacing/>
      </w:pPr>
      <w:r>
        <w:t>寒溪寺水库调查区内的河流生态系统由大河沟干流及和沿途的支流及受到河流影响的河岸植被共同构成。径流的年内分配极不均匀，年最大流量发生在5～9月，多数集中在7～8月；11月~次年3月为枯季。因此，河流生态系统的水量季节波动很大，导致河流生态系统的物流和能流的季节波动明显。</w:t>
      </w:r>
    </w:p>
    <w:p>
      <w:pPr>
        <w:ind w:firstLine="480"/>
        <w:contextualSpacing/>
      </w:pPr>
      <w:r>
        <w:t>主要动物种类有沼水蛙、中华蟾蜍、乌梢蛇、赤链蛇、赤麻鸭、斑嘴鸭、雀鹰、麻雀、褐家鼠、社鼠等。</w:t>
      </w:r>
    </w:p>
    <w:p>
      <w:pPr>
        <w:ind w:firstLine="480"/>
        <w:contextualSpacing/>
      </w:pPr>
      <w:r>
        <w:t>（2）人工生态系统</w:t>
      </w:r>
    </w:p>
    <w:p>
      <w:pPr>
        <w:ind w:firstLine="480"/>
        <w:contextualSpacing/>
      </w:pPr>
      <w:r>
        <w:t>人工生态系统主要包含农田生态系统、道路生态系统与城镇（村落）生态系统。</w:t>
      </w:r>
    </w:p>
    <w:p>
      <w:pPr>
        <w:ind w:firstLine="480"/>
        <w:contextualSpacing/>
      </w:pPr>
      <w:r>
        <w:t>1）农田生态系统</w:t>
      </w:r>
    </w:p>
    <w:p>
      <w:pPr>
        <w:ind w:firstLine="480"/>
        <w:contextualSpacing/>
      </w:pPr>
      <w:r>
        <w:t>农田生态系统在调查内广泛分布。土地利用类型多样，由大田作物和蔬菜等组成。种植的作物多为水稻、玉米、小麦、大豆、油菜等。农田生态系统受地理环境限制明显，主要分布在地势较平坦处。人工经济林主要分布在房屋、河流附近，以竹林、柑橘为主，还有少量李、桃、枇杷、梨等。</w:t>
      </w:r>
    </w:p>
    <w:p>
      <w:pPr>
        <w:ind w:firstLine="480"/>
        <w:contextualSpacing/>
      </w:pPr>
      <w:r>
        <w:t>动物种类主要有麻雀、竹叶青、赤链蛇、乌梢蛇、社鼠、褐家鼠、草兔等组成。</w:t>
      </w:r>
    </w:p>
    <w:p>
      <w:pPr>
        <w:ind w:firstLine="480"/>
        <w:contextualSpacing/>
      </w:pPr>
      <w:r>
        <w:t>2）道路生态系统</w:t>
      </w:r>
    </w:p>
    <w:p>
      <w:pPr>
        <w:widowControl/>
        <w:ind w:firstLine="480"/>
        <w:contextualSpacing/>
        <w:jc w:val="left"/>
        <w:rPr>
          <w:kern w:val="0"/>
        </w:rPr>
      </w:pPr>
      <w:r>
        <w:rPr>
          <w:kern w:val="0"/>
        </w:rPr>
        <w:t>道路生态系统是道路用地范围内原有生态系统受到破坏后，由人工定向设计的生态系统，是典型的一种人工生态系统，比周围的自然生态系统简单，其稳定性主要受人为因素影响。评价区的道路主要是乡村公路，为水泥路面，路面宽度约3~3.5m，乡村公路基本上没有道路绿化。</w:t>
      </w:r>
    </w:p>
    <w:p>
      <w:pPr>
        <w:widowControl/>
        <w:ind w:firstLine="480"/>
        <w:contextualSpacing/>
        <w:jc w:val="left"/>
      </w:pPr>
      <w:r>
        <w:rPr>
          <w:kern w:val="0"/>
        </w:rPr>
        <w:t>评价区公路等级较低，为水泥或泥结碎石路面。结合水库施工交通规划，为改善至水库坝址的交通状况，需先整治通乡公路。因此，随着本工程的兴建，将有利于改善当地交通设施。</w:t>
      </w:r>
    </w:p>
    <w:p>
      <w:pPr>
        <w:ind w:firstLine="480"/>
        <w:contextualSpacing/>
      </w:pPr>
      <w:r>
        <w:t>3）</w:t>
      </w:r>
      <w:r>
        <w:rPr>
          <w:rFonts w:hint="eastAsia"/>
        </w:rPr>
        <w:t>村镇</w:t>
      </w:r>
      <w:r>
        <w:t>生态系统</w:t>
      </w:r>
    </w:p>
    <w:p>
      <w:pPr>
        <w:ind w:firstLine="480"/>
        <w:contextualSpacing/>
        <w:rPr>
          <w:kern w:val="0"/>
        </w:rPr>
      </w:pPr>
      <w:r>
        <w:rPr>
          <w:rFonts w:hint="eastAsia"/>
        </w:rPr>
        <w:t>村镇</w:t>
      </w:r>
      <w:r>
        <w:t>生态系统是城镇</w:t>
      </w:r>
      <w:r>
        <w:rPr>
          <w:kern w:val="0"/>
        </w:rPr>
        <w:t>（村落）居民与周围生物和非生物环境相互作用而形成的一类具有一定功能的网络结构，也是人类在改造和适应自然环境的基础上建立起来的特殊的人工生态系统。它是由自然系统、经济系统和社会系统所组成的。与自然生态系统相比，城镇（村落）生态系统具有以下特点：第一，城市生态系统是人类起主导作用的生态系统；第二，城市生态系统是物质和能量的流通量大、运转快、高度开放的生态系统；第三，城市生态系统中自然系统的自动调节能力弱；容易出现环境污染等问题。植被方面，城镇以园林观赏植物为主；村落以竹林和经济果木为主。动物方面，野生种类以麻雀、家燕、蝙蝠、鼠类等；家禽牲畜有鸡、鸭、鹅、猪、牛、羊、狗等。</w:t>
      </w:r>
    </w:p>
    <w:p>
      <w:pPr>
        <w:ind w:firstLine="0" w:firstLineChars="0"/>
        <w:contextualSpacing/>
        <w:outlineLvl w:val="3"/>
        <w:rPr>
          <w:b/>
          <w:bCs/>
        </w:rPr>
      </w:pPr>
      <w:r>
        <w:rPr>
          <w:b/>
          <w:bCs/>
        </w:rPr>
        <w:t>4.7.4.2评价区景观生态现状</w:t>
      </w:r>
    </w:p>
    <w:p>
      <w:pPr>
        <w:ind w:firstLine="480"/>
        <w:contextualSpacing/>
      </w:pPr>
      <w:r>
        <w:t>（1）景观生态系统的组成结构</w:t>
      </w:r>
    </w:p>
    <w:p>
      <w:pPr>
        <w:ind w:firstLine="480"/>
        <w:contextualSpacing/>
        <w:rPr>
          <w:kern w:val="0"/>
        </w:rPr>
      </w:pPr>
      <w:r>
        <w:t>由于寒溪寺水库地处盆地浅丘区，</w:t>
      </w:r>
      <w:r>
        <w:rPr>
          <w:kern w:val="0"/>
        </w:rPr>
        <w:t>评价区考虑了库区集水面积和灌溉区域面积。</w:t>
      </w:r>
    </w:p>
    <w:p>
      <w:pPr>
        <w:widowControl/>
        <w:ind w:firstLine="480"/>
        <w:contextualSpacing/>
        <w:jc w:val="left"/>
        <w:rPr>
          <w:kern w:val="0"/>
        </w:rPr>
      </w:pPr>
      <w:r>
        <w:rPr>
          <w:kern w:val="0"/>
        </w:rPr>
        <w:t>建设用地共划分针叶林、阔叶林、针阔混交林、灌丛、草丛、竹林、湿地、民居（城镇/村落）、道路、农业用地等10个景观生态类型。斑块935个，斑块数最少的景观生态类型为道路，仅有20个斑块；斑块数较多的景观生态类型为灌丛、民居，分别多达246、156个斑块，斑块面积最大的是农业用地，面积最小的景观生态类型为灌丛。</w:t>
      </w:r>
    </w:p>
    <w:p>
      <w:pPr>
        <w:ind w:firstLine="480"/>
        <w:contextualSpacing/>
      </w:pPr>
      <w:r>
        <w:t>景观生态体系的质量现状是由区域内自然环境、各种生物以及人类社会之间复杂的相互作用来决定的。从景观生态学结构与功能相匹配的观点出发，结构是否合理决定了景观功能状况的优劣。为判断评价区景观生态体系空间结构的合理程度，按以下公式计算评价区各类拼块的优势度值：</w:t>
      </w:r>
    </w:p>
    <w:p>
      <w:pPr>
        <w:ind w:firstLine="480"/>
        <w:contextualSpacing/>
      </w:pPr>
      <w:r>
        <w:t>密度</w:t>
      </w:r>
      <w:r>
        <w:rPr>
          <w:position w:val="-26"/>
        </w:rPr>
        <w:object>
          <v:shape id="_x0000_i1035" o:spt="75" type="#_x0000_t75" style="height:34.05pt;width:125pt;" o:ole="t" filled="f" o:preferrelative="t" stroked="f" coordsize="21600,21600">
            <v:path/>
            <v:fill on="f" focussize="0,0"/>
            <v:stroke on="f" joinstyle="miter"/>
            <v:imagedata r:id="rId66" o:title=""/>
            <o:lock v:ext="edit" aspectratio="t"/>
            <w10:wrap type="none"/>
            <w10:anchorlock/>
          </v:shape>
          <o:OLEObject Type="Embed" ProgID="Equation.DSMT4" ShapeID="_x0000_i1035" DrawAspect="Content" ObjectID="_1468075733" r:id="rId65">
            <o:LockedField>false</o:LockedField>
          </o:OLEObject>
        </w:object>
      </w:r>
    </w:p>
    <w:p>
      <w:pPr>
        <w:ind w:firstLine="480"/>
        <w:contextualSpacing/>
      </w:pPr>
      <w:r>
        <w:t>频率</w:t>
      </w:r>
      <w:r>
        <w:rPr>
          <w:position w:val="-26"/>
        </w:rPr>
        <w:object>
          <v:shape id="_x0000_i1036" o:spt="75" type="#_x0000_t75" style="height:34.05pt;width:164.3pt;" o:ole="t" filled="f" o:preferrelative="t" stroked="f" coordsize="21600,21600">
            <v:path/>
            <v:fill on="f" focussize="0,0"/>
            <v:stroke on="f" joinstyle="miter"/>
            <v:imagedata r:id="rId68" o:title=""/>
            <o:lock v:ext="edit" aspectratio="t"/>
            <w10:wrap type="none"/>
            <w10:anchorlock/>
          </v:shape>
          <o:OLEObject Type="Embed" ProgID="Equation.DSMT4" ShapeID="_x0000_i1036" DrawAspect="Content" ObjectID="_1468075734" r:id="rId67">
            <o:LockedField>false</o:LockedField>
          </o:OLEObject>
        </w:object>
      </w:r>
    </w:p>
    <w:p>
      <w:pPr>
        <w:ind w:firstLine="480"/>
        <w:contextualSpacing/>
      </w:pPr>
      <w:r>
        <w:t>景观比例</w:t>
      </w:r>
      <w:r>
        <w:rPr>
          <w:position w:val="-26"/>
        </w:rPr>
        <w:object>
          <v:shape id="_x0000_i1037" o:spt="75" type="#_x0000_t75" style="height:34.05pt;width:125pt;" o:ole="t" filled="f" o:preferrelative="t" stroked="f" coordsize="21600,21600">
            <v:path/>
            <v:fill on="f" focussize="0,0"/>
            <v:stroke on="f" joinstyle="miter"/>
            <v:imagedata r:id="rId70" o:title=""/>
            <o:lock v:ext="edit" aspectratio="t"/>
            <w10:wrap type="none"/>
            <w10:anchorlock/>
          </v:shape>
          <o:OLEObject Type="Embed" ProgID="Equation.DSMT4" ShapeID="_x0000_i1037" DrawAspect="Content" ObjectID="_1468075735" r:id="rId69">
            <o:LockedField>false</o:LockedField>
          </o:OLEObject>
        </w:object>
      </w:r>
    </w:p>
    <w:p>
      <w:pPr>
        <w:ind w:firstLine="480"/>
        <w:contextualSpacing/>
      </w:pPr>
      <w:r>
        <w:t>优势度值</w:t>
      </w:r>
      <w:r>
        <w:rPr>
          <w:position w:val="-16"/>
        </w:rPr>
        <w:object>
          <v:shape id="_x0000_i1038" o:spt="75" type="#_x0000_t75" style="height:21.6pt;width:193.75pt;" o:ole="t" filled="f" o:preferrelative="t" stroked="f" coordsize="21600,21600">
            <v:path/>
            <v:fill on="f" focussize="0,0"/>
            <v:stroke on="f" joinstyle="miter"/>
            <v:imagedata r:id="rId72" o:title=""/>
            <o:lock v:ext="edit" aspectratio="t"/>
            <w10:wrap type="none"/>
            <w10:anchorlock/>
          </v:shape>
          <o:OLEObject Type="Embed" ProgID="Equation.DSMT4" ShapeID="_x0000_i1038" DrawAspect="Content" ObjectID="_1468075736" r:id="rId71">
            <o:LockedField>false</o:LockedField>
          </o:OLEObject>
        </w:object>
      </w:r>
    </w:p>
    <w:p>
      <w:pPr>
        <w:widowControl/>
        <w:ind w:firstLine="480"/>
        <w:contextualSpacing/>
        <w:jc w:val="left"/>
        <w:rPr>
          <w:kern w:val="0"/>
        </w:rPr>
      </w:pPr>
      <w:r>
        <w:t>在拼块频率判定中，以1km×1km的样方，在评价范围内均匀布点抽样，计算得出评价区各类拼块的优势度值见下表4.7.4-1。</w:t>
      </w:r>
      <w:r>
        <w:rPr>
          <w:kern w:val="0"/>
        </w:rPr>
        <w:t>如表，人工生态系统是评价区生态环境质量的控制性组分，森林、灌从、草丛和湿地是评价区生态环境质量的调控组分，评价区受人工主导，具有一定的阻抗能力和受到干扰以后的恢复能力。</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表4.7.4-1  评价区内各类拼块优势度值</w:t>
      </w:r>
    </w:p>
    <w:tbl>
      <w:tblPr>
        <w:tblStyle w:val="38"/>
        <w:tblW w:w="4997" w:type="pct"/>
        <w:tblInd w:w="0" w:type="dxa"/>
        <w:tblLayout w:type="autofit"/>
        <w:tblCellMar>
          <w:top w:w="0" w:type="dxa"/>
          <w:left w:w="0" w:type="dxa"/>
          <w:bottom w:w="0" w:type="dxa"/>
          <w:right w:w="0" w:type="dxa"/>
        </w:tblCellMar>
      </w:tblPr>
      <w:tblGrid>
        <w:gridCol w:w="1321"/>
        <w:gridCol w:w="1243"/>
        <w:gridCol w:w="1064"/>
        <w:gridCol w:w="1499"/>
        <w:gridCol w:w="1064"/>
        <w:gridCol w:w="1065"/>
        <w:gridCol w:w="1065"/>
      </w:tblGrid>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景观类型</w:t>
            </w:r>
          </w:p>
        </w:tc>
        <w:tc>
          <w:tcPr>
            <w:tcW w:w="74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面积hm</w:t>
            </w:r>
            <w:r>
              <w:rPr>
                <w:kern w:val="0"/>
                <w:sz w:val="21"/>
                <w:szCs w:val="21"/>
                <w:vertAlign w:val="superscript"/>
              </w:rPr>
              <w:t>2</w:t>
            </w:r>
          </w:p>
        </w:tc>
        <w:tc>
          <w:tcPr>
            <w:tcW w:w="63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斑块数</w:t>
            </w:r>
          </w:p>
        </w:tc>
        <w:tc>
          <w:tcPr>
            <w:tcW w:w="90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b/>
                <w:sz w:val="21"/>
                <w:szCs w:val="21"/>
              </w:rPr>
            </w:pPr>
            <w:r>
              <w:rPr>
                <w:b/>
                <w:kern w:val="0"/>
                <w:sz w:val="21"/>
                <w:szCs w:val="21"/>
              </w:rPr>
              <w:t>R</w:t>
            </w:r>
            <w:r>
              <w:rPr>
                <w:b/>
                <w:kern w:val="0"/>
                <w:sz w:val="21"/>
                <w:szCs w:val="21"/>
                <w:vertAlign w:val="subscript"/>
              </w:rPr>
              <w:t>d</w:t>
            </w:r>
            <w:r>
              <w:rPr>
                <w:b/>
                <w:kern w:val="0"/>
                <w:sz w:val="21"/>
                <w:szCs w:val="21"/>
              </w:rPr>
              <w:t>（%）</w:t>
            </w:r>
          </w:p>
        </w:tc>
        <w:tc>
          <w:tcPr>
            <w:tcW w:w="63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Rf（%）</w:t>
            </w:r>
          </w:p>
        </w:tc>
        <w:tc>
          <w:tcPr>
            <w:tcW w:w="63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Lp（%）</w:t>
            </w:r>
          </w:p>
        </w:tc>
        <w:tc>
          <w:tcPr>
            <w:tcW w:w="63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Do（%）</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针叶林</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73.2</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43</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5.8</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15.0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3.1</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6.5</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阔叶林</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78.9</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51</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6.8</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13.0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3.3</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6.5</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针阔混交林</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92.3</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32</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4.3</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11.0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3.9</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6.0</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竹林</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62.3</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134</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18.0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36.0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2.6</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13.6</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灌丛</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114.9</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187</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25.1</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34.0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4.8</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17.5</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草丛</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146.1</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124</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16.6</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51.0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6.1</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19.1</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农田植被</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1597.4</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43</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5.8</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62.0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66.9</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50.6</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水域</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78.9</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23</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3.1</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13.0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3.3</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5.8</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道路</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68.8</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41</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5.5</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56.0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2.9</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16.4</w:t>
            </w:r>
          </w:p>
        </w:tc>
      </w:tr>
      <w:tr>
        <w:tblPrEx>
          <w:tblCellMar>
            <w:top w:w="0" w:type="dxa"/>
            <w:left w:w="0" w:type="dxa"/>
            <w:bottom w:w="0" w:type="dxa"/>
            <w:right w:w="0" w:type="dxa"/>
          </w:tblCellMar>
        </w:tblPrEx>
        <w:trPr>
          <w:trHeight w:val="300" w:hRule="atLeast"/>
        </w:trPr>
        <w:tc>
          <w:tcPr>
            <w:tcW w:w="79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民居</w:t>
            </w:r>
          </w:p>
        </w:tc>
        <w:tc>
          <w:tcPr>
            <w:tcW w:w="746"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74.7</w:t>
            </w:r>
          </w:p>
        </w:tc>
        <w:tc>
          <w:tcPr>
            <w:tcW w:w="106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67</w:t>
            </w:r>
          </w:p>
        </w:tc>
        <w:tc>
          <w:tcPr>
            <w:tcW w:w="149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sz w:val="18"/>
                <w:szCs w:val="18"/>
              </w:rPr>
            </w:pPr>
            <w:r>
              <w:rPr>
                <w:color w:val="000000"/>
                <w:kern w:val="0"/>
                <w:sz w:val="18"/>
                <w:szCs w:val="18"/>
                <w:lang w:bidi="ar"/>
              </w:rPr>
              <w:t>9.0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75.0</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3.1</w:t>
            </w:r>
          </w:p>
        </w:tc>
        <w:tc>
          <w:tcPr>
            <w:tcW w:w="63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18"/>
                <w:szCs w:val="18"/>
              </w:rPr>
            </w:pPr>
            <w:r>
              <w:rPr>
                <w:kern w:val="0"/>
                <w:sz w:val="18"/>
                <w:szCs w:val="18"/>
              </w:rPr>
              <w:t>24.5</w:t>
            </w:r>
          </w:p>
        </w:tc>
      </w:tr>
    </w:tbl>
    <w:p>
      <w:pPr>
        <w:spacing w:line="240" w:lineRule="auto"/>
        <w:ind w:firstLine="420"/>
        <w:contextualSpacing/>
        <w:rPr>
          <w:sz w:val="21"/>
          <w:szCs w:val="21"/>
        </w:rPr>
      </w:pPr>
      <w:r>
        <w:rPr>
          <w:sz w:val="21"/>
          <w:szCs w:val="21"/>
        </w:rPr>
        <w:t>注：面积数据来源于评价范围的卫星图片的土地覆被识别（卫星成图时间:第一次调查采用2019.3.11，第二次补充调查后采用2021.9.19），软件Bigemap GIS office。</w:t>
      </w:r>
    </w:p>
    <w:p>
      <w:pPr>
        <w:spacing w:line="160" w:lineRule="exact"/>
        <w:ind w:firstLine="480"/>
        <w:contextualSpacing/>
      </w:pPr>
    </w:p>
    <w:p>
      <w:pPr>
        <w:ind w:firstLine="480"/>
        <w:contextualSpacing/>
      </w:pPr>
      <w:r>
        <w:t>（2）景观生态类型特征</w:t>
      </w:r>
    </w:p>
    <w:p>
      <w:pPr>
        <w:ind w:firstLine="480"/>
        <w:contextualSpacing/>
      </w:pPr>
      <w:r>
        <w:t>寒溪寺水库灌区和淹没区都以大田作物为主的栽培植被拼块在评价区内分布面积大，连通程度高，此外以山地草丛景观也占有一定比例。该区域景观生态体系由下列组分组成，这些组分可以是不同的生态系统，也可以是不同的生境。该流域影响评价区景观叠加图是在该区域植被现状图的基础上演绎编制而成。库区各景观类型划分如下：</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表4.7.4-2  库区景观类型划分一览表</w:t>
      </w:r>
    </w:p>
    <w:tbl>
      <w:tblPr>
        <w:tblStyle w:val="38"/>
        <w:tblW w:w="4998" w:type="pct"/>
        <w:tblInd w:w="0" w:type="dxa"/>
        <w:tblLayout w:type="autofit"/>
        <w:tblCellMar>
          <w:top w:w="0" w:type="dxa"/>
          <w:left w:w="0" w:type="dxa"/>
          <w:bottom w:w="0" w:type="dxa"/>
          <w:right w:w="0" w:type="dxa"/>
        </w:tblCellMar>
      </w:tblPr>
      <w:tblGrid>
        <w:gridCol w:w="1134"/>
        <w:gridCol w:w="1066"/>
        <w:gridCol w:w="913"/>
        <w:gridCol w:w="1284"/>
        <w:gridCol w:w="1184"/>
        <w:gridCol w:w="914"/>
        <w:gridCol w:w="914"/>
        <w:gridCol w:w="914"/>
      </w:tblGrid>
      <w:tr>
        <w:tblPrEx>
          <w:tblCellMar>
            <w:top w:w="0" w:type="dxa"/>
            <w:left w:w="0" w:type="dxa"/>
            <w:bottom w:w="0" w:type="dxa"/>
            <w:right w:w="0" w:type="dxa"/>
          </w:tblCellMar>
        </w:tblPrEx>
        <w:trPr>
          <w:trHeight w:val="56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景观类型</w:t>
            </w:r>
          </w:p>
        </w:tc>
        <w:tc>
          <w:tcPr>
            <w:tcW w:w="64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面积（hm</w:t>
            </w:r>
            <w:r>
              <w:rPr>
                <w:kern w:val="0"/>
                <w:sz w:val="21"/>
                <w:szCs w:val="21"/>
                <w:vertAlign w:val="superscript"/>
              </w:rPr>
              <w:t>2</w:t>
            </w:r>
            <w:r>
              <w:rPr>
                <w:kern w:val="0"/>
                <w:sz w:val="21"/>
                <w:szCs w:val="21"/>
              </w:rPr>
              <w:t>）</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比例（%）</w:t>
            </w:r>
          </w:p>
        </w:tc>
        <w:tc>
          <w:tcPr>
            <w:tcW w:w="77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斑块数</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破碎度（块/km</w:t>
            </w:r>
            <w:r>
              <w:rPr>
                <w:kern w:val="0"/>
                <w:sz w:val="21"/>
                <w:szCs w:val="21"/>
                <w:vertAlign w:val="superscript"/>
              </w:rPr>
              <w:t>2</w:t>
            </w:r>
            <w:r>
              <w:rPr>
                <w:kern w:val="0"/>
                <w:sz w:val="21"/>
                <w:szCs w:val="21"/>
              </w:rPr>
              <w:t>）</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形状指数</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散布与并列指数</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Shannon多样性指数</w:t>
            </w: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针叶林</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73.2</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3.1</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43</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61.5</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2.52</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69.54</w:t>
            </w:r>
          </w:p>
        </w:tc>
        <w:tc>
          <w:tcPr>
            <w:tcW w:w="549"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0.81</w:t>
            </w: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阔叶林</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78.9</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3.3</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51</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73.5</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2.72</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46.52</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针阔混交林</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92.3</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3.9</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32</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55.3</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2.52</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33.05</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9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竹林</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62.3</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2.6</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134</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200.6</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1.72</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13.65</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灌丛</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114.9</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4.8</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187</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214.1</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4.68</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21.16</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草丛</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146.1</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6.1</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124</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84.9</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7.96</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17.23</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农田</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1597.4</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66.9</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43</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3.8</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15.53</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55.67</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水域</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78.9</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3.3</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23</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44.3</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11.26</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31.25</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道路</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68.8</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2.9</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41</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50.8</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14.18</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37.46</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r>
        <w:tblPrEx>
          <w:tblCellMar>
            <w:top w:w="0" w:type="dxa"/>
            <w:left w:w="0" w:type="dxa"/>
            <w:bottom w:w="0" w:type="dxa"/>
            <w:right w:w="0"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民居</w:t>
            </w:r>
          </w:p>
        </w:tc>
        <w:tc>
          <w:tcPr>
            <w:tcW w:w="64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74.7</w:t>
            </w:r>
          </w:p>
        </w:tc>
        <w:tc>
          <w:tcPr>
            <w:tcW w:w="54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3.1</w:t>
            </w:r>
          </w:p>
        </w:tc>
        <w:tc>
          <w:tcPr>
            <w:tcW w:w="128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sz w:val="21"/>
                <w:szCs w:val="21"/>
              </w:rPr>
            </w:pPr>
            <w:r>
              <w:rPr>
                <w:color w:val="000000"/>
                <w:kern w:val="0"/>
                <w:sz w:val="21"/>
                <w:szCs w:val="21"/>
                <w:lang w:bidi="ar"/>
              </w:rPr>
              <w:t>67</w:t>
            </w:r>
          </w:p>
        </w:tc>
        <w:tc>
          <w:tcPr>
            <w:tcW w:w="71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208.8</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8.02</w:t>
            </w:r>
          </w:p>
        </w:tc>
        <w:tc>
          <w:tcPr>
            <w:tcW w:w="54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10.86</w:t>
            </w:r>
          </w:p>
        </w:tc>
        <w:tc>
          <w:tcPr>
            <w:tcW w:w="549"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pacing w:line="240" w:lineRule="auto"/>
              <w:ind w:firstLine="0" w:firstLineChars="0"/>
              <w:contextualSpacing/>
              <w:jc w:val="center"/>
              <w:rPr>
                <w:sz w:val="21"/>
                <w:szCs w:val="21"/>
              </w:rPr>
            </w:pPr>
          </w:p>
        </w:tc>
      </w:tr>
    </w:tbl>
    <w:p>
      <w:pPr>
        <w:spacing w:line="160" w:lineRule="exact"/>
        <w:ind w:firstLine="480"/>
        <w:contextualSpacing/>
      </w:pPr>
    </w:p>
    <w:p>
      <w:pPr>
        <w:ind w:firstLine="480"/>
        <w:contextualSpacing/>
      </w:pPr>
      <w:r>
        <w:t>1）以农田作物为主的栽培植被，在评价范围内分布面积最大，连通程度高，属于人工景观，景观破碎度低，呈规律的几何形状分布。该景观外貌整齐，可塑性高，但人为管理不善时可退化为杂草群落。景观的组成与拼块数量受人为影响极大，是水土流失主要的来源之一。</w:t>
      </w:r>
    </w:p>
    <w:p>
      <w:pPr>
        <w:ind w:firstLine="480"/>
        <w:contextualSpacing/>
      </w:pPr>
      <w:r>
        <w:t>2）以柏木、马尾松为主的亚热带常绿针叶林景观主要分布在山坡中上部，属于环境资源拼块，在库区占有较小面积。柏木和马尾松多为人工种植，有一定的自然更新能力，在居民聚居点附近人为干扰较严重，分布呈较规则的块状或带状。该群落植被覆盖较高，但仅带状分布在栽培植被周围，对水土保持起到重要的作用，是对本区域环境质量起到动态控制的拼块类型。</w:t>
      </w:r>
    </w:p>
    <w:p>
      <w:pPr>
        <w:ind w:firstLine="480"/>
        <w:contextualSpacing/>
      </w:pPr>
      <w:r>
        <w:t>3）阔叶林景观受人类干扰较大。该群落生态功能较高，在库区占有一定面积，对生态环境和水土保持起到重要的作用。</w:t>
      </w:r>
    </w:p>
    <w:p>
      <w:pPr>
        <w:ind w:firstLine="480"/>
        <w:contextualSpacing/>
      </w:pPr>
      <w:r>
        <w:t>4）以慈竹为主的竹林景观，在本区呈点状分布，连通程度不高，是本区域重要的资源组成拼块。</w:t>
      </w:r>
    </w:p>
    <w:p>
      <w:pPr>
        <w:ind w:firstLine="480"/>
        <w:contextualSpacing/>
      </w:pPr>
      <w:r>
        <w:t>5）以禾本、蒿草为主的山地草丛景观主要分布在库区内的河谷、农田周围、林间空地等。群落外貌较整齐，生长均匀，在库区景观分布较少，对生态环境的调控作用较小。</w:t>
      </w:r>
    </w:p>
    <w:p>
      <w:pPr>
        <w:ind w:firstLine="480"/>
        <w:contextualSpacing/>
      </w:pPr>
      <w:r>
        <w:t>6）以黄荆等为主的灌丛景观，属于环境资源拼块，在本区分布范围小，连通程度低，是对本区环境质量有动态控制功能的拼块。</w:t>
      </w:r>
    </w:p>
    <w:p>
      <w:pPr>
        <w:ind w:firstLine="480"/>
        <w:contextualSpacing/>
      </w:pPr>
      <w:r>
        <w:t>7）河流拼块属于环境资源拼块类型，彼此相通，连接度和连通性都很高。但该类型拼块相当脆弱，易受水库建设和降雨季相变化等外界影响而在结构和功能上发生巨大变化。</w:t>
      </w:r>
    </w:p>
    <w:p>
      <w:pPr>
        <w:ind w:firstLine="480"/>
        <w:contextualSpacing/>
      </w:pPr>
      <w:r>
        <w:t>这些景观类型之间有着既相辅相成又相互制约的特点。以栽培植物拼块为特征的人工群落在数量上稍占优势，但其抵御环境干扰能力较弱，对该区域生态环境无维护作用。本区域生态环境质量的主要控制性组分是环境资源拼块，所以环境资源拼块自然生产能力的维护和稳定状况的维护是本区生态环境质量控制的判定因素。</w:t>
      </w:r>
    </w:p>
    <w:p>
      <w:pPr>
        <w:ind w:firstLine="480"/>
        <w:contextualSpacing/>
      </w:pPr>
      <w:r>
        <w:t>受地貌和人为干扰因素影响，景观类型的分布可分为3种：</w:t>
      </w:r>
      <w:r>
        <w:rPr>
          <w:rFonts w:hint="eastAsia" w:ascii="宋体" w:hAnsi="宋体" w:cs="宋体"/>
        </w:rPr>
        <w:t>①</w:t>
      </w:r>
      <w:r>
        <w:t>规则分布型，受人为因素和地貌限制，形成规则形状的栽培拼块类型。</w:t>
      </w:r>
      <w:r>
        <w:rPr>
          <w:rFonts w:hint="eastAsia" w:ascii="宋体" w:hAnsi="宋体" w:cs="宋体"/>
        </w:rPr>
        <w:t>②</w:t>
      </w:r>
      <w:r>
        <w:t>聚合分布型，受地貌和人类干扰的控制，在居民点附近或山地呈聚合分布。</w:t>
      </w:r>
      <w:r>
        <w:rPr>
          <w:rFonts w:hint="eastAsia" w:ascii="宋体" w:hAnsi="宋体" w:cs="宋体"/>
        </w:rPr>
        <w:t>③</w:t>
      </w:r>
      <w:r>
        <w:t>线状分布型，多出现在河谷两边，沿河流走向呈线状分布。</w:t>
      </w:r>
    </w:p>
    <w:p>
      <w:pPr>
        <w:ind w:firstLine="480"/>
        <w:contextualSpacing/>
      </w:pPr>
      <w:r>
        <w:t>（3）景观生态系统稳定性</w:t>
      </w:r>
    </w:p>
    <w:p>
      <w:pPr>
        <w:widowControl/>
        <w:ind w:firstLine="480"/>
        <w:contextualSpacing/>
        <w:jc w:val="left"/>
        <w:rPr>
          <w:kern w:val="0"/>
        </w:rPr>
      </w:pPr>
      <w:r>
        <w:rPr>
          <w:kern w:val="0"/>
        </w:rPr>
        <w:t>寒溪寺水库评价区内的景观生态系统类型，除农田、道路和城镇/村落生态系统，人为活动干扰大外，其他景观生态系统类型较稳定，对生态环境的适应性高。部分景观生态系统类型是由于环境资源所引起，除非光、温、水、气等环境因子发生很大的变化外，一般不会发生大的消涨波动。</w:t>
      </w:r>
    </w:p>
    <w:p>
      <w:pPr>
        <w:pStyle w:val="4"/>
        <w:ind w:firstLine="0" w:firstLineChars="0"/>
        <w:contextualSpacing/>
      </w:pPr>
      <w:bookmarkStart w:id="458" w:name="_Toc8031"/>
      <w:bookmarkStart w:id="459" w:name="_Toc8273"/>
      <w:bookmarkStart w:id="460" w:name="_Toc32450"/>
      <w:bookmarkStart w:id="461" w:name="_Toc130753430"/>
      <w:r>
        <w:t>4.7水生生态</w:t>
      </w:r>
      <w:bookmarkEnd w:id="458"/>
      <w:bookmarkEnd w:id="459"/>
      <w:bookmarkEnd w:id="460"/>
      <w:bookmarkEnd w:id="461"/>
    </w:p>
    <w:p>
      <w:pPr>
        <w:ind w:firstLine="480"/>
        <w:contextualSpacing/>
      </w:pPr>
      <w:r>
        <w:rPr>
          <w:rFonts w:hint="eastAsia"/>
        </w:rPr>
        <w:t>2023</w:t>
      </w:r>
      <w:r>
        <w:t>年</w:t>
      </w:r>
      <w:r>
        <w:rPr>
          <w:rFonts w:hint="eastAsia"/>
        </w:rPr>
        <w:t>3</w:t>
      </w:r>
      <w:r>
        <w:t>月，</w:t>
      </w:r>
      <w:r>
        <w:rPr>
          <w:rFonts w:hint="eastAsia"/>
        </w:rPr>
        <w:t>评价</w:t>
      </w:r>
      <w:r>
        <w:t>单位对工程影响河段开展了水生生物调查，调查的内容主要包括浮游植物、着生藻类、浮游动物、底栖动物、水生维管束植物以及鱼类的种类组成和分布等。水生生物调查主要参照《内陆水域渔业自然资源调查手册》、《淡水浮游生物研究方法》等的相关技术和要求进行。</w:t>
      </w:r>
    </w:p>
    <w:p>
      <w:pPr>
        <w:pStyle w:val="5"/>
        <w:ind w:firstLine="0" w:firstLineChars="0"/>
        <w:contextualSpacing/>
        <w:rPr>
          <w:rFonts w:ascii="Times New Roman" w:hAnsi="Times New Roman"/>
        </w:rPr>
      </w:pPr>
      <w:bookmarkStart w:id="462" w:name="_Toc8877"/>
      <w:bookmarkStart w:id="463" w:name="_Toc5923"/>
      <w:bookmarkStart w:id="464" w:name="_Toc19927"/>
      <w:r>
        <w:rPr>
          <w:rFonts w:ascii="Times New Roman" w:hAnsi="Times New Roman"/>
        </w:rPr>
        <w:t>4.8.1调查概况</w:t>
      </w:r>
      <w:bookmarkEnd w:id="462"/>
      <w:bookmarkEnd w:id="463"/>
      <w:bookmarkEnd w:id="464"/>
    </w:p>
    <w:p>
      <w:pPr>
        <w:ind w:firstLine="540" w:firstLineChars="225"/>
        <w:contextualSpacing/>
        <w:rPr>
          <w:bCs/>
          <w:kern w:val="0"/>
          <w:highlight w:val="yellow"/>
        </w:rPr>
      </w:pPr>
      <w:r>
        <w:rPr>
          <w:bCs/>
          <w:kern w:val="0"/>
        </w:rPr>
        <w:t>水生生态评价范围参考地表水环境评价范围，重点评价库区、下游减水河段以及灌区退水受纳河段。对</w:t>
      </w:r>
      <w:r>
        <w:t>蔡家河及其减水河段、退水区河流</w:t>
      </w:r>
      <w:r>
        <w:rPr>
          <w:bCs/>
          <w:kern w:val="0"/>
        </w:rPr>
        <w:t>进行了水生生物资源调查，调查的内容主要包括浮游植物、着生藻类、浮游动物、底栖动物、水生维管束植物以及鱼类的种类组成和“三场”分布等。</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表4.8.1  水生生物采样断面及水体物理特性</w:t>
      </w:r>
    </w:p>
    <w:tbl>
      <w:tblPr>
        <w:tblStyle w:val="38"/>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65"/>
        <w:gridCol w:w="1694"/>
        <w:gridCol w:w="1616"/>
        <w:gridCol w:w="683"/>
        <w:gridCol w:w="685"/>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jc w:val="center"/>
        </w:trPr>
        <w:tc>
          <w:tcPr>
            <w:tcW w:w="2741" w:type="dxa"/>
            <w:gridSpan w:val="2"/>
            <w:vAlign w:val="center"/>
          </w:tcPr>
          <w:p>
            <w:pPr>
              <w:widowControl/>
              <w:spacing w:line="240" w:lineRule="auto"/>
              <w:ind w:firstLine="0" w:firstLineChars="0"/>
              <w:contextualSpacing/>
              <w:jc w:val="center"/>
              <w:rPr>
                <w:b/>
                <w:bCs/>
                <w:kern w:val="0"/>
                <w:sz w:val="21"/>
                <w:szCs w:val="21"/>
              </w:rPr>
            </w:pPr>
            <w:r>
              <w:rPr>
                <w:b/>
                <w:bCs/>
                <w:kern w:val="0"/>
                <w:sz w:val="21"/>
                <w:szCs w:val="21"/>
              </w:rPr>
              <w:t>断面</w:t>
            </w:r>
          </w:p>
        </w:tc>
        <w:tc>
          <w:tcPr>
            <w:tcW w:w="1694" w:type="dxa"/>
            <w:vAlign w:val="center"/>
          </w:tcPr>
          <w:p>
            <w:pPr>
              <w:widowControl/>
              <w:spacing w:line="240" w:lineRule="auto"/>
              <w:ind w:firstLine="0" w:firstLineChars="0"/>
              <w:contextualSpacing/>
              <w:jc w:val="center"/>
              <w:rPr>
                <w:b/>
                <w:bCs/>
                <w:kern w:val="0"/>
                <w:sz w:val="21"/>
                <w:szCs w:val="21"/>
              </w:rPr>
            </w:pPr>
            <w:r>
              <w:rPr>
                <w:b/>
                <w:bCs/>
                <w:kern w:val="0"/>
                <w:sz w:val="21"/>
                <w:szCs w:val="21"/>
              </w:rPr>
              <w:t>经度（°）</w:t>
            </w:r>
          </w:p>
        </w:tc>
        <w:tc>
          <w:tcPr>
            <w:tcW w:w="1616" w:type="dxa"/>
            <w:vAlign w:val="center"/>
          </w:tcPr>
          <w:p>
            <w:pPr>
              <w:widowControl/>
              <w:spacing w:line="240" w:lineRule="auto"/>
              <w:ind w:firstLine="0" w:firstLineChars="0"/>
              <w:contextualSpacing/>
              <w:jc w:val="center"/>
              <w:rPr>
                <w:b/>
                <w:bCs/>
                <w:kern w:val="0"/>
                <w:sz w:val="21"/>
                <w:szCs w:val="21"/>
              </w:rPr>
            </w:pPr>
            <w:r>
              <w:rPr>
                <w:b/>
                <w:bCs/>
                <w:kern w:val="0"/>
                <w:sz w:val="21"/>
                <w:szCs w:val="21"/>
              </w:rPr>
              <w:t>纬度（°）</w:t>
            </w:r>
          </w:p>
        </w:tc>
        <w:tc>
          <w:tcPr>
            <w:tcW w:w="683" w:type="dxa"/>
            <w:vAlign w:val="center"/>
          </w:tcPr>
          <w:p>
            <w:pPr>
              <w:widowControl/>
              <w:spacing w:line="240" w:lineRule="auto"/>
              <w:ind w:firstLine="0" w:firstLineChars="0"/>
              <w:contextualSpacing/>
              <w:jc w:val="center"/>
              <w:rPr>
                <w:b/>
                <w:bCs/>
                <w:kern w:val="0"/>
                <w:sz w:val="21"/>
                <w:szCs w:val="21"/>
              </w:rPr>
            </w:pPr>
            <w:r>
              <w:rPr>
                <w:b/>
                <w:bCs/>
                <w:kern w:val="0"/>
                <w:sz w:val="21"/>
                <w:szCs w:val="21"/>
              </w:rPr>
              <w:t>气温</w:t>
            </w:r>
          </w:p>
          <w:p>
            <w:pPr>
              <w:widowControl/>
              <w:spacing w:line="240" w:lineRule="auto"/>
              <w:ind w:firstLine="0" w:firstLineChars="0"/>
              <w:contextualSpacing/>
              <w:jc w:val="center"/>
              <w:rPr>
                <w:b/>
                <w:bCs/>
                <w:kern w:val="0"/>
                <w:sz w:val="21"/>
                <w:szCs w:val="21"/>
              </w:rPr>
            </w:pPr>
            <w:r>
              <w:rPr>
                <w:b/>
                <w:bCs/>
                <w:kern w:val="0"/>
                <w:sz w:val="21"/>
                <w:szCs w:val="21"/>
              </w:rPr>
              <w:t>℃</w:t>
            </w:r>
          </w:p>
        </w:tc>
        <w:tc>
          <w:tcPr>
            <w:tcW w:w="685" w:type="dxa"/>
            <w:vAlign w:val="center"/>
          </w:tcPr>
          <w:p>
            <w:pPr>
              <w:widowControl/>
              <w:spacing w:line="240" w:lineRule="auto"/>
              <w:ind w:firstLine="0" w:firstLineChars="0"/>
              <w:contextualSpacing/>
              <w:jc w:val="center"/>
              <w:rPr>
                <w:b/>
                <w:bCs/>
                <w:kern w:val="0"/>
                <w:sz w:val="21"/>
                <w:szCs w:val="21"/>
              </w:rPr>
            </w:pPr>
            <w:r>
              <w:rPr>
                <w:b/>
                <w:bCs/>
                <w:kern w:val="0"/>
                <w:sz w:val="21"/>
                <w:szCs w:val="21"/>
              </w:rPr>
              <w:t>水温</w:t>
            </w:r>
          </w:p>
          <w:p>
            <w:pPr>
              <w:widowControl/>
              <w:spacing w:line="240" w:lineRule="auto"/>
              <w:ind w:firstLine="0" w:firstLineChars="0"/>
              <w:contextualSpacing/>
              <w:jc w:val="center"/>
              <w:rPr>
                <w:b/>
                <w:bCs/>
                <w:kern w:val="0"/>
                <w:sz w:val="21"/>
                <w:szCs w:val="21"/>
              </w:rPr>
            </w:pPr>
            <w:r>
              <w:rPr>
                <w:b/>
                <w:bCs/>
                <w:kern w:val="0"/>
                <w:sz w:val="21"/>
                <w:szCs w:val="21"/>
              </w:rPr>
              <w:t>℃</w:t>
            </w:r>
          </w:p>
        </w:tc>
        <w:tc>
          <w:tcPr>
            <w:tcW w:w="657" w:type="dxa"/>
            <w:vAlign w:val="center"/>
          </w:tcPr>
          <w:p>
            <w:pPr>
              <w:widowControl/>
              <w:spacing w:line="240" w:lineRule="auto"/>
              <w:ind w:firstLine="0" w:firstLineChars="0"/>
              <w:contextualSpacing/>
              <w:jc w:val="center"/>
              <w:rPr>
                <w:b/>
                <w:bCs/>
                <w:kern w:val="0"/>
                <w:sz w:val="21"/>
                <w:szCs w:val="21"/>
              </w:rPr>
            </w:pPr>
            <w:r>
              <w:rPr>
                <w:b/>
                <w:bCs/>
                <w:kern w:val="0"/>
                <w:sz w:val="21"/>
                <w:szCs w:val="21"/>
              </w:rPr>
              <w:t>底质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876" w:type="dxa"/>
            <w:vAlign w:val="center"/>
          </w:tcPr>
          <w:p>
            <w:pPr>
              <w:widowControl/>
              <w:spacing w:line="240" w:lineRule="auto"/>
              <w:ind w:firstLine="0" w:firstLineChars="0"/>
              <w:contextualSpacing/>
              <w:jc w:val="center"/>
              <w:rPr>
                <w:kern w:val="0"/>
                <w:sz w:val="21"/>
                <w:szCs w:val="21"/>
              </w:rPr>
            </w:pPr>
            <w:r>
              <w:rPr>
                <w:kern w:val="0"/>
                <w:sz w:val="21"/>
                <w:szCs w:val="21"/>
              </w:rPr>
              <w:t>断面1</w:t>
            </w:r>
          </w:p>
        </w:tc>
        <w:tc>
          <w:tcPr>
            <w:tcW w:w="1865"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谭家河补水枢纽上游2</w:t>
            </w:r>
            <w:r>
              <w:rPr>
                <w:kern w:val="0"/>
                <w:sz w:val="21"/>
                <w:szCs w:val="21"/>
              </w:rPr>
              <w:t>km处</w:t>
            </w:r>
          </w:p>
        </w:tc>
        <w:tc>
          <w:tcPr>
            <w:tcW w:w="1694"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106°52′31.584″E</w:t>
            </w:r>
          </w:p>
        </w:tc>
        <w:tc>
          <w:tcPr>
            <w:tcW w:w="1616" w:type="dxa"/>
            <w:vAlign w:val="center"/>
          </w:tcPr>
          <w:p>
            <w:pPr>
              <w:widowControl/>
              <w:spacing w:line="240" w:lineRule="auto"/>
              <w:ind w:firstLine="0" w:firstLineChars="0"/>
              <w:contextualSpacing/>
              <w:rPr>
                <w:kern w:val="0"/>
                <w:sz w:val="21"/>
                <w:szCs w:val="21"/>
              </w:rPr>
            </w:pPr>
            <w:r>
              <w:rPr>
                <w:rFonts w:hint="eastAsia"/>
                <w:kern w:val="0"/>
                <w:sz w:val="21"/>
                <w:szCs w:val="21"/>
              </w:rPr>
              <w:t>31°59′13.588″N</w:t>
            </w:r>
          </w:p>
        </w:tc>
        <w:tc>
          <w:tcPr>
            <w:tcW w:w="683" w:type="dxa"/>
            <w:vAlign w:val="center"/>
          </w:tcPr>
          <w:p>
            <w:pPr>
              <w:widowControl/>
              <w:spacing w:line="240" w:lineRule="auto"/>
              <w:ind w:firstLine="0" w:firstLineChars="0"/>
              <w:contextualSpacing/>
              <w:jc w:val="center"/>
              <w:rPr>
                <w:kern w:val="0"/>
                <w:sz w:val="21"/>
                <w:szCs w:val="21"/>
              </w:rPr>
            </w:pPr>
            <w:r>
              <w:rPr>
                <w:kern w:val="0"/>
                <w:sz w:val="21"/>
                <w:szCs w:val="21"/>
              </w:rPr>
              <w:t>27</w:t>
            </w:r>
          </w:p>
        </w:tc>
        <w:tc>
          <w:tcPr>
            <w:tcW w:w="685" w:type="dxa"/>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657" w:type="dxa"/>
            <w:vAlign w:val="center"/>
          </w:tcPr>
          <w:p>
            <w:pPr>
              <w:widowControl/>
              <w:spacing w:line="240" w:lineRule="auto"/>
              <w:ind w:firstLine="0" w:firstLineChars="0"/>
              <w:contextualSpacing/>
              <w:jc w:val="center"/>
              <w:rPr>
                <w:kern w:val="0"/>
                <w:sz w:val="21"/>
                <w:szCs w:val="21"/>
              </w:rPr>
            </w:pPr>
            <w:r>
              <w:rPr>
                <w:kern w:val="0"/>
                <w:sz w:val="21"/>
                <w:szCs w:val="21"/>
              </w:rPr>
              <w:t>砂砾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876" w:type="dxa"/>
            <w:vAlign w:val="center"/>
          </w:tcPr>
          <w:p>
            <w:pPr>
              <w:widowControl/>
              <w:spacing w:line="240" w:lineRule="auto"/>
              <w:ind w:firstLine="0" w:firstLineChars="0"/>
              <w:contextualSpacing/>
              <w:jc w:val="center"/>
              <w:rPr>
                <w:kern w:val="0"/>
                <w:sz w:val="21"/>
                <w:szCs w:val="21"/>
              </w:rPr>
            </w:pPr>
            <w:r>
              <w:rPr>
                <w:kern w:val="0"/>
                <w:sz w:val="21"/>
                <w:szCs w:val="21"/>
              </w:rPr>
              <w:t>断面2</w:t>
            </w:r>
          </w:p>
        </w:tc>
        <w:tc>
          <w:tcPr>
            <w:tcW w:w="1865"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刘家河补水枢纽上游1</w:t>
            </w:r>
            <w:r>
              <w:rPr>
                <w:kern w:val="0"/>
                <w:sz w:val="21"/>
                <w:szCs w:val="21"/>
              </w:rPr>
              <w:t>km处</w:t>
            </w:r>
          </w:p>
        </w:tc>
        <w:tc>
          <w:tcPr>
            <w:tcW w:w="1694"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106°51′22.235″E</w:t>
            </w:r>
          </w:p>
        </w:tc>
        <w:tc>
          <w:tcPr>
            <w:tcW w:w="1616"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 xml:space="preserve"> 31°59′5.251″N</w:t>
            </w:r>
          </w:p>
        </w:tc>
        <w:tc>
          <w:tcPr>
            <w:tcW w:w="683" w:type="dxa"/>
            <w:vAlign w:val="center"/>
          </w:tcPr>
          <w:p>
            <w:pPr>
              <w:widowControl/>
              <w:spacing w:line="240" w:lineRule="auto"/>
              <w:ind w:firstLine="0" w:firstLineChars="0"/>
              <w:contextualSpacing/>
              <w:jc w:val="center"/>
              <w:rPr>
                <w:kern w:val="0"/>
                <w:sz w:val="21"/>
                <w:szCs w:val="21"/>
              </w:rPr>
            </w:pPr>
            <w:r>
              <w:rPr>
                <w:kern w:val="0"/>
                <w:sz w:val="21"/>
                <w:szCs w:val="21"/>
              </w:rPr>
              <w:t>27</w:t>
            </w:r>
          </w:p>
        </w:tc>
        <w:tc>
          <w:tcPr>
            <w:tcW w:w="685" w:type="dxa"/>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657" w:type="dxa"/>
            <w:vAlign w:val="center"/>
          </w:tcPr>
          <w:p>
            <w:pPr>
              <w:widowControl/>
              <w:spacing w:line="240" w:lineRule="auto"/>
              <w:ind w:firstLine="0" w:firstLineChars="0"/>
              <w:contextualSpacing/>
              <w:jc w:val="center"/>
              <w:rPr>
                <w:kern w:val="0"/>
                <w:sz w:val="21"/>
                <w:szCs w:val="21"/>
              </w:rPr>
            </w:pPr>
            <w:r>
              <w:rPr>
                <w:kern w:val="0"/>
                <w:sz w:val="21"/>
                <w:szCs w:val="21"/>
              </w:rPr>
              <w:t>砂砾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876" w:type="dxa"/>
            <w:vAlign w:val="center"/>
          </w:tcPr>
          <w:p>
            <w:pPr>
              <w:widowControl/>
              <w:spacing w:line="240" w:lineRule="auto"/>
              <w:ind w:firstLine="0" w:firstLineChars="0"/>
              <w:contextualSpacing/>
              <w:jc w:val="center"/>
              <w:rPr>
                <w:kern w:val="0"/>
                <w:sz w:val="21"/>
                <w:szCs w:val="21"/>
              </w:rPr>
            </w:pPr>
            <w:r>
              <w:rPr>
                <w:kern w:val="0"/>
                <w:sz w:val="21"/>
                <w:szCs w:val="21"/>
              </w:rPr>
              <w:t>断面3</w:t>
            </w:r>
          </w:p>
        </w:tc>
        <w:tc>
          <w:tcPr>
            <w:tcW w:w="1865"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寒溪寺库尾</w:t>
            </w:r>
          </w:p>
        </w:tc>
        <w:tc>
          <w:tcPr>
            <w:tcW w:w="1694"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106°50′16.149″E</w:t>
            </w:r>
          </w:p>
        </w:tc>
        <w:tc>
          <w:tcPr>
            <w:tcW w:w="1616"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31°57′31.772″N</w:t>
            </w:r>
          </w:p>
        </w:tc>
        <w:tc>
          <w:tcPr>
            <w:tcW w:w="683" w:type="dxa"/>
            <w:vAlign w:val="center"/>
          </w:tcPr>
          <w:p>
            <w:pPr>
              <w:widowControl/>
              <w:spacing w:line="240" w:lineRule="auto"/>
              <w:ind w:firstLine="0" w:firstLineChars="0"/>
              <w:contextualSpacing/>
              <w:jc w:val="center"/>
              <w:rPr>
                <w:kern w:val="0"/>
                <w:sz w:val="21"/>
                <w:szCs w:val="21"/>
              </w:rPr>
            </w:pPr>
            <w:r>
              <w:rPr>
                <w:kern w:val="0"/>
                <w:sz w:val="21"/>
                <w:szCs w:val="21"/>
              </w:rPr>
              <w:t>28</w:t>
            </w:r>
          </w:p>
        </w:tc>
        <w:tc>
          <w:tcPr>
            <w:tcW w:w="685" w:type="dxa"/>
            <w:vAlign w:val="center"/>
          </w:tcPr>
          <w:p>
            <w:pPr>
              <w:widowControl/>
              <w:spacing w:line="240" w:lineRule="auto"/>
              <w:ind w:firstLine="0" w:firstLineChars="0"/>
              <w:contextualSpacing/>
              <w:jc w:val="center"/>
              <w:rPr>
                <w:kern w:val="0"/>
                <w:sz w:val="21"/>
                <w:szCs w:val="21"/>
              </w:rPr>
            </w:pPr>
            <w:r>
              <w:rPr>
                <w:kern w:val="0"/>
                <w:sz w:val="21"/>
                <w:szCs w:val="21"/>
              </w:rPr>
              <w:t>21</w:t>
            </w:r>
          </w:p>
        </w:tc>
        <w:tc>
          <w:tcPr>
            <w:tcW w:w="657" w:type="dxa"/>
            <w:vAlign w:val="center"/>
          </w:tcPr>
          <w:p>
            <w:pPr>
              <w:widowControl/>
              <w:spacing w:line="240" w:lineRule="auto"/>
              <w:ind w:firstLine="0" w:firstLineChars="0"/>
              <w:contextualSpacing/>
              <w:jc w:val="center"/>
              <w:rPr>
                <w:kern w:val="0"/>
                <w:sz w:val="21"/>
                <w:szCs w:val="21"/>
              </w:rPr>
            </w:pPr>
            <w:r>
              <w:rPr>
                <w:kern w:val="0"/>
                <w:sz w:val="21"/>
                <w:szCs w:val="21"/>
              </w:rPr>
              <w:t>砂砾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876" w:type="dxa"/>
            <w:vAlign w:val="center"/>
          </w:tcPr>
          <w:p>
            <w:pPr>
              <w:widowControl/>
              <w:spacing w:line="240" w:lineRule="auto"/>
              <w:ind w:firstLine="0" w:firstLineChars="0"/>
              <w:contextualSpacing/>
              <w:jc w:val="center"/>
              <w:rPr>
                <w:kern w:val="0"/>
                <w:sz w:val="21"/>
                <w:szCs w:val="21"/>
              </w:rPr>
            </w:pPr>
            <w:r>
              <w:rPr>
                <w:kern w:val="0"/>
                <w:sz w:val="21"/>
                <w:szCs w:val="21"/>
              </w:rPr>
              <w:t>断面4</w:t>
            </w:r>
          </w:p>
        </w:tc>
        <w:tc>
          <w:tcPr>
            <w:tcW w:w="1865" w:type="dxa"/>
            <w:vAlign w:val="center"/>
          </w:tcPr>
          <w:p>
            <w:pPr>
              <w:widowControl/>
              <w:spacing w:line="240" w:lineRule="auto"/>
              <w:ind w:firstLine="0" w:firstLineChars="0"/>
              <w:contextualSpacing/>
              <w:jc w:val="center"/>
              <w:rPr>
                <w:kern w:val="0"/>
                <w:sz w:val="21"/>
                <w:szCs w:val="21"/>
              </w:rPr>
            </w:pPr>
            <w:r>
              <w:rPr>
                <w:kern w:val="0"/>
                <w:sz w:val="21"/>
                <w:szCs w:val="21"/>
              </w:rPr>
              <w:t>坝址处</w:t>
            </w:r>
          </w:p>
        </w:tc>
        <w:tc>
          <w:tcPr>
            <w:tcW w:w="1694"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106°50′21.672″E</w:t>
            </w:r>
          </w:p>
        </w:tc>
        <w:tc>
          <w:tcPr>
            <w:tcW w:w="1616"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 xml:space="preserve"> 31°57′22.515″N</w:t>
            </w:r>
          </w:p>
        </w:tc>
        <w:tc>
          <w:tcPr>
            <w:tcW w:w="683" w:type="dxa"/>
            <w:vAlign w:val="center"/>
          </w:tcPr>
          <w:p>
            <w:pPr>
              <w:widowControl/>
              <w:spacing w:line="240" w:lineRule="auto"/>
              <w:ind w:firstLine="0" w:firstLineChars="0"/>
              <w:contextualSpacing/>
              <w:jc w:val="center"/>
              <w:rPr>
                <w:kern w:val="0"/>
                <w:sz w:val="21"/>
                <w:szCs w:val="21"/>
              </w:rPr>
            </w:pPr>
            <w:r>
              <w:rPr>
                <w:kern w:val="0"/>
                <w:sz w:val="21"/>
                <w:szCs w:val="21"/>
              </w:rPr>
              <w:t>28</w:t>
            </w:r>
          </w:p>
        </w:tc>
        <w:tc>
          <w:tcPr>
            <w:tcW w:w="685" w:type="dxa"/>
            <w:vAlign w:val="center"/>
          </w:tcPr>
          <w:p>
            <w:pPr>
              <w:widowControl/>
              <w:spacing w:line="240" w:lineRule="auto"/>
              <w:ind w:firstLine="0" w:firstLineChars="0"/>
              <w:contextualSpacing/>
              <w:jc w:val="center"/>
              <w:rPr>
                <w:kern w:val="0"/>
                <w:sz w:val="21"/>
                <w:szCs w:val="21"/>
              </w:rPr>
            </w:pPr>
            <w:r>
              <w:rPr>
                <w:kern w:val="0"/>
                <w:sz w:val="21"/>
                <w:szCs w:val="21"/>
              </w:rPr>
              <w:t>22</w:t>
            </w:r>
          </w:p>
        </w:tc>
        <w:tc>
          <w:tcPr>
            <w:tcW w:w="657" w:type="dxa"/>
            <w:vAlign w:val="center"/>
          </w:tcPr>
          <w:p>
            <w:pPr>
              <w:widowControl/>
              <w:spacing w:line="240" w:lineRule="auto"/>
              <w:ind w:firstLine="0" w:firstLineChars="0"/>
              <w:contextualSpacing/>
              <w:jc w:val="center"/>
              <w:rPr>
                <w:kern w:val="0"/>
                <w:sz w:val="21"/>
                <w:szCs w:val="21"/>
              </w:rPr>
            </w:pPr>
            <w:r>
              <w:rPr>
                <w:kern w:val="0"/>
                <w:sz w:val="21"/>
                <w:szCs w:val="21"/>
              </w:rPr>
              <w:t>砂砾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876" w:type="dxa"/>
            <w:vAlign w:val="center"/>
          </w:tcPr>
          <w:p>
            <w:pPr>
              <w:widowControl/>
              <w:spacing w:line="240" w:lineRule="auto"/>
              <w:ind w:firstLine="0" w:firstLineChars="0"/>
              <w:contextualSpacing/>
              <w:jc w:val="center"/>
              <w:rPr>
                <w:kern w:val="0"/>
                <w:sz w:val="21"/>
                <w:szCs w:val="21"/>
              </w:rPr>
            </w:pPr>
            <w:r>
              <w:rPr>
                <w:kern w:val="0"/>
                <w:sz w:val="21"/>
                <w:szCs w:val="21"/>
              </w:rPr>
              <w:t>断面5</w:t>
            </w:r>
          </w:p>
        </w:tc>
        <w:tc>
          <w:tcPr>
            <w:tcW w:w="1865" w:type="dxa"/>
            <w:vAlign w:val="center"/>
          </w:tcPr>
          <w:p>
            <w:pPr>
              <w:widowControl/>
              <w:spacing w:line="240" w:lineRule="auto"/>
              <w:ind w:firstLine="0" w:firstLineChars="0"/>
              <w:contextualSpacing/>
              <w:jc w:val="center"/>
              <w:rPr>
                <w:kern w:val="0"/>
                <w:sz w:val="21"/>
                <w:szCs w:val="21"/>
              </w:rPr>
            </w:pPr>
            <w:r>
              <w:rPr>
                <w:kern w:val="0"/>
                <w:sz w:val="21"/>
                <w:szCs w:val="21"/>
              </w:rPr>
              <w:t>坝址下游</w:t>
            </w:r>
            <w:r>
              <w:rPr>
                <w:rFonts w:hint="eastAsia"/>
                <w:kern w:val="0"/>
                <w:sz w:val="21"/>
                <w:szCs w:val="21"/>
              </w:rPr>
              <w:t>2</w:t>
            </w:r>
            <w:r>
              <w:rPr>
                <w:kern w:val="0"/>
                <w:sz w:val="21"/>
                <w:szCs w:val="21"/>
              </w:rPr>
              <w:t>km</w:t>
            </w:r>
          </w:p>
        </w:tc>
        <w:tc>
          <w:tcPr>
            <w:tcW w:w="1694"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106°50′33.974″E</w:t>
            </w:r>
          </w:p>
        </w:tc>
        <w:tc>
          <w:tcPr>
            <w:tcW w:w="1616" w:type="dxa"/>
            <w:vAlign w:val="center"/>
          </w:tcPr>
          <w:p>
            <w:pPr>
              <w:widowControl/>
              <w:spacing w:line="240" w:lineRule="auto"/>
              <w:ind w:firstLine="0" w:firstLineChars="0"/>
              <w:contextualSpacing/>
              <w:jc w:val="center"/>
              <w:rPr>
                <w:kern w:val="0"/>
                <w:sz w:val="21"/>
                <w:szCs w:val="21"/>
              </w:rPr>
            </w:pPr>
            <w:r>
              <w:rPr>
                <w:rFonts w:hint="eastAsia"/>
                <w:kern w:val="0"/>
                <w:sz w:val="21"/>
                <w:szCs w:val="21"/>
              </w:rPr>
              <w:t xml:space="preserve"> 31°56′21.835″N</w:t>
            </w:r>
          </w:p>
        </w:tc>
        <w:tc>
          <w:tcPr>
            <w:tcW w:w="683" w:type="dxa"/>
            <w:vAlign w:val="center"/>
          </w:tcPr>
          <w:p>
            <w:pPr>
              <w:widowControl/>
              <w:spacing w:line="240" w:lineRule="auto"/>
              <w:ind w:firstLine="0" w:firstLineChars="0"/>
              <w:contextualSpacing/>
              <w:jc w:val="center"/>
              <w:rPr>
                <w:kern w:val="0"/>
                <w:sz w:val="21"/>
                <w:szCs w:val="21"/>
              </w:rPr>
            </w:pPr>
            <w:r>
              <w:rPr>
                <w:kern w:val="0"/>
                <w:sz w:val="21"/>
                <w:szCs w:val="21"/>
              </w:rPr>
              <w:t>28</w:t>
            </w:r>
          </w:p>
        </w:tc>
        <w:tc>
          <w:tcPr>
            <w:tcW w:w="685" w:type="dxa"/>
            <w:vAlign w:val="center"/>
          </w:tcPr>
          <w:p>
            <w:pPr>
              <w:widowControl/>
              <w:spacing w:line="240" w:lineRule="auto"/>
              <w:ind w:firstLine="0" w:firstLineChars="0"/>
              <w:contextualSpacing/>
              <w:jc w:val="center"/>
              <w:rPr>
                <w:kern w:val="0"/>
                <w:sz w:val="21"/>
                <w:szCs w:val="21"/>
              </w:rPr>
            </w:pPr>
            <w:r>
              <w:rPr>
                <w:kern w:val="0"/>
                <w:sz w:val="21"/>
                <w:szCs w:val="21"/>
              </w:rPr>
              <w:t>22</w:t>
            </w:r>
          </w:p>
        </w:tc>
        <w:tc>
          <w:tcPr>
            <w:tcW w:w="657" w:type="dxa"/>
            <w:vAlign w:val="center"/>
          </w:tcPr>
          <w:p>
            <w:pPr>
              <w:widowControl/>
              <w:spacing w:line="240" w:lineRule="auto"/>
              <w:ind w:firstLine="0" w:firstLineChars="0"/>
              <w:contextualSpacing/>
              <w:jc w:val="center"/>
              <w:rPr>
                <w:kern w:val="0"/>
                <w:sz w:val="21"/>
                <w:szCs w:val="21"/>
              </w:rPr>
            </w:pPr>
            <w:r>
              <w:rPr>
                <w:kern w:val="0"/>
                <w:sz w:val="21"/>
                <w:szCs w:val="21"/>
              </w:rPr>
              <w:t>砂砾</w:t>
            </w:r>
          </w:p>
        </w:tc>
      </w:tr>
    </w:tbl>
    <w:p>
      <w:pPr>
        <w:spacing w:line="160" w:lineRule="exact"/>
        <w:ind w:firstLine="480"/>
        <w:contextualSpacing/>
      </w:pPr>
    </w:p>
    <w:p>
      <w:pPr>
        <w:pStyle w:val="5"/>
        <w:ind w:firstLine="0" w:firstLineChars="0"/>
        <w:contextualSpacing/>
        <w:rPr>
          <w:rFonts w:ascii="Times New Roman" w:hAnsi="Times New Roman"/>
        </w:rPr>
      </w:pPr>
      <w:bookmarkStart w:id="465" w:name="_Toc29551"/>
      <w:bookmarkStart w:id="466" w:name="_Toc22261"/>
      <w:bookmarkStart w:id="467" w:name="_Toc13990"/>
      <w:r>
        <w:rPr>
          <w:rFonts w:ascii="Times New Roman" w:hAnsi="Times New Roman"/>
        </w:rPr>
        <w:t>4.8.2调查结果</w:t>
      </w:r>
      <w:bookmarkEnd w:id="465"/>
      <w:bookmarkEnd w:id="466"/>
      <w:bookmarkEnd w:id="467"/>
    </w:p>
    <w:p>
      <w:pPr>
        <w:ind w:firstLine="0" w:firstLineChars="0"/>
        <w:contextualSpacing/>
        <w:outlineLvl w:val="3"/>
        <w:rPr>
          <w:b/>
          <w:bCs/>
        </w:rPr>
      </w:pPr>
      <w:r>
        <w:rPr>
          <w:b/>
          <w:bCs/>
        </w:rPr>
        <w:t>4.8.2.1浮游植物</w:t>
      </w:r>
    </w:p>
    <w:p>
      <w:pPr>
        <w:ind w:firstLine="480"/>
        <w:contextualSpacing/>
      </w:pPr>
      <w:r>
        <w:t>（1）浮游植物的种类组成区系特点</w:t>
      </w:r>
    </w:p>
    <w:p>
      <w:pPr>
        <w:ind w:firstLine="480"/>
        <w:contextualSpacing/>
      </w:pPr>
      <w:r>
        <w:t>对</w:t>
      </w:r>
      <w:r>
        <w:rPr>
          <w:rFonts w:hint="eastAsia"/>
        </w:rPr>
        <w:t>巴中市</w:t>
      </w:r>
      <w:r>
        <w:t>寒溪寺水库工程调查水域采集到的藻类进行业内分析鉴定。共有浮游植物</w:t>
      </w:r>
      <w:r>
        <w:rPr>
          <w:rFonts w:hint="eastAsia"/>
        </w:rPr>
        <w:t>3</w:t>
      </w:r>
      <w:r>
        <w:t>门、</w:t>
      </w:r>
      <w:r>
        <w:rPr>
          <w:rFonts w:hint="eastAsia"/>
        </w:rPr>
        <w:t>14</w:t>
      </w:r>
      <w:r>
        <w:t>科、</w:t>
      </w:r>
      <w:r>
        <w:rPr>
          <w:rFonts w:hint="eastAsia"/>
        </w:rPr>
        <w:t>21</w:t>
      </w:r>
      <w:r>
        <w:t>属、</w:t>
      </w:r>
      <w:r>
        <w:rPr>
          <w:rFonts w:hint="eastAsia"/>
        </w:rPr>
        <w:t>30</w:t>
      </w:r>
      <w:r>
        <w:t>种。</w:t>
      </w:r>
      <w:r>
        <w:rPr>
          <w:rFonts w:hint="eastAsia"/>
        </w:rPr>
        <w:t>其中硅藻门藻类物种数最多，有 4 目 5 科 9 属 16 种，占总物种数 53.33%；蓝藻门 2 目 2科 3 属 4 种，占总物种数 13.33%；绿藻门有 4 目 7 科 9 属 10 种，占总物种数 33.33%，</w:t>
      </w:r>
      <w:r>
        <w:t>具体目录详见附表一。</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表4.8.2-1  评价区影响水域浮游植物种类统计</w:t>
      </w:r>
    </w:p>
    <w:tbl>
      <w:tblPr>
        <w:tblStyle w:val="3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560"/>
        <w:gridCol w:w="1520"/>
        <w:gridCol w:w="173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pPr>
              <w:spacing w:line="240" w:lineRule="auto"/>
              <w:ind w:firstLine="0" w:firstLineChars="0"/>
              <w:contextualSpacing/>
              <w:jc w:val="center"/>
              <w:outlineLvl w:val="3"/>
              <w:rPr>
                <w:sz w:val="21"/>
                <w:szCs w:val="21"/>
              </w:rPr>
            </w:pPr>
            <w:r>
              <w:rPr>
                <w:sz w:val="21"/>
                <w:szCs w:val="21"/>
              </w:rPr>
              <w:t>类别</w:t>
            </w:r>
          </w:p>
        </w:tc>
        <w:tc>
          <w:tcPr>
            <w:tcW w:w="1560" w:type="dxa"/>
            <w:vAlign w:val="center"/>
          </w:tcPr>
          <w:p>
            <w:pPr>
              <w:spacing w:line="240" w:lineRule="auto"/>
              <w:ind w:firstLine="0" w:firstLineChars="0"/>
              <w:contextualSpacing/>
              <w:jc w:val="center"/>
              <w:outlineLvl w:val="3"/>
              <w:rPr>
                <w:sz w:val="21"/>
                <w:szCs w:val="21"/>
              </w:rPr>
            </w:pPr>
            <w:r>
              <w:rPr>
                <w:sz w:val="21"/>
                <w:szCs w:val="21"/>
              </w:rPr>
              <w:t>科数</w:t>
            </w:r>
          </w:p>
        </w:tc>
        <w:tc>
          <w:tcPr>
            <w:tcW w:w="1520" w:type="dxa"/>
            <w:vAlign w:val="center"/>
          </w:tcPr>
          <w:p>
            <w:pPr>
              <w:spacing w:line="240" w:lineRule="auto"/>
              <w:ind w:firstLine="0" w:firstLineChars="0"/>
              <w:contextualSpacing/>
              <w:jc w:val="center"/>
              <w:outlineLvl w:val="3"/>
              <w:rPr>
                <w:sz w:val="21"/>
                <w:szCs w:val="21"/>
              </w:rPr>
            </w:pPr>
            <w:r>
              <w:rPr>
                <w:sz w:val="21"/>
                <w:szCs w:val="21"/>
              </w:rPr>
              <w:t>属数</w:t>
            </w:r>
          </w:p>
        </w:tc>
        <w:tc>
          <w:tcPr>
            <w:tcW w:w="1735" w:type="dxa"/>
            <w:vAlign w:val="center"/>
          </w:tcPr>
          <w:p>
            <w:pPr>
              <w:spacing w:line="240" w:lineRule="auto"/>
              <w:ind w:firstLine="0" w:firstLineChars="0"/>
              <w:contextualSpacing/>
              <w:jc w:val="center"/>
              <w:outlineLvl w:val="3"/>
              <w:rPr>
                <w:sz w:val="21"/>
                <w:szCs w:val="21"/>
              </w:rPr>
            </w:pPr>
            <w:r>
              <w:rPr>
                <w:sz w:val="21"/>
                <w:szCs w:val="21"/>
              </w:rPr>
              <w:t>种数</w:t>
            </w:r>
          </w:p>
        </w:tc>
        <w:tc>
          <w:tcPr>
            <w:tcW w:w="2285" w:type="dxa"/>
            <w:vAlign w:val="center"/>
          </w:tcPr>
          <w:p>
            <w:pPr>
              <w:spacing w:line="240" w:lineRule="auto"/>
              <w:ind w:firstLine="0" w:firstLineChars="0"/>
              <w:contextualSpacing/>
              <w:jc w:val="center"/>
              <w:outlineLvl w:val="3"/>
              <w:rPr>
                <w:sz w:val="21"/>
                <w:szCs w:val="21"/>
              </w:rPr>
            </w:pPr>
            <w:r>
              <w:rPr>
                <w:sz w:val="21"/>
                <w:szCs w:val="21"/>
              </w:rPr>
              <w:t>种数比例（%）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pPr>
              <w:spacing w:line="240" w:lineRule="auto"/>
              <w:ind w:firstLine="0" w:firstLineChars="0"/>
              <w:contextualSpacing/>
              <w:jc w:val="center"/>
              <w:outlineLvl w:val="3"/>
              <w:rPr>
                <w:sz w:val="21"/>
                <w:szCs w:val="21"/>
              </w:rPr>
            </w:pPr>
            <w:r>
              <w:rPr>
                <w:kern w:val="0"/>
                <w:sz w:val="21"/>
                <w:szCs w:val="21"/>
              </w:rPr>
              <w:t>硅藻门</w:t>
            </w:r>
          </w:p>
        </w:tc>
        <w:tc>
          <w:tcPr>
            <w:tcW w:w="1560"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5</w:t>
            </w:r>
          </w:p>
        </w:tc>
        <w:tc>
          <w:tcPr>
            <w:tcW w:w="1520"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9</w:t>
            </w:r>
          </w:p>
        </w:tc>
        <w:tc>
          <w:tcPr>
            <w:tcW w:w="1735" w:type="dxa"/>
            <w:vAlign w:val="center"/>
          </w:tcPr>
          <w:p>
            <w:pPr>
              <w:spacing w:line="240" w:lineRule="auto"/>
              <w:ind w:firstLine="0" w:firstLineChars="0"/>
              <w:contextualSpacing/>
              <w:jc w:val="center"/>
              <w:outlineLvl w:val="3"/>
              <w:rPr>
                <w:sz w:val="21"/>
                <w:szCs w:val="21"/>
              </w:rPr>
            </w:pPr>
            <w:r>
              <w:rPr>
                <w:rFonts w:hint="eastAsia"/>
                <w:sz w:val="21"/>
                <w:szCs w:val="21"/>
              </w:rPr>
              <w:t>16</w:t>
            </w:r>
          </w:p>
        </w:tc>
        <w:tc>
          <w:tcPr>
            <w:tcW w:w="2285" w:type="dxa"/>
            <w:vAlign w:val="center"/>
          </w:tcPr>
          <w:p>
            <w:pPr>
              <w:widowControl/>
              <w:spacing w:line="240" w:lineRule="auto"/>
              <w:ind w:firstLine="0" w:firstLineChars="0"/>
              <w:contextualSpacing/>
              <w:jc w:val="center"/>
              <w:textAlignment w:val="top"/>
              <w:rPr>
                <w:sz w:val="21"/>
                <w:szCs w:val="21"/>
              </w:rPr>
            </w:pPr>
            <w:r>
              <w:rPr>
                <w:rFonts w:hint="eastAsia"/>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pPr>
              <w:spacing w:line="240" w:lineRule="auto"/>
              <w:ind w:firstLine="0" w:firstLineChars="0"/>
              <w:contextualSpacing/>
              <w:jc w:val="center"/>
              <w:outlineLvl w:val="3"/>
              <w:rPr>
                <w:sz w:val="21"/>
                <w:szCs w:val="21"/>
              </w:rPr>
            </w:pPr>
            <w:r>
              <w:rPr>
                <w:sz w:val="21"/>
                <w:szCs w:val="21"/>
              </w:rPr>
              <w:t>绿藻门</w:t>
            </w:r>
          </w:p>
        </w:tc>
        <w:tc>
          <w:tcPr>
            <w:tcW w:w="1560" w:type="dxa"/>
            <w:vAlign w:val="center"/>
          </w:tcPr>
          <w:p>
            <w:pPr>
              <w:spacing w:line="240" w:lineRule="auto"/>
              <w:ind w:firstLine="0" w:firstLineChars="0"/>
              <w:contextualSpacing/>
              <w:jc w:val="center"/>
              <w:outlineLvl w:val="3"/>
              <w:rPr>
                <w:sz w:val="21"/>
                <w:szCs w:val="21"/>
              </w:rPr>
            </w:pPr>
            <w:r>
              <w:rPr>
                <w:rFonts w:hint="eastAsia"/>
                <w:sz w:val="21"/>
                <w:szCs w:val="21"/>
              </w:rPr>
              <w:t>2</w:t>
            </w:r>
          </w:p>
        </w:tc>
        <w:tc>
          <w:tcPr>
            <w:tcW w:w="1520"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3</w:t>
            </w:r>
          </w:p>
        </w:tc>
        <w:tc>
          <w:tcPr>
            <w:tcW w:w="1735"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4</w:t>
            </w:r>
          </w:p>
        </w:tc>
        <w:tc>
          <w:tcPr>
            <w:tcW w:w="2285" w:type="dxa"/>
            <w:vAlign w:val="center"/>
          </w:tcPr>
          <w:p>
            <w:pPr>
              <w:widowControl/>
              <w:spacing w:line="240" w:lineRule="auto"/>
              <w:ind w:firstLine="0" w:firstLineChars="0"/>
              <w:contextualSpacing/>
              <w:jc w:val="center"/>
              <w:textAlignment w:val="top"/>
              <w:rPr>
                <w:sz w:val="21"/>
                <w:szCs w:val="21"/>
              </w:rPr>
            </w:pPr>
            <w:r>
              <w:rPr>
                <w:rFonts w:hint="eastAsia"/>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pPr>
              <w:spacing w:line="240" w:lineRule="auto"/>
              <w:ind w:firstLine="0" w:firstLineChars="0"/>
              <w:contextualSpacing/>
              <w:jc w:val="center"/>
              <w:outlineLvl w:val="3"/>
              <w:rPr>
                <w:sz w:val="21"/>
                <w:szCs w:val="21"/>
              </w:rPr>
            </w:pPr>
            <w:r>
              <w:rPr>
                <w:sz w:val="21"/>
                <w:szCs w:val="21"/>
              </w:rPr>
              <w:t>蓝藻门</w:t>
            </w:r>
          </w:p>
        </w:tc>
        <w:tc>
          <w:tcPr>
            <w:tcW w:w="1560"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7</w:t>
            </w:r>
          </w:p>
        </w:tc>
        <w:tc>
          <w:tcPr>
            <w:tcW w:w="1520" w:type="dxa"/>
            <w:vAlign w:val="center"/>
          </w:tcPr>
          <w:p>
            <w:pPr>
              <w:spacing w:line="240" w:lineRule="auto"/>
              <w:ind w:firstLine="0" w:firstLineChars="0"/>
              <w:contextualSpacing/>
              <w:jc w:val="center"/>
              <w:outlineLvl w:val="3"/>
              <w:rPr>
                <w:rFonts w:hint="eastAsia"/>
                <w:sz w:val="21"/>
                <w:szCs w:val="21"/>
              </w:rPr>
            </w:pPr>
            <w:r>
              <w:rPr>
                <w:rFonts w:hint="eastAsia"/>
                <w:sz w:val="21"/>
                <w:szCs w:val="21"/>
              </w:rPr>
              <w:t>9</w:t>
            </w:r>
          </w:p>
        </w:tc>
        <w:tc>
          <w:tcPr>
            <w:tcW w:w="1735" w:type="dxa"/>
            <w:vAlign w:val="center"/>
          </w:tcPr>
          <w:p>
            <w:pPr>
              <w:spacing w:line="240" w:lineRule="auto"/>
              <w:ind w:firstLine="0" w:firstLineChars="0"/>
              <w:contextualSpacing/>
              <w:jc w:val="center"/>
              <w:outlineLvl w:val="3"/>
              <w:rPr>
                <w:sz w:val="21"/>
                <w:szCs w:val="21"/>
              </w:rPr>
            </w:pPr>
            <w:r>
              <w:rPr>
                <w:rFonts w:hint="eastAsia"/>
                <w:sz w:val="21"/>
                <w:szCs w:val="21"/>
              </w:rPr>
              <w:t>10</w:t>
            </w:r>
          </w:p>
        </w:tc>
        <w:tc>
          <w:tcPr>
            <w:tcW w:w="2285" w:type="dxa"/>
            <w:vAlign w:val="center"/>
          </w:tcPr>
          <w:p>
            <w:pPr>
              <w:widowControl/>
              <w:spacing w:line="240" w:lineRule="auto"/>
              <w:ind w:firstLine="0" w:firstLineChars="0"/>
              <w:contextualSpacing/>
              <w:jc w:val="center"/>
              <w:textAlignment w:val="top"/>
              <w:rPr>
                <w:sz w:val="21"/>
                <w:szCs w:val="21"/>
              </w:rPr>
            </w:pPr>
            <w:r>
              <w:rPr>
                <w:rFonts w:hint="eastAsia"/>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vAlign w:val="center"/>
          </w:tcPr>
          <w:p>
            <w:pPr>
              <w:spacing w:line="240" w:lineRule="auto"/>
              <w:ind w:firstLine="0" w:firstLineChars="0"/>
              <w:contextualSpacing/>
              <w:jc w:val="center"/>
              <w:outlineLvl w:val="3"/>
              <w:rPr>
                <w:sz w:val="21"/>
                <w:szCs w:val="21"/>
              </w:rPr>
            </w:pPr>
            <w:r>
              <w:rPr>
                <w:sz w:val="21"/>
                <w:szCs w:val="21"/>
              </w:rPr>
              <w:t>合计</w:t>
            </w:r>
          </w:p>
        </w:tc>
        <w:tc>
          <w:tcPr>
            <w:tcW w:w="1560" w:type="dxa"/>
            <w:vAlign w:val="center"/>
          </w:tcPr>
          <w:p>
            <w:pPr>
              <w:spacing w:line="240" w:lineRule="auto"/>
              <w:ind w:firstLine="0" w:firstLineChars="0"/>
              <w:contextualSpacing/>
              <w:jc w:val="center"/>
              <w:outlineLvl w:val="3"/>
              <w:rPr>
                <w:sz w:val="21"/>
                <w:szCs w:val="21"/>
              </w:rPr>
            </w:pPr>
            <w:r>
              <w:rPr>
                <w:rFonts w:hint="eastAsia"/>
                <w:sz w:val="21"/>
                <w:szCs w:val="21"/>
              </w:rPr>
              <w:t>14</w:t>
            </w:r>
          </w:p>
        </w:tc>
        <w:tc>
          <w:tcPr>
            <w:tcW w:w="1520" w:type="dxa"/>
            <w:vAlign w:val="center"/>
          </w:tcPr>
          <w:p>
            <w:pPr>
              <w:spacing w:line="240" w:lineRule="auto"/>
              <w:ind w:firstLine="0" w:firstLineChars="0"/>
              <w:contextualSpacing/>
              <w:jc w:val="center"/>
              <w:outlineLvl w:val="3"/>
              <w:rPr>
                <w:sz w:val="21"/>
                <w:szCs w:val="21"/>
              </w:rPr>
            </w:pPr>
            <w:r>
              <w:rPr>
                <w:rFonts w:hint="eastAsia"/>
                <w:sz w:val="21"/>
                <w:szCs w:val="21"/>
              </w:rPr>
              <w:t>21</w:t>
            </w:r>
          </w:p>
        </w:tc>
        <w:tc>
          <w:tcPr>
            <w:tcW w:w="1735" w:type="dxa"/>
            <w:vAlign w:val="center"/>
          </w:tcPr>
          <w:p>
            <w:pPr>
              <w:spacing w:line="240" w:lineRule="auto"/>
              <w:ind w:firstLine="0" w:firstLineChars="0"/>
              <w:contextualSpacing/>
              <w:jc w:val="center"/>
              <w:outlineLvl w:val="3"/>
              <w:rPr>
                <w:sz w:val="21"/>
                <w:szCs w:val="21"/>
              </w:rPr>
            </w:pPr>
            <w:r>
              <w:rPr>
                <w:rFonts w:hint="eastAsia"/>
                <w:sz w:val="21"/>
                <w:szCs w:val="21"/>
              </w:rPr>
              <w:t>30</w:t>
            </w:r>
          </w:p>
        </w:tc>
        <w:tc>
          <w:tcPr>
            <w:tcW w:w="2285" w:type="dxa"/>
            <w:vAlign w:val="center"/>
          </w:tcPr>
          <w:p>
            <w:pPr>
              <w:spacing w:line="240" w:lineRule="auto"/>
              <w:ind w:firstLine="0" w:firstLineChars="0"/>
              <w:contextualSpacing/>
              <w:jc w:val="center"/>
              <w:outlineLvl w:val="3"/>
              <w:rPr>
                <w:sz w:val="21"/>
                <w:szCs w:val="21"/>
              </w:rPr>
            </w:pPr>
            <w:r>
              <w:rPr>
                <w:sz w:val="21"/>
                <w:szCs w:val="21"/>
              </w:rPr>
              <w:t>100</w:t>
            </w:r>
          </w:p>
        </w:tc>
      </w:tr>
    </w:tbl>
    <w:p>
      <w:pPr>
        <w:spacing w:line="160" w:lineRule="exact"/>
        <w:ind w:firstLine="480"/>
        <w:contextualSpacing/>
      </w:pPr>
    </w:p>
    <w:p>
      <w:pPr>
        <w:ind w:firstLine="480"/>
        <w:contextualSpacing/>
      </w:pPr>
      <w:r>
        <w:t>（2）浮游植物的种群密度</w:t>
      </w:r>
    </w:p>
    <w:p>
      <w:pPr>
        <w:ind w:firstLine="540" w:firstLineChars="225"/>
        <w:contextualSpacing/>
      </w:pPr>
      <w:r>
        <w:t>定量样本分析表明，硅藻门植物种群密度平均为</w:t>
      </w:r>
      <w:r>
        <w:rPr>
          <w:rFonts w:hint="eastAsia"/>
        </w:rPr>
        <w:t>3211</w:t>
      </w:r>
      <w:r>
        <w:t>个/L，占绝对优势，绿藻门植物种群密度平均为</w:t>
      </w:r>
      <w:r>
        <w:rPr>
          <w:rFonts w:hint="eastAsia"/>
        </w:rPr>
        <w:t>732</w:t>
      </w:r>
      <w:r>
        <w:t>个/L，蓝藻门植物种群密度平均为</w:t>
      </w:r>
      <w:r>
        <w:rPr>
          <w:rFonts w:hint="eastAsia"/>
        </w:rPr>
        <w:t>436</w:t>
      </w:r>
      <w:r>
        <w:t>个/L即调查水域除硅藻外，其它门类的藻类植物的种群密度均小。用物种多样性指数分析，根据Shannon-Wiener多样性指数评价方法，浮游植物生物多样性指数均值为3.12，水质为轻度污染状态。</w:t>
      </w:r>
    </w:p>
    <w:p>
      <w:pPr>
        <w:ind w:firstLine="0" w:firstLineChars="0"/>
        <w:contextualSpacing/>
        <w:outlineLvl w:val="3"/>
        <w:rPr>
          <w:b/>
          <w:bCs/>
        </w:rPr>
      </w:pPr>
      <w:r>
        <w:rPr>
          <w:b/>
          <w:bCs/>
        </w:rPr>
        <w:t>4.8.2.2浮游动物</w:t>
      </w:r>
    </w:p>
    <w:p>
      <w:pPr>
        <w:ind w:firstLine="480"/>
        <w:contextualSpacing/>
      </w:pPr>
      <w:r>
        <w:t>（1）浮游动物的种类组成区系特点</w:t>
      </w:r>
    </w:p>
    <w:p>
      <w:pPr>
        <w:ind w:firstLine="540" w:firstLineChars="225"/>
        <w:contextualSpacing/>
      </w:pPr>
      <w:r>
        <w:t>对</w:t>
      </w:r>
      <w:r>
        <w:rPr>
          <w:rFonts w:hint="eastAsia"/>
          <w:bCs/>
          <w:kern w:val="0"/>
        </w:rPr>
        <w:t>巴中市</w:t>
      </w:r>
      <w:r>
        <w:rPr>
          <w:bCs/>
          <w:kern w:val="0"/>
        </w:rPr>
        <w:t>寒溪寺水库工程影响水域</w:t>
      </w:r>
      <w:r>
        <w:t>采样点的浮游动物定性样本进行定性镜检，评价河段</w:t>
      </w:r>
      <w:r>
        <w:rPr>
          <w:rFonts w:hint="eastAsia"/>
        </w:rPr>
        <w:t>浮游动物共 4 门 11 种</w:t>
      </w:r>
      <w:r>
        <w:t>（见附表二），在调查区域内各河段均有浮游动物分布，但总体数量较少，其中</w:t>
      </w:r>
      <w:r>
        <w:rPr>
          <w:rFonts w:hint="eastAsia"/>
        </w:rPr>
        <w:t>原生动物 2 种，占总物种数 18.18%；轮形动物门 4 种，占总物种数 36.36%；枝角类动物 3 种，占总物种数 27.27%；桡足类动物 2 种，占物种总数的 18.18%</w:t>
      </w:r>
      <w:r>
        <w:t>。各采样点之间采集的种类数目差异不大。调查评价河段内采集到的浮游动物种类较少，除须足轮虫属的种类生物量较大外，其余浮游动物生物量均较小，可能是水中有机质含量少，浮游动物的饵料缺乏，导致浮游动物的种类较少。</w:t>
      </w:r>
    </w:p>
    <w:p>
      <w:pPr>
        <w:ind w:firstLine="480"/>
        <w:contextualSpacing/>
      </w:pPr>
      <w:r>
        <w:t>（2）浮游动物的种群密度</w:t>
      </w:r>
    </w:p>
    <w:p>
      <w:pPr>
        <w:ind w:firstLine="540" w:firstLineChars="225"/>
        <w:contextualSpacing/>
      </w:pPr>
      <w:r>
        <w:t>通过调查分析表明，</w:t>
      </w:r>
      <w:r>
        <w:rPr>
          <w:rFonts w:hint="eastAsia"/>
        </w:rPr>
        <w:t>巴中市</w:t>
      </w:r>
      <w:r>
        <w:t>寒溪寺水库工程影响水域浮游动物以原生动物为优势种群，这是因为工程及影响水域所处的地理位置、河床结构、水流状态基本相似所致。浮游动物平均种群密度为</w:t>
      </w:r>
      <w:r>
        <w:rPr>
          <w:rFonts w:hint="eastAsia"/>
        </w:rPr>
        <w:t>69</w:t>
      </w:r>
      <w:r>
        <w:t>个/L。</w:t>
      </w:r>
    </w:p>
    <w:p>
      <w:pPr>
        <w:ind w:firstLine="0" w:firstLineChars="0"/>
        <w:contextualSpacing/>
        <w:outlineLvl w:val="3"/>
        <w:rPr>
          <w:b/>
          <w:bCs/>
        </w:rPr>
      </w:pPr>
      <w:r>
        <w:rPr>
          <w:b/>
          <w:bCs/>
        </w:rPr>
        <w:t>4.8.2.3水生维管束植物</w:t>
      </w:r>
    </w:p>
    <w:p>
      <w:pPr>
        <w:ind w:firstLine="540" w:firstLineChars="225"/>
        <w:contextualSpacing/>
      </w:pPr>
      <w:r>
        <w:rPr>
          <w:bCs/>
          <w:kern w:val="0"/>
        </w:rPr>
        <w:t>寒溪寺水库工程影响水域</w:t>
      </w:r>
      <w:r>
        <w:t>调查发现评价区河段的水生维管束植物包括3个类群共</w:t>
      </w:r>
      <w:r>
        <w:rPr>
          <w:rFonts w:hint="eastAsia"/>
        </w:rPr>
        <w:t>12</w:t>
      </w:r>
      <w:r>
        <w:t>种，其中苦草、金鱼藻、水稗草和水花生在调查评价河段内分布较多。</w:t>
      </w:r>
    </w:p>
    <w:p>
      <w:pPr>
        <w:ind w:firstLine="480"/>
        <w:contextualSpacing/>
      </w:pPr>
      <w:r>
        <w:t>挺水植物类群：水稗草、水花生、芦苇、菖蒲、泽泻等</w:t>
      </w:r>
      <w:r>
        <w:rPr>
          <w:rFonts w:hint="eastAsia"/>
        </w:rPr>
        <w:t>5</w:t>
      </w:r>
      <w:r>
        <w:t>种</w:t>
      </w:r>
    </w:p>
    <w:p>
      <w:pPr>
        <w:ind w:firstLine="480"/>
        <w:contextualSpacing/>
      </w:pPr>
      <w:r>
        <w:t>浮水植物类群：浮萍1种；</w:t>
      </w:r>
    </w:p>
    <w:p>
      <w:pPr>
        <w:ind w:firstLine="480"/>
        <w:contextualSpacing/>
      </w:pPr>
      <w:r>
        <w:t>沉水植物类群：苦草、金鱼藻、轮叶黑藻</w:t>
      </w:r>
      <w:r>
        <w:rPr>
          <w:rFonts w:hint="eastAsia"/>
        </w:rPr>
        <w:t>、</w:t>
      </w:r>
      <w:r>
        <w:t>马来眼子菜、鸭舌草、小叶眼子菜6种。</w:t>
      </w:r>
    </w:p>
    <w:p>
      <w:pPr>
        <w:ind w:firstLine="0" w:firstLineChars="0"/>
        <w:contextualSpacing/>
        <w:outlineLvl w:val="3"/>
        <w:rPr>
          <w:b/>
          <w:bCs/>
        </w:rPr>
      </w:pPr>
      <w:r>
        <w:rPr>
          <w:b/>
          <w:bCs/>
        </w:rPr>
        <w:t>4.8.2.4着生藻类</w:t>
      </w:r>
    </w:p>
    <w:p>
      <w:pPr>
        <w:ind w:firstLine="540" w:firstLineChars="225"/>
        <w:contextualSpacing/>
      </w:pPr>
      <w:r>
        <w:rPr>
          <w:bCs/>
          <w:kern w:val="0"/>
        </w:rPr>
        <w:t>寒溪寺水库工程</w:t>
      </w:r>
      <w:r>
        <w:t>调查的所在河段仅发现少量的着生藻类2门</w:t>
      </w:r>
      <w:r>
        <w:rPr>
          <w:rFonts w:hint="eastAsia"/>
        </w:rPr>
        <w:t>2</w:t>
      </w:r>
      <w:r>
        <w:t>科</w:t>
      </w:r>
      <w:r>
        <w:rPr>
          <w:rFonts w:hint="eastAsia"/>
        </w:rPr>
        <w:t>2</w:t>
      </w:r>
      <w:r>
        <w:t>属</w:t>
      </w:r>
      <w:r>
        <w:rPr>
          <w:rFonts w:hint="eastAsia"/>
        </w:rPr>
        <w:t>4</w:t>
      </w:r>
      <w:r>
        <w:t>种（见附表三）。</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表4.8.2-2  评价区影响水域着生藻类调查结果</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557"/>
        <w:gridCol w:w="1518"/>
        <w:gridCol w:w="1733"/>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tcBorders>
              <w:top w:val="single" w:color="auto" w:sz="4" w:space="0"/>
              <w:bottom w:val="single" w:color="auto" w:sz="4" w:space="0"/>
              <w:right w:val="single" w:color="auto" w:sz="4" w:space="0"/>
            </w:tcBorders>
            <w:vAlign w:val="center"/>
          </w:tcPr>
          <w:p>
            <w:pPr>
              <w:spacing w:line="240" w:lineRule="auto"/>
              <w:ind w:firstLine="0" w:firstLineChars="0"/>
              <w:contextualSpacing/>
              <w:jc w:val="center"/>
              <w:outlineLvl w:val="3"/>
              <w:rPr>
                <w:sz w:val="21"/>
                <w:szCs w:val="21"/>
              </w:rPr>
            </w:pPr>
            <w:r>
              <w:rPr>
                <w:sz w:val="21"/>
                <w:szCs w:val="21"/>
              </w:rPr>
              <w:t>类别</w:t>
            </w:r>
          </w:p>
        </w:tc>
        <w:tc>
          <w:tcPr>
            <w:tcW w:w="914" w:type="pct"/>
            <w:tcBorders>
              <w:top w:val="single" w:color="auto" w:sz="4" w:space="0"/>
              <w:left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科数</w:t>
            </w:r>
          </w:p>
        </w:tc>
        <w:tc>
          <w:tcPr>
            <w:tcW w:w="891"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属数</w:t>
            </w:r>
          </w:p>
        </w:tc>
        <w:tc>
          <w:tcPr>
            <w:tcW w:w="1017"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种数</w:t>
            </w:r>
          </w:p>
        </w:tc>
        <w:tc>
          <w:tcPr>
            <w:tcW w:w="1342"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种数比例（%）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tcBorders>
              <w:top w:val="single" w:color="auto" w:sz="4" w:space="0"/>
              <w:bottom w:val="single" w:color="auto" w:sz="4" w:space="0"/>
              <w:right w:val="single" w:color="auto" w:sz="4" w:space="0"/>
            </w:tcBorders>
            <w:vAlign w:val="center"/>
          </w:tcPr>
          <w:p>
            <w:pPr>
              <w:spacing w:line="240" w:lineRule="auto"/>
              <w:ind w:firstLine="0" w:firstLineChars="0"/>
              <w:contextualSpacing/>
              <w:jc w:val="center"/>
              <w:outlineLvl w:val="3"/>
              <w:rPr>
                <w:sz w:val="21"/>
                <w:szCs w:val="21"/>
              </w:rPr>
            </w:pPr>
            <w:r>
              <w:rPr>
                <w:sz w:val="21"/>
                <w:szCs w:val="21"/>
              </w:rPr>
              <w:t>绿藻门</w:t>
            </w:r>
          </w:p>
        </w:tc>
        <w:tc>
          <w:tcPr>
            <w:tcW w:w="914" w:type="pct"/>
            <w:tcBorders>
              <w:top w:val="single" w:color="auto" w:sz="4" w:space="0"/>
              <w:left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1</w:t>
            </w:r>
          </w:p>
        </w:tc>
        <w:tc>
          <w:tcPr>
            <w:tcW w:w="891" w:type="pct"/>
            <w:tcBorders>
              <w:top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1</w:t>
            </w:r>
          </w:p>
        </w:tc>
        <w:tc>
          <w:tcPr>
            <w:tcW w:w="1017" w:type="pct"/>
            <w:tcBorders>
              <w:top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2</w:t>
            </w:r>
          </w:p>
        </w:tc>
        <w:tc>
          <w:tcPr>
            <w:tcW w:w="1342" w:type="pct"/>
            <w:tcBorders>
              <w:top w:val="single" w:color="auto" w:sz="4" w:space="0"/>
              <w:bottom w:val="single" w:color="auto" w:sz="4" w:space="0"/>
            </w:tcBorders>
            <w:vAlign w:val="center"/>
          </w:tcPr>
          <w:p>
            <w:pPr>
              <w:widowControl/>
              <w:spacing w:line="240" w:lineRule="auto"/>
              <w:ind w:firstLine="0" w:firstLineChars="0"/>
              <w:contextualSpacing/>
              <w:jc w:val="center"/>
              <w:rPr>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836" w:type="pct"/>
            <w:tcBorders>
              <w:top w:val="single" w:color="auto" w:sz="4" w:space="0"/>
              <w:bottom w:val="single" w:color="auto" w:sz="4" w:space="0"/>
              <w:right w:val="single" w:color="auto" w:sz="4" w:space="0"/>
            </w:tcBorders>
            <w:vAlign w:val="center"/>
          </w:tcPr>
          <w:p>
            <w:pPr>
              <w:spacing w:line="240" w:lineRule="auto"/>
              <w:ind w:firstLine="0" w:firstLineChars="0"/>
              <w:contextualSpacing/>
              <w:jc w:val="center"/>
              <w:outlineLvl w:val="3"/>
              <w:rPr>
                <w:sz w:val="21"/>
                <w:szCs w:val="21"/>
              </w:rPr>
            </w:pPr>
            <w:r>
              <w:rPr>
                <w:sz w:val="21"/>
                <w:szCs w:val="21"/>
              </w:rPr>
              <w:t>蓝藻门</w:t>
            </w:r>
          </w:p>
        </w:tc>
        <w:tc>
          <w:tcPr>
            <w:tcW w:w="914" w:type="pct"/>
            <w:tcBorders>
              <w:top w:val="single" w:color="auto" w:sz="4" w:space="0"/>
              <w:left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1</w:t>
            </w:r>
          </w:p>
        </w:tc>
        <w:tc>
          <w:tcPr>
            <w:tcW w:w="891"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1</w:t>
            </w:r>
          </w:p>
        </w:tc>
        <w:tc>
          <w:tcPr>
            <w:tcW w:w="1017"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2</w:t>
            </w:r>
          </w:p>
        </w:tc>
        <w:tc>
          <w:tcPr>
            <w:tcW w:w="1342" w:type="pct"/>
            <w:tcBorders>
              <w:top w:val="single" w:color="auto" w:sz="4" w:space="0"/>
              <w:bottom w:val="single" w:color="auto" w:sz="4" w:space="0"/>
            </w:tcBorders>
            <w:vAlign w:val="center"/>
          </w:tcPr>
          <w:p>
            <w:pPr>
              <w:widowControl/>
              <w:spacing w:line="240" w:lineRule="auto"/>
              <w:ind w:firstLine="0" w:firstLineChars="0"/>
              <w:contextualSpacing/>
              <w:jc w:val="center"/>
              <w:rPr>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tcBorders>
              <w:top w:val="single" w:color="auto" w:sz="4" w:space="0"/>
              <w:bottom w:val="single" w:color="auto" w:sz="4" w:space="0"/>
              <w:right w:val="single" w:color="auto" w:sz="4" w:space="0"/>
            </w:tcBorders>
            <w:vAlign w:val="center"/>
          </w:tcPr>
          <w:p>
            <w:pPr>
              <w:spacing w:line="240" w:lineRule="auto"/>
              <w:ind w:firstLine="0" w:firstLineChars="0"/>
              <w:contextualSpacing/>
              <w:jc w:val="center"/>
              <w:outlineLvl w:val="3"/>
              <w:rPr>
                <w:sz w:val="21"/>
                <w:szCs w:val="21"/>
              </w:rPr>
            </w:pPr>
            <w:r>
              <w:rPr>
                <w:sz w:val="21"/>
                <w:szCs w:val="21"/>
              </w:rPr>
              <w:t>合计</w:t>
            </w:r>
          </w:p>
        </w:tc>
        <w:tc>
          <w:tcPr>
            <w:tcW w:w="914" w:type="pct"/>
            <w:tcBorders>
              <w:top w:val="single" w:color="auto" w:sz="4" w:space="0"/>
              <w:left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2</w:t>
            </w:r>
          </w:p>
        </w:tc>
        <w:tc>
          <w:tcPr>
            <w:tcW w:w="891" w:type="pct"/>
            <w:tcBorders>
              <w:top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2</w:t>
            </w:r>
          </w:p>
        </w:tc>
        <w:tc>
          <w:tcPr>
            <w:tcW w:w="1017" w:type="pct"/>
            <w:tcBorders>
              <w:top w:val="single" w:color="auto" w:sz="4" w:space="0"/>
              <w:bottom w:val="single" w:color="auto" w:sz="4" w:space="0"/>
            </w:tcBorders>
            <w:vAlign w:val="center"/>
          </w:tcPr>
          <w:p>
            <w:pPr>
              <w:spacing w:line="240" w:lineRule="auto"/>
              <w:ind w:firstLine="0" w:firstLineChars="0"/>
              <w:contextualSpacing/>
              <w:jc w:val="center"/>
              <w:outlineLvl w:val="3"/>
              <w:rPr>
                <w:rFonts w:hint="eastAsia"/>
                <w:sz w:val="21"/>
                <w:szCs w:val="21"/>
              </w:rPr>
            </w:pPr>
            <w:r>
              <w:rPr>
                <w:rFonts w:hint="eastAsia"/>
                <w:sz w:val="21"/>
                <w:szCs w:val="21"/>
              </w:rPr>
              <w:t>4</w:t>
            </w:r>
          </w:p>
        </w:tc>
        <w:tc>
          <w:tcPr>
            <w:tcW w:w="1342" w:type="pct"/>
            <w:tcBorders>
              <w:top w:val="single" w:color="auto" w:sz="4" w:space="0"/>
              <w:bottom w:val="single" w:color="auto" w:sz="4" w:space="0"/>
            </w:tcBorders>
            <w:vAlign w:val="center"/>
          </w:tcPr>
          <w:p>
            <w:pPr>
              <w:spacing w:line="240" w:lineRule="auto"/>
              <w:ind w:firstLine="0" w:firstLineChars="0"/>
              <w:contextualSpacing/>
              <w:jc w:val="center"/>
              <w:outlineLvl w:val="3"/>
              <w:rPr>
                <w:sz w:val="21"/>
                <w:szCs w:val="21"/>
              </w:rPr>
            </w:pPr>
            <w:r>
              <w:rPr>
                <w:sz w:val="21"/>
                <w:szCs w:val="21"/>
              </w:rPr>
              <w:t>100</w:t>
            </w:r>
          </w:p>
        </w:tc>
      </w:tr>
    </w:tbl>
    <w:p>
      <w:pPr>
        <w:spacing w:line="160" w:lineRule="exact"/>
        <w:ind w:firstLine="480"/>
        <w:contextualSpacing/>
      </w:pPr>
    </w:p>
    <w:p>
      <w:pPr>
        <w:ind w:firstLine="0" w:firstLineChars="0"/>
        <w:contextualSpacing/>
        <w:outlineLvl w:val="3"/>
        <w:rPr>
          <w:b/>
          <w:bCs/>
        </w:rPr>
      </w:pPr>
      <w:r>
        <w:rPr>
          <w:b/>
          <w:bCs/>
        </w:rPr>
        <w:t>4.8.2.5底栖动物</w:t>
      </w:r>
    </w:p>
    <w:p>
      <w:pPr>
        <w:ind w:firstLine="540" w:firstLineChars="225"/>
        <w:contextualSpacing/>
      </w:pPr>
      <w:r>
        <w:t>影响水域底栖动物的区系由3门、</w:t>
      </w:r>
      <w:r>
        <w:rPr>
          <w:rFonts w:hint="eastAsia"/>
        </w:rPr>
        <w:t>13</w:t>
      </w:r>
      <w:r>
        <w:t>种组成。</w:t>
      </w:r>
      <w:r>
        <w:rPr>
          <w:rFonts w:hint="eastAsia"/>
        </w:rPr>
        <w:t>节肢</w:t>
      </w:r>
      <w:r>
        <w:t>动物门的种类最多，共有</w:t>
      </w:r>
      <w:r>
        <w:rPr>
          <w:rFonts w:hint="eastAsia"/>
        </w:rPr>
        <w:t>7</w:t>
      </w:r>
      <w:r>
        <w:t>种，</w:t>
      </w:r>
      <w:r>
        <w:rPr>
          <w:rFonts w:hint="eastAsia"/>
        </w:rPr>
        <w:t>软体动物门4种、环节动物门2种</w:t>
      </w:r>
      <w:r>
        <w:t>。</w:t>
      </w:r>
    </w:p>
    <w:p>
      <w:pPr>
        <w:ind w:firstLine="540" w:firstLineChars="225"/>
        <w:contextualSpacing/>
      </w:pPr>
      <w:r>
        <w:rPr>
          <w:rFonts w:hint="eastAsia"/>
        </w:rPr>
        <w:t>从各采样点调查统计看，采样点 4#的底栖无脊椎动物的种类最多，共计 12 种，占总数的 92.31%，这可能与采样点 4#水流较浅，沙砾石底质生境有利于底栖动物活动有关。</w:t>
      </w:r>
    </w:p>
    <w:p>
      <w:pPr>
        <w:ind w:firstLine="540" w:firstLineChars="225"/>
        <w:contextualSpacing/>
      </w:pPr>
      <w:r>
        <w:t>底栖断动物种类组成详见附表四。</w:t>
      </w:r>
    </w:p>
    <w:p>
      <w:pPr>
        <w:ind w:firstLine="0" w:firstLineChars="0"/>
        <w:contextualSpacing/>
        <w:outlineLvl w:val="3"/>
        <w:rPr>
          <w:b/>
          <w:bCs/>
        </w:rPr>
      </w:pPr>
      <w:r>
        <w:rPr>
          <w:b/>
          <w:bCs/>
        </w:rPr>
        <w:t>4.8.2.6鱼类资源</w:t>
      </w:r>
    </w:p>
    <w:p>
      <w:pPr>
        <w:ind w:firstLine="480"/>
        <w:contextualSpacing/>
      </w:pPr>
      <w:r>
        <w:t>（1）鱼类的种类组成</w:t>
      </w:r>
    </w:p>
    <w:p>
      <w:pPr>
        <w:ind w:firstLine="540" w:firstLineChars="225"/>
        <w:contextualSpacing/>
      </w:pPr>
      <w:r>
        <w:t>根据实地调查、走访记录和查阅资料，对寒溪寺水库工程影响水域的鱼类种类进行统计。该工程影响水域共有</w:t>
      </w:r>
      <w:r>
        <w:rPr>
          <w:rFonts w:hint="eastAsia"/>
        </w:rPr>
        <w:t>鱼类 4 目 5 科 15 种</w:t>
      </w:r>
      <w:r>
        <w:t>（鱼类名录详见附表）。其中鲤形目2科</w:t>
      </w:r>
      <w:r>
        <w:rPr>
          <w:rFonts w:hint="eastAsia"/>
        </w:rPr>
        <w:t>12</w:t>
      </w:r>
      <w:r>
        <w:t>种，鲇形目</w:t>
      </w:r>
      <w:r>
        <w:rPr>
          <w:rFonts w:hint="eastAsia"/>
        </w:rPr>
        <w:t>1科1种</w:t>
      </w:r>
      <w:r>
        <w:t>，合鳃目1科1种，鲈形目</w:t>
      </w:r>
      <w:r>
        <w:rPr>
          <w:rFonts w:hint="eastAsia"/>
        </w:rPr>
        <w:t>1科1种</w:t>
      </w:r>
      <w:r>
        <w:t>。</w:t>
      </w:r>
    </w:p>
    <w:p>
      <w:pPr>
        <w:ind w:firstLine="540" w:firstLineChars="225"/>
        <w:contextualSpacing/>
        <w:rPr>
          <w:rFonts w:hint="eastAsia"/>
          <w:highlight w:val="yellow"/>
        </w:rPr>
      </w:pPr>
      <w:r>
        <w:rPr>
          <w:rFonts w:hint="eastAsia"/>
        </w:rPr>
        <w:t>经统计，调查区内的鱼类主要是鲤形目鱼类，主要是草鱼（</w:t>
      </w:r>
      <w:r>
        <w:rPr>
          <w:rFonts w:hint="eastAsia"/>
          <w:i/>
          <w:iCs/>
        </w:rPr>
        <w:t>Ctenopharyngodon idellus</w:t>
      </w:r>
      <w:r>
        <w:rPr>
          <w:rFonts w:hint="eastAsia"/>
        </w:rPr>
        <w:t>）、鲫（</w:t>
      </w:r>
      <w:r>
        <w:rPr>
          <w:rFonts w:hint="eastAsia"/>
          <w:i/>
          <w:iCs/>
        </w:rPr>
        <w:t>Carassius auratus</w:t>
      </w:r>
      <w:r>
        <w:rPr>
          <w:rFonts w:hint="eastAsia"/>
        </w:rPr>
        <w:t>）、鲤（</w:t>
      </w:r>
      <w:r>
        <w:rPr>
          <w:rFonts w:hint="eastAsia"/>
          <w:i/>
          <w:iCs/>
        </w:rPr>
        <w:t>Cyprinus carpio</w:t>
      </w:r>
      <w:r>
        <w:rPr>
          <w:rFonts w:hint="eastAsia"/>
        </w:rPr>
        <w:t>）、鲢鱼（</w:t>
      </w:r>
      <w:r>
        <w:rPr>
          <w:rFonts w:hint="eastAsia"/>
          <w:i/>
          <w:iCs/>
        </w:rPr>
        <w:t>Hypophthalmichthys molitrix</w:t>
      </w:r>
      <w:r>
        <w:rPr>
          <w:rFonts w:hint="eastAsia"/>
        </w:rPr>
        <w:t>）、鳙鱼（</w:t>
      </w:r>
      <w:r>
        <w:rPr>
          <w:rFonts w:hint="eastAsia"/>
          <w:i/>
          <w:iCs/>
        </w:rPr>
        <w:t>Aristichthys nobilis</w:t>
      </w:r>
      <w:r>
        <w:rPr>
          <w:rFonts w:hint="eastAsia"/>
        </w:rPr>
        <w:t>）、翘嘴(红)鲌（</w:t>
      </w:r>
      <w:r>
        <w:rPr>
          <w:rFonts w:hint="eastAsia"/>
          <w:i/>
          <w:iCs/>
        </w:rPr>
        <w:t>Erythroculler ilishaeformis</w:t>
      </w:r>
      <w:r>
        <w:rPr>
          <w:rFonts w:hint="eastAsia"/>
        </w:rPr>
        <w:t>）等；经访问周边居民，水库内有青鱼（</w:t>
      </w:r>
      <w:r>
        <w:rPr>
          <w:rFonts w:hint="eastAsia"/>
          <w:i/>
          <w:iCs/>
        </w:rPr>
        <w:t>Mylopharyngodon piceus</w:t>
      </w:r>
      <w:r>
        <w:rPr>
          <w:rFonts w:hint="eastAsia"/>
        </w:rPr>
        <w:t>）、鲇（</w:t>
      </w:r>
      <w:r>
        <w:rPr>
          <w:rFonts w:hint="eastAsia"/>
          <w:i/>
          <w:iCs/>
        </w:rPr>
        <w:t>Silurus asotus）</w:t>
      </w:r>
      <w:r>
        <w:rPr>
          <w:rFonts w:hint="eastAsia"/>
        </w:rPr>
        <w:t>、乌鳢（</w:t>
      </w:r>
      <w:r>
        <w:rPr>
          <w:rFonts w:hint="eastAsia"/>
          <w:i/>
          <w:iCs/>
        </w:rPr>
        <w:t>Channa argus</w:t>
      </w:r>
      <w:r>
        <w:rPr>
          <w:rFonts w:hint="eastAsia"/>
        </w:rPr>
        <w:t>）、马口鱼（</w:t>
      </w:r>
      <w:r>
        <w:rPr>
          <w:rFonts w:hint="eastAsia"/>
          <w:i/>
          <w:iCs/>
        </w:rPr>
        <w:t>Opsariichthys uncirostris bidens</w:t>
      </w:r>
      <w:r>
        <w:rPr>
          <w:rFonts w:hint="eastAsia"/>
        </w:rPr>
        <w:t>），只是资源量较小。同时，在水库岸边偶见餐条（</w:t>
      </w:r>
      <w:r>
        <w:rPr>
          <w:rFonts w:hint="eastAsia"/>
          <w:i/>
          <w:iCs/>
        </w:rPr>
        <w:t>Hemiculter leucisculus）</w:t>
      </w:r>
      <w:r>
        <w:rPr>
          <w:rFonts w:hint="eastAsia"/>
        </w:rPr>
        <w:t>、麦穗鱼（</w:t>
      </w:r>
      <w:r>
        <w:rPr>
          <w:rFonts w:hint="eastAsia"/>
          <w:i/>
          <w:iCs/>
        </w:rPr>
        <w:t>Pseudorasbora parva</w:t>
      </w:r>
      <w:r>
        <w:rPr>
          <w:rFonts w:hint="eastAsia"/>
        </w:rPr>
        <w:t>） 、棒花鱼（</w:t>
      </w:r>
      <w:r>
        <w:rPr>
          <w:rFonts w:hint="eastAsia"/>
          <w:i/>
          <w:iCs/>
        </w:rPr>
        <w:t>Abbottina rwularis</w:t>
      </w:r>
      <w:r>
        <w:rPr>
          <w:rFonts w:hint="eastAsia"/>
        </w:rPr>
        <w:t>）活动。</w:t>
      </w:r>
    </w:p>
    <w:p>
      <w:pPr>
        <w:ind w:firstLine="480"/>
        <w:contextualSpacing/>
      </w:pPr>
      <w:r>
        <w:t>（2）鱼类区系特点</w:t>
      </w:r>
    </w:p>
    <w:p>
      <w:pPr>
        <w:autoSpaceDN w:val="0"/>
        <w:ind w:firstLine="480"/>
        <w:contextualSpacing/>
      </w:pPr>
      <w:r>
        <w:t>按动物地理学上对鱼类区系的划分，我国淡水鱼类可以分为8个区系复合体。根据对</w:t>
      </w:r>
      <w:r>
        <w:rPr>
          <w:spacing w:val="8"/>
        </w:rPr>
        <w:t>影响水域</w:t>
      </w:r>
      <w:r>
        <w:t>内的</w:t>
      </w:r>
      <w:r>
        <w:rPr>
          <w:rFonts w:hint="eastAsia"/>
        </w:rPr>
        <w:t>15</w:t>
      </w:r>
      <w:r>
        <w:t>种鱼类分析，调查</w:t>
      </w:r>
      <w:r>
        <w:rPr>
          <w:spacing w:val="8"/>
        </w:rPr>
        <w:t>水域</w:t>
      </w:r>
      <w:r>
        <w:t>内的鱼类可划分为以下</w:t>
      </w:r>
      <w:r>
        <w:rPr>
          <w:rFonts w:hint="eastAsia"/>
        </w:rPr>
        <w:t>4</w:t>
      </w:r>
      <w:r>
        <w:t>个复合体。</w:t>
      </w:r>
    </w:p>
    <w:p>
      <w:pPr>
        <w:autoSpaceDN w:val="0"/>
        <w:ind w:firstLine="480"/>
        <w:contextualSpacing/>
      </w:pPr>
      <w:r>
        <w:t>1）中国平原区系复合体</w:t>
      </w:r>
    </w:p>
    <w:p>
      <w:pPr>
        <w:autoSpaceDN w:val="0"/>
        <w:ind w:firstLine="480"/>
        <w:contextualSpacing/>
      </w:pPr>
      <w:r>
        <w:t>该复合体的鱼类都对水位变动敏感有些鱼类属分批产卵，性成熟较迟，补充群体小。这类复合体是在第三纪形成的，典型分布区是我国东部的江河平原，由于适应于我国的季风气候，它们通常具有下列通性：对氧的要求量高，此类鱼类主要是追捕式，摄食对象规格小。如温和性个体则主要摄食植物及有机碎屑，至于底栖生物食性则多为小型鱼类。草鱼、鳙、鲢等大部分产漂流性鱼卵，一部分种鱼虽产粘性卵，但粘性不大，卵产出后附着于物体上不久即脱离，并顺水漂流发育。</w:t>
      </w:r>
      <w:r>
        <w:rPr>
          <w:rFonts w:hint="eastAsia"/>
        </w:rPr>
        <w:t>主要包括：红鳍鲌、翘嘴鲌和马口鱼等种类。</w:t>
      </w:r>
    </w:p>
    <w:p>
      <w:pPr>
        <w:autoSpaceDN w:val="0"/>
        <w:ind w:firstLine="480"/>
        <w:contextualSpacing/>
      </w:pPr>
      <w:r>
        <w:t>2）南方平原区系复合体</w:t>
      </w:r>
    </w:p>
    <w:p>
      <w:pPr>
        <w:autoSpaceDN w:val="0"/>
        <w:ind w:firstLine="480"/>
        <w:contextualSpacing/>
      </w:pPr>
      <w:r>
        <w:t>这类鱼喜暖水，在较高水温的夏季繁殖，多有护卵、护幼习性。在东亚愈往低纬度地带种类愈多。分布至东南亚，少数种类至印度。此类鱼适合在炎热气候、多水草易缺氧的浅水湖泊、池沼中生活。该复合体的鱼类起源较早。其分布北以黑龙江为界，西越不过一千米的高原，东可达朝鲜、日本。</w:t>
      </w:r>
      <w:r>
        <w:rPr>
          <w:rFonts w:hint="eastAsia"/>
        </w:rPr>
        <w:t>主要种类包括黄鳝(</w:t>
      </w:r>
      <w:r>
        <w:rPr>
          <w:rFonts w:hint="eastAsia"/>
          <w:i/>
          <w:iCs/>
        </w:rPr>
        <w:t>Monopterus albus</w:t>
      </w:r>
      <w:r>
        <w:rPr>
          <w:rFonts w:hint="eastAsia"/>
        </w:rPr>
        <w:t>)等。</w:t>
      </w:r>
    </w:p>
    <w:p>
      <w:pPr>
        <w:ind w:firstLine="480"/>
        <w:contextualSpacing/>
      </w:pPr>
      <w:r>
        <w:t>3）晚第三纪早期区系复合体</w:t>
      </w:r>
    </w:p>
    <w:p>
      <w:pPr>
        <w:autoSpaceDN w:val="0"/>
        <w:ind w:firstLine="480"/>
        <w:contextualSpacing/>
        <w:rPr>
          <w:rFonts w:hint="eastAsia"/>
        </w:rPr>
      </w:pPr>
      <w:r>
        <w:t>这类复合体起源于古代新第三纪，主要分布于我国东北及北方，个别种也有全国分布的，如泥鳅、鲤鱼等，这一类群一般是在水带繁茂的小型湖泊，浑浊的大型河流和一些小溪河中，它们的主要特性：对水溶氧易要求低，体色多为拟草性，卵子多数产在草上，一般具触须，凶猛种类较多，多为伏击式，温和种类则以底栖生物食性居多，这一类群的某些种类能对干旱形成特殊适应。</w:t>
      </w:r>
      <w:r>
        <w:rPr>
          <w:rFonts w:hint="eastAsia"/>
        </w:rPr>
        <w:t>。在调查河段其有较大的资源量，主要包括泥鳅(</w:t>
      </w:r>
      <w:r>
        <w:rPr>
          <w:rFonts w:hint="eastAsia"/>
          <w:i/>
          <w:iCs/>
        </w:rPr>
        <w:t>Misgurnus anguillicaudatus</w:t>
      </w:r>
      <w:r>
        <w:rPr>
          <w:rFonts w:hint="eastAsia"/>
        </w:rPr>
        <w:t>)、鲇(</w:t>
      </w:r>
      <w:r>
        <w:rPr>
          <w:rFonts w:hint="eastAsia"/>
          <w:i/>
          <w:iCs/>
        </w:rPr>
        <w:t>Silurus asotus</w:t>
      </w:r>
      <w:r>
        <w:rPr>
          <w:rFonts w:hint="eastAsia"/>
        </w:rPr>
        <w:t>)、鲤、鲫和棒花鱼等。</w:t>
      </w:r>
    </w:p>
    <w:p>
      <w:pPr>
        <w:autoSpaceDN w:val="0"/>
        <w:ind w:firstLine="480"/>
        <w:contextualSpacing/>
        <w:rPr>
          <w:rFonts w:hint="eastAsia"/>
        </w:rPr>
      </w:pPr>
      <w:r>
        <w:rPr>
          <w:rFonts w:hint="eastAsia"/>
        </w:rPr>
        <w:t>4）北方平原区系复合体</w:t>
      </w:r>
    </w:p>
    <w:p>
      <w:pPr>
        <w:autoSpaceDN w:val="0"/>
        <w:ind w:firstLine="480"/>
        <w:contextualSpacing/>
        <w:rPr>
          <w:rFonts w:hint="eastAsia"/>
        </w:rPr>
      </w:pPr>
      <w:r>
        <w:rPr>
          <w:rFonts w:hint="eastAsia"/>
        </w:rPr>
        <w:t>该复合体区系鱼类种类不多，鱼类特点是耐寒，较耐盐碱，产卵季节较早，在地层中出现得比中国平原复合体靠下，在高纬度分布较广，随着纬度的降低，这一复合体种的数目和种群数量逐渐减少。代表种类有麦穗鱼(</w:t>
      </w:r>
      <w:r>
        <w:rPr>
          <w:rFonts w:hint="eastAsia"/>
          <w:i/>
          <w:iCs/>
        </w:rPr>
        <w:t>Pseudorasbora parva</w:t>
      </w:r>
      <w:r>
        <w:rPr>
          <w:rFonts w:hint="eastAsia"/>
        </w:rPr>
        <w:t>)等。</w:t>
      </w:r>
    </w:p>
    <w:p>
      <w:pPr>
        <w:ind w:firstLine="480"/>
        <w:contextualSpacing/>
      </w:pPr>
      <w:r>
        <w:t>（3）鱼类生态类群特点</w:t>
      </w:r>
    </w:p>
    <w:p>
      <w:pPr>
        <w:autoSpaceDN w:val="0"/>
        <w:ind w:firstLine="480"/>
        <w:contextualSpacing/>
      </w:pPr>
      <w:r>
        <w:rPr>
          <w:rFonts w:hint="eastAsia"/>
        </w:rPr>
        <w:t>按鱼类的生活习性及其主要生活环境，可以将调查范围内分布的 15 种鱼类分为 2个生态类群，分别是流水类群和缓流水及静水生态类群。</w:t>
      </w:r>
    </w:p>
    <w:p>
      <w:pPr>
        <w:autoSpaceDN w:val="0"/>
        <w:ind w:firstLine="480"/>
        <w:contextualSpacing/>
      </w:pPr>
      <w:r>
        <w:t>1）</w:t>
      </w:r>
      <w:r>
        <w:rPr>
          <w:rFonts w:hint="eastAsia"/>
        </w:rPr>
        <w:t>流水类群</w:t>
      </w:r>
    </w:p>
    <w:p>
      <w:pPr>
        <w:autoSpaceDN w:val="0"/>
        <w:ind w:firstLine="480"/>
        <w:contextualSpacing/>
      </w:pPr>
      <w:r>
        <w:rPr>
          <w:rFonts w:hint="eastAsia"/>
        </w:rPr>
        <w:t>此类群主要或完全生活在江河流水环境中，体长形，略侧扁，游泳能力强，适应于流水生活。它们或以水底砾石等物体表面附着藻类为食，或以有机碎屑为食，或以底栖无脊椎动物为食，或以软体动物为食，或主要以水草为食，或主要以鱼虾类为食，甚或为杂食性；或以浮游动植物为食。该类群有草鱼、鳙、鲢等，这一类群在水库中占有很大资源量。</w:t>
      </w:r>
    </w:p>
    <w:p>
      <w:pPr>
        <w:autoSpaceDN w:val="0"/>
        <w:ind w:firstLine="480"/>
        <w:contextualSpacing/>
      </w:pPr>
      <w:r>
        <w:t>2）缓流水和静水生态类群</w:t>
      </w:r>
    </w:p>
    <w:p>
      <w:pPr>
        <w:autoSpaceDN w:val="0"/>
        <w:ind w:firstLine="480"/>
        <w:contextualSpacing/>
      </w:pPr>
      <w:r>
        <w:rPr>
          <w:rFonts w:hint="eastAsia"/>
        </w:rPr>
        <w:t>此类群适宜生活于静缓流水水体中，或以浮游动植物为食，或杂食，或动物性食性，部分种类须在流水环境下产漂流性卵或可归于流水性种类，该类群种类有泥鳅、麦穗鱼、棒花鱼、鲤、鲫、鲇、乌鳢、黄鳝等，为寒溪寺水库及下游河段的第一大群</w:t>
      </w:r>
      <w:r>
        <w:t>。</w:t>
      </w:r>
    </w:p>
    <w:p>
      <w:pPr>
        <w:autoSpaceDN w:val="0"/>
        <w:ind w:firstLine="480"/>
        <w:contextualSpacing/>
      </w:pPr>
      <w:r>
        <w:t>（5）鱼类保护、特有、经济资源类型及特点</w:t>
      </w:r>
    </w:p>
    <w:p>
      <w:pPr>
        <w:autoSpaceDN w:val="0"/>
        <w:ind w:firstLine="480"/>
        <w:contextualSpacing/>
      </w:pPr>
      <w:r>
        <w:t>资源类型的划分是人为的，主要根据国家和省级人民政府对珍稀保护鱼类保护级别、鱼类濒危现状、经济价值大小、种群数量多少、分布区大小、科学价值等条件划分的。依据上述条件将项目区域鱼类分为以下几种资源类型。</w:t>
      </w:r>
    </w:p>
    <w:p>
      <w:pPr>
        <w:autoSpaceDN w:val="0"/>
        <w:ind w:firstLine="480"/>
        <w:contextualSpacing/>
      </w:pPr>
      <w:r>
        <w:t>1）</w:t>
      </w:r>
      <w:r>
        <w:rPr>
          <w:rFonts w:hint="eastAsia"/>
        </w:rPr>
        <w:t>主要经济鱼类</w:t>
      </w:r>
    </w:p>
    <w:p>
      <w:pPr>
        <w:autoSpaceDN w:val="0"/>
        <w:ind w:firstLine="480"/>
        <w:contextualSpacing/>
      </w:pPr>
      <w:r>
        <w:rPr>
          <w:rFonts w:hint="eastAsia"/>
        </w:rPr>
        <w:t>主要经济鱼类有鲤、鲇、草鱼、鲢鱼、鳙鱼、鲫鱼，翘嘴红鲌等，主要分布在水库内，且资源量较大</w:t>
      </w:r>
      <w:r>
        <w:t>。</w:t>
      </w:r>
    </w:p>
    <w:p>
      <w:pPr>
        <w:autoSpaceDN w:val="0"/>
        <w:ind w:firstLine="480"/>
        <w:contextualSpacing/>
      </w:pPr>
      <w:r>
        <w:t>2）</w:t>
      </w:r>
      <w:r>
        <w:rPr>
          <w:rFonts w:hint="eastAsia"/>
        </w:rPr>
        <w:t>小型鱼类</w:t>
      </w:r>
    </w:p>
    <w:p>
      <w:pPr>
        <w:autoSpaceDN w:val="0"/>
        <w:ind w:firstLine="480"/>
        <w:contextualSpacing/>
      </w:pPr>
      <w:r>
        <w:rPr>
          <w:rFonts w:hint="eastAsia"/>
        </w:rPr>
        <w:t>调查区域内的小型鱼类主要有棒花鱼(</w:t>
      </w:r>
      <w:r>
        <w:rPr>
          <w:rFonts w:hint="eastAsia"/>
          <w:i/>
          <w:iCs/>
        </w:rPr>
        <w:t>Abbottina rivularis</w:t>
      </w:r>
      <w:r>
        <w:rPr>
          <w:rFonts w:hint="eastAsia"/>
        </w:rPr>
        <w:t>) 、泥鳅(</w:t>
      </w:r>
      <w:r>
        <w:rPr>
          <w:rFonts w:hint="eastAsia"/>
          <w:i/>
          <w:iCs/>
        </w:rPr>
        <w:t>Misgurnus anguillicaudatus</w:t>
      </w:r>
      <w:r>
        <w:rPr>
          <w:rFonts w:hint="eastAsia"/>
        </w:rPr>
        <w:t>)、黑尾䱗(</w:t>
      </w:r>
      <w:r>
        <w:rPr>
          <w:rFonts w:hint="eastAsia"/>
          <w:i/>
          <w:iCs/>
        </w:rPr>
        <w:t>Hemiculter tchangi</w:t>
      </w:r>
      <w:r>
        <w:rPr>
          <w:rFonts w:hint="eastAsia"/>
        </w:rPr>
        <w:t>)、麦穗鱼(</w:t>
      </w:r>
      <w:r>
        <w:rPr>
          <w:rFonts w:hint="eastAsia"/>
          <w:i/>
          <w:iCs/>
        </w:rPr>
        <w:t>Pseudorasbora parva</w:t>
      </w:r>
      <w:r>
        <w:rPr>
          <w:rFonts w:hint="eastAsia"/>
        </w:rPr>
        <w:t>)等，在水库及下游河段均有较大分布</w:t>
      </w:r>
    </w:p>
    <w:p>
      <w:pPr>
        <w:autoSpaceDN w:val="0"/>
        <w:ind w:firstLine="480"/>
        <w:contextualSpacing/>
      </w:pPr>
      <w:r>
        <w:t>（</w:t>
      </w:r>
      <w:r>
        <w:rPr>
          <w:rFonts w:hint="eastAsia"/>
        </w:rPr>
        <w:t>6</w:t>
      </w:r>
      <w:r>
        <w:t>）</w:t>
      </w:r>
      <w:r>
        <w:rPr>
          <w:rFonts w:hint="eastAsia"/>
        </w:rPr>
        <w:t>鱼类</w:t>
      </w:r>
      <w:r>
        <w:t>“</w:t>
      </w:r>
      <w:r>
        <w:rPr>
          <w:rFonts w:hint="eastAsia"/>
        </w:rPr>
        <w:t>三场</w:t>
      </w:r>
      <w:r>
        <w:t>”</w:t>
      </w:r>
      <w:r>
        <w:rPr>
          <w:rFonts w:hint="eastAsia"/>
        </w:rPr>
        <w:t>的分布</w:t>
      </w:r>
    </w:p>
    <w:p>
      <w:pPr>
        <w:autoSpaceDN w:val="0"/>
        <w:ind w:firstLine="480"/>
        <w:contextualSpacing/>
      </w:pPr>
      <w:r>
        <w:t>鱼类的活动随外界条件的变化而改变。在一个生命周期内，它们的活动也随着环境条件的变化和鱼类本身生理上的要求而有规律的变化。为了查明影响区域主要经济鱼类活动规律，了解不同季节鱼类主要集中地和鱼类种群组成，根据走访和实地调查，结合鱼类生物学特性和水文学特征，收集了主要经济鱼类产卵场、越冬场和索饵场的资料。</w:t>
      </w:r>
    </w:p>
    <w:p>
      <w:pPr>
        <w:autoSpaceDN w:val="0"/>
        <w:ind w:firstLine="480"/>
        <w:contextualSpacing/>
      </w:pPr>
      <w:r>
        <w:t>1）产卵场</w:t>
      </w:r>
    </w:p>
    <w:p>
      <w:pPr>
        <w:autoSpaceDN w:val="0"/>
        <w:ind w:firstLine="480"/>
        <w:contextualSpacing/>
      </w:pPr>
      <w:r>
        <w:t>鱼类对产卵条件的要求根据其不同类群生物学及生态学特性等方面的差异而有所不同。鳅类类在砾石间或乱石间的洞、缝中产卵；南方鲇等微流水或流水产卵类型则主要在滩上的砾石、卵石间产卵，卵粒粘附在砾石、卵石间上发育；性成熟早、生长快、适应能力强的鲤、鲫的产卵环境主要分布在凹岸湾沱。</w:t>
      </w:r>
    </w:p>
    <w:p>
      <w:pPr>
        <w:autoSpaceDN w:val="0"/>
        <w:ind w:firstLine="480"/>
        <w:contextualSpacing/>
        <w:rPr>
          <w:lang w:val="zh-CN"/>
        </w:rPr>
      </w:pPr>
      <w:r>
        <w:rPr>
          <w:rFonts w:hint="eastAsia"/>
        </w:rPr>
        <w:t>巴中市</w:t>
      </w:r>
      <w:r>
        <w:t>寒溪寺水库调查水域鱼类产卵类型大致可分为：石砾或沙质基底产卵类型，浅水或岸边产卵类型，流水石滩、石缝产卵类型等。水库评价河段的浅水或岸边产卵类型、石缝是主要的产卵场。</w:t>
      </w:r>
    </w:p>
    <w:p>
      <w:pPr>
        <w:autoSpaceDN w:val="0"/>
        <w:ind w:firstLine="480"/>
        <w:contextualSpacing/>
      </w:pPr>
      <w:r>
        <w:t>2）越冬场</w:t>
      </w:r>
    </w:p>
    <w:p>
      <w:pPr>
        <w:autoSpaceDN w:val="0"/>
        <w:ind w:firstLine="480"/>
        <w:contextualSpacing/>
      </w:pPr>
      <w:r>
        <w:t>每年秋冬季节，随着季节性气温下降、水量减少、水位降低等环境因素的影响，鱼类活动逐渐减少。冬季来临之前，鱼类经过夏、秋季的索饵，大都长得身体肥壮，体内贮积大量脂肪，每年入秋以后天气转冷，水温随之下降，而河水流量逐渐减少，水位降低透明度增大，饵料减少，此时，在各不同深度、不同环境中觅食的主要经济鱼类，逐渐受气候等各种外部因素变化的影响进入深水处活动。具有明显越冬习性的种类，“归沱”便是鱼类进入越冬场的开始期。没有越冬习性的种类，受天气变化等不利条件的影响，也可暂时归沱，躲避不利条件。总之，它们都找到冬季适宜的环境条件而栖息越冬。鱼类的活动能力将减低，为了保证在寒冷的季节有适宜的栖息条件，往往进行由浅水环境向深水的越冬洄游，方向稳定。</w:t>
      </w:r>
    </w:p>
    <w:p>
      <w:pPr>
        <w:autoSpaceDN w:val="0"/>
        <w:ind w:firstLine="480"/>
        <w:contextualSpacing/>
      </w:pPr>
      <w:r>
        <w:rPr>
          <w:rFonts w:hint="eastAsia"/>
        </w:rPr>
        <w:t>巴中市</w:t>
      </w:r>
      <w:r>
        <w:t>寒溪寺水库影响区域内分布鱼类，开始从坝址上游或支流，迁徙至水温相对较高的干流湾沱进行越冬活动，寻找温度相对稳定且饵料较为丰富的深水区域。通常认为位于干流的河床深处或穴、石腔、巨砾石及砾石间的洞缝隙等，水体要求宽大而深，一般水深3-4m，最大水深8-20m，多为河沱、河槽、湾沱、回水或微流水或流水，底质多为乱石、河槽、湾沱、洄水或微流水式流水、凹凸不平的水域。这类型的越冬场在整个调查水域均有零星分布，评价河段流域分布的越冬场规模不大，总体呈零星分布状态。</w:t>
      </w:r>
    </w:p>
    <w:p>
      <w:pPr>
        <w:autoSpaceDN w:val="0"/>
        <w:ind w:firstLine="480"/>
        <w:contextualSpacing/>
      </w:pPr>
      <w:r>
        <w:t>3）索饵场</w:t>
      </w:r>
    </w:p>
    <w:p>
      <w:pPr>
        <w:autoSpaceDN w:val="0"/>
        <w:ind w:firstLine="480"/>
        <w:contextualSpacing/>
      </w:pPr>
      <w:r>
        <w:t>鱼类摄食与其食性、垂直捕食范围有密切关系，并且鱼类一般在水体透明度小，觅食的水层浅，反之，觅食的水层较深；白天觅食水层深，夜间觅食水层浅，大多数鱼类喜欢晚上觅食。成鱼的索饵场一般在浅滩急流水域，而幼鱼的索饵场一般在缓流水的浅水水域。鱼类的活动场所往往也是其索饵场所。鱼类的不同种类对索饵场的环境要求差异较大，并且随时间不断发生变化。进入3月份以后，河流水温度开始回升，鱼类从越冬的深水区域到河流浅水的礁石或砾石滩索饵。在调查水域生活的鱼类绝大多数以着生藻类、有机碎屑和底栖动物等为主要食物的鱼类。在浅水区域光照条件好，有利于着生藻类的生长，相应地底栖动物也相对较为丰富，往往这些河段成为鱼类重要的索饵场所。</w:t>
      </w:r>
    </w:p>
    <w:p>
      <w:pPr>
        <w:autoSpaceDN w:val="0"/>
        <w:ind w:firstLine="480"/>
        <w:contextualSpacing/>
        <w:rPr>
          <w:highlight w:val="yellow"/>
        </w:rPr>
      </w:pPr>
      <w:r>
        <w:t>以水文条件分析，</w:t>
      </w:r>
      <w:r>
        <w:rPr>
          <w:rFonts w:hint="eastAsia"/>
        </w:rPr>
        <w:t>巴中市</w:t>
      </w:r>
      <w:r>
        <w:t>寒溪寺水库调查区域鱼类主要索饵场多位于静水或缓流的河湾，根据此河的地理环境条件和水流量，其索饵场主要分布在洄水沱及沿岸浅水区域。</w:t>
      </w:r>
    </w:p>
    <w:p>
      <w:pPr>
        <w:autoSpaceDN w:val="0"/>
        <w:ind w:firstLine="480"/>
        <w:contextualSpacing/>
      </w:pPr>
      <w:r>
        <w:t>总体上，蔡家河下游鱼类量较少，无野生的珍稀、特有鱼类存在。基本不存在大规模的鱼类“三场”，只有零星分布的小型索饵、越冬、产卵地点。</w:t>
      </w:r>
    </w:p>
    <w:p>
      <w:pPr>
        <w:ind w:firstLine="0" w:firstLineChars="0"/>
        <w:contextualSpacing/>
        <w:outlineLvl w:val="3"/>
        <w:rPr>
          <w:b/>
          <w:bCs/>
        </w:rPr>
      </w:pPr>
      <w:r>
        <w:rPr>
          <w:b/>
          <w:bCs/>
        </w:rPr>
        <w:t>4.8.2.8水生生态现状评价总结</w:t>
      </w:r>
    </w:p>
    <w:p>
      <w:pPr>
        <w:autoSpaceDN w:val="0"/>
        <w:ind w:firstLine="480"/>
        <w:contextualSpacing/>
        <w:rPr>
          <w:highlight w:val="yellow"/>
        </w:rPr>
      </w:pPr>
      <w:r>
        <w:t>评价河段共有</w:t>
      </w:r>
      <w:r>
        <w:rPr>
          <w:rFonts w:hint="eastAsia"/>
        </w:rPr>
        <w:t>浮游植物 3 门 10 目 14 科 21 属 30 种</w:t>
      </w:r>
      <w:r>
        <w:t>。其中，硅藻门</w:t>
      </w:r>
      <w:r>
        <w:rPr>
          <w:rFonts w:hint="eastAsia"/>
        </w:rPr>
        <w:t>4 目 5 科 9 属 16 种，占总物种数 53.33%；蓝藻门 2 目 2科 3 属 4 种，占总物种数 13.33%；绿藻门有 4 目 7 科 9 属 10 种，占总物种数 33.33%</w:t>
      </w:r>
      <w:r>
        <w:t>。</w:t>
      </w:r>
      <w:r>
        <w:rPr>
          <w:rFonts w:hint="eastAsia"/>
        </w:rPr>
        <w:t>浮游动物 4 门 11 种，其中：原生动物 2 种，占总物种数 18.18%；轮形动物门 4 种，占总物种数 36.36%；枝角类动物 3 种，占总物种数 27.27%；桡足类动物 2 种，占物种总数的 18.18%。</w:t>
      </w:r>
      <w:r>
        <w:t>水生维管束植物</w:t>
      </w:r>
      <w:r>
        <w:rPr>
          <w:rFonts w:hint="eastAsia"/>
        </w:rPr>
        <w:t>12</w:t>
      </w:r>
      <w:r>
        <w:t>种，其中挺水植物</w:t>
      </w:r>
      <w:r>
        <w:rPr>
          <w:rFonts w:hint="eastAsia"/>
        </w:rPr>
        <w:t>5</w:t>
      </w:r>
      <w:r>
        <w:t>种，浮水植物1种，沉水植物6种。</w:t>
      </w:r>
      <w:r>
        <w:rPr>
          <w:rFonts w:hint="eastAsia"/>
        </w:rPr>
        <w:t>着生藻类2门2科2属4种</w:t>
      </w:r>
      <w:r>
        <w:t>。水域底栖动物的区系</w:t>
      </w:r>
      <w:r>
        <w:rPr>
          <w:rFonts w:hint="eastAsia"/>
        </w:rPr>
        <w:t>3 门 13 种</w:t>
      </w:r>
      <w:r>
        <w:t>，节肢动物门的种类最多。</w:t>
      </w:r>
      <w:r>
        <w:rPr>
          <w:rFonts w:hint="eastAsia"/>
        </w:rPr>
        <w:t>鱼类 4 目 5 科 15 种</w:t>
      </w:r>
      <w:r>
        <w:t>，其中鲤形目2科</w:t>
      </w:r>
      <w:r>
        <w:rPr>
          <w:rFonts w:hint="eastAsia"/>
        </w:rPr>
        <w:t>12</w:t>
      </w:r>
      <w:r>
        <w:t>种，鲇形目</w:t>
      </w:r>
      <w:r>
        <w:rPr>
          <w:rFonts w:hint="eastAsia"/>
        </w:rPr>
        <w:t>1</w:t>
      </w:r>
      <w:r>
        <w:t>科</w:t>
      </w:r>
      <w:r>
        <w:rPr>
          <w:rFonts w:hint="eastAsia"/>
        </w:rPr>
        <w:t>1</w:t>
      </w:r>
      <w:r>
        <w:t>种，合鳃目1科1种，鲈形目</w:t>
      </w:r>
      <w:r>
        <w:rPr>
          <w:rFonts w:hint="eastAsia"/>
        </w:rPr>
        <w:t>1</w:t>
      </w:r>
      <w:r>
        <w:t>科</w:t>
      </w:r>
      <w:r>
        <w:rPr>
          <w:rFonts w:hint="eastAsia"/>
        </w:rPr>
        <w:t>1</w:t>
      </w:r>
      <w:r>
        <w:t>种。评价河段不存在大规模的鱼类“三场”，只零星分布有小型的索饵、越冬、产卵地点，</w:t>
      </w:r>
      <w:r>
        <w:rPr>
          <w:rFonts w:hint="eastAsia"/>
        </w:rPr>
        <w:t>寒溪寺水库</w:t>
      </w:r>
      <w:r>
        <w:t>库区区域是重要的鱼类栖息地。</w:t>
      </w:r>
    </w:p>
    <w:bookmarkEnd w:id="447"/>
    <w:p>
      <w:pPr>
        <w:pStyle w:val="4"/>
        <w:ind w:firstLine="0" w:firstLineChars="0"/>
        <w:contextualSpacing/>
      </w:pPr>
      <w:bookmarkStart w:id="468" w:name="_Toc14495"/>
      <w:bookmarkStart w:id="469" w:name="_Toc130753431"/>
      <w:r>
        <w:t>4.</w:t>
      </w:r>
      <w:bookmarkEnd w:id="468"/>
      <w:r>
        <w:t>8大气与声环境</w:t>
      </w:r>
      <w:bookmarkEnd w:id="469"/>
    </w:p>
    <w:p>
      <w:pPr>
        <w:pStyle w:val="5"/>
        <w:ind w:firstLine="0" w:firstLineChars="0"/>
        <w:contextualSpacing/>
        <w:rPr>
          <w:rFonts w:ascii="Times New Roman" w:hAnsi="Times New Roman"/>
        </w:rPr>
      </w:pPr>
      <w:r>
        <w:rPr>
          <w:rFonts w:ascii="Times New Roman" w:hAnsi="Times New Roman"/>
        </w:rPr>
        <w:t>4.8.1大气环境</w:t>
      </w:r>
    </w:p>
    <w:p>
      <w:pPr>
        <w:ind w:firstLine="480"/>
        <w:contextualSpacing/>
        <w:rPr>
          <w:rFonts w:hint="eastAsia"/>
        </w:rPr>
      </w:pPr>
      <w:r>
        <w:rPr>
          <w:rFonts w:hint="eastAsia"/>
        </w:rPr>
        <w:t>根据《环境影响评价技术导则大气环境》（HJ2.2-2018）中6.2.11规定:项目所在区域达标判定，优先采用国家或地方生态环境主管部门公开发布的评价基准年(近3年中1个完整日历年）环境质量公告或环境质量报告中的数据或结论。</w:t>
      </w:r>
    </w:p>
    <w:p>
      <w:pPr>
        <w:ind w:firstLine="480"/>
        <w:contextualSpacing/>
        <w:rPr>
          <w:rFonts w:hint="eastAsia"/>
        </w:rPr>
      </w:pPr>
      <w:r>
        <w:rPr>
          <w:rFonts w:hint="eastAsia"/>
        </w:rPr>
        <w:t>本项目位于巴中市巴州区化成镇，根据《环境影响评价技术导则大气环境》(HJ2.2-2018）要求，本次评价选取巴中市生态环境局2021年1月11日公布的《巴中市2020年1-12月环境质量公报》中的城区环境空气质量结论进行区域达标判定。</w:t>
      </w:r>
    </w:p>
    <w:p>
      <w:pPr>
        <w:ind w:firstLine="480"/>
        <w:contextualSpacing/>
        <w:rPr>
          <w:rFonts w:hint="eastAsia"/>
        </w:rPr>
      </w:pPr>
      <w:r>
        <w:rPr>
          <w:rFonts w:hint="eastAsia"/>
        </w:rPr>
        <w:t>根据巴中市生态环境局2021年1月11日公布的《巴中市2020年1-12月环境质量公报》，巴城环境空气质量1-12月优良率为96.7%，与去年同期相比上升了1.9个百分点，主要污染物PM</w:t>
      </w:r>
      <w:r>
        <w:t>10</w:t>
      </w:r>
      <w:r>
        <w:rPr>
          <w:rFonts w:hint="eastAsia"/>
        </w:rPr>
        <w:t>、PM</w:t>
      </w:r>
      <w:r>
        <w:t>2.5</w:t>
      </w:r>
      <w:r>
        <w:rPr>
          <w:rFonts w:hint="eastAsia"/>
        </w:rPr>
        <w:t>同比浓度有所下降，环境空气质量年平均数据（PM</w:t>
      </w:r>
      <w:r>
        <w:t>10</w:t>
      </w:r>
      <w:r>
        <w:rPr>
          <w:rFonts w:hint="eastAsia"/>
        </w:rPr>
        <w:t>、PM</w:t>
      </w:r>
      <w:r>
        <w:t>2.5</w:t>
      </w:r>
      <w:r>
        <w:rPr>
          <w:rFonts w:hint="eastAsia"/>
        </w:rPr>
        <w:t>）:PM</w:t>
      </w:r>
      <w:r>
        <w:t>10</w:t>
      </w:r>
      <w:r>
        <w:rPr>
          <w:rFonts w:hint="eastAsia"/>
        </w:rPr>
        <w:t>年平均浓度值为44.8微克/立方米;PM</w:t>
      </w:r>
      <w:r>
        <w:t>2.5</w:t>
      </w:r>
      <w:r>
        <w:rPr>
          <w:rFonts w:hint="eastAsia"/>
        </w:rPr>
        <w:t>年平均浓度值为28.1微克/立方米。</w:t>
      </w:r>
    </w:p>
    <w:p>
      <w:pPr>
        <w:ind w:firstLine="480"/>
        <w:contextualSpacing/>
        <w:rPr>
          <w:kern w:val="0"/>
        </w:rPr>
      </w:pPr>
      <w:r>
        <w:rPr>
          <w:rFonts w:hint="eastAsia"/>
        </w:rPr>
        <w:t>区域环境空气中的PM</w:t>
      </w:r>
      <w:r>
        <w:t>10</w:t>
      </w:r>
      <w:r>
        <w:rPr>
          <w:rFonts w:hint="eastAsia"/>
        </w:rPr>
        <w:t>、PM</w:t>
      </w:r>
      <w:r>
        <w:t>2.5</w:t>
      </w:r>
      <w:r>
        <w:rPr>
          <w:rFonts w:hint="eastAsia"/>
        </w:rPr>
        <w:t>均满足《环境空气质量标准》(GB3095-2012）二级标准要求，故根据《环境影响评价技术导则大气环境》(HJ2.2-2018）“环境空气质量现状调查与评价，6.4.1项目所在区域达标判断”，项目所在评价区域为环境空气达标区。</w:t>
      </w:r>
    </w:p>
    <w:p>
      <w:pPr>
        <w:pStyle w:val="5"/>
        <w:ind w:firstLine="0" w:firstLineChars="0"/>
        <w:contextualSpacing/>
        <w:rPr>
          <w:rFonts w:ascii="Times New Roman" w:hAnsi="Times New Roman"/>
        </w:rPr>
      </w:pPr>
      <w:r>
        <w:rPr>
          <w:rFonts w:ascii="Times New Roman" w:hAnsi="Times New Roman"/>
        </w:rPr>
        <w:t>4.8.2声环境</w:t>
      </w:r>
    </w:p>
    <w:p>
      <w:pPr>
        <w:ind w:firstLine="480"/>
        <w:contextualSpacing/>
        <w:jc w:val="left"/>
      </w:pPr>
      <w:r>
        <w:t>（1）监测布点</w:t>
      </w:r>
    </w:p>
    <w:p>
      <w:pPr>
        <w:ind w:firstLine="480"/>
        <w:contextualSpacing/>
        <w:jc w:val="left"/>
        <w:rPr>
          <w:kern w:val="0"/>
        </w:rPr>
      </w:pPr>
      <w:r>
        <w:t>监测点位置见下表。</w:t>
      </w:r>
    </w:p>
    <w:p>
      <w:pPr>
        <w:pStyle w:val="73"/>
        <w:adjustRightInd/>
        <w:snapToGrid/>
        <w:ind w:firstLine="0" w:firstLineChars="0"/>
        <w:contextualSpacing/>
        <w:rPr>
          <w:rFonts w:eastAsia="宋体"/>
          <w:b/>
          <w:bCs/>
          <w:sz w:val="21"/>
          <w:szCs w:val="16"/>
        </w:rPr>
      </w:pPr>
      <w:r>
        <w:rPr>
          <w:rFonts w:eastAsia="宋体"/>
          <w:b/>
          <w:bCs/>
          <w:sz w:val="21"/>
          <w:szCs w:val="16"/>
        </w:rPr>
        <w:t>表4.9.2-1  项目噪声监测点位</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t>点位编号</w:t>
            </w:r>
          </w:p>
        </w:tc>
        <w:tc>
          <w:tcPr>
            <w:tcW w:w="2841" w:type="dxa"/>
          </w:tcPr>
          <w:p>
            <w:pPr>
              <w:spacing w:line="240" w:lineRule="auto"/>
              <w:ind w:firstLine="0" w:firstLineChars="0"/>
              <w:rPr>
                <w:b/>
              </w:rPr>
            </w:pPr>
            <w:r>
              <w:t>位置</w:t>
            </w:r>
          </w:p>
        </w:tc>
        <w:tc>
          <w:tcPr>
            <w:tcW w:w="2841" w:type="dxa"/>
          </w:tcPr>
          <w:p>
            <w:pPr>
              <w:spacing w:line="240" w:lineRule="auto"/>
              <w:ind w:firstLine="0" w:firstLineChars="0"/>
              <w:rPr>
                <w:b/>
              </w:rP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t>1#</w:t>
            </w:r>
          </w:p>
        </w:tc>
        <w:tc>
          <w:tcPr>
            <w:tcW w:w="2841" w:type="dxa"/>
          </w:tcPr>
          <w:p>
            <w:pPr>
              <w:spacing w:line="240" w:lineRule="auto"/>
              <w:ind w:firstLine="0" w:firstLineChars="0"/>
              <w:rPr>
                <w:b/>
              </w:rPr>
            </w:pPr>
            <w:r>
              <w:rPr>
                <w:rFonts w:hint="eastAsia"/>
              </w:rPr>
              <w:t>渣场附近居民点</w:t>
            </w:r>
          </w:p>
        </w:tc>
        <w:tc>
          <w:tcPr>
            <w:tcW w:w="2841" w:type="dxa"/>
          </w:tcPr>
          <w:p>
            <w:pPr>
              <w:spacing w:line="240" w:lineRule="auto"/>
              <w:ind w:firstLine="0" w:firstLineChars="0"/>
              <w:rPr>
                <w:b/>
              </w:rPr>
            </w:pPr>
            <w:r>
              <w:t>现状噪声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t>2#</w:t>
            </w:r>
          </w:p>
        </w:tc>
        <w:tc>
          <w:tcPr>
            <w:tcW w:w="2841" w:type="dxa"/>
          </w:tcPr>
          <w:p>
            <w:pPr>
              <w:spacing w:line="240" w:lineRule="auto"/>
              <w:ind w:firstLine="0" w:firstLineChars="0"/>
              <w:rPr>
                <w:b/>
              </w:rPr>
            </w:pPr>
            <w:r>
              <w:rPr>
                <w:rFonts w:hint="eastAsia"/>
              </w:rPr>
              <w:t>坝址附近居民点</w:t>
            </w:r>
          </w:p>
        </w:tc>
        <w:tc>
          <w:tcPr>
            <w:tcW w:w="2841" w:type="dxa"/>
          </w:tcPr>
          <w:p>
            <w:pPr>
              <w:spacing w:line="240" w:lineRule="auto"/>
              <w:ind w:firstLine="0" w:firstLineChars="0"/>
              <w:rPr>
                <w:b/>
              </w:rPr>
            </w:pPr>
            <w:r>
              <w:t>现状噪声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t>3#</w:t>
            </w:r>
          </w:p>
        </w:tc>
        <w:tc>
          <w:tcPr>
            <w:tcW w:w="2841" w:type="dxa"/>
          </w:tcPr>
          <w:p>
            <w:pPr>
              <w:spacing w:line="240" w:lineRule="auto"/>
              <w:ind w:firstLine="0" w:firstLineChars="0"/>
              <w:rPr>
                <w:b/>
              </w:rPr>
            </w:pPr>
            <w:r>
              <w:rPr>
                <w:rFonts w:hint="eastAsia"/>
              </w:rPr>
              <w:t>枢纽渣场附近居民点</w:t>
            </w:r>
          </w:p>
        </w:tc>
        <w:tc>
          <w:tcPr>
            <w:tcW w:w="2841" w:type="dxa"/>
          </w:tcPr>
          <w:p>
            <w:pPr>
              <w:spacing w:line="240" w:lineRule="auto"/>
              <w:ind w:firstLine="0" w:firstLineChars="0"/>
              <w:rPr>
                <w:b/>
              </w:rPr>
            </w:pPr>
            <w:r>
              <w:t>现状噪声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t>4#</w:t>
            </w:r>
          </w:p>
        </w:tc>
        <w:tc>
          <w:tcPr>
            <w:tcW w:w="2841" w:type="dxa"/>
          </w:tcPr>
          <w:p>
            <w:pPr>
              <w:spacing w:line="240" w:lineRule="auto"/>
              <w:ind w:firstLine="0" w:firstLineChars="0"/>
              <w:rPr>
                <w:b/>
              </w:rPr>
            </w:pPr>
            <w:r>
              <w:rPr>
                <w:rFonts w:hint="eastAsia"/>
              </w:rPr>
              <w:t>枢纽渣场附近居民点</w:t>
            </w:r>
          </w:p>
        </w:tc>
        <w:tc>
          <w:tcPr>
            <w:tcW w:w="2841" w:type="dxa"/>
          </w:tcPr>
          <w:p>
            <w:pPr>
              <w:spacing w:line="240" w:lineRule="auto"/>
              <w:ind w:firstLine="0" w:firstLineChars="0"/>
              <w:rPr>
                <w:b/>
              </w:rPr>
            </w:pPr>
            <w:r>
              <w:t>现状噪声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240" w:lineRule="auto"/>
              <w:ind w:firstLine="0" w:firstLineChars="0"/>
              <w:rPr>
                <w:b/>
              </w:rPr>
            </w:pPr>
            <w:r>
              <w:rPr>
                <w:rFonts w:hint="eastAsia"/>
              </w:rPr>
              <w:t>5#</w:t>
            </w:r>
          </w:p>
        </w:tc>
        <w:tc>
          <w:tcPr>
            <w:tcW w:w="2841" w:type="dxa"/>
          </w:tcPr>
          <w:p>
            <w:pPr>
              <w:spacing w:line="240" w:lineRule="auto"/>
              <w:ind w:firstLine="0" w:firstLineChars="0"/>
              <w:rPr>
                <w:b/>
              </w:rPr>
            </w:pPr>
            <w:r>
              <w:rPr>
                <w:rFonts w:hint="eastAsia"/>
              </w:rPr>
              <w:t>枢纽渣场附近居民点</w:t>
            </w:r>
          </w:p>
        </w:tc>
        <w:tc>
          <w:tcPr>
            <w:tcW w:w="2841" w:type="dxa"/>
          </w:tcPr>
          <w:p>
            <w:pPr>
              <w:spacing w:line="240" w:lineRule="auto"/>
              <w:ind w:firstLine="0" w:firstLineChars="0"/>
              <w:rPr>
                <w:b/>
              </w:rPr>
            </w:pPr>
            <w:r>
              <w:t>现状噪声</w:t>
            </w:r>
          </w:p>
        </w:tc>
      </w:tr>
    </w:tbl>
    <w:p>
      <w:pPr>
        <w:ind w:firstLine="480"/>
        <w:contextualSpacing/>
        <w:rPr>
          <w:bCs/>
        </w:rPr>
      </w:pPr>
      <w:r>
        <w:rPr>
          <w:bCs/>
        </w:rPr>
        <w:t>（2）评价标准、评价因子及评价方法</w:t>
      </w:r>
    </w:p>
    <w:p>
      <w:pPr>
        <w:spacing w:line="440" w:lineRule="atLeast"/>
        <w:ind w:firstLine="480"/>
        <w:contextualSpacing/>
      </w:pPr>
      <w:r>
        <w:t>评价标准：执行《声环境质量标准》（GB3096-2008）中1类标准。</w:t>
      </w:r>
    </w:p>
    <w:p>
      <w:pPr>
        <w:spacing w:line="440" w:lineRule="atLeast"/>
        <w:ind w:firstLine="480"/>
        <w:contextualSpacing/>
      </w:pPr>
      <w:r>
        <w:t>评价因子及评价方法：以等效连续A声级作为评价因子，对照标准进行分析评价。</w:t>
      </w:r>
    </w:p>
    <w:p>
      <w:pPr>
        <w:spacing w:line="440" w:lineRule="atLeast"/>
        <w:ind w:firstLine="480"/>
        <w:contextualSpacing/>
      </w:pPr>
      <w:r>
        <w:t>监测时段：声学环境采用现场监测，监测时段为2019年7月23～24日。</w:t>
      </w:r>
    </w:p>
    <w:p>
      <w:pPr>
        <w:spacing w:line="440" w:lineRule="atLeast"/>
        <w:ind w:firstLine="480"/>
        <w:contextualSpacing/>
      </w:pPr>
      <w:r>
        <w:t>（3）监测方法和方法来源</w:t>
      </w:r>
    </w:p>
    <w:p>
      <w:pPr>
        <w:ind w:firstLine="480"/>
        <w:contextualSpacing/>
      </w:pPr>
      <w:r>
        <w:t>本次噪声监测项目的监测方法、方法来源、使用仪器及检出限见表4.9.2-2。</w:t>
      </w:r>
    </w:p>
    <w:p>
      <w:pPr>
        <w:pStyle w:val="73"/>
        <w:adjustRightInd/>
        <w:snapToGrid/>
        <w:ind w:firstLine="0" w:firstLineChars="0"/>
        <w:contextualSpacing/>
        <w:rPr>
          <w:rFonts w:eastAsia="宋体"/>
          <w:b/>
          <w:bCs/>
          <w:sz w:val="21"/>
          <w:szCs w:val="16"/>
        </w:rPr>
      </w:pPr>
      <w:r>
        <w:rPr>
          <w:rFonts w:eastAsia="宋体"/>
          <w:b/>
          <w:bCs/>
          <w:sz w:val="21"/>
          <w:szCs w:val="16"/>
        </w:rPr>
        <w:t>表4.9.2-2    厂界噪声监测方法、方法来源及使用仪器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8"/>
        <w:gridCol w:w="3202"/>
        <w:gridCol w:w="1595"/>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528" w:type="pct"/>
            <w:vAlign w:val="center"/>
          </w:tcPr>
          <w:p>
            <w:pPr>
              <w:pStyle w:val="35"/>
              <w:spacing w:before="0" w:beforeAutospacing="0" w:after="0" w:afterAutospacing="0" w:line="240" w:lineRule="auto"/>
              <w:ind w:firstLine="0" w:firstLineChars="0"/>
              <w:contextualSpacing/>
              <w:jc w:val="center"/>
              <w:rPr>
                <w:rFonts w:ascii="Times New Roman" w:hAnsi="Times New Roman" w:cs="Times New Roman"/>
                <w:sz w:val="21"/>
                <w:szCs w:val="21"/>
              </w:rPr>
            </w:pPr>
            <w:r>
              <w:rPr>
                <w:rFonts w:ascii="Times New Roman" w:hAnsi="Times New Roman" w:cs="Times New Roman"/>
                <w:sz w:val="21"/>
                <w:szCs w:val="21"/>
              </w:rPr>
              <w:t>项目</w:t>
            </w:r>
          </w:p>
        </w:tc>
        <w:tc>
          <w:tcPr>
            <w:tcW w:w="1925" w:type="pct"/>
            <w:vAlign w:val="center"/>
          </w:tcPr>
          <w:p>
            <w:pPr>
              <w:pStyle w:val="35"/>
              <w:spacing w:before="0" w:beforeAutospacing="0" w:after="0" w:afterAutospacing="0" w:line="240" w:lineRule="auto"/>
              <w:ind w:firstLine="0" w:firstLineChars="0"/>
              <w:contextualSpacing/>
              <w:jc w:val="center"/>
              <w:rPr>
                <w:rFonts w:ascii="Times New Roman" w:hAnsi="Times New Roman" w:cs="Times New Roman"/>
                <w:sz w:val="21"/>
                <w:szCs w:val="21"/>
              </w:rPr>
            </w:pPr>
            <w:r>
              <w:rPr>
                <w:rFonts w:ascii="Times New Roman" w:hAnsi="Times New Roman" w:cs="Times New Roman"/>
                <w:sz w:val="21"/>
                <w:szCs w:val="21"/>
              </w:rPr>
              <w:t>监测方法</w:t>
            </w:r>
          </w:p>
        </w:tc>
        <w:tc>
          <w:tcPr>
            <w:tcW w:w="959" w:type="pct"/>
            <w:vAlign w:val="center"/>
          </w:tcPr>
          <w:p>
            <w:pPr>
              <w:pStyle w:val="35"/>
              <w:spacing w:before="0" w:beforeAutospacing="0" w:after="0" w:afterAutospacing="0" w:line="240" w:lineRule="auto"/>
              <w:ind w:firstLine="0" w:firstLineChars="0"/>
              <w:contextualSpacing/>
              <w:jc w:val="center"/>
              <w:rPr>
                <w:rFonts w:ascii="Times New Roman" w:hAnsi="Times New Roman" w:cs="Times New Roman"/>
                <w:sz w:val="21"/>
                <w:szCs w:val="21"/>
              </w:rPr>
            </w:pPr>
            <w:r>
              <w:rPr>
                <w:rFonts w:ascii="Times New Roman" w:hAnsi="Times New Roman" w:cs="Times New Roman"/>
                <w:sz w:val="21"/>
                <w:szCs w:val="21"/>
              </w:rPr>
              <w:t>方法来源</w:t>
            </w:r>
          </w:p>
        </w:tc>
        <w:tc>
          <w:tcPr>
            <w:tcW w:w="1588" w:type="pct"/>
            <w:vAlign w:val="center"/>
          </w:tcPr>
          <w:p>
            <w:pPr>
              <w:pStyle w:val="35"/>
              <w:spacing w:before="0" w:beforeAutospacing="0" w:after="0" w:afterAutospacing="0" w:line="240" w:lineRule="auto"/>
              <w:ind w:firstLine="0" w:firstLineChars="0"/>
              <w:contextualSpacing/>
              <w:jc w:val="center"/>
              <w:rPr>
                <w:rFonts w:ascii="Times New Roman" w:hAnsi="Times New Roman" w:cs="Times New Roman"/>
                <w:sz w:val="21"/>
                <w:szCs w:val="21"/>
              </w:rPr>
            </w:pPr>
            <w:r>
              <w:rPr>
                <w:rFonts w:ascii="Times New Roman" w:hAnsi="Times New Roman" w:cs="Times New Roman"/>
                <w:sz w:val="21"/>
                <w:szCs w:val="21"/>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28" w:type="pct"/>
            <w:vAlign w:val="center"/>
          </w:tcPr>
          <w:p>
            <w:pPr>
              <w:pStyle w:val="19"/>
              <w:contextualSpacing/>
              <w:rPr>
                <w:kern w:val="0"/>
                <w:szCs w:val="21"/>
              </w:rPr>
            </w:pPr>
            <w:r>
              <w:rPr>
                <w:kern w:val="0"/>
                <w:szCs w:val="21"/>
              </w:rPr>
              <w:t>场界噪声</w:t>
            </w:r>
          </w:p>
        </w:tc>
        <w:tc>
          <w:tcPr>
            <w:tcW w:w="1925" w:type="pct"/>
            <w:vAlign w:val="center"/>
          </w:tcPr>
          <w:p>
            <w:pPr>
              <w:spacing w:line="240" w:lineRule="auto"/>
              <w:ind w:firstLine="0" w:firstLineChars="0"/>
              <w:contextualSpacing/>
              <w:jc w:val="center"/>
              <w:rPr>
                <w:sz w:val="21"/>
                <w:szCs w:val="21"/>
              </w:rPr>
            </w:pPr>
            <w:r>
              <w:rPr>
                <w:sz w:val="21"/>
                <w:szCs w:val="21"/>
              </w:rPr>
              <w:t>工业企业厂界环境噪声排放标准</w:t>
            </w:r>
          </w:p>
        </w:tc>
        <w:tc>
          <w:tcPr>
            <w:tcW w:w="959" w:type="pct"/>
            <w:vAlign w:val="center"/>
          </w:tcPr>
          <w:p>
            <w:pPr>
              <w:spacing w:line="240" w:lineRule="auto"/>
              <w:ind w:firstLine="0" w:firstLineChars="0"/>
              <w:contextualSpacing/>
              <w:jc w:val="center"/>
              <w:rPr>
                <w:sz w:val="21"/>
                <w:szCs w:val="21"/>
              </w:rPr>
            </w:pPr>
            <w:r>
              <w:rPr>
                <w:sz w:val="21"/>
                <w:szCs w:val="21"/>
              </w:rPr>
              <w:t>GB12348-2008</w:t>
            </w:r>
          </w:p>
        </w:tc>
        <w:tc>
          <w:tcPr>
            <w:tcW w:w="1588" w:type="pct"/>
            <w:vAlign w:val="center"/>
          </w:tcPr>
          <w:p>
            <w:pPr>
              <w:pStyle w:val="19"/>
              <w:contextualSpacing/>
              <w:rPr>
                <w:szCs w:val="21"/>
              </w:rPr>
            </w:pPr>
            <w:r>
              <w:rPr>
                <w:szCs w:val="21"/>
              </w:rPr>
              <w:t>AWA6218B噪声统计分析仪</w:t>
            </w:r>
          </w:p>
        </w:tc>
      </w:tr>
    </w:tbl>
    <w:p>
      <w:pPr>
        <w:spacing w:line="160" w:lineRule="exact"/>
        <w:ind w:firstLine="480"/>
        <w:contextualSpacing/>
      </w:pPr>
    </w:p>
    <w:p>
      <w:pPr>
        <w:pStyle w:val="79"/>
        <w:adjustRightInd/>
        <w:spacing w:line="360" w:lineRule="auto"/>
        <w:ind w:firstLine="480" w:firstLineChars="200"/>
        <w:contextualSpacing/>
        <w:rPr>
          <w:rFonts w:ascii="Times New Roman" w:hAnsi="Times New Roman" w:cs="Times New Roman"/>
          <w:color w:val="auto"/>
        </w:rPr>
      </w:pPr>
      <w:r>
        <w:rPr>
          <w:rFonts w:ascii="Times New Roman" w:hAnsi="Times New Roman" w:cs="Times New Roman"/>
          <w:color w:val="auto"/>
        </w:rPr>
        <w:t>（4）监测结果</w:t>
      </w:r>
    </w:p>
    <w:p>
      <w:pPr>
        <w:ind w:firstLine="480"/>
        <w:contextualSpacing/>
      </w:pPr>
      <w:r>
        <w:t>按《声环境质量标准》（GB3096-2008）中的有关规定进行监测，连续两天，分为昼间和夜间测量。现状监测及评价结果见下表：</w:t>
      </w:r>
    </w:p>
    <w:p>
      <w:pPr>
        <w:pStyle w:val="73"/>
        <w:adjustRightInd/>
        <w:snapToGrid/>
        <w:ind w:firstLine="0" w:firstLineChars="0"/>
        <w:contextualSpacing/>
        <w:rPr>
          <w:rFonts w:eastAsia="宋体"/>
          <w:b/>
          <w:bCs/>
          <w:sz w:val="21"/>
          <w:szCs w:val="16"/>
        </w:rPr>
      </w:pPr>
      <w:r>
        <w:rPr>
          <w:rFonts w:eastAsia="宋体"/>
          <w:b/>
          <w:bCs/>
          <w:sz w:val="21"/>
          <w:szCs w:val="16"/>
        </w:rPr>
        <w:t>表4.9.2-3  噪声监测结果一览表</w:t>
      </w:r>
    </w:p>
    <w:tbl>
      <w:tblPr>
        <w:tblStyle w:val="38"/>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2632"/>
        <w:gridCol w:w="1001"/>
        <w:gridCol w:w="2789"/>
        <w:gridCol w:w="161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tblHeader/>
          <w:jc w:val="center"/>
        </w:trPr>
        <w:tc>
          <w:tcPr>
            <w:tcW w:w="2632" w:type="dxa"/>
            <w:vAlign w:val="center"/>
          </w:tcPr>
          <w:p>
            <w:pPr>
              <w:pStyle w:val="35"/>
              <w:adjustRightInd w:val="0"/>
              <w:spacing w:before="0" w:beforeAutospacing="0" w:after="0" w:afterAutospacing="0" w:line="240" w:lineRule="auto"/>
              <w:ind w:firstLine="422"/>
              <w:jc w:val="center"/>
              <w:rPr>
                <w:rFonts w:ascii="Times New Roman" w:hAnsi="Times New Roman" w:cs="Times New Roman"/>
                <w:b/>
                <w:bCs/>
                <w:sz w:val="21"/>
                <w:szCs w:val="21"/>
              </w:rPr>
            </w:pPr>
            <w:r>
              <w:rPr>
                <w:rFonts w:hint="eastAsia" w:ascii="Times New Roman" w:hAnsi="Times New Roman" w:cs="Times New Roman"/>
                <w:b/>
                <w:sz w:val="21"/>
                <w:szCs w:val="21"/>
              </w:rPr>
              <w:t>检</w:t>
            </w:r>
            <w:r>
              <w:rPr>
                <w:rFonts w:ascii="Times New Roman" w:hAnsi="Times New Roman" w:cs="Times New Roman"/>
                <w:b/>
                <w:sz w:val="21"/>
                <w:szCs w:val="21"/>
              </w:rPr>
              <w:t>测点位</w:t>
            </w:r>
          </w:p>
        </w:tc>
        <w:tc>
          <w:tcPr>
            <w:tcW w:w="1001" w:type="dxa"/>
            <w:vAlign w:val="center"/>
          </w:tcPr>
          <w:p>
            <w:pPr>
              <w:pStyle w:val="35"/>
              <w:adjustRightInd w:val="0"/>
              <w:spacing w:before="0" w:beforeAutospacing="0" w:after="0" w:afterAutospacing="0" w:line="240" w:lineRule="auto"/>
              <w:ind w:firstLine="422"/>
              <w:jc w:val="center"/>
              <w:rPr>
                <w:rFonts w:ascii="Times New Roman" w:hAnsi="Times New Roman" w:cs="Times New Roman"/>
                <w:b/>
                <w:bCs/>
                <w:sz w:val="21"/>
                <w:szCs w:val="21"/>
              </w:rPr>
            </w:pPr>
            <w:r>
              <w:rPr>
                <w:rFonts w:hint="eastAsia" w:ascii="Times New Roman" w:hAnsi="Times New Roman" w:cs="Times New Roman"/>
                <w:b/>
                <w:sz w:val="21"/>
                <w:szCs w:val="21"/>
              </w:rPr>
              <w:t>检</w:t>
            </w:r>
            <w:r>
              <w:rPr>
                <w:rFonts w:ascii="Times New Roman" w:hAnsi="Times New Roman" w:cs="Times New Roman"/>
                <w:b/>
                <w:sz w:val="21"/>
                <w:szCs w:val="21"/>
              </w:rPr>
              <w:t>测日期</w:t>
            </w:r>
          </w:p>
        </w:tc>
        <w:tc>
          <w:tcPr>
            <w:tcW w:w="2789" w:type="dxa"/>
            <w:vAlign w:val="center"/>
          </w:tcPr>
          <w:p>
            <w:pPr>
              <w:pStyle w:val="35"/>
              <w:adjustRightInd w:val="0"/>
              <w:spacing w:before="0" w:beforeAutospacing="0" w:after="0" w:afterAutospacing="0" w:line="240" w:lineRule="auto"/>
              <w:ind w:firstLine="422"/>
              <w:jc w:val="center"/>
              <w:rPr>
                <w:rFonts w:ascii="Times New Roman" w:hAnsi="Times New Roman" w:cs="Times New Roman"/>
                <w:b/>
                <w:bCs/>
                <w:sz w:val="21"/>
                <w:szCs w:val="21"/>
              </w:rPr>
            </w:pPr>
            <w:r>
              <w:rPr>
                <w:rFonts w:hint="eastAsia" w:ascii="Times New Roman" w:hAnsi="Times New Roman" w:cs="Times New Roman"/>
                <w:b/>
                <w:sz w:val="21"/>
                <w:szCs w:val="21"/>
              </w:rPr>
              <w:t>检</w:t>
            </w:r>
            <w:r>
              <w:rPr>
                <w:rFonts w:ascii="Times New Roman" w:hAnsi="Times New Roman" w:cs="Times New Roman"/>
                <w:b/>
                <w:sz w:val="21"/>
                <w:szCs w:val="21"/>
              </w:rPr>
              <w:t>测时间</w:t>
            </w:r>
          </w:p>
        </w:tc>
        <w:tc>
          <w:tcPr>
            <w:tcW w:w="1611" w:type="dxa"/>
            <w:vAlign w:val="center"/>
          </w:tcPr>
          <w:p>
            <w:pPr>
              <w:pStyle w:val="35"/>
              <w:adjustRightInd w:val="0"/>
              <w:spacing w:before="0" w:beforeAutospacing="0" w:after="0" w:afterAutospacing="0" w:line="240" w:lineRule="auto"/>
              <w:ind w:firstLine="422"/>
              <w:jc w:val="center"/>
              <w:rPr>
                <w:rFonts w:ascii="Times New Roman" w:hAnsi="Times New Roman" w:cs="Times New Roman"/>
                <w:b/>
                <w:sz w:val="21"/>
                <w:szCs w:val="21"/>
              </w:rPr>
            </w:pPr>
            <w:r>
              <w:rPr>
                <w:rFonts w:hint="eastAsia" w:ascii="Times New Roman" w:hAnsi="Times New Roman" w:cs="Times New Roman"/>
                <w:b/>
                <w:sz w:val="21"/>
                <w:szCs w:val="21"/>
              </w:rPr>
              <w:t>检</w:t>
            </w:r>
            <w:r>
              <w:rPr>
                <w:rFonts w:ascii="Times New Roman" w:hAnsi="Times New Roman" w:cs="Times New Roman"/>
                <w:b/>
                <w:sz w:val="21"/>
                <w:szCs w:val="21"/>
              </w:rPr>
              <w:t>测结果dB(A)</w:t>
            </w:r>
          </w:p>
        </w:tc>
        <w:tc>
          <w:tcPr>
            <w:tcW w:w="1718" w:type="dxa"/>
            <w:vAlign w:val="center"/>
          </w:tcPr>
          <w:p>
            <w:pPr>
              <w:pStyle w:val="35"/>
              <w:tabs>
                <w:tab w:val="center" w:pos="770"/>
                <w:tab w:val="right" w:pos="1419"/>
              </w:tabs>
              <w:adjustRightInd w:val="0"/>
              <w:spacing w:before="0" w:beforeAutospacing="0" w:after="0" w:afterAutospacing="0"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spacing w:line="240" w:lineRule="auto"/>
              <w:ind w:firstLine="0" w:firstLineChars="0"/>
              <w:jc w:val="center"/>
              <w:rPr>
                <w:sz w:val="21"/>
                <w:szCs w:val="21"/>
              </w:rPr>
            </w:pPr>
            <w:r>
              <w:rPr>
                <w:sz w:val="21"/>
                <w:szCs w:val="21"/>
              </w:rPr>
              <w:fldChar w:fldCharType="begin"/>
            </w:r>
            <w:r>
              <w:rPr>
                <w:sz w:val="21"/>
                <w:szCs w:val="21"/>
              </w:rPr>
              <w:instrText xml:space="preserve"> REF 噪声1 \h \* MERGEFORMAT</w:instrText>
            </w:r>
            <w:r>
              <w:rPr>
                <w:sz w:val="21"/>
                <w:szCs w:val="21"/>
              </w:rPr>
              <w:fldChar w:fldCharType="separate"/>
            </w:r>
            <w:r>
              <w:rPr>
                <w:sz w:val="21"/>
                <w:szCs w:val="21"/>
              </w:rPr>
              <w:t>1# 渣场附近居民点</w:t>
            </w:r>
            <w:r>
              <w:rPr>
                <w:sz w:val="21"/>
                <w:szCs w:val="21"/>
              </w:rPr>
              <w:fldChar w:fldCharType="end"/>
            </w:r>
          </w:p>
        </w:tc>
        <w:tc>
          <w:tcPr>
            <w:tcW w:w="1001" w:type="dxa"/>
            <w:vMerge w:val="restart"/>
            <w:vAlign w:val="center"/>
          </w:tcPr>
          <w:p>
            <w:pPr>
              <w:spacing w:line="240" w:lineRule="auto"/>
              <w:ind w:firstLine="0" w:firstLineChars="0"/>
              <w:jc w:val="center"/>
              <w:rPr>
                <w:bCs/>
                <w:sz w:val="21"/>
                <w:szCs w:val="21"/>
              </w:rPr>
            </w:pPr>
            <w:r>
              <w:rPr>
                <w:sz w:val="21"/>
                <w:szCs w:val="21"/>
              </w:rPr>
              <w:br w:type="page"/>
            </w:r>
            <w:r>
              <w:rPr>
                <w:sz w:val="21"/>
                <w:szCs w:val="21"/>
              </w:rPr>
              <w:br w:type="page"/>
            </w:r>
            <w:r>
              <w:rPr>
                <w:bCs/>
                <w:kern w:val="0"/>
                <w:sz w:val="21"/>
                <w:szCs w:val="21"/>
              </w:rPr>
              <w:fldChar w:fldCharType="begin"/>
            </w:r>
            <w:r>
              <w:rPr>
                <w:bCs/>
                <w:kern w:val="0"/>
                <w:sz w:val="21"/>
                <w:szCs w:val="21"/>
              </w:rPr>
              <w:instrText xml:space="preserve"> REF 采样日期1 \h \* MERGEFORMAT</w:instrText>
            </w:r>
            <w:r>
              <w:rPr>
                <w:bCs/>
                <w:kern w:val="0"/>
                <w:sz w:val="21"/>
                <w:szCs w:val="21"/>
              </w:rPr>
              <w:fldChar w:fldCharType="separate"/>
            </w:r>
            <w:r>
              <w:rPr>
                <w:bCs/>
                <w:kern w:val="0"/>
                <w:sz w:val="21"/>
                <w:szCs w:val="21"/>
              </w:rPr>
              <w:t>3月7日</w:t>
            </w:r>
            <w:r>
              <w:rPr>
                <w:bCs/>
                <w:kern w:val="0"/>
                <w:sz w:val="21"/>
                <w:szCs w:val="21"/>
              </w:rPr>
              <w:fldChar w:fldCharType="end"/>
            </w:r>
          </w:p>
        </w:tc>
        <w:tc>
          <w:tcPr>
            <w:tcW w:w="2789" w:type="dxa"/>
            <w:vAlign w:val="center"/>
          </w:tcPr>
          <w:p>
            <w:pPr>
              <w:widowControl/>
              <w:ind w:firstLine="420"/>
              <w:jc w:val="center"/>
              <w:textAlignment w:val="center"/>
              <w:rPr>
                <w:sz w:val="21"/>
                <w:szCs w:val="21"/>
              </w:rPr>
            </w:pPr>
            <w:r>
              <w:rPr>
                <w:rFonts w:hint="eastAsia"/>
                <w:sz w:val="21"/>
                <w:szCs w:val="21"/>
              </w:rPr>
              <w:t>10:51-11:01（昼）</w:t>
            </w:r>
          </w:p>
        </w:tc>
        <w:tc>
          <w:tcPr>
            <w:tcW w:w="1611" w:type="dxa"/>
            <w:vAlign w:val="center"/>
          </w:tcPr>
          <w:p>
            <w:pPr>
              <w:widowControl/>
              <w:ind w:firstLine="420"/>
              <w:jc w:val="center"/>
              <w:textAlignment w:val="center"/>
              <w:rPr>
                <w:sz w:val="21"/>
                <w:szCs w:val="21"/>
              </w:rPr>
            </w:pPr>
            <w:r>
              <w:rPr>
                <w:rFonts w:hint="eastAsia"/>
                <w:sz w:val="21"/>
                <w:szCs w:val="21"/>
              </w:rPr>
              <w:t>53</w:t>
            </w:r>
          </w:p>
        </w:tc>
        <w:tc>
          <w:tcPr>
            <w:tcW w:w="1718" w:type="dxa"/>
            <w:vMerge w:val="restart"/>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r>
              <w:rPr>
                <w:rFonts w:ascii="Times New Roman" w:hAnsi="Times New Roman" w:cs="Times New Roman"/>
                <w:sz w:val="21"/>
                <w:szCs w:val="21"/>
              </w:rPr>
              <w:t>昼间≤</w:t>
            </w:r>
            <w:r>
              <w:rPr>
                <w:rFonts w:hint="eastAsia" w:ascii="Times New Roman" w:hAnsi="Times New Roman" w:cs="Times New Roman"/>
                <w:sz w:val="21"/>
                <w:szCs w:val="21"/>
              </w:rPr>
              <w:t>60</w:t>
            </w:r>
          </w:p>
          <w:p>
            <w:pPr>
              <w:pStyle w:val="35"/>
              <w:adjustRightInd w:val="0"/>
              <w:spacing w:before="0" w:beforeAutospacing="0" w:after="0" w:afterAutospacing="0"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夜</w:t>
            </w:r>
            <w:r>
              <w:rPr>
                <w:rFonts w:ascii="Times New Roman" w:hAnsi="Times New Roman" w:cs="Times New Roman"/>
                <w:sz w:val="21"/>
                <w:szCs w:val="21"/>
              </w:rPr>
              <w:t>间≤</w:t>
            </w:r>
            <w:r>
              <w:rPr>
                <w:rFonts w:hint="eastAsia" w:ascii="Times New Roman" w:hAnsi="Times New Roman"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widowControl/>
              <w:spacing w:line="240" w:lineRule="auto"/>
              <w:ind w:firstLine="0" w:firstLineChars="0"/>
              <w:jc w:val="center"/>
              <w:rPr>
                <w:sz w:val="21"/>
                <w:szCs w:val="21"/>
              </w:rPr>
            </w:pPr>
          </w:p>
        </w:tc>
        <w:tc>
          <w:tcPr>
            <w:tcW w:w="1001" w:type="dxa"/>
            <w:vMerge w:val="continue"/>
            <w:vAlign w:val="center"/>
          </w:tcPr>
          <w:p>
            <w:pPr>
              <w:widowControl/>
              <w:spacing w:line="240" w:lineRule="auto"/>
              <w:ind w:firstLine="420"/>
              <w:jc w:val="center"/>
              <w:rPr>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22:01-22:11（夜）</w:t>
            </w:r>
          </w:p>
        </w:tc>
        <w:tc>
          <w:tcPr>
            <w:tcW w:w="1611" w:type="dxa"/>
            <w:vAlign w:val="center"/>
          </w:tcPr>
          <w:p>
            <w:pPr>
              <w:widowControl/>
              <w:ind w:firstLine="420"/>
              <w:jc w:val="center"/>
              <w:textAlignment w:val="center"/>
              <w:rPr>
                <w:sz w:val="21"/>
                <w:szCs w:val="21"/>
              </w:rPr>
            </w:pPr>
            <w:r>
              <w:rPr>
                <w:rFonts w:hint="eastAsia"/>
                <w:sz w:val="21"/>
                <w:szCs w:val="21"/>
              </w:rPr>
              <w:t>41</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噪声2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2# 坝址附近居民点</w:t>
            </w:r>
            <w:r>
              <w:rPr>
                <w:rFonts w:ascii="Times New Roman" w:hAnsi="Times New Roman" w:cs="Times New Roman"/>
                <w:sz w:val="21"/>
                <w:szCs w:val="21"/>
              </w:rPr>
              <w:fldChar w:fldCharType="end"/>
            </w:r>
          </w:p>
        </w:tc>
        <w:tc>
          <w:tcPr>
            <w:tcW w:w="1001" w:type="dxa"/>
            <w:vMerge w:val="continue"/>
            <w:vAlign w:val="center"/>
          </w:tcPr>
          <w:p>
            <w:pPr>
              <w:widowControl/>
              <w:spacing w:line="240" w:lineRule="auto"/>
              <w:ind w:firstLine="420"/>
              <w:jc w:val="center"/>
              <w:rPr>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11:39-11:49（昼）</w:t>
            </w:r>
          </w:p>
        </w:tc>
        <w:tc>
          <w:tcPr>
            <w:tcW w:w="1611" w:type="dxa"/>
            <w:vAlign w:val="center"/>
          </w:tcPr>
          <w:p>
            <w:pPr>
              <w:widowControl/>
              <w:ind w:firstLine="420"/>
              <w:jc w:val="center"/>
              <w:textAlignment w:val="center"/>
              <w:rPr>
                <w:sz w:val="21"/>
                <w:szCs w:val="21"/>
              </w:rPr>
            </w:pPr>
            <w:r>
              <w:rPr>
                <w:rFonts w:hint="eastAsia"/>
                <w:sz w:val="21"/>
                <w:szCs w:val="21"/>
              </w:rPr>
              <w:t>53</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widowControl/>
              <w:adjustRightInd w:val="0"/>
              <w:spacing w:line="240" w:lineRule="auto"/>
              <w:ind w:firstLine="0" w:firstLineChars="0"/>
              <w:jc w:val="center"/>
              <w:rPr>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22:32-22:42（夜）</w:t>
            </w:r>
          </w:p>
        </w:tc>
        <w:tc>
          <w:tcPr>
            <w:tcW w:w="1611" w:type="dxa"/>
            <w:vAlign w:val="center"/>
          </w:tcPr>
          <w:p>
            <w:pPr>
              <w:widowControl/>
              <w:ind w:firstLine="420"/>
              <w:jc w:val="center"/>
              <w:textAlignment w:val="center"/>
              <w:rPr>
                <w:sz w:val="21"/>
                <w:szCs w:val="21"/>
              </w:rPr>
            </w:pPr>
            <w:r>
              <w:rPr>
                <w:rFonts w:hint="eastAsia"/>
                <w:sz w:val="21"/>
                <w:szCs w:val="21"/>
              </w:rPr>
              <w:t>40</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2"/>
              <w:spacing w:before="120" w:after="120" w:line="240" w:lineRule="auto"/>
              <w:ind w:firstLine="42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REF 噪声3 \h \* MERGEFORMAT</w:instrText>
            </w:r>
            <w:r>
              <w:rPr>
                <w:rFonts w:ascii="Times New Roman" w:hAnsi="Times New Roman"/>
                <w:sz w:val="21"/>
                <w:szCs w:val="21"/>
              </w:rPr>
              <w:fldChar w:fldCharType="separate"/>
            </w:r>
            <w:r>
              <w:rPr>
                <w:rFonts w:ascii="Times New Roman" w:hAnsi="Times New Roman"/>
                <w:sz w:val="21"/>
                <w:szCs w:val="21"/>
              </w:rPr>
              <w:t>3# 枢纽渣场附近居民点A</w:t>
            </w:r>
            <w:r>
              <w:rPr>
                <w:rFonts w:ascii="Times New Roman" w:hAnsi="Times New Roman"/>
                <w:sz w:val="21"/>
                <w:szCs w:val="21"/>
              </w:rPr>
              <w:fldChar w:fldCharType="end"/>
            </w:r>
          </w:p>
        </w:tc>
        <w:tc>
          <w:tcPr>
            <w:tcW w:w="1001" w:type="dxa"/>
            <w:vMerge w:val="continue"/>
            <w:vAlign w:val="center"/>
          </w:tcPr>
          <w:p>
            <w:pPr>
              <w:spacing w:line="240" w:lineRule="auto"/>
              <w:ind w:firstLine="0" w:firstLineChars="0"/>
              <w:jc w:val="center"/>
              <w:rPr>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12:39-12:49（昼）</w:t>
            </w:r>
          </w:p>
        </w:tc>
        <w:tc>
          <w:tcPr>
            <w:tcW w:w="1611" w:type="dxa"/>
            <w:vAlign w:val="center"/>
          </w:tcPr>
          <w:p>
            <w:pPr>
              <w:widowControl/>
              <w:ind w:firstLine="420"/>
              <w:jc w:val="center"/>
              <w:textAlignment w:val="center"/>
              <w:rPr>
                <w:sz w:val="21"/>
                <w:szCs w:val="21"/>
              </w:rPr>
            </w:pPr>
            <w:r>
              <w:rPr>
                <w:rFonts w:hint="eastAsia"/>
                <w:sz w:val="21"/>
                <w:szCs w:val="21"/>
              </w:rPr>
              <w:t>50</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23:16-23:26（夜）</w:t>
            </w:r>
          </w:p>
        </w:tc>
        <w:tc>
          <w:tcPr>
            <w:tcW w:w="1611" w:type="dxa"/>
            <w:vAlign w:val="center"/>
          </w:tcPr>
          <w:p>
            <w:pPr>
              <w:widowControl/>
              <w:ind w:firstLine="420"/>
              <w:jc w:val="center"/>
              <w:textAlignment w:val="center"/>
              <w:rPr>
                <w:sz w:val="21"/>
                <w:szCs w:val="21"/>
              </w:rPr>
            </w:pPr>
            <w:r>
              <w:rPr>
                <w:rFonts w:hint="eastAsia"/>
                <w:sz w:val="21"/>
                <w:szCs w:val="21"/>
              </w:rPr>
              <w:t>44</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br w:type="page"/>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噪声4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4# 枢纽渣场附近居民点B</w:t>
            </w:r>
            <w:r>
              <w:rPr>
                <w:rFonts w:ascii="Times New Roman" w:hAnsi="Times New Roman" w:cs="Times New Roman"/>
                <w:sz w:val="21"/>
                <w:szCs w:val="21"/>
              </w:rPr>
              <w:fldChar w:fldCharType="end"/>
            </w:r>
          </w:p>
        </w:tc>
        <w:tc>
          <w:tcPr>
            <w:tcW w:w="1001" w:type="dxa"/>
            <w:vMerge w:val="continue"/>
            <w:vAlign w:val="center"/>
          </w:tcPr>
          <w:p>
            <w:pPr>
              <w:spacing w:line="240" w:lineRule="auto"/>
              <w:ind w:firstLine="0" w:firstLineChars="0"/>
              <w:jc w:val="center"/>
              <w:rPr>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13:00-13:10（昼）</w:t>
            </w:r>
          </w:p>
        </w:tc>
        <w:tc>
          <w:tcPr>
            <w:tcW w:w="1611" w:type="dxa"/>
            <w:vAlign w:val="center"/>
          </w:tcPr>
          <w:p>
            <w:pPr>
              <w:widowControl/>
              <w:ind w:firstLine="420"/>
              <w:jc w:val="center"/>
              <w:textAlignment w:val="center"/>
              <w:rPr>
                <w:sz w:val="21"/>
                <w:szCs w:val="21"/>
              </w:rPr>
            </w:pPr>
            <w:r>
              <w:rPr>
                <w:rFonts w:hint="eastAsia"/>
                <w:sz w:val="21"/>
                <w:szCs w:val="21"/>
              </w:rPr>
              <w:t>54</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23:32-23:42（夜）</w:t>
            </w:r>
          </w:p>
        </w:tc>
        <w:tc>
          <w:tcPr>
            <w:tcW w:w="1611" w:type="dxa"/>
            <w:vAlign w:val="center"/>
          </w:tcPr>
          <w:p>
            <w:pPr>
              <w:widowControl/>
              <w:ind w:firstLine="420"/>
              <w:jc w:val="center"/>
              <w:textAlignment w:val="center"/>
              <w:rPr>
                <w:sz w:val="21"/>
                <w:szCs w:val="21"/>
              </w:rPr>
            </w:pPr>
            <w:r>
              <w:rPr>
                <w:rFonts w:hint="eastAsia"/>
                <w:sz w:val="21"/>
                <w:szCs w:val="21"/>
              </w:rPr>
              <w:t>45</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br w:type="page"/>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w:instrText>
            </w:r>
            <w:r>
              <w:rPr>
                <w:rFonts w:hint="eastAsia" w:ascii="Times New Roman" w:hAnsi="Times New Roman" w:cs="Times New Roman"/>
                <w:sz w:val="21"/>
                <w:szCs w:val="21"/>
              </w:rPr>
              <w:instrText xml:space="preserve">5</w:instrText>
            </w:r>
            <w:r>
              <w:rPr>
                <w:rFonts w:ascii="Times New Roman" w:hAnsi="Times New Roman" w:cs="Times New Roman"/>
                <w:sz w:val="21"/>
                <w:szCs w:val="21"/>
              </w:rPr>
              <w:instrText xml:space="preserve">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5# 枢纽渣场附近居民点C</w:t>
            </w:r>
            <w:r>
              <w:rPr>
                <w:rFonts w:ascii="Times New Roman" w:hAnsi="Times New Roman" w:cs="Times New Roman"/>
                <w:sz w:val="21"/>
                <w:szCs w:val="21"/>
              </w:rPr>
              <w:fldChar w:fldCharType="end"/>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12:05-12:15（昼）</w:t>
            </w:r>
          </w:p>
        </w:tc>
        <w:tc>
          <w:tcPr>
            <w:tcW w:w="1611" w:type="dxa"/>
            <w:vAlign w:val="center"/>
          </w:tcPr>
          <w:p>
            <w:pPr>
              <w:widowControl/>
              <w:ind w:firstLine="420"/>
              <w:jc w:val="center"/>
              <w:textAlignment w:val="center"/>
              <w:rPr>
                <w:sz w:val="21"/>
                <w:szCs w:val="21"/>
              </w:rPr>
            </w:pPr>
            <w:r>
              <w:rPr>
                <w:rFonts w:hint="eastAsia"/>
                <w:sz w:val="21"/>
                <w:szCs w:val="21"/>
              </w:rPr>
              <w:t>52</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22:56-23:06（夜）</w:t>
            </w:r>
          </w:p>
        </w:tc>
        <w:tc>
          <w:tcPr>
            <w:tcW w:w="1611" w:type="dxa"/>
            <w:vAlign w:val="center"/>
          </w:tcPr>
          <w:p>
            <w:pPr>
              <w:widowControl/>
              <w:ind w:firstLine="420"/>
              <w:jc w:val="center"/>
              <w:textAlignment w:val="center"/>
              <w:rPr>
                <w:sz w:val="21"/>
                <w:szCs w:val="21"/>
              </w:rPr>
            </w:pPr>
            <w:r>
              <w:rPr>
                <w:rFonts w:hint="eastAsia"/>
                <w:sz w:val="21"/>
                <w:szCs w:val="21"/>
              </w:rPr>
              <w:t>44</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spacing w:line="240" w:lineRule="auto"/>
              <w:ind w:firstLine="0" w:firstLineChars="0"/>
              <w:jc w:val="center"/>
              <w:rPr>
                <w:sz w:val="21"/>
                <w:szCs w:val="21"/>
              </w:rPr>
            </w:pPr>
            <w:r>
              <w:rPr>
                <w:sz w:val="21"/>
                <w:szCs w:val="21"/>
              </w:rPr>
              <w:fldChar w:fldCharType="begin"/>
            </w:r>
            <w:r>
              <w:rPr>
                <w:sz w:val="21"/>
                <w:szCs w:val="21"/>
              </w:rPr>
              <w:instrText xml:space="preserve"> REF 噪声1 \h \* MERGEFORMAT</w:instrText>
            </w:r>
            <w:r>
              <w:rPr>
                <w:sz w:val="21"/>
                <w:szCs w:val="21"/>
              </w:rPr>
              <w:fldChar w:fldCharType="separate"/>
            </w:r>
            <w:r>
              <w:rPr>
                <w:sz w:val="21"/>
                <w:szCs w:val="21"/>
              </w:rPr>
              <w:t>1# 渣场附近居民点</w:t>
            </w:r>
            <w:r>
              <w:rPr>
                <w:sz w:val="21"/>
                <w:szCs w:val="21"/>
              </w:rPr>
              <w:fldChar w:fldCharType="end"/>
            </w:r>
          </w:p>
        </w:tc>
        <w:tc>
          <w:tcPr>
            <w:tcW w:w="1001" w:type="dxa"/>
            <w:vMerge w:val="restart"/>
            <w:vAlign w:val="center"/>
          </w:tcPr>
          <w:p>
            <w:pPr>
              <w:spacing w:line="240" w:lineRule="auto"/>
              <w:ind w:firstLine="0" w:firstLineChars="0"/>
              <w:jc w:val="center"/>
              <w:rPr>
                <w:bCs/>
                <w:sz w:val="21"/>
                <w:szCs w:val="21"/>
              </w:rPr>
            </w:pPr>
            <w:r>
              <w:rPr>
                <w:sz w:val="21"/>
                <w:szCs w:val="21"/>
              </w:rPr>
              <w:t>3月</w:t>
            </w:r>
            <w:r>
              <w:rPr>
                <w:rFonts w:hint="eastAsia"/>
                <w:sz w:val="21"/>
                <w:szCs w:val="21"/>
              </w:rPr>
              <w:t>8</w:t>
            </w:r>
            <w:r>
              <w:rPr>
                <w:sz w:val="21"/>
                <w:szCs w:val="21"/>
              </w:rPr>
              <w:t>日</w:t>
            </w:r>
          </w:p>
        </w:tc>
        <w:tc>
          <w:tcPr>
            <w:tcW w:w="2789" w:type="dxa"/>
            <w:vAlign w:val="center"/>
          </w:tcPr>
          <w:p>
            <w:pPr>
              <w:widowControl/>
              <w:ind w:firstLine="420"/>
              <w:jc w:val="center"/>
              <w:textAlignment w:val="center"/>
              <w:rPr>
                <w:kern w:val="0"/>
                <w:sz w:val="21"/>
                <w:szCs w:val="21"/>
              </w:rPr>
            </w:pPr>
            <w:r>
              <w:rPr>
                <w:rFonts w:hint="eastAsia"/>
                <w:kern w:val="0"/>
                <w:sz w:val="21"/>
                <w:szCs w:val="21"/>
              </w:rPr>
              <w:t>09:04-09:14</w:t>
            </w:r>
            <w:r>
              <w:rPr>
                <w:rFonts w:hint="eastAsia"/>
                <w:sz w:val="21"/>
                <w:szCs w:val="21"/>
              </w:rPr>
              <w:t>（昼）</w:t>
            </w:r>
          </w:p>
        </w:tc>
        <w:tc>
          <w:tcPr>
            <w:tcW w:w="1611" w:type="dxa"/>
            <w:vAlign w:val="center"/>
          </w:tcPr>
          <w:p>
            <w:pPr>
              <w:widowControl/>
              <w:ind w:firstLine="420"/>
              <w:jc w:val="center"/>
              <w:textAlignment w:val="center"/>
              <w:rPr>
                <w:sz w:val="21"/>
                <w:szCs w:val="21"/>
              </w:rPr>
            </w:pPr>
            <w:r>
              <w:rPr>
                <w:rFonts w:hint="eastAsia"/>
                <w:sz w:val="21"/>
                <w:szCs w:val="21"/>
              </w:rPr>
              <w:t>52</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3:16-13:26（昼）152</w:t>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kern w:val="0"/>
                <w:sz w:val="21"/>
                <w:szCs w:val="21"/>
              </w:rPr>
            </w:pPr>
            <w:r>
              <w:rPr>
                <w:rFonts w:hint="eastAsia"/>
                <w:kern w:val="0"/>
                <w:sz w:val="21"/>
                <w:szCs w:val="21"/>
              </w:rPr>
              <w:t>22:00-22:10</w:t>
            </w:r>
            <w:r>
              <w:rPr>
                <w:rFonts w:hint="eastAsia"/>
                <w:sz w:val="21"/>
                <w:szCs w:val="21"/>
              </w:rPr>
              <w:t>（夜）</w:t>
            </w:r>
          </w:p>
        </w:tc>
        <w:tc>
          <w:tcPr>
            <w:tcW w:w="1611" w:type="dxa"/>
            <w:vAlign w:val="center"/>
          </w:tcPr>
          <w:p>
            <w:pPr>
              <w:widowControl/>
              <w:ind w:firstLine="420"/>
              <w:jc w:val="center"/>
              <w:textAlignment w:val="center"/>
              <w:rPr>
                <w:sz w:val="21"/>
                <w:szCs w:val="21"/>
              </w:rPr>
            </w:pPr>
            <w:r>
              <w:rPr>
                <w:rFonts w:hint="eastAsia"/>
                <w:sz w:val="21"/>
                <w:szCs w:val="21"/>
              </w:rPr>
              <w:t>40</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噪声2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2# 坝址附近居民点</w:t>
            </w:r>
            <w:r>
              <w:rPr>
                <w:rFonts w:ascii="Times New Roman" w:hAnsi="Times New Roman" w:cs="Times New Roman"/>
                <w:sz w:val="21"/>
                <w:szCs w:val="21"/>
              </w:rPr>
              <w:fldChar w:fldCharType="end"/>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09:43-09:53（昼）</w:t>
            </w:r>
          </w:p>
        </w:tc>
        <w:tc>
          <w:tcPr>
            <w:tcW w:w="1611" w:type="dxa"/>
            <w:vAlign w:val="center"/>
          </w:tcPr>
          <w:p>
            <w:pPr>
              <w:widowControl/>
              <w:ind w:firstLine="420"/>
              <w:jc w:val="center"/>
              <w:textAlignment w:val="center"/>
              <w:rPr>
                <w:sz w:val="21"/>
                <w:szCs w:val="21"/>
              </w:rPr>
            </w:pPr>
            <w:r>
              <w:rPr>
                <w:rFonts w:hint="eastAsia"/>
                <w:sz w:val="21"/>
                <w:szCs w:val="21"/>
              </w:rPr>
              <w:t>54</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widowControl/>
              <w:adjustRightInd w:val="0"/>
              <w:spacing w:line="240" w:lineRule="auto"/>
              <w:ind w:firstLine="0" w:firstLineChars="0"/>
              <w:jc w:val="center"/>
              <w:rPr>
                <w:sz w:val="21"/>
                <w:szCs w:val="21"/>
              </w:rPr>
            </w:pPr>
            <w:r>
              <w:rPr>
                <w:sz w:val="21"/>
                <w:szCs w:val="21"/>
              </w:rPr>
              <w:t>3:29-13:39（昼）151</w:t>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22:36-22:46（夜）</w:t>
            </w:r>
          </w:p>
        </w:tc>
        <w:tc>
          <w:tcPr>
            <w:tcW w:w="1611" w:type="dxa"/>
            <w:vAlign w:val="center"/>
          </w:tcPr>
          <w:p>
            <w:pPr>
              <w:widowControl/>
              <w:ind w:firstLine="420"/>
              <w:jc w:val="center"/>
              <w:textAlignment w:val="center"/>
              <w:rPr>
                <w:sz w:val="21"/>
                <w:szCs w:val="21"/>
              </w:rPr>
            </w:pPr>
            <w:r>
              <w:rPr>
                <w:rFonts w:hint="eastAsia"/>
                <w:sz w:val="21"/>
                <w:szCs w:val="21"/>
              </w:rPr>
              <w:t>42</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2"/>
              <w:spacing w:before="120" w:after="120" w:line="240" w:lineRule="auto"/>
              <w:ind w:firstLine="42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REF 噪声3 \h \* MERGEFORMAT</w:instrText>
            </w:r>
            <w:r>
              <w:rPr>
                <w:rFonts w:ascii="Times New Roman" w:hAnsi="Times New Roman"/>
                <w:sz w:val="21"/>
                <w:szCs w:val="21"/>
              </w:rPr>
              <w:fldChar w:fldCharType="separate"/>
            </w:r>
            <w:r>
              <w:rPr>
                <w:rFonts w:ascii="Times New Roman" w:hAnsi="Times New Roman"/>
                <w:sz w:val="21"/>
                <w:szCs w:val="21"/>
              </w:rPr>
              <w:t>3# 枢纽渣场附近居民点A</w:t>
            </w:r>
            <w:r>
              <w:rPr>
                <w:rFonts w:ascii="Times New Roman" w:hAnsi="Times New Roman"/>
                <w:sz w:val="21"/>
                <w:szCs w:val="21"/>
              </w:rPr>
              <w:fldChar w:fldCharType="end"/>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10:38-10:48（昼）</w:t>
            </w:r>
          </w:p>
        </w:tc>
        <w:tc>
          <w:tcPr>
            <w:tcW w:w="1611" w:type="dxa"/>
            <w:vAlign w:val="center"/>
          </w:tcPr>
          <w:p>
            <w:pPr>
              <w:widowControl/>
              <w:ind w:firstLine="420"/>
              <w:jc w:val="center"/>
              <w:textAlignment w:val="center"/>
              <w:rPr>
                <w:sz w:val="21"/>
                <w:szCs w:val="21"/>
              </w:rPr>
            </w:pPr>
            <w:r>
              <w:rPr>
                <w:rFonts w:hint="eastAsia"/>
                <w:sz w:val="21"/>
                <w:szCs w:val="21"/>
              </w:rPr>
              <w:t>51</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3:44-13:54（昼）154</w:t>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23:18-23:28（夜）</w:t>
            </w:r>
          </w:p>
        </w:tc>
        <w:tc>
          <w:tcPr>
            <w:tcW w:w="1611" w:type="dxa"/>
            <w:vAlign w:val="center"/>
          </w:tcPr>
          <w:p>
            <w:pPr>
              <w:widowControl/>
              <w:ind w:firstLine="420"/>
              <w:jc w:val="center"/>
              <w:textAlignment w:val="center"/>
              <w:rPr>
                <w:sz w:val="21"/>
                <w:szCs w:val="21"/>
              </w:rPr>
            </w:pPr>
            <w:r>
              <w:rPr>
                <w:rFonts w:hint="eastAsia"/>
                <w:sz w:val="21"/>
                <w:szCs w:val="21"/>
              </w:rPr>
              <w:t>43</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br w:type="page"/>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噪声4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4# 枢纽渣场附近居民点B</w:t>
            </w:r>
            <w:r>
              <w:rPr>
                <w:rFonts w:ascii="Times New Roman" w:hAnsi="Times New Roman" w:cs="Times New Roman"/>
                <w:sz w:val="21"/>
                <w:szCs w:val="21"/>
              </w:rPr>
              <w:fldChar w:fldCharType="end"/>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10:58-11:08（昼）</w:t>
            </w:r>
          </w:p>
        </w:tc>
        <w:tc>
          <w:tcPr>
            <w:tcW w:w="1611" w:type="dxa"/>
            <w:vAlign w:val="center"/>
          </w:tcPr>
          <w:p>
            <w:pPr>
              <w:widowControl/>
              <w:ind w:firstLine="420"/>
              <w:jc w:val="center"/>
              <w:textAlignment w:val="center"/>
              <w:rPr>
                <w:sz w:val="21"/>
                <w:szCs w:val="21"/>
              </w:rPr>
            </w:pPr>
            <w:r>
              <w:rPr>
                <w:rFonts w:hint="eastAsia"/>
                <w:sz w:val="21"/>
                <w:szCs w:val="21"/>
              </w:rPr>
              <w:t>53</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23:40-23:50（夜）</w:t>
            </w:r>
          </w:p>
        </w:tc>
        <w:tc>
          <w:tcPr>
            <w:tcW w:w="1611" w:type="dxa"/>
            <w:vAlign w:val="center"/>
          </w:tcPr>
          <w:p>
            <w:pPr>
              <w:widowControl/>
              <w:ind w:firstLine="420"/>
              <w:jc w:val="center"/>
              <w:textAlignment w:val="center"/>
              <w:rPr>
                <w:sz w:val="21"/>
                <w:szCs w:val="21"/>
              </w:rPr>
            </w:pPr>
            <w:r>
              <w:rPr>
                <w:rFonts w:hint="eastAsia"/>
                <w:sz w:val="21"/>
                <w:szCs w:val="21"/>
              </w:rPr>
              <w:t>43</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restart"/>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br w:type="page"/>
            </w:r>
            <w:r>
              <w:rPr>
                <w:rFonts w:ascii="Times New Roman" w:hAnsi="Times New Roman" w:cs="Times New Roman"/>
                <w:sz w:val="21"/>
                <w:szCs w:val="21"/>
              </w:rPr>
              <w:fldChar w:fldCharType="begin"/>
            </w:r>
            <w:r>
              <w:rPr>
                <w:rFonts w:ascii="Times New Roman" w:hAnsi="Times New Roman" w:cs="Times New Roman"/>
                <w:sz w:val="21"/>
                <w:szCs w:val="21"/>
              </w:rPr>
              <w:instrText xml:space="preserve"> REF 噪声</w:instrText>
            </w:r>
            <w:r>
              <w:rPr>
                <w:rFonts w:hint="eastAsia" w:ascii="Times New Roman" w:hAnsi="Times New Roman" w:cs="Times New Roman"/>
                <w:sz w:val="21"/>
                <w:szCs w:val="21"/>
              </w:rPr>
              <w:instrText xml:space="preserve">5</w:instrText>
            </w:r>
            <w:r>
              <w:rPr>
                <w:rFonts w:ascii="Times New Roman" w:hAnsi="Times New Roman" w:cs="Times New Roman"/>
                <w:sz w:val="21"/>
                <w:szCs w:val="21"/>
              </w:rPr>
              <w:instrText xml:space="preserve"> \h \* MERGEFORMAT</w:instrText>
            </w:r>
            <w:r>
              <w:rPr>
                <w:rFonts w:ascii="Times New Roman" w:hAnsi="Times New Roman" w:cs="Times New Roman"/>
                <w:sz w:val="21"/>
                <w:szCs w:val="21"/>
              </w:rPr>
              <w:fldChar w:fldCharType="separate"/>
            </w:r>
            <w:r>
              <w:rPr>
                <w:rFonts w:ascii="Times New Roman" w:hAnsi="Times New Roman" w:cs="Times New Roman"/>
                <w:sz w:val="21"/>
                <w:szCs w:val="21"/>
              </w:rPr>
              <w:t>5# 枢纽渣场附近居民点C</w:t>
            </w:r>
            <w:r>
              <w:rPr>
                <w:rFonts w:ascii="Times New Roman" w:hAnsi="Times New Roman" w:cs="Times New Roman"/>
                <w:sz w:val="21"/>
                <w:szCs w:val="21"/>
              </w:rPr>
              <w:fldChar w:fldCharType="end"/>
            </w: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10:15-10:25（昼）</w:t>
            </w:r>
          </w:p>
        </w:tc>
        <w:tc>
          <w:tcPr>
            <w:tcW w:w="1611" w:type="dxa"/>
            <w:vAlign w:val="center"/>
          </w:tcPr>
          <w:p>
            <w:pPr>
              <w:widowControl/>
              <w:ind w:firstLine="420"/>
              <w:jc w:val="center"/>
              <w:textAlignment w:val="center"/>
              <w:rPr>
                <w:sz w:val="21"/>
                <w:szCs w:val="21"/>
              </w:rPr>
            </w:pPr>
            <w:r>
              <w:rPr>
                <w:rFonts w:hint="eastAsia"/>
                <w:sz w:val="21"/>
                <w:szCs w:val="21"/>
              </w:rPr>
              <w:t>52</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2632" w:type="dxa"/>
            <w:vMerge w:val="continue"/>
            <w:vAlign w:val="center"/>
          </w:tcPr>
          <w:p>
            <w:pPr>
              <w:pStyle w:val="35"/>
              <w:adjustRightInd w:val="0"/>
              <w:spacing w:before="0" w:beforeAutospacing="0" w:after="0" w:afterAutospacing="0" w:line="240" w:lineRule="auto"/>
              <w:ind w:firstLine="0" w:firstLineChars="0"/>
              <w:jc w:val="center"/>
              <w:rPr>
                <w:rFonts w:ascii="Times New Roman" w:hAnsi="Times New Roman" w:cs="Times New Roman"/>
                <w:sz w:val="21"/>
                <w:szCs w:val="21"/>
              </w:rPr>
            </w:pPr>
          </w:p>
        </w:tc>
        <w:tc>
          <w:tcPr>
            <w:tcW w:w="1001" w:type="dxa"/>
            <w:vMerge w:val="continue"/>
            <w:vAlign w:val="center"/>
          </w:tcPr>
          <w:p>
            <w:pPr>
              <w:pStyle w:val="2"/>
              <w:widowControl/>
              <w:spacing w:before="120" w:after="120" w:line="240" w:lineRule="auto"/>
              <w:ind w:firstLine="420"/>
              <w:jc w:val="center"/>
              <w:rPr>
                <w:rFonts w:ascii="Times New Roman" w:hAnsi="Times New Roman"/>
                <w:bCs/>
                <w:sz w:val="21"/>
                <w:szCs w:val="21"/>
              </w:rPr>
            </w:pPr>
          </w:p>
        </w:tc>
        <w:tc>
          <w:tcPr>
            <w:tcW w:w="2789" w:type="dxa"/>
            <w:vAlign w:val="center"/>
          </w:tcPr>
          <w:p>
            <w:pPr>
              <w:widowControl/>
              <w:ind w:firstLine="420"/>
              <w:jc w:val="center"/>
              <w:textAlignment w:val="center"/>
              <w:rPr>
                <w:sz w:val="21"/>
                <w:szCs w:val="21"/>
              </w:rPr>
            </w:pPr>
            <w:r>
              <w:rPr>
                <w:rFonts w:hint="eastAsia"/>
                <w:sz w:val="21"/>
                <w:szCs w:val="21"/>
              </w:rPr>
              <w:t>22:58-23:08（夜）</w:t>
            </w:r>
          </w:p>
        </w:tc>
        <w:tc>
          <w:tcPr>
            <w:tcW w:w="1611" w:type="dxa"/>
            <w:vAlign w:val="center"/>
          </w:tcPr>
          <w:p>
            <w:pPr>
              <w:widowControl/>
              <w:ind w:firstLine="420"/>
              <w:jc w:val="center"/>
              <w:textAlignment w:val="center"/>
              <w:rPr>
                <w:sz w:val="21"/>
                <w:szCs w:val="21"/>
              </w:rPr>
            </w:pPr>
            <w:r>
              <w:rPr>
                <w:rFonts w:hint="eastAsia"/>
                <w:sz w:val="21"/>
                <w:szCs w:val="21"/>
              </w:rPr>
              <w:t>42</w:t>
            </w:r>
          </w:p>
        </w:tc>
        <w:tc>
          <w:tcPr>
            <w:tcW w:w="1718" w:type="dxa"/>
            <w:vMerge w:val="continue"/>
            <w:vAlign w:val="center"/>
          </w:tcPr>
          <w:p>
            <w:pPr>
              <w:pStyle w:val="35"/>
              <w:adjustRightInd w:val="0"/>
              <w:spacing w:before="0" w:beforeAutospacing="0" w:after="0" w:afterAutospacing="0" w:line="240" w:lineRule="auto"/>
              <w:ind w:firstLine="420"/>
              <w:jc w:val="center"/>
              <w:rPr>
                <w:rFonts w:ascii="Times New Roman" w:hAnsi="Times New Roman" w:cs="Times New Roman"/>
                <w:sz w:val="21"/>
                <w:szCs w:val="21"/>
              </w:rPr>
            </w:pPr>
          </w:p>
        </w:tc>
      </w:tr>
    </w:tbl>
    <w:p>
      <w:pPr>
        <w:pStyle w:val="79"/>
        <w:adjustRightInd/>
        <w:spacing w:line="360" w:lineRule="auto"/>
        <w:ind w:firstLine="480" w:firstLineChars="200"/>
        <w:contextualSpacing/>
        <w:rPr>
          <w:rFonts w:ascii="Times New Roman" w:hAnsi="Times New Roman" w:cs="Times New Roman"/>
          <w:color w:val="auto"/>
        </w:rPr>
      </w:pPr>
      <w:r>
        <w:rPr>
          <w:rFonts w:ascii="Times New Roman" w:hAnsi="Times New Roman" w:cs="Times New Roman"/>
          <w:color w:val="auto"/>
        </w:rPr>
        <w:t>由上表可知：项目区域声环境质量达《声环境质量标准》（GB3096-2008）中的1类标准。</w:t>
      </w:r>
    </w:p>
    <w:p>
      <w:pPr>
        <w:pStyle w:val="4"/>
        <w:ind w:firstLine="0" w:firstLineChars="0"/>
        <w:contextualSpacing/>
      </w:pPr>
      <w:bookmarkStart w:id="470" w:name="_Toc130753432"/>
      <w:r>
        <w:t>4.9区域主要环境问题</w:t>
      </w:r>
      <w:bookmarkEnd w:id="470"/>
    </w:p>
    <w:p>
      <w:pPr>
        <w:pStyle w:val="5"/>
        <w:ind w:firstLine="0" w:firstLineChars="0"/>
        <w:contextualSpacing/>
        <w:rPr>
          <w:rFonts w:ascii="Times New Roman" w:hAnsi="Times New Roman"/>
        </w:rPr>
      </w:pPr>
      <w:r>
        <w:rPr>
          <w:rFonts w:ascii="Times New Roman" w:hAnsi="Times New Roman"/>
        </w:rPr>
        <w:t>4.9.1生态环境问题</w:t>
      </w:r>
    </w:p>
    <w:p>
      <w:pPr>
        <w:pStyle w:val="65"/>
        <w:spacing w:line="360" w:lineRule="auto"/>
        <w:ind w:firstLine="480"/>
        <w:contextualSpacing/>
      </w:pPr>
      <w:r>
        <w:t>（1）自然植被遭到不同程度的破坏</w:t>
      </w:r>
    </w:p>
    <w:p>
      <w:pPr>
        <w:pStyle w:val="65"/>
        <w:spacing w:line="360" w:lineRule="auto"/>
        <w:ind w:firstLine="480"/>
        <w:contextualSpacing/>
      </w:pPr>
      <w:r>
        <w:t>评价区人类活动十分频繁，地带性植被常绿阔叶林破坏较为严重，目前森林主要以次生林和人工林为主，且树种单一。</w:t>
      </w:r>
    </w:p>
    <w:p>
      <w:pPr>
        <w:pStyle w:val="65"/>
        <w:spacing w:line="360" w:lineRule="auto"/>
        <w:ind w:firstLine="480"/>
        <w:contextualSpacing/>
      </w:pPr>
      <w:r>
        <w:t>（2）局部水土流失</w:t>
      </w:r>
    </w:p>
    <w:p>
      <w:pPr>
        <w:pStyle w:val="65"/>
        <w:spacing w:line="360" w:lineRule="auto"/>
        <w:ind w:firstLine="480"/>
        <w:contextualSpacing/>
      </w:pPr>
      <w:r>
        <w:t>工程区在局部区域存在轻度和中度侵蚀。随着社会经济发展，流域内大面积的山地丘陵可能开发为经济林或者建设用地，加上山高坡陡、降雨强度大等自然因素的影响，造成生态环境脆弱，存在水土流失加剧的可能。</w:t>
      </w:r>
    </w:p>
    <w:p>
      <w:pPr>
        <w:pStyle w:val="5"/>
        <w:ind w:firstLine="0" w:firstLineChars="0"/>
        <w:contextualSpacing/>
        <w:rPr>
          <w:rFonts w:ascii="Times New Roman" w:hAnsi="Times New Roman"/>
        </w:rPr>
      </w:pPr>
      <w:r>
        <w:rPr>
          <w:rFonts w:ascii="Times New Roman" w:hAnsi="Times New Roman"/>
        </w:rPr>
        <w:t>4.12.2水环境问题</w:t>
      </w:r>
    </w:p>
    <w:p>
      <w:pPr>
        <w:pStyle w:val="65"/>
        <w:spacing w:line="360" w:lineRule="auto"/>
        <w:ind w:firstLine="480"/>
        <w:contextualSpacing/>
      </w:pPr>
      <w:r>
        <w:t>（1）流域内污染源仍需治理</w:t>
      </w:r>
    </w:p>
    <w:p>
      <w:pPr>
        <w:pStyle w:val="65"/>
        <w:spacing w:line="360" w:lineRule="auto"/>
        <w:ind w:firstLine="480"/>
        <w:contextualSpacing/>
      </w:pPr>
      <w:r>
        <w:t>评价区涉及的主要河流水质尚好，区域内经济发展较为落后，无大的工矿企业、大型养殖场等，区域的污染源主要是农村生活源和农业面源污染。</w:t>
      </w:r>
    </w:p>
    <w:p>
      <w:pPr>
        <w:pStyle w:val="65"/>
        <w:spacing w:line="360" w:lineRule="auto"/>
        <w:ind w:firstLine="480"/>
        <w:contextualSpacing/>
      </w:pPr>
      <w:r>
        <w:t>（2）生活污水处理水平不高</w:t>
      </w:r>
    </w:p>
    <w:p>
      <w:pPr>
        <w:pStyle w:val="65"/>
        <w:spacing w:line="360" w:lineRule="auto"/>
        <w:ind w:firstLine="480"/>
        <w:contextualSpacing/>
      </w:pPr>
      <w:r>
        <w:t>评价区以农村地区为主，从调查中发现，由于社会经济发展落后，目前区域生活污染源多以散排为主，没有经过充分收集和处理，这就导致随着区域人口的增加，入河污染物量也持续增加，对河流水体水质的影响逐渐严重。</w:t>
      </w:r>
    </w:p>
    <w:p>
      <w:pPr>
        <w:pStyle w:val="65"/>
        <w:spacing w:line="360" w:lineRule="auto"/>
        <w:ind w:firstLine="480"/>
        <w:contextualSpacing/>
      </w:pPr>
      <w:r>
        <w:t>（3）农业面源污染依然严重</w:t>
      </w:r>
    </w:p>
    <w:p>
      <w:pPr>
        <w:ind w:firstLine="480"/>
        <w:contextualSpacing/>
        <w:sectPr>
          <w:footerReference r:id="rId24" w:type="default"/>
          <w:pgSz w:w="11906" w:h="16838"/>
          <w:pgMar w:top="1440" w:right="1800" w:bottom="1440" w:left="1800" w:header="851" w:footer="992" w:gutter="0"/>
          <w:cols w:space="720" w:num="1"/>
          <w:docGrid w:type="lines" w:linePitch="312" w:charSpace="0"/>
        </w:sectPr>
      </w:pPr>
      <w:r>
        <w:t>流域内农业快速发展，特色经济作物种植面积较广，且河流、水库等水体沿岸存在耕种现象，导致农药化肥、农田固废大多直接进入水体，对流域内水体造成的面源污染仍较为严重。</w:t>
      </w:r>
    </w:p>
    <w:p>
      <w:pPr>
        <w:pStyle w:val="3"/>
        <w:ind w:firstLine="0" w:firstLineChars="0"/>
        <w:contextualSpacing/>
        <w:rPr>
          <w:rFonts w:ascii="Times New Roman" w:hAnsi="Times New Roman"/>
        </w:rPr>
      </w:pPr>
      <w:bookmarkStart w:id="471" w:name="_Toc15475"/>
      <w:bookmarkStart w:id="472" w:name="_Toc130753433"/>
      <w:bookmarkStart w:id="473" w:name="_Toc13828"/>
      <w:bookmarkStart w:id="474" w:name="_Toc24700"/>
      <w:bookmarkStart w:id="475" w:name="_Toc30658"/>
      <w:r>
        <w:rPr>
          <w:rFonts w:ascii="Times New Roman" w:hAnsi="Times New Roman"/>
        </w:rPr>
        <w:t>5环境影响预测与评价</w:t>
      </w:r>
      <w:bookmarkEnd w:id="471"/>
      <w:bookmarkEnd w:id="472"/>
      <w:bookmarkEnd w:id="473"/>
      <w:bookmarkEnd w:id="474"/>
      <w:bookmarkEnd w:id="475"/>
    </w:p>
    <w:p>
      <w:pPr>
        <w:pStyle w:val="4"/>
        <w:tabs>
          <w:tab w:val="left" w:pos="1843"/>
        </w:tabs>
        <w:ind w:firstLine="0" w:firstLineChars="0"/>
        <w:contextualSpacing/>
      </w:pPr>
      <w:bookmarkStart w:id="476" w:name="_Toc31955"/>
      <w:bookmarkStart w:id="477" w:name="_Toc28254"/>
      <w:bookmarkStart w:id="478" w:name="_Toc2165"/>
      <w:bookmarkStart w:id="479" w:name="_Toc29846"/>
      <w:bookmarkStart w:id="480" w:name="_Toc130753434"/>
      <w:r>
        <w:t>5.1</w:t>
      </w:r>
      <w:bookmarkEnd w:id="476"/>
      <w:bookmarkEnd w:id="477"/>
      <w:bookmarkEnd w:id="478"/>
      <w:bookmarkEnd w:id="479"/>
      <w:r>
        <w:t>水文情势影响分析</w:t>
      </w:r>
      <w:bookmarkEnd w:id="480"/>
    </w:p>
    <w:p>
      <w:pPr>
        <w:pStyle w:val="5"/>
        <w:tabs>
          <w:tab w:val="left" w:pos="1843"/>
        </w:tabs>
        <w:ind w:firstLine="0" w:firstLineChars="0"/>
        <w:contextualSpacing/>
        <w:rPr>
          <w:rFonts w:ascii="Times New Roman" w:hAnsi="Times New Roman"/>
        </w:rPr>
      </w:pPr>
      <w:r>
        <w:rPr>
          <w:rFonts w:ascii="Times New Roman" w:hAnsi="Times New Roman"/>
        </w:rPr>
        <w:t>5.1.1生态流量</w:t>
      </w:r>
    </w:p>
    <w:p>
      <w:pPr>
        <w:ind w:firstLine="480"/>
        <w:contextualSpacing/>
      </w:pPr>
      <w:r>
        <w:t>根据《关于印发〈水电水利建设项目水环境与水生生态保护技术政策研讨会议纪要〉的函》（环办函〔2006〕11号）和《关于印发〈水电水利建设项目生态用水、低温水和过鱼设施环境影响评价技术指南（试行）〉的函》（环评函〔2006〕4 号），为维护坝下游河流的基本生态需求，寒溪寺水库工程必须下泄一定的生态流量。根据规程规范推荐的计算方法，结合蔡家河的水文规律，统筹考虑下游河道内外的综合用水需求，确定寒溪寺水库下泄生态流量及过程。</w:t>
      </w:r>
    </w:p>
    <w:p>
      <w:pPr>
        <w:ind w:firstLine="480"/>
        <w:contextualSpacing/>
      </w:pPr>
      <w:r>
        <w:t>寒溪寺水库坝线位于化成河支流蔡家河，控制集水面积4.53km</w:t>
      </w:r>
      <w:r>
        <w:rPr>
          <w:vertAlign w:val="superscript"/>
        </w:rPr>
        <w:t>2</w:t>
      </w:r>
      <w:r>
        <w:t>，多年平均流量0.084m</w:t>
      </w:r>
      <w:r>
        <w:rPr>
          <w:vertAlign w:val="superscript"/>
        </w:rPr>
        <w:t>3</w:t>
      </w:r>
      <w:r>
        <w:t>/s，多年平均来水量264.6万m</w:t>
      </w:r>
      <w:r>
        <w:rPr>
          <w:vertAlign w:val="superscript"/>
        </w:rPr>
        <w:t>3</w:t>
      </w:r>
      <w:r>
        <w:t>；谭家河、刘家河补水枢纽分别位于化成河支流两长河上游，控制集水面积分别为5.68km</w:t>
      </w:r>
      <w:r>
        <w:rPr>
          <w:vertAlign w:val="superscript"/>
        </w:rPr>
        <w:t>2</w:t>
      </w:r>
      <w:r>
        <w:t>和3.0km</w:t>
      </w:r>
      <w:r>
        <w:rPr>
          <w:vertAlign w:val="superscript"/>
        </w:rPr>
        <w:t>2</w:t>
      </w:r>
      <w:r>
        <w:t>，多年平均流量分别为0.123m</w:t>
      </w:r>
      <w:r>
        <w:rPr>
          <w:vertAlign w:val="superscript"/>
        </w:rPr>
        <w:t>3</w:t>
      </w:r>
      <w:r>
        <w:t>/s和0.065m</w:t>
      </w:r>
      <w:r>
        <w:rPr>
          <w:vertAlign w:val="superscript"/>
        </w:rPr>
        <w:t>3</w:t>
      </w:r>
      <w:r>
        <w:t>/s，多年平均来水量分别为387.1万m</w:t>
      </w:r>
      <w:r>
        <w:rPr>
          <w:vertAlign w:val="superscript"/>
        </w:rPr>
        <w:t>3</w:t>
      </w:r>
      <w:r>
        <w:t>和204.5万m</w:t>
      </w:r>
      <w:r>
        <w:rPr>
          <w:vertAlign w:val="superscript"/>
        </w:rPr>
        <w:t>3</w:t>
      </w:r>
      <w:r>
        <w:t>。</w:t>
      </w:r>
    </w:p>
    <w:p>
      <w:pPr>
        <w:ind w:firstLine="480"/>
        <w:contextualSpacing/>
      </w:pPr>
      <w:r>
        <w:t>寒溪寺水库坝线及补水枢纽所在河流无国家和省级保护鱼类等特种水生生物，枯水时段河道内水生物活动少；下游河道两岸无集中居民点及企事业单位，蔡家河下游取水户已纳入水库供水范围；坝线及补水枢纽下游3.5km～4.0km即为</w:t>
      </w:r>
      <w:r>
        <w:rPr>
          <w:rFonts w:hint="eastAsia"/>
        </w:rPr>
        <w:t>寒溪寺水库</w:t>
      </w:r>
      <w:r>
        <w:t>库区。因此下游河道内用水只需满足最小的河道内生态用水量。</w:t>
      </w:r>
    </w:p>
    <w:p>
      <w:pPr>
        <w:ind w:firstLine="480"/>
        <w:contextualSpacing/>
      </w:pPr>
      <w:r>
        <w:t>根据《水利水电工程水资源论证导则》（SL525—2011）和《长江保护修复攻坚战行动计划》要求，本阶段研究复核了下游河道两个生态用水方案：①常年按多年平均流量的10%下泄；②常年按多年平均流量的15%下泄。</w:t>
      </w:r>
    </w:p>
    <w:p>
      <w:pPr>
        <w:ind w:firstLine="480"/>
        <w:contextualSpacing/>
      </w:pPr>
      <w:r>
        <w:t>方案①：水库坝线和两个补水枢纽多年平均下泄生态水量分别为，补水枢纽有效补水量为。因区域来水丰枯悬殊，53年系列有47年158个月枯期来水不足多年平均流量的10%，寒溪寺水库正常蓄水位695.00m，需调节库容297.9万m</w:t>
      </w:r>
      <w:r>
        <w:rPr>
          <w:vertAlign w:val="superscript"/>
        </w:rPr>
        <w:t>3</w:t>
      </w:r>
      <w:r>
        <w:t>。</w:t>
      </w:r>
    </w:p>
    <w:p>
      <w:pPr>
        <w:ind w:firstLine="480"/>
        <w:contextualSpacing/>
      </w:pPr>
      <w:r>
        <w:t>方案②：水库坝线和两个补水枢纽多年平均下泄生态水量分别为39.7万m</w:t>
      </w:r>
      <w:r>
        <w:rPr>
          <w:vertAlign w:val="superscript"/>
        </w:rPr>
        <w:t>3</w:t>
      </w:r>
      <w:r>
        <w:t>、58.1万m</w:t>
      </w:r>
      <w:r>
        <w:rPr>
          <w:vertAlign w:val="superscript"/>
        </w:rPr>
        <w:t>3</w:t>
      </w:r>
      <w:r>
        <w:t>和30.7万m</w:t>
      </w:r>
      <w:r>
        <w:rPr>
          <w:vertAlign w:val="superscript"/>
        </w:rPr>
        <w:t>3</w:t>
      </w:r>
      <w:r>
        <w:t>，共计128.4万m</w:t>
      </w:r>
      <w:r>
        <w:rPr>
          <w:vertAlign w:val="superscript"/>
        </w:rPr>
        <w:t>3</w:t>
      </w:r>
      <w:r>
        <w:t>，补水枢纽有效补水量为219.7万m</w:t>
      </w:r>
      <w:r>
        <w:rPr>
          <w:vertAlign w:val="superscript"/>
        </w:rPr>
        <w:t>3</w:t>
      </w:r>
      <w:r>
        <w:t>。，补水枢纽有效补水量为。53年系列有51年201个月枯期来水不足多年平均流量的15%，寒溪寺水库正常蓄水位697.80m，需调节库容352.0万m</w:t>
      </w:r>
      <w:r>
        <w:rPr>
          <w:vertAlign w:val="superscript"/>
        </w:rPr>
        <w:t>3</w:t>
      </w:r>
      <w:r>
        <w:t>，正常蓄水位较方案①高2.8m，增加调节库容约54.1万m</w:t>
      </w:r>
      <w:r>
        <w:rPr>
          <w:vertAlign w:val="superscript"/>
        </w:rPr>
        <w:t>3</w:t>
      </w:r>
      <w:r>
        <w:t>。</w:t>
      </w:r>
    </w:p>
    <w:p>
      <w:pPr>
        <w:ind w:firstLine="480"/>
        <w:contextualSpacing/>
      </w:pPr>
      <w:r>
        <w:t>考虑到两方案对下游影响差异较小，推荐方案①，即常年按多年平均流量的10%下泄，水库坝线和两个补水枢纽多年平均下泄生态水量分别为26.6万m</w:t>
      </w:r>
      <w:r>
        <w:rPr>
          <w:vertAlign w:val="superscript"/>
        </w:rPr>
        <w:t>3</w:t>
      </w:r>
      <w:r>
        <w:t>、38.7万m</w:t>
      </w:r>
      <w:r>
        <w:rPr>
          <w:vertAlign w:val="superscript"/>
        </w:rPr>
        <w:t>3</w:t>
      </w:r>
      <w:r>
        <w:t>和20.5万m</w:t>
      </w:r>
      <w:r>
        <w:rPr>
          <w:vertAlign w:val="superscript"/>
        </w:rPr>
        <w:t>3</w:t>
      </w:r>
      <w:r>
        <w:t>，共计85.8万m</w:t>
      </w:r>
      <w:r>
        <w:rPr>
          <w:vertAlign w:val="superscript"/>
        </w:rPr>
        <w:t>3</w:t>
      </w:r>
      <w:r>
        <w:t>，补水枢纽有效补水量为215.7万m</w:t>
      </w:r>
      <w:r>
        <w:rPr>
          <w:vertAlign w:val="superscript"/>
        </w:rPr>
        <w:t>3</w:t>
      </w:r>
      <w:r>
        <w:t>。</w:t>
      </w:r>
    </w:p>
    <w:p>
      <w:pPr>
        <w:ind w:firstLine="480"/>
        <w:contextualSpacing/>
        <w:rPr>
          <w:rFonts w:hint="eastAsia"/>
        </w:rPr>
      </w:pPr>
      <w:r>
        <w:rPr>
          <w:rFonts w:hint="eastAsia"/>
        </w:rPr>
        <w:t>根据初设计算结果，坝址处按照坝址河段多年平均流量（0.084m3/s）的10%来确定下泄生态流量，要求下泄生态流量下泄不低于0.0084m3/s。谭家河、刘家河两补水枢纽也分别按照相应河段多年平均流量（0.123m3/s和0.065m3/s）的10%来确定下泄生态流量，要求生态流量下泄分别不低于0.0123m3/s和0.0065m3/s，解决了河道减水带来的生态问题。</w:t>
      </w:r>
    </w:p>
    <w:p>
      <w:pPr>
        <w:pStyle w:val="5"/>
        <w:tabs>
          <w:tab w:val="left" w:pos="1843"/>
        </w:tabs>
        <w:ind w:firstLine="0" w:firstLineChars="0"/>
        <w:contextualSpacing/>
        <w:rPr>
          <w:rFonts w:ascii="Times New Roman" w:hAnsi="Times New Roman"/>
        </w:rPr>
      </w:pPr>
      <w:r>
        <w:rPr>
          <w:rFonts w:ascii="Times New Roman" w:hAnsi="Times New Roman"/>
        </w:rPr>
        <w:t>5.1.2水文情势变化</w:t>
      </w:r>
    </w:p>
    <w:p>
      <w:pPr>
        <w:pStyle w:val="70"/>
        <w:snapToGrid/>
        <w:contextualSpacing/>
        <w:rPr>
          <w:rFonts w:ascii="Times New Roman" w:hAnsi="Times New Roman"/>
          <w:kern w:val="0"/>
        </w:rPr>
      </w:pPr>
      <w:r>
        <w:rPr>
          <w:rFonts w:ascii="Times New Roman" w:hAnsi="Times New Roman"/>
          <w:kern w:val="0"/>
        </w:rPr>
        <w:t>寒溪寺水库下闸蓄水后，因蓄水位较长，库内水位将由常水位缓慢升至正常蓄水位。</w:t>
      </w:r>
    </w:p>
    <w:p>
      <w:pPr>
        <w:adjustRightInd w:val="0"/>
        <w:snapToGrid w:val="0"/>
        <w:spacing w:line="560" w:lineRule="exact"/>
        <w:ind w:firstLine="480"/>
        <w:rPr>
          <w:kern w:val="144"/>
          <w:szCs w:val="22"/>
        </w:rPr>
      </w:pPr>
      <w:r>
        <w:rPr>
          <w:kern w:val="144"/>
          <w:szCs w:val="22"/>
        </w:rPr>
        <w:t>根据水工布置要求，选择CS1、CS2、CS3，3个水位流量关系控制断面，其中CS1断面为补水枢纽1水位关系控制断面；CS2为补水枢纽2水位关系控制断面；CS3为溢洪道下游20米位置处水位关系控制断面。</w:t>
      </w:r>
    </w:p>
    <w:p>
      <w:pPr>
        <w:pStyle w:val="73"/>
        <w:adjustRightInd/>
        <w:snapToGrid/>
        <w:ind w:firstLine="0" w:firstLineChars="0"/>
        <w:contextualSpacing/>
      </w:pPr>
      <w:r>
        <w:drawing>
          <wp:inline distT="0" distB="0" distL="0" distR="0">
            <wp:extent cx="5142230" cy="3308350"/>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42230" cy="3308350"/>
                    </a:xfrm>
                    <a:prstGeom prst="rect">
                      <a:avLst/>
                    </a:prstGeom>
                    <a:noFill/>
                    <a:ln>
                      <a:noFill/>
                    </a:ln>
                  </pic:spPr>
                </pic:pic>
              </a:graphicData>
            </a:graphic>
          </wp:inline>
        </w:drawing>
      </w:r>
    </w:p>
    <w:p>
      <w:pPr>
        <w:pStyle w:val="73"/>
        <w:adjustRightInd/>
        <w:snapToGrid/>
        <w:spacing w:line="240" w:lineRule="auto"/>
        <w:ind w:firstLine="0" w:firstLineChars="0"/>
        <w:contextualSpacing/>
        <w:rPr>
          <w:rFonts w:hint="eastAsia" w:eastAsia="宋体"/>
          <w:b/>
          <w:bCs/>
          <w:sz w:val="21"/>
          <w:szCs w:val="16"/>
        </w:rPr>
      </w:pPr>
      <w:r>
        <w:rPr>
          <w:rFonts w:hint="eastAsia" w:eastAsia="宋体"/>
          <w:b/>
          <w:bCs/>
          <w:sz w:val="21"/>
          <w:szCs w:val="16"/>
        </w:rPr>
        <w:t>图5</w:t>
      </w:r>
      <w:r>
        <w:rPr>
          <w:rFonts w:eastAsia="宋体"/>
          <w:b/>
          <w:bCs/>
          <w:sz w:val="21"/>
          <w:szCs w:val="16"/>
        </w:rPr>
        <w:t xml:space="preserve">.1.2-1 </w:t>
      </w:r>
      <w:r>
        <w:rPr>
          <w:rFonts w:hint="eastAsia" w:eastAsia="宋体"/>
          <w:b/>
          <w:bCs/>
          <w:sz w:val="21"/>
          <w:szCs w:val="16"/>
        </w:rPr>
        <w:t>控制断面位置</w:t>
      </w:r>
    </w:p>
    <w:p>
      <w:pPr>
        <w:adjustRightInd w:val="0"/>
        <w:snapToGrid w:val="0"/>
        <w:spacing w:line="560" w:lineRule="exact"/>
        <w:ind w:firstLine="480"/>
        <w:rPr>
          <w:kern w:val="144"/>
        </w:rPr>
      </w:pPr>
      <w:r>
        <w:rPr>
          <w:kern w:val="144"/>
        </w:rPr>
        <w:t>水位流量关系曲线采用曼宁公式推算。</w:t>
      </w:r>
    </w:p>
    <w:p>
      <w:pPr>
        <w:adjustRightInd w:val="0"/>
        <w:snapToGrid w:val="0"/>
        <w:spacing w:line="560" w:lineRule="exact"/>
        <w:ind w:firstLine="480"/>
        <w:rPr>
          <w:kern w:val="144"/>
        </w:rPr>
      </w:pPr>
      <w:r>
        <w:rPr>
          <w:kern w:val="144"/>
        </w:rPr>
        <w:t>公式为：</w:t>
      </w:r>
    </w:p>
    <w:p>
      <w:pPr>
        <w:adjustRightInd w:val="0"/>
        <w:snapToGrid w:val="0"/>
        <w:spacing w:line="560" w:lineRule="exact"/>
        <w:ind w:firstLine="480"/>
        <w:rPr>
          <w:kern w:val="144"/>
          <w:szCs w:val="22"/>
        </w:rPr>
      </w:pPr>
      <w:r>
        <w:rPr>
          <w:kern w:val="144"/>
          <w:position w:val="-24"/>
          <w:szCs w:val="22"/>
        </w:rPr>
        <w:pict>
          <v:shape id="Object 113" o:spid="_x0000_s1141" o:spt="75" type="#_x0000_t75" style="position:absolute;left:0pt;margin-left:23pt;margin-top:3.35pt;height:40pt;width:89.7pt;mso-wrap-distance-bottom:0pt;mso-wrap-distance-top:0pt;z-index:251663360;mso-width-relative:page;mso-height-relative:page;" o:ole="t" filled="f" o:preferrelative="t" stroked="f" coordsize="21600,21600">
            <v:path/>
            <v:fill on="f" focussize="0,0"/>
            <v:stroke on="f" joinstyle="miter"/>
            <v:imagedata r:id="rId75" o:title=""/>
            <o:lock v:ext="edit" aspectratio="t"/>
            <w10:wrap type="topAndBottom"/>
          </v:shape>
          <o:OLEObject Type="Embed" ProgID="Equation.3" ShapeID="Object 113" DrawAspect="Content" ObjectID="_1468075737" r:id="rId74">
            <o:LockedField>false</o:LockedField>
          </o:OLEObject>
        </w:pict>
      </w:r>
      <w:r>
        <w:rPr>
          <w:kern w:val="144"/>
          <w:szCs w:val="22"/>
        </w:rPr>
        <w:t>式中：</w:t>
      </w:r>
    </w:p>
    <w:p>
      <w:pPr>
        <w:adjustRightInd w:val="0"/>
        <w:snapToGrid w:val="0"/>
        <w:spacing w:line="560" w:lineRule="exact"/>
        <w:ind w:firstLine="480"/>
        <w:rPr>
          <w:kern w:val="144"/>
          <w:szCs w:val="22"/>
        </w:rPr>
      </w:pPr>
      <w:r>
        <w:rPr>
          <w:kern w:val="144"/>
          <w:szCs w:val="22"/>
        </w:rPr>
        <w:object>
          <v:shape id="_x0000_i1039" o:spt="75" type="#_x0000_t75" style="height:14.4pt;width:14.4pt;" o:ole="t" filled="f" o:preferrelative="t" stroked="f" coordsize="21600,21600">
            <v:path/>
            <v:fill on="f" focussize="0,0"/>
            <v:stroke on="f" joinstyle="miter"/>
            <v:imagedata r:id="rId77" o:title=""/>
            <o:lock v:ext="edit" aspectratio="t"/>
            <w10:wrap type="none"/>
            <w10:anchorlock/>
          </v:shape>
          <o:OLEObject Type="Embed" ProgID="Equation.3" ShapeID="_x0000_i1039" DrawAspect="Content" ObjectID="_1468075738" r:id="rId76">
            <o:LockedField>false</o:LockedField>
          </o:OLEObject>
        </w:object>
      </w:r>
      <w:r>
        <w:rPr>
          <w:kern w:val="144"/>
          <w:szCs w:val="22"/>
        </w:rPr>
        <w:t>—流量（</w:t>
      </w:r>
      <w:r>
        <w:rPr>
          <w:kern w:val="144"/>
        </w:rPr>
        <w:t>m</w:t>
      </w:r>
      <w:r>
        <w:rPr>
          <w:kern w:val="144"/>
          <w:vertAlign w:val="superscript"/>
        </w:rPr>
        <w:t>3</w:t>
      </w:r>
      <w:r>
        <w:rPr>
          <w:kern w:val="144"/>
          <w:szCs w:val="22"/>
        </w:rPr>
        <w:t>/s）；</w:t>
      </w:r>
    </w:p>
    <w:p>
      <w:pPr>
        <w:adjustRightInd w:val="0"/>
        <w:snapToGrid w:val="0"/>
        <w:spacing w:line="560" w:lineRule="exact"/>
        <w:ind w:firstLine="480"/>
        <w:rPr>
          <w:kern w:val="144"/>
          <w:szCs w:val="22"/>
        </w:rPr>
      </w:pPr>
      <w:r>
        <w:rPr>
          <w:kern w:val="144"/>
          <w:szCs w:val="22"/>
        </w:rPr>
        <w:object>
          <v:shape id="_x0000_i1040" o:spt="75" type="#_x0000_t75" style="height:14.4pt;width:14.4pt;" o:ole="t" filled="f" o:preferrelative="t" stroked="f" coordsize="21600,21600">
            <v:path/>
            <v:fill on="f" focussize="0,0"/>
            <v:stroke on="f" joinstyle="miter"/>
            <v:imagedata r:id="rId79" o:title=""/>
            <o:lock v:ext="edit" aspectratio="t"/>
            <w10:wrap type="none"/>
            <w10:anchorlock/>
          </v:shape>
          <o:OLEObject Type="Embed" ProgID="Equation.3" ShapeID="_x0000_i1040" DrawAspect="Content" ObjectID="_1468075739" r:id="rId78">
            <o:LockedField>false</o:LockedField>
          </o:OLEObject>
        </w:object>
      </w:r>
      <w:r>
        <w:rPr>
          <w:kern w:val="144"/>
          <w:szCs w:val="22"/>
        </w:rPr>
        <w:t>—过水面积（</w:t>
      </w:r>
      <w:r>
        <w:rPr>
          <w:kern w:val="144"/>
        </w:rPr>
        <w:t>m</w:t>
      </w:r>
      <w:r>
        <w:rPr>
          <w:kern w:val="144"/>
          <w:vertAlign w:val="superscript"/>
        </w:rPr>
        <w:t>2</w:t>
      </w:r>
      <w:r>
        <w:rPr>
          <w:kern w:val="144"/>
          <w:szCs w:val="22"/>
        </w:rPr>
        <w:t>）；</w:t>
      </w:r>
    </w:p>
    <w:p>
      <w:pPr>
        <w:adjustRightInd w:val="0"/>
        <w:snapToGrid w:val="0"/>
        <w:spacing w:line="560" w:lineRule="exact"/>
        <w:ind w:firstLine="480"/>
        <w:rPr>
          <w:kern w:val="144"/>
          <w:szCs w:val="22"/>
        </w:rPr>
      </w:pPr>
      <w:r>
        <w:rPr>
          <w:kern w:val="144"/>
          <w:szCs w:val="22"/>
        </w:rPr>
        <w:object>
          <v:shape id="_x0000_i1041" o:spt="75" type="#_x0000_t75" style="height:14.4pt;width:7.2pt;" o:ole="t" filled="f" o:preferrelative="t" stroked="f" coordsize="21600,21600">
            <v:path/>
            <v:fill on="f" focussize="0,0"/>
            <v:stroke on="f" joinstyle="miter"/>
            <v:imagedata r:id="rId81" o:title=""/>
            <o:lock v:ext="edit" aspectratio="t"/>
            <w10:wrap type="none"/>
            <w10:anchorlock/>
          </v:shape>
          <o:OLEObject Type="Embed" ProgID="Equation.3" ShapeID="_x0000_i1041" DrawAspect="Content" ObjectID="_1468075740" r:id="rId80">
            <o:LockedField>false</o:LockedField>
          </o:OLEObject>
        </w:object>
      </w:r>
      <w:r>
        <w:rPr>
          <w:kern w:val="144"/>
          <w:szCs w:val="22"/>
        </w:rPr>
        <w:t>—河床糙率；</w:t>
      </w:r>
    </w:p>
    <w:p>
      <w:pPr>
        <w:adjustRightInd w:val="0"/>
        <w:snapToGrid w:val="0"/>
        <w:spacing w:line="560" w:lineRule="exact"/>
        <w:ind w:firstLine="480"/>
        <w:rPr>
          <w:kern w:val="144"/>
          <w:szCs w:val="22"/>
        </w:rPr>
      </w:pPr>
      <w:r>
        <w:rPr>
          <w:kern w:val="144"/>
          <w:szCs w:val="22"/>
        </w:rPr>
        <w:object>
          <v:shape id="_x0000_i1042" o:spt="75" type="#_x0000_t75" style="height:14.4pt;width:14.4pt;" o:ole="t" filled="f" o:preferrelative="t" stroked="f" coordsize="21600,21600">
            <v:path/>
            <v:fill on="f" focussize="0,0"/>
            <v:stroke on="f" joinstyle="miter"/>
            <v:imagedata r:id="rId83" o:title=""/>
            <o:lock v:ext="edit" aspectratio="t"/>
            <w10:wrap type="none"/>
            <w10:anchorlock/>
          </v:shape>
          <o:OLEObject Type="Embed" ProgID="Equation.3" ShapeID="_x0000_i1042" DrawAspect="Content" ObjectID="_1468075741" r:id="rId82">
            <o:LockedField>false</o:LockedField>
          </o:OLEObject>
        </w:object>
      </w:r>
      <w:r>
        <w:rPr>
          <w:kern w:val="144"/>
          <w:szCs w:val="22"/>
        </w:rPr>
        <w:t>—水力半径（m）；</w:t>
      </w:r>
    </w:p>
    <w:p>
      <w:pPr>
        <w:adjustRightInd w:val="0"/>
        <w:snapToGrid w:val="0"/>
        <w:spacing w:line="560" w:lineRule="exact"/>
        <w:ind w:firstLine="480"/>
        <w:rPr>
          <w:kern w:val="144"/>
          <w:szCs w:val="22"/>
        </w:rPr>
      </w:pPr>
      <w:r>
        <w:rPr>
          <w:kern w:val="144"/>
          <w:szCs w:val="22"/>
        </w:rPr>
        <w:object>
          <v:shape id="_x0000_i1043" o:spt="75" type="#_x0000_t75" style="height:14.4pt;width:7.2pt;" o:ole="t" filled="f" o:preferrelative="t" stroked="f" coordsize="21600,21600">
            <v:path/>
            <v:fill on="f" focussize="0,0"/>
            <v:stroke on="f" joinstyle="miter"/>
            <v:imagedata r:id="rId85" o:title=""/>
            <o:lock v:ext="edit" aspectratio="t"/>
            <w10:wrap type="none"/>
            <w10:anchorlock/>
          </v:shape>
          <o:OLEObject Type="Embed" ProgID="Equation.3" ShapeID="_x0000_i1043" DrawAspect="Content" ObjectID="_1468075742" r:id="rId84">
            <o:LockedField>false</o:LockedField>
          </o:OLEObject>
        </w:object>
      </w:r>
      <w:r>
        <w:rPr>
          <w:kern w:val="144"/>
          <w:szCs w:val="22"/>
        </w:rPr>
        <w:t>—比降（‰）。</w:t>
      </w:r>
    </w:p>
    <w:p>
      <w:pPr>
        <w:adjustRightInd w:val="0"/>
        <w:snapToGrid w:val="0"/>
        <w:spacing w:line="560" w:lineRule="exact"/>
        <w:ind w:firstLine="480"/>
        <w:rPr>
          <w:kern w:val="144"/>
        </w:rPr>
      </w:pPr>
      <w:r>
        <w:rPr>
          <w:kern w:val="144"/>
        </w:rPr>
        <w:t>1）水面比降J的确定：水面比降参考实测河床比降和历史洪水水面比降，最后确定CS1河段比降为0.05；CS2河段比降为0.072；CS3河段水面比降0.015。</w:t>
      </w:r>
    </w:p>
    <w:p>
      <w:pPr>
        <w:adjustRightInd w:val="0"/>
        <w:snapToGrid w:val="0"/>
        <w:spacing w:line="560" w:lineRule="exact"/>
        <w:ind w:firstLine="480"/>
        <w:rPr>
          <w:kern w:val="144"/>
        </w:rPr>
      </w:pPr>
      <w:r>
        <w:rPr>
          <w:kern w:val="144"/>
        </w:rPr>
        <w:t>2）河床糙率n的确定：是根据目前国内外分析研究成果和编制的天然河流河床糙率表，结合实际河床地貌组成，岸边光洁度、水深变化、断面形状、河槽变化等因素，综合分析，最后确定该断面糙率0.04。</w:t>
      </w:r>
    </w:p>
    <w:p>
      <w:pPr>
        <w:adjustRightInd w:val="0"/>
        <w:snapToGrid w:val="0"/>
        <w:spacing w:line="560" w:lineRule="exact"/>
        <w:ind w:firstLine="480"/>
        <w:rPr>
          <w:rFonts w:hint="eastAsia"/>
          <w:kern w:val="144"/>
        </w:rPr>
      </w:pPr>
      <w:bookmarkStart w:id="481" w:name="_Hlk71458872"/>
      <w:r>
        <w:rPr>
          <w:kern w:val="144"/>
        </w:rPr>
        <w:t>3）根据实测大断面，逐级计算过水面积、水力半径，最后推算出控制断面水位力量关系曲线，同时参考已经通过评审的相关资料，推出CS1、CS2、CS3水力要素表详见下表，绘制光滑的水位流量关系曲线图</w:t>
      </w:r>
      <w:bookmarkEnd w:id="481"/>
      <w:r>
        <w:rPr>
          <w:rFonts w:hint="eastAsia"/>
          <w:kern w:val="144"/>
        </w:rPr>
        <w:t>。</w:t>
      </w:r>
    </w:p>
    <w:p>
      <w:pPr>
        <w:pStyle w:val="73"/>
        <w:adjustRightInd/>
        <w:snapToGrid/>
        <w:ind w:firstLine="0" w:firstLineChars="0"/>
        <w:contextualSpacing/>
        <w:rPr>
          <w:rFonts w:eastAsia="宋体"/>
          <w:b/>
          <w:bCs/>
          <w:sz w:val="21"/>
          <w:szCs w:val="16"/>
        </w:rPr>
      </w:pPr>
      <w:r>
        <w:rPr>
          <w:rFonts w:eastAsia="宋体"/>
          <w:b/>
          <w:bCs/>
          <w:sz w:val="21"/>
          <w:szCs w:val="16"/>
        </w:rPr>
        <w:t>表5.1.2-1  CS1（断面）水力要素表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219"/>
        <w:gridCol w:w="1064"/>
        <w:gridCol w:w="1064"/>
        <w:gridCol w:w="1602"/>
        <w:gridCol w:w="1602"/>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vMerge w:val="restart"/>
            <w:noWrap/>
            <w:vAlign w:val="center"/>
          </w:tcPr>
          <w:p>
            <w:pPr>
              <w:pStyle w:val="139"/>
              <w:spacing w:line="240" w:lineRule="auto"/>
              <w:rPr>
                <w:rFonts w:cs="Times New Roman"/>
                <w:szCs w:val="18"/>
              </w:rPr>
            </w:pPr>
            <w:r>
              <w:rPr>
                <w:rFonts w:cs="Times New Roman"/>
                <w:szCs w:val="18"/>
              </w:rPr>
              <w:t>序号</w:t>
            </w:r>
          </w:p>
        </w:tc>
        <w:tc>
          <w:tcPr>
            <w:tcW w:w="715" w:type="pct"/>
            <w:noWrap/>
            <w:vAlign w:val="center"/>
          </w:tcPr>
          <w:p>
            <w:pPr>
              <w:pStyle w:val="139"/>
              <w:spacing w:line="240" w:lineRule="auto"/>
              <w:rPr>
                <w:rFonts w:cs="Times New Roman"/>
                <w:szCs w:val="18"/>
              </w:rPr>
            </w:pPr>
            <w:r>
              <w:rPr>
                <w:rFonts w:cs="Times New Roman"/>
                <w:szCs w:val="18"/>
              </w:rPr>
              <w:t>高程</w:t>
            </w:r>
          </w:p>
        </w:tc>
        <w:tc>
          <w:tcPr>
            <w:tcW w:w="624" w:type="pct"/>
            <w:noWrap/>
            <w:vAlign w:val="center"/>
          </w:tcPr>
          <w:p>
            <w:pPr>
              <w:pStyle w:val="139"/>
              <w:spacing w:line="240" w:lineRule="auto"/>
              <w:rPr>
                <w:rFonts w:cs="Times New Roman"/>
                <w:szCs w:val="18"/>
              </w:rPr>
            </w:pPr>
            <w:r>
              <w:rPr>
                <w:rFonts w:cs="Times New Roman"/>
                <w:szCs w:val="18"/>
              </w:rPr>
              <w:t>河宽</w:t>
            </w:r>
          </w:p>
        </w:tc>
        <w:tc>
          <w:tcPr>
            <w:tcW w:w="624" w:type="pct"/>
            <w:noWrap/>
            <w:vAlign w:val="center"/>
          </w:tcPr>
          <w:p>
            <w:pPr>
              <w:pStyle w:val="139"/>
              <w:spacing w:line="240" w:lineRule="auto"/>
              <w:rPr>
                <w:rFonts w:cs="Times New Roman"/>
                <w:szCs w:val="18"/>
              </w:rPr>
            </w:pPr>
            <w:r>
              <w:rPr>
                <w:rFonts w:cs="Times New Roman"/>
                <w:szCs w:val="18"/>
              </w:rPr>
              <w:t>湿周</w:t>
            </w:r>
          </w:p>
        </w:tc>
        <w:tc>
          <w:tcPr>
            <w:tcW w:w="940" w:type="pct"/>
            <w:noWrap/>
            <w:vAlign w:val="center"/>
          </w:tcPr>
          <w:p>
            <w:pPr>
              <w:pStyle w:val="139"/>
              <w:spacing w:line="240" w:lineRule="auto"/>
              <w:rPr>
                <w:rFonts w:cs="Times New Roman"/>
                <w:szCs w:val="18"/>
              </w:rPr>
            </w:pPr>
            <w:r>
              <w:rPr>
                <w:rFonts w:cs="Times New Roman"/>
                <w:szCs w:val="18"/>
              </w:rPr>
              <w:t>过水面积</w:t>
            </w:r>
          </w:p>
        </w:tc>
        <w:tc>
          <w:tcPr>
            <w:tcW w:w="940" w:type="pct"/>
            <w:noWrap/>
            <w:vAlign w:val="center"/>
          </w:tcPr>
          <w:p>
            <w:pPr>
              <w:pStyle w:val="139"/>
              <w:spacing w:line="240" w:lineRule="auto"/>
              <w:rPr>
                <w:rFonts w:cs="Times New Roman"/>
                <w:szCs w:val="18"/>
              </w:rPr>
            </w:pPr>
            <w:r>
              <w:rPr>
                <w:rFonts w:cs="Times New Roman"/>
                <w:szCs w:val="18"/>
              </w:rPr>
              <w:t>水力半径</w:t>
            </w:r>
          </w:p>
        </w:tc>
        <w:tc>
          <w:tcPr>
            <w:tcW w:w="579" w:type="pct"/>
            <w:noWrap/>
            <w:vAlign w:val="center"/>
          </w:tcPr>
          <w:p>
            <w:pPr>
              <w:pStyle w:val="139"/>
              <w:spacing w:line="240" w:lineRule="auto"/>
              <w:rPr>
                <w:rFonts w:cs="Times New Roman"/>
                <w:szCs w:val="18"/>
              </w:rPr>
            </w:pPr>
            <w:r>
              <w:rPr>
                <w:rFonts w:cs="Times New Roman"/>
                <w:szCs w:val="18"/>
              </w:rPr>
              <w:t>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vMerge w:val="continue"/>
            <w:vAlign w:val="center"/>
          </w:tcPr>
          <w:p>
            <w:pPr>
              <w:pStyle w:val="139"/>
              <w:spacing w:line="240" w:lineRule="auto"/>
              <w:rPr>
                <w:rFonts w:cs="Times New Roman"/>
                <w:szCs w:val="18"/>
              </w:rPr>
            </w:pPr>
          </w:p>
        </w:tc>
        <w:tc>
          <w:tcPr>
            <w:tcW w:w="715"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940"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940" w:type="pct"/>
            <w:noWrap/>
            <w:vAlign w:val="center"/>
          </w:tcPr>
          <w:p>
            <w:pPr>
              <w:pStyle w:val="139"/>
              <w:spacing w:line="240" w:lineRule="auto"/>
              <w:rPr>
                <w:rFonts w:cs="Times New Roman"/>
                <w:szCs w:val="18"/>
              </w:rPr>
            </w:pPr>
            <w:r>
              <w:rPr>
                <w:rFonts w:cs="Times New Roman"/>
                <w:szCs w:val="18"/>
              </w:rPr>
              <w:t>m</w:t>
            </w:r>
          </w:p>
        </w:tc>
        <w:tc>
          <w:tcPr>
            <w:tcW w:w="579"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1</w:t>
            </w:r>
          </w:p>
        </w:tc>
        <w:tc>
          <w:tcPr>
            <w:tcW w:w="715" w:type="pct"/>
            <w:noWrap/>
            <w:vAlign w:val="center"/>
          </w:tcPr>
          <w:p>
            <w:pPr>
              <w:pStyle w:val="139"/>
              <w:spacing w:line="240" w:lineRule="auto"/>
              <w:rPr>
                <w:rFonts w:cs="Times New Roman"/>
                <w:szCs w:val="18"/>
              </w:rPr>
            </w:pPr>
            <w:r>
              <w:rPr>
                <w:rFonts w:cs="Times New Roman"/>
                <w:szCs w:val="18"/>
              </w:rPr>
              <w:t>699.40</w:t>
            </w:r>
          </w:p>
        </w:tc>
        <w:tc>
          <w:tcPr>
            <w:tcW w:w="624" w:type="pct"/>
            <w:noWrap/>
            <w:vAlign w:val="center"/>
          </w:tcPr>
          <w:p>
            <w:pPr>
              <w:pStyle w:val="139"/>
              <w:spacing w:line="240" w:lineRule="auto"/>
              <w:rPr>
                <w:rFonts w:cs="Times New Roman"/>
                <w:szCs w:val="18"/>
              </w:rPr>
            </w:pPr>
            <w:r>
              <w:rPr>
                <w:rFonts w:cs="Times New Roman"/>
                <w:szCs w:val="18"/>
              </w:rPr>
              <w:t>0.00</w:t>
            </w:r>
          </w:p>
        </w:tc>
        <w:tc>
          <w:tcPr>
            <w:tcW w:w="624" w:type="pct"/>
            <w:noWrap/>
            <w:vAlign w:val="center"/>
          </w:tcPr>
          <w:p>
            <w:pPr>
              <w:pStyle w:val="139"/>
              <w:spacing w:line="240" w:lineRule="auto"/>
              <w:rPr>
                <w:rFonts w:cs="Times New Roman"/>
                <w:szCs w:val="18"/>
              </w:rPr>
            </w:pPr>
            <w:r>
              <w:rPr>
                <w:rFonts w:cs="Times New Roman"/>
                <w:szCs w:val="18"/>
              </w:rPr>
              <w:t>0.00</w:t>
            </w:r>
          </w:p>
        </w:tc>
        <w:tc>
          <w:tcPr>
            <w:tcW w:w="940" w:type="pct"/>
            <w:noWrap/>
            <w:vAlign w:val="center"/>
          </w:tcPr>
          <w:p>
            <w:pPr>
              <w:pStyle w:val="139"/>
              <w:spacing w:line="240" w:lineRule="auto"/>
              <w:rPr>
                <w:rFonts w:cs="Times New Roman"/>
                <w:szCs w:val="18"/>
              </w:rPr>
            </w:pPr>
            <w:r>
              <w:rPr>
                <w:rFonts w:cs="Times New Roman"/>
                <w:szCs w:val="18"/>
              </w:rPr>
              <w:t>0.00</w:t>
            </w:r>
          </w:p>
        </w:tc>
        <w:tc>
          <w:tcPr>
            <w:tcW w:w="940" w:type="pct"/>
            <w:noWrap/>
            <w:vAlign w:val="center"/>
          </w:tcPr>
          <w:p>
            <w:pPr>
              <w:pStyle w:val="139"/>
              <w:spacing w:line="240" w:lineRule="auto"/>
              <w:rPr>
                <w:rFonts w:cs="Times New Roman"/>
                <w:szCs w:val="18"/>
              </w:rPr>
            </w:pPr>
            <w:r>
              <w:rPr>
                <w:rFonts w:cs="Times New Roman"/>
                <w:szCs w:val="18"/>
              </w:rPr>
              <w:t>0.00</w:t>
            </w:r>
          </w:p>
        </w:tc>
        <w:tc>
          <w:tcPr>
            <w:tcW w:w="579" w:type="pct"/>
            <w:noWrap/>
            <w:vAlign w:val="center"/>
          </w:tcPr>
          <w:p>
            <w:pPr>
              <w:pStyle w:val="139"/>
              <w:spacing w:line="240" w:lineRule="auto"/>
              <w:rPr>
                <w:rFonts w:cs="Times New Roman"/>
                <w:szCs w:val="18"/>
              </w:rPr>
            </w:pPr>
            <w:r>
              <w:rPr>
                <w:rFonts w:cs="Times New Roman"/>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2</w:t>
            </w:r>
          </w:p>
        </w:tc>
        <w:tc>
          <w:tcPr>
            <w:tcW w:w="715" w:type="pct"/>
            <w:noWrap/>
            <w:vAlign w:val="center"/>
          </w:tcPr>
          <w:p>
            <w:pPr>
              <w:pStyle w:val="139"/>
              <w:spacing w:line="240" w:lineRule="auto"/>
              <w:rPr>
                <w:rFonts w:cs="Times New Roman"/>
                <w:szCs w:val="18"/>
              </w:rPr>
            </w:pPr>
            <w:r>
              <w:rPr>
                <w:rFonts w:cs="Times New Roman"/>
                <w:szCs w:val="18"/>
              </w:rPr>
              <w:t>699.60</w:t>
            </w:r>
          </w:p>
        </w:tc>
        <w:tc>
          <w:tcPr>
            <w:tcW w:w="624" w:type="pct"/>
            <w:noWrap/>
            <w:vAlign w:val="center"/>
          </w:tcPr>
          <w:p>
            <w:pPr>
              <w:pStyle w:val="139"/>
              <w:spacing w:line="240" w:lineRule="auto"/>
              <w:rPr>
                <w:rFonts w:cs="Times New Roman"/>
                <w:szCs w:val="18"/>
              </w:rPr>
            </w:pPr>
            <w:r>
              <w:rPr>
                <w:rFonts w:cs="Times New Roman"/>
                <w:szCs w:val="18"/>
              </w:rPr>
              <w:t>11.21</w:t>
            </w:r>
          </w:p>
        </w:tc>
        <w:tc>
          <w:tcPr>
            <w:tcW w:w="624" w:type="pct"/>
            <w:noWrap/>
            <w:vAlign w:val="center"/>
          </w:tcPr>
          <w:p>
            <w:pPr>
              <w:pStyle w:val="139"/>
              <w:spacing w:line="240" w:lineRule="auto"/>
              <w:rPr>
                <w:rFonts w:cs="Times New Roman"/>
                <w:szCs w:val="18"/>
              </w:rPr>
            </w:pPr>
            <w:r>
              <w:rPr>
                <w:rFonts w:cs="Times New Roman"/>
                <w:szCs w:val="18"/>
              </w:rPr>
              <w:t>11.28</w:t>
            </w:r>
          </w:p>
        </w:tc>
        <w:tc>
          <w:tcPr>
            <w:tcW w:w="940" w:type="pct"/>
            <w:noWrap/>
            <w:vAlign w:val="center"/>
          </w:tcPr>
          <w:p>
            <w:pPr>
              <w:pStyle w:val="139"/>
              <w:spacing w:line="240" w:lineRule="auto"/>
              <w:rPr>
                <w:rFonts w:cs="Times New Roman"/>
                <w:szCs w:val="18"/>
              </w:rPr>
            </w:pPr>
            <w:r>
              <w:rPr>
                <w:rFonts w:cs="Times New Roman"/>
                <w:szCs w:val="18"/>
              </w:rPr>
              <w:t>1.11</w:t>
            </w:r>
          </w:p>
        </w:tc>
        <w:tc>
          <w:tcPr>
            <w:tcW w:w="940" w:type="pct"/>
            <w:noWrap/>
            <w:vAlign w:val="center"/>
          </w:tcPr>
          <w:p>
            <w:pPr>
              <w:pStyle w:val="139"/>
              <w:spacing w:line="240" w:lineRule="auto"/>
              <w:rPr>
                <w:rFonts w:cs="Times New Roman"/>
                <w:szCs w:val="18"/>
              </w:rPr>
            </w:pPr>
            <w:r>
              <w:rPr>
                <w:rFonts w:cs="Times New Roman"/>
                <w:szCs w:val="18"/>
              </w:rPr>
              <w:t>0.10</w:t>
            </w:r>
          </w:p>
        </w:tc>
        <w:tc>
          <w:tcPr>
            <w:tcW w:w="579" w:type="pct"/>
            <w:noWrap/>
            <w:vAlign w:val="center"/>
          </w:tcPr>
          <w:p>
            <w:pPr>
              <w:pStyle w:val="139"/>
              <w:spacing w:line="240" w:lineRule="auto"/>
              <w:rPr>
                <w:rFonts w:cs="Times New Roman"/>
                <w:szCs w:val="18"/>
              </w:rPr>
            </w:pPr>
            <w:r>
              <w:rPr>
                <w:rFonts w:cs="Times New Roman"/>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3</w:t>
            </w:r>
          </w:p>
        </w:tc>
        <w:tc>
          <w:tcPr>
            <w:tcW w:w="715" w:type="pct"/>
            <w:noWrap/>
            <w:vAlign w:val="center"/>
          </w:tcPr>
          <w:p>
            <w:pPr>
              <w:pStyle w:val="139"/>
              <w:spacing w:line="240" w:lineRule="auto"/>
              <w:rPr>
                <w:rFonts w:cs="Times New Roman"/>
                <w:szCs w:val="18"/>
              </w:rPr>
            </w:pPr>
            <w:r>
              <w:rPr>
                <w:rFonts w:cs="Times New Roman"/>
                <w:szCs w:val="18"/>
              </w:rPr>
              <w:t>699.80</w:t>
            </w:r>
          </w:p>
        </w:tc>
        <w:tc>
          <w:tcPr>
            <w:tcW w:w="624" w:type="pct"/>
            <w:noWrap/>
            <w:vAlign w:val="center"/>
          </w:tcPr>
          <w:p>
            <w:pPr>
              <w:pStyle w:val="139"/>
              <w:spacing w:line="240" w:lineRule="auto"/>
              <w:rPr>
                <w:rFonts w:cs="Times New Roman"/>
                <w:szCs w:val="18"/>
              </w:rPr>
            </w:pPr>
            <w:r>
              <w:rPr>
                <w:rFonts w:cs="Times New Roman"/>
                <w:szCs w:val="18"/>
              </w:rPr>
              <w:t>11.77</w:t>
            </w:r>
          </w:p>
        </w:tc>
        <w:tc>
          <w:tcPr>
            <w:tcW w:w="624" w:type="pct"/>
            <w:noWrap/>
            <w:vAlign w:val="center"/>
          </w:tcPr>
          <w:p>
            <w:pPr>
              <w:pStyle w:val="139"/>
              <w:spacing w:line="240" w:lineRule="auto"/>
              <w:rPr>
                <w:rFonts w:cs="Times New Roman"/>
                <w:szCs w:val="18"/>
              </w:rPr>
            </w:pPr>
            <w:r>
              <w:rPr>
                <w:rFonts w:cs="Times New Roman"/>
                <w:szCs w:val="18"/>
              </w:rPr>
              <w:t>11.96</w:t>
            </w:r>
          </w:p>
        </w:tc>
        <w:tc>
          <w:tcPr>
            <w:tcW w:w="940" w:type="pct"/>
            <w:noWrap/>
            <w:vAlign w:val="center"/>
          </w:tcPr>
          <w:p>
            <w:pPr>
              <w:pStyle w:val="139"/>
              <w:spacing w:line="240" w:lineRule="auto"/>
              <w:rPr>
                <w:rFonts w:cs="Times New Roman"/>
                <w:szCs w:val="18"/>
              </w:rPr>
            </w:pPr>
            <w:r>
              <w:rPr>
                <w:rFonts w:cs="Times New Roman"/>
                <w:szCs w:val="18"/>
              </w:rPr>
              <w:t>3.41</w:t>
            </w:r>
          </w:p>
        </w:tc>
        <w:tc>
          <w:tcPr>
            <w:tcW w:w="940" w:type="pct"/>
            <w:noWrap/>
            <w:vAlign w:val="center"/>
          </w:tcPr>
          <w:p>
            <w:pPr>
              <w:pStyle w:val="139"/>
              <w:spacing w:line="240" w:lineRule="auto"/>
              <w:rPr>
                <w:rFonts w:cs="Times New Roman"/>
                <w:szCs w:val="18"/>
              </w:rPr>
            </w:pPr>
            <w:r>
              <w:rPr>
                <w:rFonts w:cs="Times New Roman"/>
                <w:szCs w:val="18"/>
              </w:rPr>
              <w:t>0.28</w:t>
            </w:r>
          </w:p>
        </w:tc>
        <w:tc>
          <w:tcPr>
            <w:tcW w:w="579" w:type="pct"/>
            <w:noWrap/>
            <w:vAlign w:val="center"/>
          </w:tcPr>
          <w:p>
            <w:pPr>
              <w:pStyle w:val="139"/>
              <w:spacing w:line="240" w:lineRule="auto"/>
              <w:rPr>
                <w:rFonts w:cs="Times New Roman"/>
                <w:szCs w:val="18"/>
              </w:rPr>
            </w:pPr>
            <w:r>
              <w:rPr>
                <w:rFonts w:cs="Times New Roman"/>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4</w:t>
            </w:r>
          </w:p>
        </w:tc>
        <w:tc>
          <w:tcPr>
            <w:tcW w:w="715" w:type="pct"/>
            <w:noWrap/>
            <w:vAlign w:val="center"/>
          </w:tcPr>
          <w:p>
            <w:pPr>
              <w:pStyle w:val="139"/>
              <w:spacing w:line="240" w:lineRule="auto"/>
              <w:rPr>
                <w:rFonts w:cs="Times New Roman"/>
                <w:szCs w:val="18"/>
              </w:rPr>
            </w:pPr>
            <w:r>
              <w:rPr>
                <w:rFonts w:cs="Times New Roman"/>
                <w:szCs w:val="18"/>
              </w:rPr>
              <w:t>700.00</w:t>
            </w:r>
          </w:p>
        </w:tc>
        <w:tc>
          <w:tcPr>
            <w:tcW w:w="624" w:type="pct"/>
            <w:noWrap/>
            <w:vAlign w:val="center"/>
          </w:tcPr>
          <w:p>
            <w:pPr>
              <w:pStyle w:val="139"/>
              <w:spacing w:line="240" w:lineRule="auto"/>
              <w:rPr>
                <w:rFonts w:cs="Times New Roman"/>
                <w:szCs w:val="18"/>
              </w:rPr>
            </w:pPr>
            <w:r>
              <w:rPr>
                <w:rFonts w:cs="Times New Roman"/>
                <w:szCs w:val="18"/>
              </w:rPr>
              <w:t>12.32</w:t>
            </w:r>
          </w:p>
        </w:tc>
        <w:tc>
          <w:tcPr>
            <w:tcW w:w="624" w:type="pct"/>
            <w:noWrap/>
            <w:vAlign w:val="center"/>
          </w:tcPr>
          <w:p>
            <w:pPr>
              <w:pStyle w:val="139"/>
              <w:spacing w:line="240" w:lineRule="auto"/>
              <w:rPr>
                <w:rFonts w:cs="Times New Roman"/>
                <w:szCs w:val="18"/>
              </w:rPr>
            </w:pPr>
            <w:r>
              <w:rPr>
                <w:rFonts w:cs="Times New Roman"/>
                <w:szCs w:val="18"/>
              </w:rPr>
              <w:t>12.65</w:t>
            </w:r>
          </w:p>
        </w:tc>
        <w:tc>
          <w:tcPr>
            <w:tcW w:w="940" w:type="pct"/>
            <w:noWrap/>
            <w:vAlign w:val="center"/>
          </w:tcPr>
          <w:p>
            <w:pPr>
              <w:pStyle w:val="139"/>
              <w:spacing w:line="240" w:lineRule="auto"/>
              <w:rPr>
                <w:rFonts w:cs="Times New Roman"/>
                <w:szCs w:val="18"/>
              </w:rPr>
            </w:pPr>
            <w:r>
              <w:rPr>
                <w:rFonts w:cs="Times New Roman"/>
                <w:szCs w:val="18"/>
              </w:rPr>
              <w:t>5.81</w:t>
            </w:r>
          </w:p>
        </w:tc>
        <w:tc>
          <w:tcPr>
            <w:tcW w:w="940" w:type="pct"/>
            <w:noWrap/>
            <w:vAlign w:val="center"/>
          </w:tcPr>
          <w:p>
            <w:pPr>
              <w:pStyle w:val="139"/>
              <w:spacing w:line="240" w:lineRule="auto"/>
              <w:rPr>
                <w:rFonts w:cs="Times New Roman"/>
                <w:szCs w:val="18"/>
              </w:rPr>
            </w:pPr>
            <w:r>
              <w:rPr>
                <w:rFonts w:cs="Times New Roman"/>
                <w:szCs w:val="18"/>
              </w:rPr>
              <w:t>0.46</w:t>
            </w:r>
          </w:p>
        </w:tc>
        <w:tc>
          <w:tcPr>
            <w:tcW w:w="579" w:type="pct"/>
            <w:noWrap/>
            <w:vAlign w:val="center"/>
          </w:tcPr>
          <w:p>
            <w:pPr>
              <w:pStyle w:val="139"/>
              <w:spacing w:line="240" w:lineRule="auto"/>
              <w:rPr>
                <w:rFonts w:cs="Times New Roman"/>
                <w:szCs w:val="18"/>
              </w:rPr>
            </w:pPr>
            <w:r>
              <w:rPr>
                <w:rFonts w:cs="Times New Roman"/>
                <w:szCs w:val="1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5</w:t>
            </w:r>
          </w:p>
        </w:tc>
        <w:tc>
          <w:tcPr>
            <w:tcW w:w="715" w:type="pct"/>
            <w:noWrap/>
            <w:vAlign w:val="center"/>
          </w:tcPr>
          <w:p>
            <w:pPr>
              <w:pStyle w:val="139"/>
              <w:spacing w:line="240" w:lineRule="auto"/>
              <w:rPr>
                <w:rFonts w:cs="Times New Roman"/>
                <w:szCs w:val="18"/>
              </w:rPr>
            </w:pPr>
            <w:r>
              <w:rPr>
                <w:rFonts w:cs="Times New Roman"/>
                <w:szCs w:val="18"/>
              </w:rPr>
              <w:t>700.20</w:t>
            </w:r>
          </w:p>
        </w:tc>
        <w:tc>
          <w:tcPr>
            <w:tcW w:w="624" w:type="pct"/>
            <w:noWrap/>
            <w:vAlign w:val="center"/>
          </w:tcPr>
          <w:p>
            <w:pPr>
              <w:pStyle w:val="139"/>
              <w:spacing w:line="240" w:lineRule="auto"/>
              <w:rPr>
                <w:rFonts w:cs="Times New Roman"/>
                <w:szCs w:val="18"/>
              </w:rPr>
            </w:pPr>
            <w:r>
              <w:rPr>
                <w:rFonts w:cs="Times New Roman"/>
                <w:szCs w:val="18"/>
              </w:rPr>
              <w:t>12.88</w:t>
            </w:r>
          </w:p>
        </w:tc>
        <w:tc>
          <w:tcPr>
            <w:tcW w:w="624" w:type="pct"/>
            <w:noWrap/>
            <w:vAlign w:val="center"/>
          </w:tcPr>
          <w:p>
            <w:pPr>
              <w:pStyle w:val="139"/>
              <w:spacing w:line="240" w:lineRule="auto"/>
              <w:rPr>
                <w:rFonts w:cs="Times New Roman"/>
                <w:szCs w:val="18"/>
              </w:rPr>
            </w:pPr>
            <w:r>
              <w:rPr>
                <w:rFonts w:cs="Times New Roman"/>
                <w:szCs w:val="18"/>
              </w:rPr>
              <w:t>13.33</w:t>
            </w:r>
          </w:p>
        </w:tc>
        <w:tc>
          <w:tcPr>
            <w:tcW w:w="940" w:type="pct"/>
            <w:noWrap/>
            <w:vAlign w:val="center"/>
          </w:tcPr>
          <w:p>
            <w:pPr>
              <w:pStyle w:val="139"/>
              <w:spacing w:line="240" w:lineRule="auto"/>
              <w:rPr>
                <w:rFonts w:cs="Times New Roman"/>
                <w:szCs w:val="18"/>
              </w:rPr>
            </w:pPr>
            <w:r>
              <w:rPr>
                <w:rFonts w:cs="Times New Roman"/>
                <w:szCs w:val="18"/>
              </w:rPr>
              <w:t>8.33</w:t>
            </w:r>
          </w:p>
        </w:tc>
        <w:tc>
          <w:tcPr>
            <w:tcW w:w="940" w:type="pct"/>
            <w:noWrap/>
            <w:vAlign w:val="center"/>
          </w:tcPr>
          <w:p>
            <w:pPr>
              <w:pStyle w:val="139"/>
              <w:spacing w:line="240" w:lineRule="auto"/>
              <w:rPr>
                <w:rFonts w:cs="Times New Roman"/>
                <w:szCs w:val="18"/>
              </w:rPr>
            </w:pPr>
            <w:r>
              <w:rPr>
                <w:rFonts w:cs="Times New Roman"/>
                <w:szCs w:val="18"/>
              </w:rPr>
              <w:t>0.63</w:t>
            </w:r>
          </w:p>
        </w:tc>
        <w:tc>
          <w:tcPr>
            <w:tcW w:w="579" w:type="pct"/>
            <w:noWrap/>
            <w:vAlign w:val="center"/>
          </w:tcPr>
          <w:p>
            <w:pPr>
              <w:pStyle w:val="139"/>
              <w:spacing w:line="240" w:lineRule="auto"/>
              <w:rPr>
                <w:rFonts w:cs="Times New Roman"/>
                <w:szCs w:val="18"/>
              </w:rPr>
            </w:pPr>
            <w:r>
              <w:rPr>
                <w:rFonts w:cs="Times New Roman"/>
                <w:szCs w:val="18"/>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6</w:t>
            </w:r>
          </w:p>
        </w:tc>
        <w:tc>
          <w:tcPr>
            <w:tcW w:w="715" w:type="pct"/>
            <w:noWrap/>
            <w:vAlign w:val="center"/>
          </w:tcPr>
          <w:p>
            <w:pPr>
              <w:pStyle w:val="139"/>
              <w:spacing w:line="240" w:lineRule="auto"/>
              <w:rPr>
                <w:rFonts w:cs="Times New Roman"/>
                <w:szCs w:val="18"/>
              </w:rPr>
            </w:pPr>
            <w:r>
              <w:rPr>
                <w:rFonts w:cs="Times New Roman"/>
                <w:szCs w:val="18"/>
              </w:rPr>
              <w:t>700.40</w:t>
            </w:r>
          </w:p>
        </w:tc>
        <w:tc>
          <w:tcPr>
            <w:tcW w:w="624" w:type="pct"/>
            <w:noWrap/>
            <w:vAlign w:val="center"/>
          </w:tcPr>
          <w:p>
            <w:pPr>
              <w:pStyle w:val="139"/>
              <w:spacing w:line="240" w:lineRule="auto"/>
              <w:rPr>
                <w:rFonts w:cs="Times New Roman"/>
                <w:szCs w:val="18"/>
              </w:rPr>
            </w:pPr>
            <w:r>
              <w:rPr>
                <w:rFonts w:cs="Times New Roman"/>
                <w:szCs w:val="18"/>
              </w:rPr>
              <w:t>13.43</w:t>
            </w:r>
          </w:p>
        </w:tc>
        <w:tc>
          <w:tcPr>
            <w:tcW w:w="624" w:type="pct"/>
            <w:noWrap/>
            <w:vAlign w:val="center"/>
          </w:tcPr>
          <w:p>
            <w:pPr>
              <w:pStyle w:val="139"/>
              <w:spacing w:line="240" w:lineRule="auto"/>
              <w:rPr>
                <w:rFonts w:cs="Times New Roman"/>
                <w:szCs w:val="18"/>
              </w:rPr>
            </w:pPr>
            <w:r>
              <w:rPr>
                <w:rFonts w:cs="Times New Roman"/>
                <w:szCs w:val="18"/>
              </w:rPr>
              <w:t>14.02</w:t>
            </w:r>
          </w:p>
        </w:tc>
        <w:tc>
          <w:tcPr>
            <w:tcW w:w="940" w:type="pct"/>
            <w:noWrap/>
            <w:vAlign w:val="center"/>
          </w:tcPr>
          <w:p>
            <w:pPr>
              <w:pStyle w:val="139"/>
              <w:spacing w:line="240" w:lineRule="auto"/>
              <w:rPr>
                <w:rFonts w:cs="Times New Roman"/>
                <w:szCs w:val="18"/>
              </w:rPr>
            </w:pPr>
            <w:r>
              <w:rPr>
                <w:rFonts w:cs="Times New Roman"/>
                <w:szCs w:val="18"/>
              </w:rPr>
              <w:t>10.97</w:t>
            </w:r>
          </w:p>
        </w:tc>
        <w:tc>
          <w:tcPr>
            <w:tcW w:w="940" w:type="pct"/>
            <w:noWrap/>
            <w:vAlign w:val="center"/>
          </w:tcPr>
          <w:p>
            <w:pPr>
              <w:pStyle w:val="139"/>
              <w:spacing w:line="240" w:lineRule="auto"/>
              <w:rPr>
                <w:rFonts w:cs="Times New Roman"/>
                <w:szCs w:val="18"/>
              </w:rPr>
            </w:pPr>
            <w:r>
              <w:rPr>
                <w:rFonts w:cs="Times New Roman"/>
                <w:szCs w:val="18"/>
              </w:rPr>
              <w:t>0.78</w:t>
            </w:r>
          </w:p>
        </w:tc>
        <w:tc>
          <w:tcPr>
            <w:tcW w:w="579" w:type="pct"/>
            <w:noWrap/>
            <w:vAlign w:val="center"/>
          </w:tcPr>
          <w:p>
            <w:pPr>
              <w:pStyle w:val="139"/>
              <w:spacing w:line="240" w:lineRule="auto"/>
              <w:rPr>
                <w:rFonts w:cs="Times New Roman"/>
                <w:szCs w:val="18"/>
              </w:rPr>
            </w:pPr>
            <w:r>
              <w:rPr>
                <w:rFonts w:cs="Times New Roman"/>
                <w:szCs w:val="18"/>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7</w:t>
            </w:r>
          </w:p>
        </w:tc>
        <w:tc>
          <w:tcPr>
            <w:tcW w:w="715" w:type="pct"/>
            <w:noWrap/>
            <w:vAlign w:val="center"/>
          </w:tcPr>
          <w:p>
            <w:pPr>
              <w:pStyle w:val="139"/>
              <w:spacing w:line="240" w:lineRule="auto"/>
              <w:rPr>
                <w:rFonts w:cs="Times New Roman"/>
                <w:szCs w:val="18"/>
              </w:rPr>
            </w:pPr>
            <w:r>
              <w:rPr>
                <w:rFonts w:cs="Times New Roman"/>
                <w:szCs w:val="18"/>
              </w:rPr>
              <w:t>700.60</w:t>
            </w:r>
          </w:p>
        </w:tc>
        <w:tc>
          <w:tcPr>
            <w:tcW w:w="624" w:type="pct"/>
            <w:noWrap/>
            <w:vAlign w:val="center"/>
          </w:tcPr>
          <w:p>
            <w:pPr>
              <w:pStyle w:val="139"/>
              <w:spacing w:line="240" w:lineRule="auto"/>
              <w:rPr>
                <w:rFonts w:cs="Times New Roman"/>
                <w:szCs w:val="18"/>
              </w:rPr>
            </w:pPr>
            <w:r>
              <w:rPr>
                <w:rFonts w:cs="Times New Roman"/>
                <w:szCs w:val="18"/>
              </w:rPr>
              <w:t>13.99</w:t>
            </w:r>
          </w:p>
        </w:tc>
        <w:tc>
          <w:tcPr>
            <w:tcW w:w="624" w:type="pct"/>
            <w:noWrap/>
            <w:vAlign w:val="center"/>
          </w:tcPr>
          <w:p>
            <w:pPr>
              <w:pStyle w:val="139"/>
              <w:spacing w:line="240" w:lineRule="auto"/>
              <w:rPr>
                <w:rFonts w:cs="Times New Roman"/>
                <w:szCs w:val="18"/>
              </w:rPr>
            </w:pPr>
            <w:r>
              <w:rPr>
                <w:rFonts w:cs="Times New Roman"/>
                <w:szCs w:val="18"/>
              </w:rPr>
              <w:t>14.70</w:t>
            </w:r>
          </w:p>
        </w:tc>
        <w:tc>
          <w:tcPr>
            <w:tcW w:w="940" w:type="pct"/>
            <w:noWrap/>
            <w:vAlign w:val="center"/>
          </w:tcPr>
          <w:p>
            <w:pPr>
              <w:pStyle w:val="139"/>
              <w:spacing w:line="240" w:lineRule="auto"/>
              <w:rPr>
                <w:rFonts w:cs="Times New Roman"/>
                <w:szCs w:val="18"/>
              </w:rPr>
            </w:pPr>
            <w:r>
              <w:rPr>
                <w:rFonts w:cs="Times New Roman"/>
                <w:szCs w:val="18"/>
              </w:rPr>
              <w:t>13.71</w:t>
            </w:r>
          </w:p>
        </w:tc>
        <w:tc>
          <w:tcPr>
            <w:tcW w:w="940" w:type="pct"/>
            <w:noWrap/>
            <w:vAlign w:val="center"/>
          </w:tcPr>
          <w:p>
            <w:pPr>
              <w:pStyle w:val="139"/>
              <w:spacing w:line="240" w:lineRule="auto"/>
              <w:rPr>
                <w:rFonts w:cs="Times New Roman"/>
                <w:szCs w:val="18"/>
              </w:rPr>
            </w:pPr>
            <w:r>
              <w:rPr>
                <w:rFonts w:cs="Times New Roman"/>
                <w:szCs w:val="18"/>
              </w:rPr>
              <w:t>0.93</w:t>
            </w:r>
          </w:p>
        </w:tc>
        <w:tc>
          <w:tcPr>
            <w:tcW w:w="579" w:type="pct"/>
            <w:noWrap/>
            <w:vAlign w:val="center"/>
          </w:tcPr>
          <w:p>
            <w:pPr>
              <w:pStyle w:val="139"/>
              <w:spacing w:line="240" w:lineRule="auto"/>
              <w:rPr>
                <w:rFonts w:cs="Times New Roman"/>
                <w:szCs w:val="18"/>
              </w:rPr>
            </w:pPr>
            <w:r>
              <w:rPr>
                <w:rFonts w:cs="Times New Roman"/>
                <w:szCs w:val="18"/>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8</w:t>
            </w:r>
          </w:p>
        </w:tc>
        <w:tc>
          <w:tcPr>
            <w:tcW w:w="715" w:type="pct"/>
            <w:noWrap/>
            <w:vAlign w:val="center"/>
          </w:tcPr>
          <w:p>
            <w:pPr>
              <w:pStyle w:val="139"/>
              <w:spacing w:line="240" w:lineRule="auto"/>
              <w:rPr>
                <w:rFonts w:cs="Times New Roman"/>
                <w:szCs w:val="18"/>
              </w:rPr>
            </w:pPr>
            <w:r>
              <w:rPr>
                <w:rFonts w:cs="Times New Roman"/>
                <w:szCs w:val="18"/>
              </w:rPr>
              <w:t>700.80</w:t>
            </w:r>
          </w:p>
        </w:tc>
        <w:tc>
          <w:tcPr>
            <w:tcW w:w="624" w:type="pct"/>
            <w:noWrap/>
            <w:vAlign w:val="center"/>
          </w:tcPr>
          <w:p>
            <w:pPr>
              <w:pStyle w:val="139"/>
              <w:spacing w:line="240" w:lineRule="auto"/>
              <w:rPr>
                <w:rFonts w:cs="Times New Roman"/>
                <w:szCs w:val="18"/>
              </w:rPr>
            </w:pPr>
            <w:r>
              <w:rPr>
                <w:rFonts w:cs="Times New Roman"/>
                <w:szCs w:val="18"/>
              </w:rPr>
              <w:t>14.55</w:t>
            </w:r>
          </w:p>
        </w:tc>
        <w:tc>
          <w:tcPr>
            <w:tcW w:w="624" w:type="pct"/>
            <w:noWrap/>
            <w:vAlign w:val="center"/>
          </w:tcPr>
          <w:p>
            <w:pPr>
              <w:pStyle w:val="139"/>
              <w:spacing w:line="240" w:lineRule="auto"/>
              <w:rPr>
                <w:rFonts w:cs="Times New Roman"/>
                <w:szCs w:val="18"/>
              </w:rPr>
            </w:pPr>
            <w:r>
              <w:rPr>
                <w:rFonts w:cs="Times New Roman"/>
                <w:szCs w:val="18"/>
              </w:rPr>
              <w:t>15.39</w:t>
            </w:r>
          </w:p>
        </w:tc>
        <w:tc>
          <w:tcPr>
            <w:tcW w:w="940" w:type="pct"/>
            <w:noWrap/>
            <w:vAlign w:val="center"/>
          </w:tcPr>
          <w:p>
            <w:pPr>
              <w:pStyle w:val="139"/>
              <w:spacing w:line="240" w:lineRule="auto"/>
              <w:rPr>
                <w:rFonts w:cs="Times New Roman"/>
                <w:szCs w:val="18"/>
              </w:rPr>
            </w:pPr>
            <w:r>
              <w:rPr>
                <w:rFonts w:cs="Times New Roman"/>
                <w:szCs w:val="18"/>
              </w:rPr>
              <w:t>16.56</w:t>
            </w:r>
          </w:p>
        </w:tc>
        <w:tc>
          <w:tcPr>
            <w:tcW w:w="940" w:type="pct"/>
            <w:noWrap/>
            <w:vAlign w:val="center"/>
          </w:tcPr>
          <w:p>
            <w:pPr>
              <w:pStyle w:val="139"/>
              <w:spacing w:line="240" w:lineRule="auto"/>
              <w:rPr>
                <w:rFonts w:cs="Times New Roman"/>
                <w:szCs w:val="18"/>
              </w:rPr>
            </w:pPr>
            <w:r>
              <w:rPr>
                <w:rFonts w:cs="Times New Roman"/>
                <w:szCs w:val="18"/>
              </w:rPr>
              <w:t>1.08</w:t>
            </w:r>
          </w:p>
        </w:tc>
        <w:tc>
          <w:tcPr>
            <w:tcW w:w="579" w:type="pct"/>
            <w:noWrap/>
            <w:vAlign w:val="center"/>
          </w:tcPr>
          <w:p>
            <w:pPr>
              <w:pStyle w:val="139"/>
              <w:spacing w:line="240" w:lineRule="auto"/>
              <w:rPr>
                <w:rFonts w:cs="Times New Roman"/>
                <w:szCs w:val="18"/>
              </w:rPr>
            </w:pPr>
            <w:r>
              <w:rPr>
                <w:rFonts w:cs="Times New Roman"/>
                <w:szCs w:val="18"/>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9</w:t>
            </w:r>
          </w:p>
        </w:tc>
        <w:tc>
          <w:tcPr>
            <w:tcW w:w="715" w:type="pct"/>
            <w:noWrap/>
            <w:vAlign w:val="center"/>
          </w:tcPr>
          <w:p>
            <w:pPr>
              <w:pStyle w:val="139"/>
              <w:spacing w:line="240" w:lineRule="auto"/>
              <w:rPr>
                <w:rFonts w:cs="Times New Roman"/>
                <w:szCs w:val="18"/>
              </w:rPr>
            </w:pPr>
            <w:r>
              <w:rPr>
                <w:rFonts w:cs="Times New Roman"/>
                <w:szCs w:val="18"/>
              </w:rPr>
              <w:t>701.00</w:t>
            </w:r>
          </w:p>
        </w:tc>
        <w:tc>
          <w:tcPr>
            <w:tcW w:w="624" w:type="pct"/>
            <w:noWrap/>
            <w:vAlign w:val="center"/>
          </w:tcPr>
          <w:p>
            <w:pPr>
              <w:pStyle w:val="139"/>
              <w:spacing w:line="240" w:lineRule="auto"/>
              <w:rPr>
                <w:rFonts w:cs="Times New Roman"/>
                <w:szCs w:val="18"/>
              </w:rPr>
            </w:pPr>
            <w:r>
              <w:rPr>
                <w:rFonts w:cs="Times New Roman"/>
                <w:szCs w:val="18"/>
              </w:rPr>
              <w:t>15.10</w:t>
            </w:r>
          </w:p>
        </w:tc>
        <w:tc>
          <w:tcPr>
            <w:tcW w:w="624" w:type="pct"/>
            <w:noWrap/>
            <w:vAlign w:val="center"/>
          </w:tcPr>
          <w:p>
            <w:pPr>
              <w:pStyle w:val="139"/>
              <w:spacing w:line="240" w:lineRule="auto"/>
              <w:rPr>
                <w:rFonts w:cs="Times New Roman"/>
                <w:szCs w:val="18"/>
              </w:rPr>
            </w:pPr>
            <w:r>
              <w:rPr>
                <w:rFonts w:cs="Times New Roman"/>
                <w:szCs w:val="18"/>
              </w:rPr>
              <w:t>16.08</w:t>
            </w:r>
          </w:p>
        </w:tc>
        <w:tc>
          <w:tcPr>
            <w:tcW w:w="940" w:type="pct"/>
            <w:noWrap/>
            <w:vAlign w:val="center"/>
          </w:tcPr>
          <w:p>
            <w:pPr>
              <w:pStyle w:val="139"/>
              <w:spacing w:line="240" w:lineRule="auto"/>
              <w:rPr>
                <w:rFonts w:cs="Times New Roman"/>
                <w:szCs w:val="18"/>
              </w:rPr>
            </w:pPr>
            <w:r>
              <w:rPr>
                <w:rFonts w:cs="Times New Roman"/>
                <w:szCs w:val="18"/>
              </w:rPr>
              <w:t>19.53</w:t>
            </w:r>
          </w:p>
        </w:tc>
        <w:tc>
          <w:tcPr>
            <w:tcW w:w="940" w:type="pct"/>
            <w:noWrap/>
            <w:vAlign w:val="center"/>
          </w:tcPr>
          <w:p>
            <w:pPr>
              <w:pStyle w:val="139"/>
              <w:spacing w:line="240" w:lineRule="auto"/>
              <w:rPr>
                <w:rFonts w:cs="Times New Roman"/>
                <w:szCs w:val="18"/>
              </w:rPr>
            </w:pPr>
            <w:r>
              <w:rPr>
                <w:rFonts w:cs="Times New Roman"/>
                <w:szCs w:val="18"/>
              </w:rPr>
              <w:t>1.21</w:t>
            </w:r>
          </w:p>
        </w:tc>
        <w:tc>
          <w:tcPr>
            <w:tcW w:w="579" w:type="pct"/>
            <w:noWrap/>
            <w:vAlign w:val="center"/>
          </w:tcPr>
          <w:p>
            <w:pPr>
              <w:pStyle w:val="139"/>
              <w:spacing w:line="240" w:lineRule="auto"/>
              <w:rPr>
                <w:rFonts w:cs="Times New Roman"/>
                <w:szCs w:val="18"/>
              </w:rPr>
            </w:pPr>
            <w:r>
              <w:rPr>
                <w:rFonts w:cs="Times New Roman"/>
                <w:szCs w:val="18"/>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10</w:t>
            </w:r>
          </w:p>
        </w:tc>
        <w:tc>
          <w:tcPr>
            <w:tcW w:w="715" w:type="pct"/>
            <w:noWrap/>
            <w:vAlign w:val="center"/>
          </w:tcPr>
          <w:p>
            <w:pPr>
              <w:pStyle w:val="139"/>
              <w:spacing w:line="240" w:lineRule="auto"/>
              <w:rPr>
                <w:rFonts w:cs="Times New Roman"/>
                <w:szCs w:val="18"/>
              </w:rPr>
            </w:pPr>
            <w:r>
              <w:rPr>
                <w:rFonts w:cs="Times New Roman"/>
                <w:szCs w:val="18"/>
              </w:rPr>
              <w:t>701.20</w:t>
            </w:r>
          </w:p>
        </w:tc>
        <w:tc>
          <w:tcPr>
            <w:tcW w:w="624" w:type="pct"/>
            <w:noWrap/>
            <w:vAlign w:val="center"/>
          </w:tcPr>
          <w:p>
            <w:pPr>
              <w:pStyle w:val="139"/>
              <w:spacing w:line="240" w:lineRule="auto"/>
              <w:rPr>
                <w:rFonts w:cs="Times New Roman"/>
                <w:szCs w:val="18"/>
              </w:rPr>
            </w:pPr>
            <w:r>
              <w:rPr>
                <w:rFonts w:cs="Times New Roman"/>
                <w:szCs w:val="18"/>
              </w:rPr>
              <w:t>15.66</w:t>
            </w:r>
          </w:p>
        </w:tc>
        <w:tc>
          <w:tcPr>
            <w:tcW w:w="624" w:type="pct"/>
            <w:noWrap/>
            <w:vAlign w:val="center"/>
          </w:tcPr>
          <w:p>
            <w:pPr>
              <w:pStyle w:val="139"/>
              <w:spacing w:line="240" w:lineRule="auto"/>
              <w:rPr>
                <w:rFonts w:cs="Times New Roman"/>
                <w:szCs w:val="18"/>
              </w:rPr>
            </w:pPr>
            <w:r>
              <w:rPr>
                <w:rFonts w:cs="Times New Roman"/>
                <w:szCs w:val="18"/>
              </w:rPr>
              <w:t>16.76</w:t>
            </w:r>
          </w:p>
        </w:tc>
        <w:tc>
          <w:tcPr>
            <w:tcW w:w="940" w:type="pct"/>
            <w:noWrap/>
            <w:vAlign w:val="center"/>
          </w:tcPr>
          <w:p>
            <w:pPr>
              <w:pStyle w:val="139"/>
              <w:spacing w:line="240" w:lineRule="auto"/>
              <w:rPr>
                <w:rFonts w:cs="Times New Roman"/>
                <w:szCs w:val="18"/>
              </w:rPr>
            </w:pPr>
            <w:r>
              <w:rPr>
                <w:rFonts w:cs="Times New Roman"/>
                <w:szCs w:val="18"/>
              </w:rPr>
              <w:t>22.60</w:t>
            </w:r>
          </w:p>
        </w:tc>
        <w:tc>
          <w:tcPr>
            <w:tcW w:w="940" w:type="pct"/>
            <w:noWrap/>
            <w:vAlign w:val="center"/>
          </w:tcPr>
          <w:p>
            <w:pPr>
              <w:pStyle w:val="139"/>
              <w:spacing w:line="240" w:lineRule="auto"/>
              <w:rPr>
                <w:rFonts w:cs="Times New Roman"/>
                <w:szCs w:val="18"/>
              </w:rPr>
            </w:pPr>
            <w:r>
              <w:rPr>
                <w:rFonts w:cs="Times New Roman"/>
                <w:szCs w:val="18"/>
              </w:rPr>
              <w:t>1.35</w:t>
            </w:r>
          </w:p>
        </w:tc>
        <w:tc>
          <w:tcPr>
            <w:tcW w:w="579" w:type="pct"/>
            <w:noWrap/>
            <w:vAlign w:val="center"/>
          </w:tcPr>
          <w:p>
            <w:pPr>
              <w:pStyle w:val="139"/>
              <w:spacing w:line="240" w:lineRule="auto"/>
              <w:rPr>
                <w:rFonts w:cs="Times New Roman"/>
                <w:szCs w:val="18"/>
              </w:rPr>
            </w:pPr>
            <w:r>
              <w:rPr>
                <w:rFonts w:cs="Times New Roman"/>
                <w:szCs w:val="18"/>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11</w:t>
            </w:r>
          </w:p>
        </w:tc>
        <w:tc>
          <w:tcPr>
            <w:tcW w:w="715" w:type="pct"/>
            <w:noWrap/>
            <w:vAlign w:val="center"/>
          </w:tcPr>
          <w:p>
            <w:pPr>
              <w:pStyle w:val="139"/>
              <w:spacing w:line="240" w:lineRule="auto"/>
              <w:rPr>
                <w:rFonts w:cs="Times New Roman"/>
                <w:szCs w:val="18"/>
              </w:rPr>
            </w:pPr>
            <w:r>
              <w:rPr>
                <w:rFonts w:cs="Times New Roman"/>
                <w:szCs w:val="18"/>
              </w:rPr>
              <w:t>701.40</w:t>
            </w:r>
          </w:p>
        </w:tc>
        <w:tc>
          <w:tcPr>
            <w:tcW w:w="624" w:type="pct"/>
            <w:noWrap/>
            <w:vAlign w:val="center"/>
          </w:tcPr>
          <w:p>
            <w:pPr>
              <w:pStyle w:val="139"/>
              <w:spacing w:line="240" w:lineRule="auto"/>
              <w:rPr>
                <w:rFonts w:cs="Times New Roman"/>
                <w:szCs w:val="18"/>
              </w:rPr>
            </w:pPr>
            <w:r>
              <w:rPr>
                <w:rFonts w:cs="Times New Roman"/>
                <w:szCs w:val="18"/>
              </w:rPr>
              <w:t>16.21</w:t>
            </w:r>
          </w:p>
        </w:tc>
        <w:tc>
          <w:tcPr>
            <w:tcW w:w="624" w:type="pct"/>
            <w:noWrap/>
            <w:vAlign w:val="center"/>
          </w:tcPr>
          <w:p>
            <w:pPr>
              <w:pStyle w:val="139"/>
              <w:spacing w:line="240" w:lineRule="auto"/>
              <w:rPr>
                <w:rFonts w:cs="Times New Roman"/>
                <w:szCs w:val="18"/>
              </w:rPr>
            </w:pPr>
            <w:r>
              <w:rPr>
                <w:rFonts w:cs="Times New Roman"/>
                <w:szCs w:val="18"/>
              </w:rPr>
              <w:t>17.45</w:t>
            </w:r>
          </w:p>
        </w:tc>
        <w:tc>
          <w:tcPr>
            <w:tcW w:w="940" w:type="pct"/>
            <w:noWrap/>
            <w:vAlign w:val="center"/>
          </w:tcPr>
          <w:p>
            <w:pPr>
              <w:pStyle w:val="139"/>
              <w:spacing w:line="240" w:lineRule="auto"/>
              <w:rPr>
                <w:rFonts w:cs="Times New Roman"/>
                <w:szCs w:val="18"/>
              </w:rPr>
            </w:pPr>
            <w:r>
              <w:rPr>
                <w:rFonts w:cs="Times New Roman"/>
                <w:szCs w:val="18"/>
              </w:rPr>
              <w:t>25.79</w:t>
            </w:r>
          </w:p>
        </w:tc>
        <w:tc>
          <w:tcPr>
            <w:tcW w:w="940" w:type="pct"/>
            <w:noWrap/>
            <w:vAlign w:val="center"/>
          </w:tcPr>
          <w:p>
            <w:pPr>
              <w:pStyle w:val="139"/>
              <w:spacing w:line="240" w:lineRule="auto"/>
              <w:rPr>
                <w:rFonts w:cs="Times New Roman"/>
                <w:szCs w:val="18"/>
              </w:rPr>
            </w:pPr>
            <w:r>
              <w:rPr>
                <w:rFonts w:cs="Times New Roman"/>
                <w:szCs w:val="18"/>
              </w:rPr>
              <w:t>1.48</w:t>
            </w:r>
          </w:p>
        </w:tc>
        <w:tc>
          <w:tcPr>
            <w:tcW w:w="579" w:type="pct"/>
            <w:noWrap/>
            <w:vAlign w:val="center"/>
          </w:tcPr>
          <w:p>
            <w:pPr>
              <w:pStyle w:val="139"/>
              <w:spacing w:line="240" w:lineRule="auto"/>
              <w:rPr>
                <w:rFonts w:cs="Times New Roman"/>
                <w:szCs w:val="18"/>
              </w:rPr>
            </w:pPr>
            <w:r>
              <w:rPr>
                <w:rFonts w:cs="Times New Roman"/>
                <w:szCs w:val="18"/>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78" w:type="pct"/>
            <w:noWrap/>
            <w:vAlign w:val="center"/>
          </w:tcPr>
          <w:p>
            <w:pPr>
              <w:pStyle w:val="139"/>
              <w:spacing w:line="240" w:lineRule="auto"/>
              <w:rPr>
                <w:rFonts w:cs="Times New Roman"/>
                <w:szCs w:val="18"/>
              </w:rPr>
            </w:pPr>
            <w:r>
              <w:rPr>
                <w:rFonts w:cs="Times New Roman"/>
                <w:szCs w:val="18"/>
              </w:rPr>
              <w:t>12</w:t>
            </w:r>
          </w:p>
        </w:tc>
        <w:tc>
          <w:tcPr>
            <w:tcW w:w="715" w:type="pct"/>
            <w:noWrap/>
            <w:vAlign w:val="center"/>
          </w:tcPr>
          <w:p>
            <w:pPr>
              <w:pStyle w:val="139"/>
              <w:spacing w:line="240" w:lineRule="auto"/>
              <w:rPr>
                <w:rFonts w:cs="Times New Roman"/>
                <w:szCs w:val="18"/>
              </w:rPr>
            </w:pPr>
            <w:r>
              <w:rPr>
                <w:rFonts w:cs="Times New Roman"/>
                <w:szCs w:val="18"/>
              </w:rPr>
              <w:t>701.60</w:t>
            </w:r>
          </w:p>
        </w:tc>
        <w:tc>
          <w:tcPr>
            <w:tcW w:w="624" w:type="pct"/>
            <w:noWrap/>
            <w:vAlign w:val="center"/>
          </w:tcPr>
          <w:p>
            <w:pPr>
              <w:pStyle w:val="139"/>
              <w:spacing w:line="240" w:lineRule="auto"/>
              <w:rPr>
                <w:rFonts w:cs="Times New Roman"/>
                <w:szCs w:val="18"/>
              </w:rPr>
            </w:pPr>
            <w:r>
              <w:rPr>
                <w:rFonts w:cs="Times New Roman"/>
                <w:szCs w:val="18"/>
              </w:rPr>
              <w:t>16.77</w:t>
            </w:r>
          </w:p>
        </w:tc>
        <w:tc>
          <w:tcPr>
            <w:tcW w:w="624" w:type="pct"/>
            <w:noWrap/>
            <w:vAlign w:val="center"/>
          </w:tcPr>
          <w:p>
            <w:pPr>
              <w:pStyle w:val="139"/>
              <w:spacing w:line="240" w:lineRule="auto"/>
              <w:rPr>
                <w:rFonts w:cs="Times New Roman"/>
                <w:szCs w:val="18"/>
              </w:rPr>
            </w:pPr>
            <w:r>
              <w:rPr>
                <w:rFonts w:cs="Times New Roman"/>
                <w:szCs w:val="18"/>
              </w:rPr>
              <w:t>18.13</w:t>
            </w:r>
          </w:p>
        </w:tc>
        <w:tc>
          <w:tcPr>
            <w:tcW w:w="940" w:type="pct"/>
            <w:noWrap/>
            <w:vAlign w:val="center"/>
          </w:tcPr>
          <w:p>
            <w:pPr>
              <w:pStyle w:val="139"/>
              <w:spacing w:line="240" w:lineRule="auto"/>
              <w:rPr>
                <w:rFonts w:cs="Times New Roman"/>
                <w:szCs w:val="18"/>
              </w:rPr>
            </w:pPr>
            <w:r>
              <w:rPr>
                <w:rFonts w:cs="Times New Roman"/>
                <w:szCs w:val="18"/>
              </w:rPr>
              <w:t>29.09</w:t>
            </w:r>
          </w:p>
        </w:tc>
        <w:tc>
          <w:tcPr>
            <w:tcW w:w="940" w:type="pct"/>
            <w:noWrap/>
            <w:vAlign w:val="center"/>
          </w:tcPr>
          <w:p>
            <w:pPr>
              <w:pStyle w:val="139"/>
              <w:spacing w:line="240" w:lineRule="auto"/>
              <w:rPr>
                <w:rFonts w:cs="Times New Roman"/>
                <w:szCs w:val="18"/>
              </w:rPr>
            </w:pPr>
            <w:r>
              <w:rPr>
                <w:rFonts w:cs="Times New Roman"/>
                <w:szCs w:val="18"/>
              </w:rPr>
              <w:t>1.60</w:t>
            </w:r>
          </w:p>
        </w:tc>
        <w:tc>
          <w:tcPr>
            <w:tcW w:w="579" w:type="pct"/>
            <w:noWrap/>
            <w:vAlign w:val="center"/>
          </w:tcPr>
          <w:p>
            <w:pPr>
              <w:pStyle w:val="139"/>
              <w:spacing w:line="240" w:lineRule="auto"/>
              <w:rPr>
                <w:rFonts w:cs="Times New Roman"/>
                <w:szCs w:val="18"/>
              </w:rPr>
            </w:pPr>
            <w:r>
              <w:rPr>
                <w:rFonts w:cs="Times New Roman"/>
                <w:szCs w:val="18"/>
              </w:rPr>
              <w:t>223</w:t>
            </w:r>
          </w:p>
        </w:tc>
      </w:tr>
    </w:tbl>
    <w:p>
      <w:pPr>
        <w:pStyle w:val="73"/>
        <w:adjustRightInd/>
        <w:snapToGrid/>
        <w:ind w:firstLine="0" w:firstLineChars="0"/>
        <w:contextualSpacing/>
        <w:rPr>
          <w:rFonts w:eastAsia="宋体"/>
          <w:b/>
          <w:bCs/>
          <w:sz w:val="21"/>
          <w:szCs w:val="16"/>
        </w:rPr>
      </w:pPr>
      <w:r>
        <w:rPr>
          <w:rFonts w:eastAsia="宋体"/>
          <w:b/>
          <w:bCs/>
          <w:sz w:val="21"/>
          <w:szCs w:val="16"/>
        </w:rPr>
        <w:t>表5.1.2-2  CS2（断面）水力要素表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219"/>
        <w:gridCol w:w="1064"/>
        <w:gridCol w:w="1064"/>
        <w:gridCol w:w="1602"/>
        <w:gridCol w:w="1602"/>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vMerge w:val="restart"/>
            <w:noWrap/>
            <w:vAlign w:val="center"/>
          </w:tcPr>
          <w:p>
            <w:pPr>
              <w:pStyle w:val="139"/>
              <w:spacing w:line="240" w:lineRule="auto"/>
              <w:rPr>
                <w:rFonts w:cs="Times New Roman"/>
                <w:szCs w:val="18"/>
              </w:rPr>
            </w:pPr>
            <w:r>
              <w:rPr>
                <w:rFonts w:cs="Times New Roman"/>
                <w:szCs w:val="18"/>
              </w:rPr>
              <w:t>序号</w:t>
            </w:r>
          </w:p>
        </w:tc>
        <w:tc>
          <w:tcPr>
            <w:tcW w:w="715" w:type="pct"/>
            <w:noWrap/>
            <w:vAlign w:val="center"/>
          </w:tcPr>
          <w:p>
            <w:pPr>
              <w:pStyle w:val="139"/>
              <w:spacing w:line="240" w:lineRule="auto"/>
              <w:rPr>
                <w:rFonts w:cs="Times New Roman"/>
                <w:szCs w:val="18"/>
              </w:rPr>
            </w:pPr>
            <w:r>
              <w:rPr>
                <w:rFonts w:cs="Times New Roman"/>
                <w:szCs w:val="18"/>
              </w:rPr>
              <w:t>高程</w:t>
            </w:r>
          </w:p>
        </w:tc>
        <w:tc>
          <w:tcPr>
            <w:tcW w:w="624" w:type="pct"/>
            <w:noWrap/>
            <w:vAlign w:val="center"/>
          </w:tcPr>
          <w:p>
            <w:pPr>
              <w:pStyle w:val="139"/>
              <w:spacing w:line="240" w:lineRule="auto"/>
              <w:rPr>
                <w:rFonts w:cs="Times New Roman"/>
                <w:szCs w:val="18"/>
              </w:rPr>
            </w:pPr>
            <w:r>
              <w:rPr>
                <w:rFonts w:cs="Times New Roman"/>
                <w:szCs w:val="18"/>
              </w:rPr>
              <w:t>河宽</w:t>
            </w:r>
          </w:p>
        </w:tc>
        <w:tc>
          <w:tcPr>
            <w:tcW w:w="624" w:type="pct"/>
            <w:noWrap/>
            <w:vAlign w:val="center"/>
          </w:tcPr>
          <w:p>
            <w:pPr>
              <w:pStyle w:val="139"/>
              <w:spacing w:line="240" w:lineRule="auto"/>
              <w:rPr>
                <w:rFonts w:cs="Times New Roman"/>
                <w:szCs w:val="18"/>
              </w:rPr>
            </w:pPr>
            <w:r>
              <w:rPr>
                <w:rFonts w:cs="Times New Roman"/>
                <w:szCs w:val="18"/>
              </w:rPr>
              <w:t>湿周</w:t>
            </w:r>
          </w:p>
        </w:tc>
        <w:tc>
          <w:tcPr>
            <w:tcW w:w="940" w:type="pct"/>
            <w:noWrap/>
            <w:vAlign w:val="center"/>
          </w:tcPr>
          <w:p>
            <w:pPr>
              <w:pStyle w:val="139"/>
              <w:spacing w:line="240" w:lineRule="auto"/>
              <w:rPr>
                <w:rFonts w:cs="Times New Roman"/>
                <w:szCs w:val="18"/>
              </w:rPr>
            </w:pPr>
            <w:r>
              <w:rPr>
                <w:rFonts w:cs="Times New Roman"/>
                <w:szCs w:val="18"/>
              </w:rPr>
              <w:t>过水面积</w:t>
            </w:r>
          </w:p>
        </w:tc>
        <w:tc>
          <w:tcPr>
            <w:tcW w:w="940" w:type="pct"/>
            <w:noWrap/>
            <w:vAlign w:val="center"/>
          </w:tcPr>
          <w:p>
            <w:pPr>
              <w:pStyle w:val="139"/>
              <w:spacing w:line="240" w:lineRule="auto"/>
              <w:rPr>
                <w:rFonts w:cs="Times New Roman"/>
                <w:szCs w:val="18"/>
              </w:rPr>
            </w:pPr>
            <w:r>
              <w:rPr>
                <w:rFonts w:cs="Times New Roman"/>
                <w:szCs w:val="18"/>
              </w:rPr>
              <w:t>水力半径</w:t>
            </w:r>
          </w:p>
        </w:tc>
        <w:tc>
          <w:tcPr>
            <w:tcW w:w="579" w:type="pct"/>
            <w:noWrap/>
            <w:vAlign w:val="center"/>
          </w:tcPr>
          <w:p>
            <w:pPr>
              <w:pStyle w:val="139"/>
              <w:spacing w:line="240" w:lineRule="auto"/>
              <w:rPr>
                <w:rFonts w:cs="Times New Roman"/>
                <w:szCs w:val="18"/>
              </w:rPr>
            </w:pPr>
            <w:r>
              <w:rPr>
                <w:rFonts w:cs="Times New Roman"/>
                <w:szCs w:val="18"/>
              </w:rPr>
              <w:t>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vMerge w:val="continue"/>
            <w:vAlign w:val="center"/>
          </w:tcPr>
          <w:p>
            <w:pPr>
              <w:pStyle w:val="139"/>
              <w:spacing w:line="240" w:lineRule="auto"/>
              <w:rPr>
                <w:rFonts w:cs="Times New Roman"/>
                <w:szCs w:val="18"/>
              </w:rPr>
            </w:pPr>
          </w:p>
        </w:tc>
        <w:tc>
          <w:tcPr>
            <w:tcW w:w="715"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940"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940" w:type="pct"/>
            <w:noWrap/>
            <w:vAlign w:val="center"/>
          </w:tcPr>
          <w:p>
            <w:pPr>
              <w:pStyle w:val="139"/>
              <w:spacing w:line="240" w:lineRule="auto"/>
              <w:rPr>
                <w:rFonts w:cs="Times New Roman"/>
                <w:szCs w:val="18"/>
              </w:rPr>
            </w:pPr>
            <w:r>
              <w:rPr>
                <w:rFonts w:cs="Times New Roman"/>
                <w:szCs w:val="18"/>
              </w:rPr>
              <w:t>m</w:t>
            </w:r>
          </w:p>
        </w:tc>
        <w:tc>
          <w:tcPr>
            <w:tcW w:w="579"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1</w:t>
            </w:r>
          </w:p>
        </w:tc>
        <w:tc>
          <w:tcPr>
            <w:tcW w:w="715" w:type="pct"/>
            <w:noWrap/>
            <w:vAlign w:val="center"/>
          </w:tcPr>
          <w:p>
            <w:pPr>
              <w:pStyle w:val="139"/>
              <w:spacing w:line="240" w:lineRule="auto"/>
              <w:rPr>
                <w:rFonts w:cs="Times New Roman"/>
                <w:szCs w:val="18"/>
              </w:rPr>
            </w:pPr>
            <w:r>
              <w:rPr>
                <w:rFonts w:cs="Times New Roman"/>
                <w:szCs w:val="18"/>
              </w:rPr>
              <w:t>697.60</w:t>
            </w:r>
          </w:p>
        </w:tc>
        <w:tc>
          <w:tcPr>
            <w:tcW w:w="624" w:type="pct"/>
            <w:noWrap/>
            <w:vAlign w:val="center"/>
          </w:tcPr>
          <w:p>
            <w:pPr>
              <w:pStyle w:val="139"/>
              <w:spacing w:line="240" w:lineRule="auto"/>
              <w:rPr>
                <w:rFonts w:cs="Times New Roman"/>
                <w:szCs w:val="18"/>
              </w:rPr>
            </w:pPr>
            <w:r>
              <w:rPr>
                <w:rFonts w:cs="Times New Roman"/>
                <w:szCs w:val="18"/>
              </w:rPr>
              <w:t>0.00</w:t>
            </w:r>
          </w:p>
        </w:tc>
        <w:tc>
          <w:tcPr>
            <w:tcW w:w="624" w:type="pct"/>
            <w:noWrap/>
            <w:vAlign w:val="center"/>
          </w:tcPr>
          <w:p>
            <w:pPr>
              <w:pStyle w:val="139"/>
              <w:spacing w:line="240" w:lineRule="auto"/>
              <w:rPr>
                <w:rFonts w:cs="Times New Roman"/>
                <w:szCs w:val="18"/>
              </w:rPr>
            </w:pPr>
            <w:r>
              <w:rPr>
                <w:rFonts w:cs="Times New Roman"/>
                <w:szCs w:val="18"/>
              </w:rPr>
              <w:t>0.00</w:t>
            </w:r>
          </w:p>
        </w:tc>
        <w:tc>
          <w:tcPr>
            <w:tcW w:w="940" w:type="pct"/>
            <w:noWrap/>
            <w:vAlign w:val="center"/>
          </w:tcPr>
          <w:p>
            <w:pPr>
              <w:pStyle w:val="139"/>
              <w:spacing w:line="240" w:lineRule="auto"/>
              <w:rPr>
                <w:rFonts w:cs="Times New Roman"/>
                <w:szCs w:val="18"/>
              </w:rPr>
            </w:pPr>
            <w:r>
              <w:rPr>
                <w:rFonts w:cs="Times New Roman"/>
                <w:szCs w:val="18"/>
              </w:rPr>
              <w:t>0.00</w:t>
            </w:r>
          </w:p>
        </w:tc>
        <w:tc>
          <w:tcPr>
            <w:tcW w:w="940" w:type="pct"/>
            <w:noWrap/>
            <w:vAlign w:val="center"/>
          </w:tcPr>
          <w:p>
            <w:pPr>
              <w:pStyle w:val="139"/>
              <w:spacing w:line="240" w:lineRule="auto"/>
              <w:rPr>
                <w:rFonts w:cs="Times New Roman"/>
                <w:szCs w:val="18"/>
              </w:rPr>
            </w:pPr>
            <w:r>
              <w:rPr>
                <w:rFonts w:cs="Times New Roman"/>
                <w:szCs w:val="18"/>
              </w:rPr>
              <w:t>0.00</w:t>
            </w:r>
          </w:p>
        </w:tc>
        <w:tc>
          <w:tcPr>
            <w:tcW w:w="579" w:type="pct"/>
            <w:noWrap/>
            <w:vAlign w:val="center"/>
          </w:tcPr>
          <w:p>
            <w:pPr>
              <w:pStyle w:val="139"/>
              <w:spacing w:line="240" w:lineRule="auto"/>
              <w:rPr>
                <w:rFonts w:cs="Times New Roman"/>
                <w:szCs w:val="18"/>
              </w:rPr>
            </w:pPr>
            <w:r>
              <w:rPr>
                <w:rFonts w:cs="Times New Roman"/>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2</w:t>
            </w:r>
          </w:p>
        </w:tc>
        <w:tc>
          <w:tcPr>
            <w:tcW w:w="715" w:type="pct"/>
            <w:noWrap/>
            <w:vAlign w:val="center"/>
          </w:tcPr>
          <w:p>
            <w:pPr>
              <w:pStyle w:val="139"/>
              <w:spacing w:line="240" w:lineRule="auto"/>
              <w:rPr>
                <w:rFonts w:cs="Times New Roman"/>
                <w:szCs w:val="18"/>
              </w:rPr>
            </w:pPr>
            <w:r>
              <w:rPr>
                <w:rFonts w:cs="Times New Roman"/>
                <w:szCs w:val="18"/>
              </w:rPr>
              <w:t>697.80</w:t>
            </w:r>
          </w:p>
        </w:tc>
        <w:tc>
          <w:tcPr>
            <w:tcW w:w="624" w:type="pct"/>
            <w:noWrap/>
            <w:vAlign w:val="center"/>
          </w:tcPr>
          <w:p>
            <w:pPr>
              <w:pStyle w:val="139"/>
              <w:spacing w:line="240" w:lineRule="auto"/>
              <w:rPr>
                <w:rFonts w:cs="Times New Roman"/>
                <w:szCs w:val="18"/>
              </w:rPr>
            </w:pPr>
            <w:r>
              <w:rPr>
                <w:rFonts w:cs="Times New Roman"/>
                <w:szCs w:val="18"/>
              </w:rPr>
              <w:t>7.54</w:t>
            </w:r>
          </w:p>
        </w:tc>
        <w:tc>
          <w:tcPr>
            <w:tcW w:w="624" w:type="pct"/>
            <w:noWrap/>
            <w:vAlign w:val="center"/>
          </w:tcPr>
          <w:p>
            <w:pPr>
              <w:pStyle w:val="139"/>
              <w:spacing w:line="240" w:lineRule="auto"/>
              <w:rPr>
                <w:rFonts w:cs="Times New Roman"/>
                <w:szCs w:val="18"/>
              </w:rPr>
            </w:pPr>
            <w:r>
              <w:rPr>
                <w:rFonts w:cs="Times New Roman"/>
                <w:szCs w:val="18"/>
              </w:rPr>
              <w:t>7.78</w:t>
            </w:r>
          </w:p>
        </w:tc>
        <w:tc>
          <w:tcPr>
            <w:tcW w:w="940" w:type="pct"/>
            <w:noWrap/>
            <w:vAlign w:val="center"/>
          </w:tcPr>
          <w:p>
            <w:pPr>
              <w:pStyle w:val="139"/>
              <w:spacing w:line="240" w:lineRule="auto"/>
              <w:rPr>
                <w:rFonts w:cs="Times New Roman"/>
                <w:szCs w:val="18"/>
              </w:rPr>
            </w:pPr>
            <w:r>
              <w:rPr>
                <w:rFonts w:cs="Times New Roman"/>
                <w:szCs w:val="18"/>
              </w:rPr>
              <w:t>1.49</w:t>
            </w:r>
          </w:p>
        </w:tc>
        <w:tc>
          <w:tcPr>
            <w:tcW w:w="940" w:type="pct"/>
            <w:noWrap/>
            <w:vAlign w:val="center"/>
          </w:tcPr>
          <w:p>
            <w:pPr>
              <w:pStyle w:val="139"/>
              <w:spacing w:line="240" w:lineRule="auto"/>
              <w:rPr>
                <w:rFonts w:cs="Times New Roman"/>
                <w:szCs w:val="18"/>
              </w:rPr>
            </w:pPr>
            <w:r>
              <w:rPr>
                <w:rFonts w:cs="Times New Roman"/>
                <w:szCs w:val="18"/>
              </w:rPr>
              <w:t>0.19</w:t>
            </w:r>
          </w:p>
        </w:tc>
        <w:tc>
          <w:tcPr>
            <w:tcW w:w="579" w:type="pct"/>
            <w:noWrap/>
            <w:vAlign w:val="center"/>
          </w:tcPr>
          <w:p>
            <w:pPr>
              <w:pStyle w:val="139"/>
              <w:spacing w:line="240" w:lineRule="auto"/>
              <w:rPr>
                <w:rFonts w:cs="Times New Roman"/>
                <w:szCs w:val="18"/>
              </w:rPr>
            </w:pPr>
            <w:r>
              <w:rPr>
                <w:rFonts w:cs="Times New Roman"/>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3</w:t>
            </w:r>
          </w:p>
        </w:tc>
        <w:tc>
          <w:tcPr>
            <w:tcW w:w="715" w:type="pct"/>
            <w:noWrap/>
            <w:vAlign w:val="center"/>
          </w:tcPr>
          <w:p>
            <w:pPr>
              <w:pStyle w:val="139"/>
              <w:spacing w:line="240" w:lineRule="auto"/>
              <w:rPr>
                <w:rFonts w:cs="Times New Roman"/>
                <w:szCs w:val="18"/>
              </w:rPr>
            </w:pPr>
            <w:r>
              <w:rPr>
                <w:rFonts w:cs="Times New Roman"/>
                <w:szCs w:val="18"/>
              </w:rPr>
              <w:t>698.00</w:t>
            </w:r>
          </w:p>
        </w:tc>
        <w:tc>
          <w:tcPr>
            <w:tcW w:w="624" w:type="pct"/>
            <w:noWrap/>
            <w:vAlign w:val="center"/>
          </w:tcPr>
          <w:p>
            <w:pPr>
              <w:pStyle w:val="139"/>
              <w:spacing w:line="240" w:lineRule="auto"/>
              <w:rPr>
                <w:rFonts w:cs="Times New Roman"/>
                <w:szCs w:val="18"/>
              </w:rPr>
            </w:pPr>
            <w:r>
              <w:rPr>
                <w:rFonts w:cs="Times New Roman"/>
                <w:szCs w:val="18"/>
              </w:rPr>
              <w:t>7.77</w:t>
            </w:r>
          </w:p>
        </w:tc>
        <w:tc>
          <w:tcPr>
            <w:tcW w:w="624" w:type="pct"/>
            <w:noWrap/>
            <w:vAlign w:val="center"/>
          </w:tcPr>
          <w:p>
            <w:pPr>
              <w:pStyle w:val="139"/>
              <w:spacing w:line="240" w:lineRule="auto"/>
              <w:rPr>
                <w:rFonts w:cs="Times New Roman"/>
                <w:szCs w:val="18"/>
              </w:rPr>
            </w:pPr>
            <w:r>
              <w:rPr>
                <w:rFonts w:cs="Times New Roman"/>
                <w:szCs w:val="18"/>
              </w:rPr>
              <w:t>8.24</w:t>
            </w:r>
          </w:p>
        </w:tc>
        <w:tc>
          <w:tcPr>
            <w:tcW w:w="940" w:type="pct"/>
            <w:noWrap/>
            <w:vAlign w:val="center"/>
          </w:tcPr>
          <w:p>
            <w:pPr>
              <w:pStyle w:val="139"/>
              <w:spacing w:line="240" w:lineRule="auto"/>
              <w:rPr>
                <w:rFonts w:cs="Times New Roman"/>
                <w:szCs w:val="18"/>
              </w:rPr>
            </w:pPr>
            <w:r>
              <w:rPr>
                <w:rFonts w:cs="Times New Roman"/>
                <w:szCs w:val="18"/>
              </w:rPr>
              <w:t>3.02</w:t>
            </w:r>
          </w:p>
        </w:tc>
        <w:tc>
          <w:tcPr>
            <w:tcW w:w="940" w:type="pct"/>
            <w:noWrap/>
            <w:vAlign w:val="center"/>
          </w:tcPr>
          <w:p>
            <w:pPr>
              <w:pStyle w:val="139"/>
              <w:spacing w:line="240" w:lineRule="auto"/>
              <w:rPr>
                <w:rFonts w:cs="Times New Roman"/>
                <w:szCs w:val="18"/>
              </w:rPr>
            </w:pPr>
            <w:r>
              <w:rPr>
                <w:rFonts w:cs="Times New Roman"/>
                <w:szCs w:val="18"/>
              </w:rPr>
              <w:t>0.37</w:t>
            </w:r>
          </w:p>
        </w:tc>
        <w:tc>
          <w:tcPr>
            <w:tcW w:w="579" w:type="pct"/>
            <w:noWrap/>
            <w:vAlign w:val="center"/>
          </w:tcPr>
          <w:p>
            <w:pPr>
              <w:pStyle w:val="139"/>
              <w:spacing w:line="240" w:lineRule="auto"/>
              <w:rPr>
                <w:rFonts w:cs="Times New Roman"/>
                <w:szCs w:val="18"/>
              </w:rPr>
            </w:pPr>
            <w:r>
              <w:rPr>
                <w:rFonts w:cs="Times New Roman"/>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4</w:t>
            </w:r>
          </w:p>
        </w:tc>
        <w:tc>
          <w:tcPr>
            <w:tcW w:w="715" w:type="pct"/>
            <w:noWrap/>
            <w:vAlign w:val="center"/>
          </w:tcPr>
          <w:p>
            <w:pPr>
              <w:pStyle w:val="139"/>
              <w:spacing w:line="240" w:lineRule="auto"/>
              <w:rPr>
                <w:rFonts w:cs="Times New Roman"/>
                <w:szCs w:val="18"/>
              </w:rPr>
            </w:pPr>
            <w:r>
              <w:rPr>
                <w:rFonts w:cs="Times New Roman"/>
                <w:szCs w:val="18"/>
              </w:rPr>
              <w:t>698.20</w:t>
            </w:r>
          </w:p>
        </w:tc>
        <w:tc>
          <w:tcPr>
            <w:tcW w:w="624" w:type="pct"/>
            <w:noWrap/>
            <w:vAlign w:val="center"/>
          </w:tcPr>
          <w:p>
            <w:pPr>
              <w:pStyle w:val="139"/>
              <w:spacing w:line="240" w:lineRule="auto"/>
              <w:rPr>
                <w:rFonts w:cs="Times New Roman"/>
                <w:szCs w:val="18"/>
              </w:rPr>
            </w:pPr>
            <w:r>
              <w:rPr>
                <w:rFonts w:cs="Times New Roman"/>
                <w:szCs w:val="18"/>
              </w:rPr>
              <w:t>8.00</w:t>
            </w:r>
          </w:p>
        </w:tc>
        <w:tc>
          <w:tcPr>
            <w:tcW w:w="624" w:type="pct"/>
            <w:noWrap/>
            <w:vAlign w:val="center"/>
          </w:tcPr>
          <w:p>
            <w:pPr>
              <w:pStyle w:val="139"/>
              <w:spacing w:line="240" w:lineRule="auto"/>
              <w:rPr>
                <w:rFonts w:cs="Times New Roman"/>
                <w:szCs w:val="18"/>
              </w:rPr>
            </w:pPr>
            <w:r>
              <w:rPr>
                <w:rFonts w:cs="Times New Roman"/>
                <w:szCs w:val="18"/>
              </w:rPr>
              <w:t>8.70</w:t>
            </w:r>
          </w:p>
        </w:tc>
        <w:tc>
          <w:tcPr>
            <w:tcW w:w="940" w:type="pct"/>
            <w:noWrap/>
            <w:vAlign w:val="center"/>
          </w:tcPr>
          <w:p>
            <w:pPr>
              <w:pStyle w:val="139"/>
              <w:spacing w:line="240" w:lineRule="auto"/>
              <w:rPr>
                <w:rFonts w:cs="Times New Roman"/>
                <w:szCs w:val="18"/>
              </w:rPr>
            </w:pPr>
            <w:r>
              <w:rPr>
                <w:rFonts w:cs="Times New Roman"/>
                <w:szCs w:val="18"/>
              </w:rPr>
              <w:t>4.59</w:t>
            </w:r>
          </w:p>
        </w:tc>
        <w:tc>
          <w:tcPr>
            <w:tcW w:w="940" w:type="pct"/>
            <w:noWrap/>
            <w:vAlign w:val="center"/>
          </w:tcPr>
          <w:p>
            <w:pPr>
              <w:pStyle w:val="139"/>
              <w:spacing w:line="240" w:lineRule="auto"/>
              <w:rPr>
                <w:rFonts w:cs="Times New Roman"/>
                <w:szCs w:val="18"/>
              </w:rPr>
            </w:pPr>
            <w:r>
              <w:rPr>
                <w:rFonts w:cs="Times New Roman"/>
                <w:szCs w:val="18"/>
              </w:rPr>
              <w:t>0.53</w:t>
            </w:r>
          </w:p>
        </w:tc>
        <w:tc>
          <w:tcPr>
            <w:tcW w:w="579" w:type="pct"/>
            <w:noWrap/>
            <w:vAlign w:val="center"/>
          </w:tcPr>
          <w:p>
            <w:pPr>
              <w:pStyle w:val="139"/>
              <w:spacing w:line="240" w:lineRule="auto"/>
              <w:rPr>
                <w:rFonts w:cs="Times New Roman"/>
                <w:szCs w:val="18"/>
              </w:rPr>
            </w:pPr>
            <w:r>
              <w:rPr>
                <w:rFonts w:cs="Times New Roman"/>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5</w:t>
            </w:r>
          </w:p>
        </w:tc>
        <w:tc>
          <w:tcPr>
            <w:tcW w:w="715" w:type="pct"/>
            <w:noWrap/>
            <w:vAlign w:val="center"/>
          </w:tcPr>
          <w:p>
            <w:pPr>
              <w:pStyle w:val="139"/>
              <w:spacing w:line="240" w:lineRule="auto"/>
              <w:rPr>
                <w:rFonts w:cs="Times New Roman"/>
                <w:szCs w:val="18"/>
              </w:rPr>
            </w:pPr>
            <w:r>
              <w:rPr>
                <w:rFonts w:cs="Times New Roman"/>
                <w:szCs w:val="18"/>
              </w:rPr>
              <w:t>698.40</w:t>
            </w:r>
          </w:p>
        </w:tc>
        <w:tc>
          <w:tcPr>
            <w:tcW w:w="624" w:type="pct"/>
            <w:noWrap/>
            <w:vAlign w:val="center"/>
          </w:tcPr>
          <w:p>
            <w:pPr>
              <w:pStyle w:val="139"/>
              <w:spacing w:line="240" w:lineRule="auto"/>
              <w:rPr>
                <w:rFonts w:cs="Times New Roman"/>
                <w:szCs w:val="18"/>
              </w:rPr>
            </w:pPr>
            <w:r>
              <w:rPr>
                <w:rFonts w:cs="Times New Roman"/>
                <w:szCs w:val="18"/>
              </w:rPr>
              <w:t>8.23</w:t>
            </w:r>
          </w:p>
        </w:tc>
        <w:tc>
          <w:tcPr>
            <w:tcW w:w="624" w:type="pct"/>
            <w:noWrap/>
            <w:vAlign w:val="center"/>
          </w:tcPr>
          <w:p>
            <w:pPr>
              <w:pStyle w:val="139"/>
              <w:spacing w:line="240" w:lineRule="auto"/>
              <w:rPr>
                <w:rFonts w:cs="Times New Roman"/>
                <w:szCs w:val="18"/>
              </w:rPr>
            </w:pPr>
            <w:r>
              <w:rPr>
                <w:rFonts w:cs="Times New Roman"/>
                <w:szCs w:val="18"/>
              </w:rPr>
              <w:t>9.16</w:t>
            </w:r>
          </w:p>
        </w:tc>
        <w:tc>
          <w:tcPr>
            <w:tcW w:w="940" w:type="pct"/>
            <w:noWrap/>
            <w:vAlign w:val="center"/>
          </w:tcPr>
          <w:p>
            <w:pPr>
              <w:pStyle w:val="139"/>
              <w:spacing w:line="240" w:lineRule="auto"/>
              <w:rPr>
                <w:rFonts w:cs="Times New Roman"/>
                <w:szCs w:val="18"/>
              </w:rPr>
            </w:pPr>
            <w:r>
              <w:rPr>
                <w:rFonts w:cs="Times New Roman"/>
                <w:szCs w:val="18"/>
              </w:rPr>
              <w:t>6.22</w:t>
            </w:r>
          </w:p>
        </w:tc>
        <w:tc>
          <w:tcPr>
            <w:tcW w:w="940" w:type="pct"/>
            <w:noWrap/>
            <w:vAlign w:val="center"/>
          </w:tcPr>
          <w:p>
            <w:pPr>
              <w:pStyle w:val="139"/>
              <w:spacing w:line="240" w:lineRule="auto"/>
              <w:rPr>
                <w:rFonts w:cs="Times New Roman"/>
                <w:szCs w:val="18"/>
              </w:rPr>
            </w:pPr>
            <w:r>
              <w:rPr>
                <w:rFonts w:cs="Times New Roman"/>
                <w:szCs w:val="18"/>
              </w:rPr>
              <w:t>0.68</w:t>
            </w:r>
          </w:p>
        </w:tc>
        <w:tc>
          <w:tcPr>
            <w:tcW w:w="579" w:type="pct"/>
            <w:noWrap/>
            <w:vAlign w:val="center"/>
          </w:tcPr>
          <w:p>
            <w:pPr>
              <w:pStyle w:val="139"/>
              <w:spacing w:line="240" w:lineRule="auto"/>
              <w:rPr>
                <w:rFonts w:cs="Times New Roman"/>
                <w:szCs w:val="18"/>
              </w:rPr>
            </w:pPr>
            <w:r>
              <w:rPr>
                <w:rFonts w:cs="Times New Roman"/>
                <w:szCs w:val="18"/>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6</w:t>
            </w:r>
          </w:p>
        </w:tc>
        <w:tc>
          <w:tcPr>
            <w:tcW w:w="715" w:type="pct"/>
            <w:noWrap/>
            <w:vAlign w:val="center"/>
          </w:tcPr>
          <w:p>
            <w:pPr>
              <w:pStyle w:val="139"/>
              <w:spacing w:line="240" w:lineRule="auto"/>
              <w:rPr>
                <w:rFonts w:cs="Times New Roman"/>
                <w:szCs w:val="18"/>
              </w:rPr>
            </w:pPr>
            <w:r>
              <w:rPr>
                <w:rFonts w:cs="Times New Roman"/>
                <w:szCs w:val="18"/>
              </w:rPr>
              <w:t>698.60</w:t>
            </w:r>
          </w:p>
        </w:tc>
        <w:tc>
          <w:tcPr>
            <w:tcW w:w="624" w:type="pct"/>
            <w:noWrap/>
            <w:vAlign w:val="center"/>
          </w:tcPr>
          <w:p>
            <w:pPr>
              <w:pStyle w:val="139"/>
              <w:spacing w:line="240" w:lineRule="auto"/>
              <w:rPr>
                <w:rFonts w:cs="Times New Roman"/>
                <w:szCs w:val="18"/>
              </w:rPr>
            </w:pPr>
            <w:r>
              <w:rPr>
                <w:rFonts w:cs="Times New Roman"/>
                <w:szCs w:val="18"/>
              </w:rPr>
              <w:t>8.46</w:t>
            </w:r>
          </w:p>
        </w:tc>
        <w:tc>
          <w:tcPr>
            <w:tcW w:w="624" w:type="pct"/>
            <w:noWrap/>
            <w:vAlign w:val="center"/>
          </w:tcPr>
          <w:p>
            <w:pPr>
              <w:pStyle w:val="139"/>
              <w:spacing w:line="240" w:lineRule="auto"/>
              <w:rPr>
                <w:rFonts w:cs="Times New Roman"/>
                <w:szCs w:val="18"/>
              </w:rPr>
            </w:pPr>
            <w:r>
              <w:rPr>
                <w:rFonts w:cs="Times New Roman"/>
                <w:szCs w:val="18"/>
              </w:rPr>
              <w:t>9.62</w:t>
            </w:r>
          </w:p>
        </w:tc>
        <w:tc>
          <w:tcPr>
            <w:tcW w:w="940" w:type="pct"/>
            <w:noWrap/>
            <w:vAlign w:val="center"/>
          </w:tcPr>
          <w:p>
            <w:pPr>
              <w:pStyle w:val="139"/>
              <w:spacing w:line="240" w:lineRule="auto"/>
              <w:rPr>
                <w:rFonts w:cs="Times New Roman"/>
                <w:szCs w:val="18"/>
              </w:rPr>
            </w:pPr>
            <w:r>
              <w:rPr>
                <w:rFonts w:cs="Times New Roman"/>
                <w:szCs w:val="18"/>
              </w:rPr>
              <w:t>7.89</w:t>
            </w:r>
          </w:p>
        </w:tc>
        <w:tc>
          <w:tcPr>
            <w:tcW w:w="940" w:type="pct"/>
            <w:noWrap/>
            <w:vAlign w:val="center"/>
          </w:tcPr>
          <w:p>
            <w:pPr>
              <w:pStyle w:val="139"/>
              <w:spacing w:line="240" w:lineRule="auto"/>
              <w:rPr>
                <w:rFonts w:cs="Times New Roman"/>
                <w:szCs w:val="18"/>
              </w:rPr>
            </w:pPr>
            <w:r>
              <w:rPr>
                <w:rFonts w:cs="Times New Roman"/>
                <w:szCs w:val="18"/>
              </w:rPr>
              <w:t>0.82</w:t>
            </w:r>
          </w:p>
        </w:tc>
        <w:tc>
          <w:tcPr>
            <w:tcW w:w="579" w:type="pct"/>
            <w:noWrap/>
            <w:vAlign w:val="center"/>
          </w:tcPr>
          <w:p>
            <w:pPr>
              <w:pStyle w:val="139"/>
              <w:spacing w:line="240" w:lineRule="auto"/>
              <w:rPr>
                <w:rFonts w:cs="Times New Roman"/>
                <w:szCs w:val="18"/>
              </w:rPr>
            </w:pPr>
            <w:r>
              <w:rPr>
                <w:rFonts w:cs="Times New Roman"/>
                <w:szCs w:val="18"/>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7</w:t>
            </w:r>
          </w:p>
        </w:tc>
        <w:tc>
          <w:tcPr>
            <w:tcW w:w="715" w:type="pct"/>
            <w:noWrap/>
            <w:vAlign w:val="center"/>
          </w:tcPr>
          <w:p>
            <w:pPr>
              <w:pStyle w:val="139"/>
              <w:spacing w:line="240" w:lineRule="auto"/>
              <w:rPr>
                <w:rFonts w:cs="Times New Roman"/>
                <w:szCs w:val="18"/>
              </w:rPr>
            </w:pPr>
            <w:r>
              <w:rPr>
                <w:rFonts w:cs="Times New Roman"/>
                <w:szCs w:val="18"/>
              </w:rPr>
              <w:t>698.80</w:t>
            </w:r>
          </w:p>
        </w:tc>
        <w:tc>
          <w:tcPr>
            <w:tcW w:w="624" w:type="pct"/>
            <w:noWrap/>
            <w:vAlign w:val="center"/>
          </w:tcPr>
          <w:p>
            <w:pPr>
              <w:pStyle w:val="139"/>
              <w:spacing w:line="240" w:lineRule="auto"/>
              <w:rPr>
                <w:rFonts w:cs="Times New Roman"/>
                <w:szCs w:val="18"/>
              </w:rPr>
            </w:pPr>
            <w:r>
              <w:rPr>
                <w:rFonts w:cs="Times New Roman"/>
                <w:szCs w:val="18"/>
              </w:rPr>
              <w:t>8.69</w:t>
            </w:r>
          </w:p>
        </w:tc>
        <w:tc>
          <w:tcPr>
            <w:tcW w:w="624" w:type="pct"/>
            <w:noWrap/>
            <w:vAlign w:val="center"/>
          </w:tcPr>
          <w:p>
            <w:pPr>
              <w:pStyle w:val="139"/>
              <w:spacing w:line="240" w:lineRule="auto"/>
              <w:rPr>
                <w:rFonts w:cs="Times New Roman"/>
                <w:szCs w:val="18"/>
              </w:rPr>
            </w:pPr>
            <w:r>
              <w:rPr>
                <w:rFonts w:cs="Times New Roman"/>
                <w:szCs w:val="18"/>
              </w:rPr>
              <w:t>10.08</w:t>
            </w:r>
          </w:p>
        </w:tc>
        <w:tc>
          <w:tcPr>
            <w:tcW w:w="940" w:type="pct"/>
            <w:noWrap/>
            <w:vAlign w:val="center"/>
          </w:tcPr>
          <w:p>
            <w:pPr>
              <w:pStyle w:val="139"/>
              <w:spacing w:line="240" w:lineRule="auto"/>
              <w:rPr>
                <w:rFonts w:cs="Times New Roman"/>
                <w:szCs w:val="18"/>
              </w:rPr>
            </w:pPr>
            <w:r>
              <w:rPr>
                <w:rFonts w:cs="Times New Roman"/>
                <w:szCs w:val="18"/>
              </w:rPr>
              <w:t>9.60</w:t>
            </w:r>
          </w:p>
        </w:tc>
        <w:tc>
          <w:tcPr>
            <w:tcW w:w="940" w:type="pct"/>
            <w:noWrap/>
            <w:vAlign w:val="center"/>
          </w:tcPr>
          <w:p>
            <w:pPr>
              <w:pStyle w:val="139"/>
              <w:spacing w:line="240" w:lineRule="auto"/>
              <w:rPr>
                <w:rFonts w:cs="Times New Roman"/>
                <w:szCs w:val="18"/>
              </w:rPr>
            </w:pPr>
            <w:r>
              <w:rPr>
                <w:rFonts w:cs="Times New Roman"/>
                <w:szCs w:val="18"/>
              </w:rPr>
              <w:t>0.95</w:t>
            </w:r>
          </w:p>
        </w:tc>
        <w:tc>
          <w:tcPr>
            <w:tcW w:w="579" w:type="pct"/>
            <w:noWrap/>
            <w:vAlign w:val="center"/>
          </w:tcPr>
          <w:p>
            <w:pPr>
              <w:pStyle w:val="139"/>
              <w:spacing w:line="240" w:lineRule="auto"/>
              <w:rPr>
                <w:rFonts w:cs="Times New Roman"/>
                <w:szCs w:val="18"/>
              </w:rPr>
            </w:pPr>
            <w:r>
              <w:rPr>
                <w:rFonts w:cs="Times New Roman"/>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8</w:t>
            </w:r>
          </w:p>
        </w:tc>
        <w:tc>
          <w:tcPr>
            <w:tcW w:w="715" w:type="pct"/>
            <w:noWrap/>
            <w:vAlign w:val="center"/>
          </w:tcPr>
          <w:p>
            <w:pPr>
              <w:pStyle w:val="139"/>
              <w:spacing w:line="240" w:lineRule="auto"/>
              <w:rPr>
                <w:rFonts w:cs="Times New Roman"/>
                <w:szCs w:val="18"/>
              </w:rPr>
            </w:pPr>
            <w:r>
              <w:rPr>
                <w:rFonts w:cs="Times New Roman"/>
                <w:szCs w:val="18"/>
              </w:rPr>
              <w:t>699.00</w:t>
            </w:r>
          </w:p>
        </w:tc>
        <w:tc>
          <w:tcPr>
            <w:tcW w:w="624" w:type="pct"/>
            <w:noWrap/>
            <w:vAlign w:val="center"/>
          </w:tcPr>
          <w:p>
            <w:pPr>
              <w:pStyle w:val="139"/>
              <w:spacing w:line="240" w:lineRule="auto"/>
              <w:rPr>
                <w:rFonts w:cs="Times New Roman"/>
                <w:szCs w:val="18"/>
              </w:rPr>
            </w:pPr>
            <w:r>
              <w:rPr>
                <w:rFonts w:cs="Times New Roman"/>
                <w:szCs w:val="18"/>
              </w:rPr>
              <w:t>8.92</w:t>
            </w:r>
          </w:p>
        </w:tc>
        <w:tc>
          <w:tcPr>
            <w:tcW w:w="624" w:type="pct"/>
            <w:noWrap/>
            <w:vAlign w:val="center"/>
          </w:tcPr>
          <w:p>
            <w:pPr>
              <w:pStyle w:val="139"/>
              <w:spacing w:line="240" w:lineRule="auto"/>
              <w:rPr>
                <w:rFonts w:cs="Times New Roman"/>
                <w:szCs w:val="18"/>
              </w:rPr>
            </w:pPr>
            <w:r>
              <w:rPr>
                <w:rFonts w:cs="Times New Roman"/>
                <w:szCs w:val="18"/>
              </w:rPr>
              <w:t>10.54</w:t>
            </w:r>
          </w:p>
        </w:tc>
        <w:tc>
          <w:tcPr>
            <w:tcW w:w="940" w:type="pct"/>
            <w:noWrap/>
            <w:vAlign w:val="center"/>
          </w:tcPr>
          <w:p>
            <w:pPr>
              <w:pStyle w:val="139"/>
              <w:spacing w:line="240" w:lineRule="auto"/>
              <w:rPr>
                <w:rFonts w:cs="Times New Roman"/>
                <w:szCs w:val="18"/>
              </w:rPr>
            </w:pPr>
            <w:r>
              <w:rPr>
                <w:rFonts w:cs="Times New Roman"/>
                <w:szCs w:val="18"/>
              </w:rPr>
              <w:t>11.36</w:t>
            </w:r>
          </w:p>
        </w:tc>
        <w:tc>
          <w:tcPr>
            <w:tcW w:w="940" w:type="pct"/>
            <w:noWrap/>
            <w:vAlign w:val="center"/>
          </w:tcPr>
          <w:p>
            <w:pPr>
              <w:pStyle w:val="139"/>
              <w:spacing w:line="240" w:lineRule="auto"/>
              <w:rPr>
                <w:rFonts w:cs="Times New Roman"/>
                <w:szCs w:val="18"/>
              </w:rPr>
            </w:pPr>
            <w:r>
              <w:rPr>
                <w:rFonts w:cs="Times New Roman"/>
                <w:szCs w:val="18"/>
              </w:rPr>
              <w:t>1.08</w:t>
            </w:r>
          </w:p>
        </w:tc>
        <w:tc>
          <w:tcPr>
            <w:tcW w:w="579" w:type="pct"/>
            <w:noWrap/>
            <w:vAlign w:val="center"/>
          </w:tcPr>
          <w:p>
            <w:pPr>
              <w:pStyle w:val="139"/>
              <w:spacing w:line="240" w:lineRule="auto"/>
              <w:rPr>
                <w:rFonts w:cs="Times New Roman"/>
                <w:szCs w:val="18"/>
              </w:rPr>
            </w:pPr>
            <w:r>
              <w:rPr>
                <w:rFonts w:cs="Times New Roman"/>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9</w:t>
            </w:r>
          </w:p>
        </w:tc>
        <w:tc>
          <w:tcPr>
            <w:tcW w:w="715" w:type="pct"/>
            <w:noWrap/>
            <w:vAlign w:val="center"/>
          </w:tcPr>
          <w:p>
            <w:pPr>
              <w:pStyle w:val="139"/>
              <w:spacing w:line="240" w:lineRule="auto"/>
              <w:rPr>
                <w:rFonts w:cs="Times New Roman"/>
                <w:szCs w:val="18"/>
              </w:rPr>
            </w:pPr>
            <w:r>
              <w:rPr>
                <w:rFonts w:cs="Times New Roman"/>
                <w:szCs w:val="18"/>
              </w:rPr>
              <w:t>699.20</w:t>
            </w:r>
          </w:p>
        </w:tc>
        <w:tc>
          <w:tcPr>
            <w:tcW w:w="624" w:type="pct"/>
            <w:noWrap/>
            <w:vAlign w:val="center"/>
          </w:tcPr>
          <w:p>
            <w:pPr>
              <w:pStyle w:val="139"/>
              <w:spacing w:line="240" w:lineRule="auto"/>
              <w:rPr>
                <w:rFonts w:cs="Times New Roman"/>
                <w:szCs w:val="18"/>
              </w:rPr>
            </w:pPr>
            <w:r>
              <w:rPr>
                <w:rFonts w:cs="Times New Roman"/>
                <w:szCs w:val="18"/>
              </w:rPr>
              <w:t>9.15</w:t>
            </w:r>
          </w:p>
        </w:tc>
        <w:tc>
          <w:tcPr>
            <w:tcW w:w="624" w:type="pct"/>
            <w:noWrap/>
            <w:vAlign w:val="center"/>
          </w:tcPr>
          <w:p>
            <w:pPr>
              <w:pStyle w:val="139"/>
              <w:spacing w:line="240" w:lineRule="auto"/>
              <w:rPr>
                <w:rFonts w:cs="Times New Roman"/>
                <w:szCs w:val="18"/>
              </w:rPr>
            </w:pPr>
            <w:r>
              <w:rPr>
                <w:rFonts w:cs="Times New Roman"/>
                <w:szCs w:val="18"/>
              </w:rPr>
              <w:t>11.00</w:t>
            </w:r>
          </w:p>
        </w:tc>
        <w:tc>
          <w:tcPr>
            <w:tcW w:w="940" w:type="pct"/>
            <w:noWrap/>
            <w:vAlign w:val="center"/>
          </w:tcPr>
          <w:p>
            <w:pPr>
              <w:pStyle w:val="139"/>
              <w:spacing w:line="240" w:lineRule="auto"/>
              <w:rPr>
                <w:rFonts w:cs="Times New Roman"/>
                <w:szCs w:val="18"/>
              </w:rPr>
            </w:pPr>
            <w:r>
              <w:rPr>
                <w:rFonts w:cs="Times New Roman"/>
                <w:szCs w:val="18"/>
              </w:rPr>
              <w:t>13.17</w:t>
            </w:r>
          </w:p>
        </w:tc>
        <w:tc>
          <w:tcPr>
            <w:tcW w:w="940" w:type="pct"/>
            <w:noWrap/>
            <w:vAlign w:val="center"/>
          </w:tcPr>
          <w:p>
            <w:pPr>
              <w:pStyle w:val="139"/>
              <w:spacing w:line="240" w:lineRule="auto"/>
              <w:rPr>
                <w:rFonts w:cs="Times New Roman"/>
                <w:szCs w:val="18"/>
              </w:rPr>
            </w:pPr>
            <w:r>
              <w:rPr>
                <w:rFonts w:cs="Times New Roman"/>
                <w:szCs w:val="18"/>
              </w:rPr>
              <w:t>1.20</w:t>
            </w:r>
          </w:p>
        </w:tc>
        <w:tc>
          <w:tcPr>
            <w:tcW w:w="579" w:type="pct"/>
            <w:noWrap/>
            <w:vAlign w:val="center"/>
          </w:tcPr>
          <w:p>
            <w:pPr>
              <w:pStyle w:val="139"/>
              <w:spacing w:line="240" w:lineRule="auto"/>
              <w:rPr>
                <w:rFonts w:cs="Times New Roman"/>
                <w:szCs w:val="18"/>
              </w:rPr>
            </w:pPr>
            <w:r>
              <w:rPr>
                <w:rFonts w:cs="Times New Roman"/>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10</w:t>
            </w:r>
          </w:p>
        </w:tc>
        <w:tc>
          <w:tcPr>
            <w:tcW w:w="715" w:type="pct"/>
            <w:noWrap/>
            <w:vAlign w:val="center"/>
          </w:tcPr>
          <w:p>
            <w:pPr>
              <w:pStyle w:val="139"/>
              <w:spacing w:line="240" w:lineRule="auto"/>
              <w:rPr>
                <w:rFonts w:cs="Times New Roman"/>
                <w:szCs w:val="18"/>
              </w:rPr>
            </w:pPr>
            <w:r>
              <w:rPr>
                <w:rFonts w:cs="Times New Roman"/>
                <w:szCs w:val="18"/>
              </w:rPr>
              <w:t>699.40</w:t>
            </w:r>
          </w:p>
        </w:tc>
        <w:tc>
          <w:tcPr>
            <w:tcW w:w="624" w:type="pct"/>
            <w:noWrap/>
            <w:vAlign w:val="center"/>
          </w:tcPr>
          <w:p>
            <w:pPr>
              <w:pStyle w:val="139"/>
              <w:spacing w:line="240" w:lineRule="auto"/>
              <w:rPr>
                <w:rFonts w:cs="Times New Roman"/>
                <w:szCs w:val="18"/>
              </w:rPr>
            </w:pPr>
            <w:r>
              <w:rPr>
                <w:rFonts w:cs="Times New Roman"/>
                <w:szCs w:val="18"/>
              </w:rPr>
              <w:t>9.38</w:t>
            </w:r>
          </w:p>
        </w:tc>
        <w:tc>
          <w:tcPr>
            <w:tcW w:w="624" w:type="pct"/>
            <w:noWrap/>
            <w:vAlign w:val="center"/>
          </w:tcPr>
          <w:p>
            <w:pPr>
              <w:pStyle w:val="139"/>
              <w:spacing w:line="240" w:lineRule="auto"/>
              <w:rPr>
                <w:rFonts w:cs="Times New Roman"/>
                <w:szCs w:val="18"/>
              </w:rPr>
            </w:pPr>
            <w:r>
              <w:rPr>
                <w:rFonts w:cs="Times New Roman"/>
                <w:szCs w:val="18"/>
              </w:rPr>
              <w:t>11.46</w:t>
            </w:r>
          </w:p>
        </w:tc>
        <w:tc>
          <w:tcPr>
            <w:tcW w:w="940" w:type="pct"/>
            <w:noWrap/>
            <w:vAlign w:val="center"/>
          </w:tcPr>
          <w:p>
            <w:pPr>
              <w:pStyle w:val="139"/>
              <w:spacing w:line="240" w:lineRule="auto"/>
              <w:rPr>
                <w:rFonts w:cs="Times New Roman"/>
                <w:szCs w:val="18"/>
              </w:rPr>
            </w:pPr>
            <w:r>
              <w:rPr>
                <w:rFonts w:cs="Times New Roman"/>
                <w:szCs w:val="18"/>
              </w:rPr>
              <w:t>15.02</w:t>
            </w:r>
          </w:p>
        </w:tc>
        <w:tc>
          <w:tcPr>
            <w:tcW w:w="940" w:type="pct"/>
            <w:noWrap/>
            <w:vAlign w:val="center"/>
          </w:tcPr>
          <w:p>
            <w:pPr>
              <w:pStyle w:val="139"/>
              <w:spacing w:line="240" w:lineRule="auto"/>
              <w:rPr>
                <w:rFonts w:cs="Times New Roman"/>
                <w:szCs w:val="18"/>
              </w:rPr>
            </w:pPr>
            <w:r>
              <w:rPr>
                <w:rFonts w:cs="Times New Roman"/>
                <w:szCs w:val="18"/>
              </w:rPr>
              <w:t>1.31</w:t>
            </w:r>
          </w:p>
        </w:tc>
        <w:tc>
          <w:tcPr>
            <w:tcW w:w="579" w:type="pct"/>
            <w:noWrap/>
            <w:vAlign w:val="center"/>
          </w:tcPr>
          <w:p>
            <w:pPr>
              <w:pStyle w:val="139"/>
              <w:spacing w:line="240" w:lineRule="auto"/>
              <w:rPr>
                <w:rFonts w:cs="Times New Roman"/>
                <w:szCs w:val="18"/>
              </w:rPr>
            </w:pPr>
            <w:r>
              <w:rPr>
                <w:rFonts w:cs="Times New Roman"/>
                <w:szCs w:val="18"/>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11</w:t>
            </w:r>
          </w:p>
        </w:tc>
        <w:tc>
          <w:tcPr>
            <w:tcW w:w="715" w:type="pct"/>
            <w:noWrap/>
            <w:vAlign w:val="center"/>
          </w:tcPr>
          <w:p>
            <w:pPr>
              <w:pStyle w:val="139"/>
              <w:spacing w:line="240" w:lineRule="auto"/>
              <w:rPr>
                <w:rFonts w:cs="Times New Roman"/>
                <w:szCs w:val="18"/>
              </w:rPr>
            </w:pPr>
            <w:r>
              <w:rPr>
                <w:rFonts w:cs="Times New Roman"/>
                <w:szCs w:val="18"/>
              </w:rPr>
              <w:t>699.60</w:t>
            </w:r>
          </w:p>
        </w:tc>
        <w:tc>
          <w:tcPr>
            <w:tcW w:w="624" w:type="pct"/>
            <w:noWrap/>
            <w:vAlign w:val="center"/>
          </w:tcPr>
          <w:p>
            <w:pPr>
              <w:pStyle w:val="139"/>
              <w:spacing w:line="240" w:lineRule="auto"/>
              <w:rPr>
                <w:rFonts w:cs="Times New Roman"/>
                <w:szCs w:val="18"/>
              </w:rPr>
            </w:pPr>
            <w:r>
              <w:rPr>
                <w:rFonts w:cs="Times New Roman"/>
                <w:szCs w:val="18"/>
              </w:rPr>
              <w:t>9.61</w:t>
            </w:r>
          </w:p>
        </w:tc>
        <w:tc>
          <w:tcPr>
            <w:tcW w:w="624" w:type="pct"/>
            <w:noWrap/>
            <w:vAlign w:val="center"/>
          </w:tcPr>
          <w:p>
            <w:pPr>
              <w:pStyle w:val="139"/>
              <w:spacing w:line="240" w:lineRule="auto"/>
              <w:rPr>
                <w:rFonts w:cs="Times New Roman"/>
                <w:szCs w:val="18"/>
              </w:rPr>
            </w:pPr>
            <w:r>
              <w:rPr>
                <w:rFonts w:cs="Times New Roman"/>
                <w:szCs w:val="18"/>
              </w:rPr>
              <w:t>11.93</w:t>
            </w:r>
          </w:p>
        </w:tc>
        <w:tc>
          <w:tcPr>
            <w:tcW w:w="940" w:type="pct"/>
            <w:noWrap/>
            <w:vAlign w:val="center"/>
          </w:tcPr>
          <w:p>
            <w:pPr>
              <w:pStyle w:val="139"/>
              <w:spacing w:line="240" w:lineRule="auto"/>
              <w:rPr>
                <w:rFonts w:cs="Times New Roman"/>
                <w:szCs w:val="18"/>
              </w:rPr>
            </w:pPr>
            <w:r>
              <w:rPr>
                <w:rFonts w:cs="Times New Roman"/>
                <w:szCs w:val="18"/>
              </w:rPr>
              <w:t>16.92</w:t>
            </w:r>
          </w:p>
        </w:tc>
        <w:tc>
          <w:tcPr>
            <w:tcW w:w="940" w:type="pct"/>
            <w:noWrap/>
            <w:vAlign w:val="center"/>
          </w:tcPr>
          <w:p>
            <w:pPr>
              <w:pStyle w:val="139"/>
              <w:spacing w:line="240" w:lineRule="auto"/>
              <w:rPr>
                <w:rFonts w:cs="Times New Roman"/>
                <w:szCs w:val="18"/>
              </w:rPr>
            </w:pPr>
            <w:r>
              <w:rPr>
                <w:rFonts w:cs="Times New Roman"/>
                <w:szCs w:val="18"/>
              </w:rPr>
              <w:t>1.42</w:t>
            </w:r>
          </w:p>
        </w:tc>
        <w:tc>
          <w:tcPr>
            <w:tcW w:w="579" w:type="pct"/>
            <w:noWrap/>
            <w:vAlign w:val="center"/>
          </w:tcPr>
          <w:p>
            <w:pPr>
              <w:pStyle w:val="139"/>
              <w:spacing w:line="240" w:lineRule="auto"/>
              <w:rPr>
                <w:rFonts w:cs="Times New Roman"/>
                <w:szCs w:val="18"/>
              </w:rPr>
            </w:pPr>
            <w:r>
              <w:rPr>
                <w:rFonts w:cs="Times New Roman"/>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pct"/>
            <w:noWrap/>
            <w:vAlign w:val="center"/>
          </w:tcPr>
          <w:p>
            <w:pPr>
              <w:pStyle w:val="139"/>
              <w:spacing w:line="240" w:lineRule="auto"/>
              <w:rPr>
                <w:rFonts w:cs="Times New Roman"/>
                <w:szCs w:val="18"/>
              </w:rPr>
            </w:pPr>
            <w:r>
              <w:rPr>
                <w:rFonts w:cs="Times New Roman"/>
                <w:szCs w:val="18"/>
              </w:rPr>
              <w:t>12</w:t>
            </w:r>
          </w:p>
        </w:tc>
        <w:tc>
          <w:tcPr>
            <w:tcW w:w="715" w:type="pct"/>
            <w:noWrap/>
            <w:vAlign w:val="center"/>
          </w:tcPr>
          <w:p>
            <w:pPr>
              <w:pStyle w:val="139"/>
              <w:spacing w:line="240" w:lineRule="auto"/>
              <w:rPr>
                <w:rFonts w:cs="Times New Roman"/>
                <w:szCs w:val="18"/>
              </w:rPr>
            </w:pPr>
            <w:r>
              <w:rPr>
                <w:rFonts w:cs="Times New Roman"/>
                <w:szCs w:val="18"/>
              </w:rPr>
              <w:t>699.80</w:t>
            </w:r>
          </w:p>
        </w:tc>
        <w:tc>
          <w:tcPr>
            <w:tcW w:w="624" w:type="pct"/>
            <w:noWrap/>
            <w:vAlign w:val="center"/>
          </w:tcPr>
          <w:p>
            <w:pPr>
              <w:pStyle w:val="139"/>
              <w:spacing w:line="240" w:lineRule="auto"/>
              <w:rPr>
                <w:rFonts w:cs="Times New Roman"/>
                <w:szCs w:val="18"/>
              </w:rPr>
            </w:pPr>
            <w:r>
              <w:rPr>
                <w:rFonts w:cs="Times New Roman"/>
                <w:szCs w:val="18"/>
              </w:rPr>
              <w:t>9.83</w:t>
            </w:r>
          </w:p>
        </w:tc>
        <w:tc>
          <w:tcPr>
            <w:tcW w:w="624" w:type="pct"/>
            <w:noWrap/>
            <w:vAlign w:val="center"/>
          </w:tcPr>
          <w:p>
            <w:pPr>
              <w:pStyle w:val="139"/>
              <w:spacing w:line="240" w:lineRule="auto"/>
              <w:rPr>
                <w:rFonts w:cs="Times New Roman"/>
                <w:szCs w:val="18"/>
              </w:rPr>
            </w:pPr>
            <w:r>
              <w:rPr>
                <w:rFonts w:cs="Times New Roman"/>
                <w:szCs w:val="18"/>
              </w:rPr>
              <w:t>12.39</w:t>
            </w:r>
          </w:p>
        </w:tc>
        <w:tc>
          <w:tcPr>
            <w:tcW w:w="940" w:type="pct"/>
            <w:noWrap/>
            <w:vAlign w:val="center"/>
          </w:tcPr>
          <w:p>
            <w:pPr>
              <w:pStyle w:val="139"/>
              <w:spacing w:line="240" w:lineRule="auto"/>
              <w:rPr>
                <w:rFonts w:cs="Times New Roman"/>
                <w:szCs w:val="18"/>
              </w:rPr>
            </w:pPr>
            <w:r>
              <w:rPr>
                <w:rFonts w:cs="Times New Roman"/>
                <w:szCs w:val="18"/>
              </w:rPr>
              <w:t>18.86</w:t>
            </w:r>
          </w:p>
        </w:tc>
        <w:tc>
          <w:tcPr>
            <w:tcW w:w="940" w:type="pct"/>
            <w:noWrap/>
            <w:vAlign w:val="center"/>
          </w:tcPr>
          <w:p>
            <w:pPr>
              <w:pStyle w:val="139"/>
              <w:spacing w:line="240" w:lineRule="auto"/>
              <w:rPr>
                <w:rFonts w:cs="Times New Roman"/>
                <w:szCs w:val="18"/>
              </w:rPr>
            </w:pPr>
            <w:r>
              <w:rPr>
                <w:rFonts w:cs="Times New Roman"/>
                <w:szCs w:val="18"/>
              </w:rPr>
              <w:t>1.52</w:t>
            </w:r>
          </w:p>
        </w:tc>
        <w:tc>
          <w:tcPr>
            <w:tcW w:w="579" w:type="pct"/>
            <w:noWrap/>
            <w:vAlign w:val="center"/>
          </w:tcPr>
          <w:p>
            <w:pPr>
              <w:pStyle w:val="139"/>
              <w:spacing w:line="240" w:lineRule="auto"/>
              <w:rPr>
                <w:rFonts w:cs="Times New Roman"/>
                <w:szCs w:val="18"/>
              </w:rPr>
            </w:pPr>
            <w:r>
              <w:rPr>
                <w:rFonts w:cs="Times New Roman"/>
                <w:szCs w:val="18"/>
              </w:rPr>
              <w:t>167</w:t>
            </w:r>
          </w:p>
        </w:tc>
      </w:tr>
    </w:tbl>
    <w:p>
      <w:pPr>
        <w:pStyle w:val="73"/>
        <w:adjustRightInd/>
        <w:snapToGrid/>
        <w:ind w:firstLine="0" w:firstLineChars="0"/>
        <w:contextualSpacing/>
        <w:rPr>
          <w:rFonts w:eastAsia="宋体"/>
          <w:b/>
          <w:bCs/>
          <w:sz w:val="21"/>
          <w:szCs w:val="16"/>
        </w:rPr>
      </w:pPr>
      <w:r>
        <w:rPr>
          <w:rFonts w:eastAsia="宋体"/>
          <w:b/>
          <w:bCs/>
          <w:sz w:val="21"/>
          <w:szCs w:val="16"/>
        </w:rPr>
        <w:t>表5.1.2-3  CS3（断面）水力要素表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219"/>
        <w:gridCol w:w="1064"/>
        <w:gridCol w:w="1064"/>
        <w:gridCol w:w="1602"/>
        <w:gridCol w:w="1602"/>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restart"/>
            <w:noWrap/>
            <w:vAlign w:val="center"/>
          </w:tcPr>
          <w:p>
            <w:pPr>
              <w:pStyle w:val="139"/>
              <w:spacing w:line="240" w:lineRule="auto"/>
              <w:rPr>
                <w:rFonts w:cs="Times New Roman"/>
                <w:szCs w:val="18"/>
              </w:rPr>
            </w:pPr>
            <w:r>
              <w:rPr>
                <w:rFonts w:cs="Times New Roman"/>
                <w:szCs w:val="18"/>
              </w:rPr>
              <w:t>序号</w:t>
            </w:r>
          </w:p>
        </w:tc>
        <w:tc>
          <w:tcPr>
            <w:tcW w:w="715" w:type="pct"/>
            <w:noWrap/>
            <w:vAlign w:val="center"/>
          </w:tcPr>
          <w:p>
            <w:pPr>
              <w:pStyle w:val="139"/>
              <w:spacing w:line="240" w:lineRule="auto"/>
              <w:rPr>
                <w:rFonts w:cs="Times New Roman"/>
                <w:szCs w:val="18"/>
              </w:rPr>
            </w:pPr>
            <w:r>
              <w:rPr>
                <w:rFonts w:cs="Times New Roman"/>
                <w:szCs w:val="18"/>
              </w:rPr>
              <w:t>高程</w:t>
            </w:r>
          </w:p>
        </w:tc>
        <w:tc>
          <w:tcPr>
            <w:tcW w:w="624" w:type="pct"/>
            <w:noWrap/>
            <w:vAlign w:val="center"/>
          </w:tcPr>
          <w:p>
            <w:pPr>
              <w:pStyle w:val="139"/>
              <w:spacing w:line="240" w:lineRule="auto"/>
              <w:rPr>
                <w:rFonts w:cs="Times New Roman"/>
                <w:szCs w:val="18"/>
              </w:rPr>
            </w:pPr>
            <w:r>
              <w:rPr>
                <w:rFonts w:cs="Times New Roman"/>
                <w:szCs w:val="18"/>
              </w:rPr>
              <w:t>河宽</w:t>
            </w:r>
          </w:p>
        </w:tc>
        <w:tc>
          <w:tcPr>
            <w:tcW w:w="624" w:type="pct"/>
            <w:noWrap/>
            <w:vAlign w:val="center"/>
          </w:tcPr>
          <w:p>
            <w:pPr>
              <w:pStyle w:val="139"/>
              <w:spacing w:line="240" w:lineRule="auto"/>
              <w:rPr>
                <w:rFonts w:cs="Times New Roman"/>
                <w:szCs w:val="18"/>
              </w:rPr>
            </w:pPr>
            <w:r>
              <w:rPr>
                <w:rFonts w:cs="Times New Roman"/>
                <w:szCs w:val="18"/>
              </w:rPr>
              <w:t>湿周</w:t>
            </w:r>
          </w:p>
        </w:tc>
        <w:tc>
          <w:tcPr>
            <w:tcW w:w="940" w:type="pct"/>
            <w:noWrap/>
            <w:vAlign w:val="center"/>
          </w:tcPr>
          <w:p>
            <w:pPr>
              <w:pStyle w:val="139"/>
              <w:spacing w:line="240" w:lineRule="auto"/>
              <w:rPr>
                <w:rFonts w:cs="Times New Roman"/>
                <w:szCs w:val="18"/>
              </w:rPr>
            </w:pPr>
            <w:r>
              <w:rPr>
                <w:rFonts w:cs="Times New Roman"/>
                <w:szCs w:val="18"/>
              </w:rPr>
              <w:t>过水面积</w:t>
            </w:r>
          </w:p>
        </w:tc>
        <w:tc>
          <w:tcPr>
            <w:tcW w:w="940" w:type="pct"/>
            <w:noWrap/>
            <w:vAlign w:val="center"/>
          </w:tcPr>
          <w:p>
            <w:pPr>
              <w:pStyle w:val="139"/>
              <w:spacing w:line="240" w:lineRule="auto"/>
              <w:rPr>
                <w:rFonts w:cs="Times New Roman"/>
                <w:szCs w:val="18"/>
              </w:rPr>
            </w:pPr>
            <w:r>
              <w:rPr>
                <w:rFonts w:cs="Times New Roman"/>
                <w:szCs w:val="18"/>
              </w:rPr>
              <w:t>水力半径</w:t>
            </w:r>
          </w:p>
        </w:tc>
        <w:tc>
          <w:tcPr>
            <w:tcW w:w="578" w:type="pct"/>
            <w:noWrap/>
            <w:vAlign w:val="center"/>
          </w:tcPr>
          <w:p>
            <w:pPr>
              <w:pStyle w:val="139"/>
              <w:spacing w:line="240" w:lineRule="auto"/>
              <w:rPr>
                <w:rFonts w:cs="Times New Roman"/>
                <w:szCs w:val="18"/>
              </w:rPr>
            </w:pPr>
            <w:r>
              <w:rPr>
                <w:rFonts w:cs="Times New Roman"/>
                <w:szCs w:val="18"/>
              </w:rPr>
              <w:t>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vAlign w:val="center"/>
          </w:tcPr>
          <w:p>
            <w:pPr>
              <w:pStyle w:val="139"/>
              <w:spacing w:line="240" w:lineRule="auto"/>
              <w:rPr>
                <w:rFonts w:cs="Times New Roman"/>
                <w:szCs w:val="18"/>
              </w:rPr>
            </w:pPr>
          </w:p>
        </w:tc>
        <w:tc>
          <w:tcPr>
            <w:tcW w:w="715"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624" w:type="pct"/>
            <w:noWrap/>
            <w:vAlign w:val="center"/>
          </w:tcPr>
          <w:p>
            <w:pPr>
              <w:pStyle w:val="139"/>
              <w:spacing w:line="240" w:lineRule="auto"/>
              <w:rPr>
                <w:rFonts w:cs="Times New Roman"/>
                <w:szCs w:val="18"/>
              </w:rPr>
            </w:pPr>
            <w:r>
              <w:rPr>
                <w:rFonts w:cs="Times New Roman"/>
                <w:szCs w:val="18"/>
              </w:rPr>
              <w:t>m</w:t>
            </w:r>
          </w:p>
        </w:tc>
        <w:tc>
          <w:tcPr>
            <w:tcW w:w="940"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2</w:t>
            </w:r>
          </w:p>
        </w:tc>
        <w:tc>
          <w:tcPr>
            <w:tcW w:w="940" w:type="pct"/>
            <w:noWrap/>
            <w:vAlign w:val="center"/>
          </w:tcPr>
          <w:p>
            <w:pPr>
              <w:pStyle w:val="139"/>
              <w:spacing w:line="240" w:lineRule="auto"/>
              <w:rPr>
                <w:rFonts w:cs="Times New Roman"/>
                <w:szCs w:val="18"/>
              </w:rPr>
            </w:pPr>
            <w:r>
              <w:rPr>
                <w:rFonts w:cs="Times New Roman"/>
                <w:szCs w:val="18"/>
              </w:rPr>
              <w:t>m</w:t>
            </w:r>
          </w:p>
        </w:tc>
        <w:tc>
          <w:tcPr>
            <w:tcW w:w="578" w:type="pct"/>
            <w:noWrap/>
            <w:vAlign w:val="center"/>
          </w:tcPr>
          <w:p>
            <w:pPr>
              <w:pStyle w:val="139"/>
              <w:spacing w:line="240" w:lineRule="auto"/>
              <w:rPr>
                <w:rFonts w:cs="Times New Roman"/>
                <w:szCs w:val="18"/>
              </w:rPr>
            </w:pPr>
            <w:r>
              <w:rPr>
                <w:rFonts w:cs="Times New Roman"/>
                <w:szCs w:val="18"/>
              </w:rPr>
              <w:t>m</w:t>
            </w:r>
            <w:r>
              <w:rPr>
                <w:rFonts w:cs="Times New Roman"/>
                <w:szCs w:val="18"/>
                <w:vertAlign w:val="superscript"/>
              </w:rPr>
              <w:t>3</w:t>
            </w:r>
            <w:r>
              <w:rPr>
                <w:rFonts w:cs="Times New Roman"/>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1</w:t>
            </w:r>
          </w:p>
        </w:tc>
        <w:tc>
          <w:tcPr>
            <w:tcW w:w="715" w:type="pct"/>
            <w:noWrap/>
            <w:vAlign w:val="center"/>
          </w:tcPr>
          <w:p>
            <w:pPr>
              <w:pStyle w:val="139"/>
              <w:spacing w:line="240" w:lineRule="auto"/>
              <w:rPr>
                <w:rFonts w:cs="Times New Roman"/>
                <w:szCs w:val="18"/>
              </w:rPr>
            </w:pPr>
            <w:r>
              <w:rPr>
                <w:rFonts w:cs="Times New Roman"/>
                <w:szCs w:val="18"/>
              </w:rPr>
              <w:t>649.80</w:t>
            </w:r>
          </w:p>
        </w:tc>
        <w:tc>
          <w:tcPr>
            <w:tcW w:w="624" w:type="pct"/>
            <w:noWrap/>
            <w:vAlign w:val="center"/>
          </w:tcPr>
          <w:p>
            <w:pPr>
              <w:pStyle w:val="139"/>
              <w:spacing w:line="240" w:lineRule="auto"/>
              <w:rPr>
                <w:rFonts w:cs="Times New Roman"/>
                <w:szCs w:val="18"/>
              </w:rPr>
            </w:pPr>
            <w:r>
              <w:rPr>
                <w:rFonts w:cs="Times New Roman"/>
                <w:szCs w:val="18"/>
              </w:rPr>
              <w:t>8.7</w:t>
            </w:r>
          </w:p>
        </w:tc>
        <w:tc>
          <w:tcPr>
            <w:tcW w:w="624" w:type="pct"/>
            <w:noWrap/>
            <w:vAlign w:val="center"/>
          </w:tcPr>
          <w:p>
            <w:pPr>
              <w:pStyle w:val="139"/>
              <w:spacing w:line="240" w:lineRule="auto"/>
              <w:rPr>
                <w:rFonts w:cs="Times New Roman"/>
                <w:szCs w:val="18"/>
              </w:rPr>
            </w:pPr>
            <w:r>
              <w:rPr>
                <w:rFonts w:cs="Times New Roman"/>
                <w:szCs w:val="18"/>
              </w:rPr>
              <w:t>8.7</w:t>
            </w:r>
          </w:p>
        </w:tc>
        <w:tc>
          <w:tcPr>
            <w:tcW w:w="940" w:type="pct"/>
            <w:noWrap/>
            <w:vAlign w:val="center"/>
          </w:tcPr>
          <w:p>
            <w:pPr>
              <w:pStyle w:val="139"/>
              <w:spacing w:line="240" w:lineRule="auto"/>
              <w:rPr>
                <w:rFonts w:cs="Times New Roman"/>
                <w:szCs w:val="18"/>
              </w:rPr>
            </w:pPr>
            <w:r>
              <w:rPr>
                <w:rFonts w:cs="Times New Roman"/>
                <w:szCs w:val="18"/>
              </w:rPr>
              <w:t>0</w:t>
            </w:r>
          </w:p>
        </w:tc>
        <w:tc>
          <w:tcPr>
            <w:tcW w:w="940" w:type="pct"/>
            <w:noWrap/>
            <w:vAlign w:val="center"/>
          </w:tcPr>
          <w:p>
            <w:pPr>
              <w:pStyle w:val="139"/>
              <w:spacing w:line="240" w:lineRule="auto"/>
              <w:rPr>
                <w:rFonts w:cs="Times New Roman"/>
                <w:szCs w:val="18"/>
              </w:rPr>
            </w:pPr>
            <w:r>
              <w:rPr>
                <w:rFonts w:cs="Times New Roman"/>
                <w:szCs w:val="18"/>
              </w:rPr>
              <w:t>0</w:t>
            </w:r>
          </w:p>
        </w:tc>
        <w:tc>
          <w:tcPr>
            <w:tcW w:w="578" w:type="pct"/>
            <w:noWrap/>
            <w:vAlign w:val="center"/>
          </w:tcPr>
          <w:p>
            <w:pPr>
              <w:pStyle w:val="139"/>
              <w:spacing w:line="240" w:lineRule="auto"/>
              <w:rPr>
                <w:rFonts w:cs="Times New Roman"/>
                <w:szCs w:val="18"/>
              </w:rPr>
            </w:pPr>
            <w:r>
              <w:rPr>
                <w:rFonts w:cs="Times New Roman"/>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2</w:t>
            </w:r>
          </w:p>
        </w:tc>
        <w:tc>
          <w:tcPr>
            <w:tcW w:w="715" w:type="pct"/>
            <w:noWrap/>
            <w:vAlign w:val="center"/>
          </w:tcPr>
          <w:p>
            <w:pPr>
              <w:pStyle w:val="139"/>
              <w:spacing w:line="240" w:lineRule="auto"/>
              <w:rPr>
                <w:rFonts w:cs="Times New Roman"/>
                <w:szCs w:val="18"/>
              </w:rPr>
            </w:pPr>
            <w:r>
              <w:rPr>
                <w:rFonts w:cs="Times New Roman"/>
                <w:szCs w:val="18"/>
              </w:rPr>
              <w:t>650.00</w:t>
            </w:r>
          </w:p>
        </w:tc>
        <w:tc>
          <w:tcPr>
            <w:tcW w:w="624" w:type="pct"/>
            <w:noWrap/>
            <w:vAlign w:val="center"/>
          </w:tcPr>
          <w:p>
            <w:pPr>
              <w:pStyle w:val="139"/>
              <w:spacing w:line="240" w:lineRule="auto"/>
              <w:rPr>
                <w:rFonts w:cs="Times New Roman"/>
                <w:szCs w:val="18"/>
              </w:rPr>
            </w:pPr>
            <w:r>
              <w:rPr>
                <w:rFonts w:cs="Times New Roman"/>
                <w:szCs w:val="18"/>
              </w:rPr>
              <w:t>9.31</w:t>
            </w:r>
          </w:p>
        </w:tc>
        <w:tc>
          <w:tcPr>
            <w:tcW w:w="624" w:type="pct"/>
            <w:noWrap/>
            <w:vAlign w:val="center"/>
          </w:tcPr>
          <w:p>
            <w:pPr>
              <w:pStyle w:val="139"/>
              <w:spacing w:line="240" w:lineRule="auto"/>
              <w:rPr>
                <w:rFonts w:cs="Times New Roman"/>
                <w:szCs w:val="18"/>
              </w:rPr>
            </w:pPr>
            <w:r>
              <w:rPr>
                <w:rFonts w:cs="Times New Roman"/>
                <w:szCs w:val="18"/>
              </w:rPr>
              <w:t>9.45</w:t>
            </w:r>
          </w:p>
        </w:tc>
        <w:tc>
          <w:tcPr>
            <w:tcW w:w="940" w:type="pct"/>
            <w:noWrap/>
            <w:vAlign w:val="center"/>
          </w:tcPr>
          <w:p>
            <w:pPr>
              <w:pStyle w:val="139"/>
              <w:spacing w:line="240" w:lineRule="auto"/>
              <w:rPr>
                <w:rFonts w:cs="Times New Roman"/>
                <w:szCs w:val="18"/>
              </w:rPr>
            </w:pPr>
            <w:r>
              <w:rPr>
                <w:rFonts w:cs="Times New Roman"/>
                <w:szCs w:val="18"/>
              </w:rPr>
              <w:t>1.8</w:t>
            </w:r>
          </w:p>
        </w:tc>
        <w:tc>
          <w:tcPr>
            <w:tcW w:w="940" w:type="pct"/>
            <w:noWrap/>
            <w:vAlign w:val="center"/>
          </w:tcPr>
          <w:p>
            <w:pPr>
              <w:pStyle w:val="139"/>
              <w:spacing w:line="240" w:lineRule="auto"/>
              <w:rPr>
                <w:rFonts w:cs="Times New Roman"/>
                <w:szCs w:val="18"/>
              </w:rPr>
            </w:pPr>
            <w:r>
              <w:rPr>
                <w:rFonts w:cs="Times New Roman"/>
                <w:szCs w:val="18"/>
              </w:rPr>
              <w:t>0.19</w:t>
            </w:r>
          </w:p>
        </w:tc>
        <w:tc>
          <w:tcPr>
            <w:tcW w:w="578" w:type="pct"/>
            <w:noWrap/>
            <w:vAlign w:val="center"/>
          </w:tcPr>
          <w:p>
            <w:pPr>
              <w:pStyle w:val="139"/>
              <w:spacing w:line="240" w:lineRule="auto"/>
              <w:rPr>
                <w:rFonts w:cs="Times New Roman"/>
                <w:szCs w:val="18"/>
              </w:rPr>
            </w:pPr>
            <w:r>
              <w:rPr>
                <w:rFonts w:cs="Times New Roman"/>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3</w:t>
            </w:r>
          </w:p>
        </w:tc>
        <w:tc>
          <w:tcPr>
            <w:tcW w:w="715" w:type="pct"/>
            <w:noWrap/>
            <w:vAlign w:val="center"/>
          </w:tcPr>
          <w:p>
            <w:pPr>
              <w:pStyle w:val="139"/>
              <w:spacing w:line="240" w:lineRule="auto"/>
              <w:rPr>
                <w:rFonts w:cs="Times New Roman"/>
                <w:szCs w:val="18"/>
              </w:rPr>
            </w:pPr>
            <w:r>
              <w:rPr>
                <w:rFonts w:cs="Times New Roman"/>
                <w:szCs w:val="18"/>
              </w:rPr>
              <w:t>650.20</w:t>
            </w:r>
          </w:p>
        </w:tc>
        <w:tc>
          <w:tcPr>
            <w:tcW w:w="624" w:type="pct"/>
            <w:noWrap/>
            <w:vAlign w:val="center"/>
          </w:tcPr>
          <w:p>
            <w:pPr>
              <w:pStyle w:val="139"/>
              <w:spacing w:line="240" w:lineRule="auto"/>
              <w:rPr>
                <w:rFonts w:cs="Times New Roman"/>
                <w:szCs w:val="18"/>
              </w:rPr>
            </w:pPr>
            <w:r>
              <w:rPr>
                <w:rFonts w:cs="Times New Roman"/>
                <w:szCs w:val="18"/>
              </w:rPr>
              <w:t>9.92</w:t>
            </w:r>
          </w:p>
        </w:tc>
        <w:tc>
          <w:tcPr>
            <w:tcW w:w="624" w:type="pct"/>
            <w:noWrap/>
            <w:vAlign w:val="center"/>
          </w:tcPr>
          <w:p>
            <w:pPr>
              <w:pStyle w:val="139"/>
              <w:spacing w:line="240" w:lineRule="auto"/>
              <w:rPr>
                <w:rFonts w:cs="Times New Roman"/>
                <w:szCs w:val="18"/>
              </w:rPr>
            </w:pPr>
            <w:r>
              <w:rPr>
                <w:rFonts w:cs="Times New Roman"/>
                <w:szCs w:val="18"/>
              </w:rPr>
              <w:t>10.19</w:t>
            </w:r>
          </w:p>
        </w:tc>
        <w:tc>
          <w:tcPr>
            <w:tcW w:w="940" w:type="pct"/>
            <w:noWrap/>
            <w:vAlign w:val="center"/>
          </w:tcPr>
          <w:p>
            <w:pPr>
              <w:pStyle w:val="139"/>
              <w:spacing w:line="240" w:lineRule="auto"/>
              <w:rPr>
                <w:rFonts w:cs="Times New Roman"/>
                <w:szCs w:val="18"/>
              </w:rPr>
            </w:pPr>
            <w:r>
              <w:rPr>
                <w:rFonts w:cs="Times New Roman"/>
                <w:szCs w:val="18"/>
              </w:rPr>
              <w:t>3.72</w:t>
            </w:r>
          </w:p>
        </w:tc>
        <w:tc>
          <w:tcPr>
            <w:tcW w:w="940" w:type="pct"/>
            <w:noWrap/>
            <w:vAlign w:val="center"/>
          </w:tcPr>
          <w:p>
            <w:pPr>
              <w:pStyle w:val="139"/>
              <w:spacing w:line="240" w:lineRule="auto"/>
              <w:rPr>
                <w:rFonts w:cs="Times New Roman"/>
                <w:szCs w:val="18"/>
              </w:rPr>
            </w:pPr>
            <w:r>
              <w:rPr>
                <w:rFonts w:cs="Times New Roman"/>
                <w:szCs w:val="18"/>
              </w:rPr>
              <w:t>0.37</w:t>
            </w:r>
          </w:p>
        </w:tc>
        <w:tc>
          <w:tcPr>
            <w:tcW w:w="578" w:type="pct"/>
            <w:noWrap/>
            <w:vAlign w:val="center"/>
          </w:tcPr>
          <w:p>
            <w:pPr>
              <w:pStyle w:val="139"/>
              <w:spacing w:line="240" w:lineRule="auto"/>
              <w:rPr>
                <w:rFonts w:cs="Times New Roman"/>
                <w:szCs w:val="18"/>
              </w:rPr>
            </w:pPr>
            <w:r>
              <w:rPr>
                <w:rFonts w:cs="Times New Roman"/>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4</w:t>
            </w:r>
          </w:p>
        </w:tc>
        <w:tc>
          <w:tcPr>
            <w:tcW w:w="715" w:type="pct"/>
            <w:noWrap/>
            <w:vAlign w:val="center"/>
          </w:tcPr>
          <w:p>
            <w:pPr>
              <w:pStyle w:val="139"/>
              <w:spacing w:line="240" w:lineRule="auto"/>
              <w:rPr>
                <w:rFonts w:cs="Times New Roman"/>
                <w:szCs w:val="18"/>
              </w:rPr>
            </w:pPr>
            <w:r>
              <w:rPr>
                <w:rFonts w:cs="Times New Roman"/>
                <w:szCs w:val="18"/>
              </w:rPr>
              <w:t>650.40</w:t>
            </w:r>
          </w:p>
        </w:tc>
        <w:tc>
          <w:tcPr>
            <w:tcW w:w="624" w:type="pct"/>
            <w:noWrap/>
            <w:vAlign w:val="center"/>
          </w:tcPr>
          <w:p>
            <w:pPr>
              <w:pStyle w:val="139"/>
              <w:spacing w:line="240" w:lineRule="auto"/>
              <w:rPr>
                <w:rFonts w:cs="Times New Roman"/>
                <w:szCs w:val="18"/>
              </w:rPr>
            </w:pPr>
            <w:r>
              <w:rPr>
                <w:rFonts w:cs="Times New Roman"/>
                <w:szCs w:val="18"/>
              </w:rPr>
              <w:t>10.53</w:t>
            </w:r>
          </w:p>
        </w:tc>
        <w:tc>
          <w:tcPr>
            <w:tcW w:w="624" w:type="pct"/>
            <w:noWrap/>
            <w:vAlign w:val="center"/>
          </w:tcPr>
          <w:p>
            <w:pPr>
              <w:pStyle w:val="139"/>
              <w:spacing w:line="240" w:lineRule="auto"/>
              <w:rPr>
                <w:rFonts w:cs="Times New Roman"/>
                <w:szCs w:val="18"/>
              </w:rPr>
            </w:pPr>
            <w:r>
              <w:rPr>
                <w:rFonts w:cs="Times New Roman"/>
                <w:szCs w:val="18"/>
              </w:rPr>
              <w:t>10.94</w:t>
            </w:r>
          </w:p>
        </w:tc>
        <w:tc>
          <w:tcPr>
            <w:tcW w:w="940" w:type="pct"/>
            <w:noWrap/>
            <w:vAlign w:val="center"/>
          </w:tcPr>
          <w:p>
            <w:pPr>
              <w:pStyle w:val="139"/>
              <w:spacing w:line="240" w:lineRule="auto"/>
              <w:rPr>
                <w:rFonts w:cs="Times New Roman"/>
                <w:szCs w:val="18"/>
              </w:rPr>
            </w:pPr>
            <w:r>
              <w:rPr>
                <w:rFonts w:cs="Times New Roman"/>
                <w:szCs w:val="18"/>
              </w:rPr>
              <w:t>5.77</w:t>
            </w:r>
          </w:p>
        </w:tc>
        <w:tc>
          <w:tcPr>
            <w:tcW w:w="940" w:type="pct"/>
            <w:noWrap/>
            <w:vAlign w:val="center"/>
          </w:tcPr>
          <w:p>
            <w:pPr>
              <w:pStyle w:val="139"/>
              <w:spacing w:line="240" w:lineRule="auto"/>
              <w:rPr>
                <w:rFonts w:cs="Times New Roman"/>
                <w:szCs w:val="18"/>
              </w:rPr>
            </w:pPr>
            <w:r>
              <w:rPr>
                <w:rFonts w:cs="Times New Roman"/>
                <w:szCs w:val="18"/>
              </w:rPr>
              <w:t>0.53</w:t>
            </w:r>
          </w:p>
        </w:tc>
        <w:tc>
          <w:tcPr>
            <w:tcW w:w="578" w:type="pct"/>
            <w:noWrap/>
            <w:vAlign w:val="center"/>
          </w:tcPr>
          <w:p>
            <w:pPr>
              <w:pStyle w:val="139"/>
              <w:spacing w:line="240" w:lineRule="auto"/>
              <w:rPr>
                <w:rFonts w:cs="Times New Roman"/>
                <w:szCs w:val="18"/>
              </w:rPr>
            </w:pPr>
            <w:r>
              <w:rPr>
                <w:rFonts w:cs="Times New Roman"/>
                <w:szCs w:val="18"/>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5</w:t>
            </w:r>
          </w:p>
        </w:tc>
        <w:tc>
          <w:tcPr>
            <w:tcW w:w="715" w:type="pct"/>
            <w:noWrap/>
            <w:vAlign w:val="center"/>
          </w:tcPr>
          <w:p>
            <w:pPr>
              <w:pStyle w:val="139"/>
              <w:spacing w:line="240" w:lineRule="auto"/>
              <w:rPr>
                <w:rFonts w:cs="Times New Roman"/>
                <w:szCs w:val="18"/>
              </w:rPr>
            </w:pPr>
            <w:r>
              <w:rPr>
                <w:rFonts w:cs="Times New Roman"/>
                <w:szCs w:val="18"/>
              </w:rPr>
              <w:t>650.60</w:t>
            </w:r>
          </w:p>
        </w:tc>
        <w:tc>
          <w:tcPr>
            <w:tcW w:w="624" w:type="pct"/>
            <w:noWrap/>
            <w:vAlign w:val="center"/>
          </w:tcPr>
          <w:p>
            <w:pPr>
              <w:pStyle w:val="139"/>
              <w:spacing w:line="240" w:lineRule="auto"/>
              <w:rPr>
                <w:rFonts w:cs="Times New Roman"/>
                <w:szCs w:val="18"/>
              </w:rPr>
            </w:pPr>
            <w:r>
              <w:rPr>
                <w:rFonts w:cs="Times New Roman"/>
                <w:szCs w:val="18"/>
              </w:rPr>
              <w:t>11.14</w:t>
            </w:r>
          </w:p>
        </w:tc>
        <w:tc>
          <w:tcPr>
            <w:tcW w:w="624" w:type="pct"/>
            <w:noWrap/>
            <w:vAlign w:val="center"/>
          </w:tcPr>
          <w:p>
            <w:pPr>
              <w:pStyle w:val="139"/>
              <w:spacing w:line="240" w:lineRule="auto"/>
              <w:rPr>
                <w:rFonts w:cs="Times New Roman"/>
                <w:szCs w:val="18"/>
              </w:rPr>
            </w:pPr>
            <w:r>
              <w:rPr>
                <w:rFonts w:cs="Times New Roman"/>
                <w:szCs w:val="18"/>
              </w:rPr>
              <w:t>11.68</w:t>
            </w:r>
          </w:p>
        </w:tc>
        <w:tc>
          <w:tcPr>
            <w:tcW w:w="940" w:type="pct"/>
            <w:noWrap/>
            <w:vAlign w:val="center"/>
          </w:tcPr>
          <w:p>
            <w:pPr>
              <w:pStyle w:val="139"/>
              <w:spacing w:line="240" w:lineRule="auto"/>
              <w:rPr>
                <w:rFonts w:cs="Times New Roman"/>
                <w:szCs w:val="18"/>
              </w:rPr>
            </w:pPr>
            <w:r>
              <w:rPr>
                <w:rFonts w:cs="Times New Roman"/>
                <w:szCs w:val="18"/>
              </w:rPr>
              <w:t>7.94</w:t>
            </w:r>
          </w:p>
        </w:tc>
        <w:tc>
          <w:tcPr>
            <w:tcW w:w="940" w:type="pct"/>
            <w:noWrap/>
            <w:vAlign w:val="center"/>
          </w:tcPr>
          <w:p>
            <w:pPr>
              <w:pStyle w:val="139"/>
              <w:spacing w:line="240" w:lineRule="auto"/>
              <w:rPr>
                <w:rFonts w:cs="Times New Roman"/>
                <w:szCs w:val="18"/>
              </w:rPr>
            </w:pPr>
            <w:r>
              <w:rPr>
                <w:rFonts w:cs="Times New Roman"/>
                <w:szCs w:val="18"/>
              </w:rPr>
              <w:t>0.68</w:t>
            </w:r>
          </w:p>
        </w:tc>
        <w:tc>
          <w:tcPr>
            <w:tcW w:w="578" w:type="pct"/>
            <w:noWrap/>
            <w:vAlign w:val="center"/>
          </w:tcPr>
          <w:p>
            <w:pPr>
              <w:pStyle w:val="139"/>
              <w:spacing w:line="240" w:lineRule="auto"/>
              <w:rPr>
                <w:rFonts w:cs="Times New Roman"/>
                <w:szCs w:val="18"/>
              </w:rPr>
            </w:pPr>
            <w:r>
              <w:rPr>
                <w:rFonts w:cs="Times New Roman"/>
                <w:szCs w:val="18"/>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6</w:t>
            </w:r>
          </w:p>
        </w:tc>
        <w:tc>
          <w:tcPr>
            <w:tcW w:w="715" w:type="pct"/>
            <w:noWrap/>
            <w:vAlign w:val="center"/>
          </w:tcPr>
          <w:p>
            <w:pPr>
              <w:pStyle w:val="139"/>
              <w:spacing w:line="240" w:lineRule="auto"/>
              <w:rPr>
                <w:rFonts w:cs="Times New Roman"/>
                <w:szCs w:val="18"/>
              </w:rPr>
            </w:pPr>
            <w:r>
              <w:rPr>
                <w:rFonts w:cs="Times New Roman"/>
                <w:szCs w:val="18"/>
              </w:rPr>
              <w:t>650.80</w:t>
            </w:r>
          </w:p>
        </w:tc>
        <w:tc>
          <w:tcPr>
            <w:tcW w:w="624" w:type="pct"/>
            <w:noWrap/>
            <w:vAlign w:val="center"/>
          </w:tcPr>
          <w:p>
            <w:pPr>
              <w:pStyle w:val="139"/>
              <w:spacing w:line="240" w:lineRule="auto"/>
              <w:rPr>
                <w:rFonts w:cs="Times New Roman"/>
                <w:szCs w:val="18"/>
              </w:rPr>
            </w:pPr>
            <w:r>
              <w:rPr>
                <w:rFonts w:cs="Times New Roman"/>
                <w:szCs w:val="18"/>
              </w:rPr>
              <w:t>11.75</w:t>
            </w:r>
          </w:p>
        </w:tc>
        <w:tc>
          <w:tcPr>
            <w:tcW w:w="624" w:type="pct"/>
            <w:noWrap/>
            <w:vAlign w:val="center"/>
          </w:tcPr>
          <w:p>
            <w:pPr>
              <w:pStyle w:val="139"/>
              <w:spacing w:line="240" w:lineRule="auto"/>
              <w:rPr>
                <w:rFonts w:cs="Times New Roman"/>
                <w:szCs w:val="18"/>
              </w:rPr>
            </w:pPr>
            <w:r>
              <w:rPr>
                <w:rFonts w:cs="Times New Roman"/>
                <w:szCs w:val="18"/>
              </w:rPr>
              <w:t>12.43</w:t>
            </w:r>
          </w:p>
        </w:tc>
        <w:tc>
          <w:tcPr>
            <w:tcW w:w="940" w:type="pct"/>
            <w:noWrap/>
            <w:vAlign w:val="center"/>
          </w:tcPr>
          <w:p>
            <w:pPr>
              <w:pStyle w:val="139"/>
              <w:spacing w:line="240" w:lineRule="auto"/>
              <w:rPr>
                <w:rFonts w:cs="Times New Roman"/>
                <w:szCs w:val="18"/>
              </w:rPr>
            </w:pPr>
            <w:r>
              <w:rPr>
                <w:rFonts w:cs="Times New Roman"/>
                <w:szCs w:val="18"/>
              </w:rPr>
              <w:t>10.23</w:t>
            </w:r>
          </w:p>
        </w:tc>
        <w:tc>
          <w:tcPr>
            <w:tcW w:w="940" w:type="pct"/>
            <w:noWrap/>
            <w:vAlign w:val="center"/>
          </w:tcPr>
          <w:p>
            <w:pPr>
              <w:pStyle w:val="139"/>
              <w:spacing w:line="240" w:lineRule="auto"/>
              <w:rPr>
                <w:rFonts w:cs="Times New Roman"/>
                <w:szCs w:val="18"/>
              </w:rPr>
            </w:pPr>
            <w:r>
              <w:rPr>
                <w:rFonts w:cs="Times New Roman"/>
                <w:szCs w:val="18"/>
              </w:rPr>
              <w:t>0.82</w:t>
            </w:r>
          </w:p>
        </w:tc>
        <w:tc>
          <w:tcPr>
            <w:tcW w:w="578" w:type="pct"/>
            <w:noWrap/>
            <w:vAlign w:val="center"/>
          </w:tcPr>
          <w:p>
            <w:pPr>
              <w:pStyle w:val="139"/>
              <w:spacing w:line="240" w:lineRule="auto"/>
              <w:rPr>
                <w:rFonts w:cs="Times New Roman"/>
                <w:szCs w:val="18"/>
              </w:rPr>
            </w:pPr>
            <w:r>
              <w:rPr>
                <w:rFonts w:cs="Times New Roman"/>
                <w:szCs w:val="1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7</w:t>
            </w:r>
          </w:p>
        </w:tc>
        <w:tc>
          <w:tcPr>
            <w:tcW w:w="715" w:type="pct"/>
            <w:noWrap/>
            <w:vAlign w:val="center"/>
          </w:tcPr>
          <w:p>
            <w:pPr>
              <w:pStyle w:val="139"/>
              <w:spacing w:line="240" w:lineRule="auto"/>
              <w:rPr>
                <w:rFonts w:cs="Times New Roman"/>
                <w:szCs w:val="18"/>
              </w:rPr>
            </w:pPr>
            <w:r>
              <w:rPr>
                <w:rFonts w:cs="Times New Roman"/>
                <w:szCs w:val="18"/>
              </w:rPr>
              <w:t>651.00</w:t>
            </w:r>
          </w:p>
        </w:tc>
        <w:tc>
          <w:tcPr>
            <w:tcW w:w="624" w:type="pct"/>
            <w:noWrap/>
            <w:vAlign w:val="center"/>
          </w:tcPr>
          <w:p>
            <w:pPr>
              <w:pStyle w:val="139"/>
              <w:spacing w:line="240" w:lineRule="auto"/>
              <w:rPr>
                <w:rFonts w:cs="Times New Roman"/>
                <w:szCs w:val="18"/>
              </w:rPr>
            </w:pPr>
            <w:r>
              <w:rPr>
                <w:rFonts w:cs="Times New Roman"/>
                <w:szCs w:val="18"/>
              </w:rPr>
              <w:t>12.36</w:t>
            </w:r>
          </w:p>
        </w:tc>
        <w:tc>
          <w:tcPr>
            <w:tcW w:w="624" w:type="pct"/>
            <w:noWrap/>
            <w:vAlign w:val="center"/>
          </w:tcPr>
          <w:p>
            <w:pPr>
              <w:pStyle w:val="139"/>
              <w:spacing w:line="240" w:lineRule="auto"/>
              <w:rPr>
                <w:rFonts w:cs="Times New Roman"/>
                <w:szCs w:val="18"/>
              </w:rPr>
            </w:pPr>
            <w:r>
              <w:rPr>
                <w:rFonts w:cs="Times New Roman"/>
                <w:szCs w:val="18"/>
              </w:rPr>
              <w:t>13.17</w:t>
            </w:r>
          </w:p>
        </w:tc>
        <w:tc>
          <w:tcPr>
            <w:tcW w:w="940" w:type="pct"/>
            <w:noWrap/>
            <w:vAlign w:val="center"/>
          </w:tcPr>
          <w:p>
            <w:pPr>
              <w:pStyle w:val="139"/>
              <w:spacing w:line="240" w:lineRule="auto"/>
              <w:rPr>
                <w:rFonts w:cs="Times New Roman"/>
                <w:szCs w:val="18"/>
              </w:rPr>
            </w:pPr>
            <w:r>
              <w:rPr>
                <w:rFonts w:cs="Times New Roman"/>
                <w:szCs w:val="18"/>
              </w:rPr>
              <w:t>12.64</w:t>
            </w:r>
          </w:p>
        </w:tc>
        <w:tc>
          <w:tcPr>
            <w:tcW w:w="940" w:type="pct"/>
            <w:noWrap/>
            <w:vAlign w:val="center"/>
          </w:tcPr>
          <w:p>
            <w:pPr>
              <w:pStyle w:val="139"/>
              <w:spacing w:line="240" w:lineRule="auto"/>
              <w:rPr>
                <w:rFonts w:cs="Times New Roman"/>
                <w:szCs w:val="18"/>
              </w:rPr>
            </w:pPr>
            <w:r>
              <w:rPr>
                <w:rFonts w:cs="Times New Roman"/>
                <w:szCs w:val="18"/>
              </w:rPr>
              <w:t>0.96</w:t>
            </w:r>
          </w:p>
        </w:tc>
        <w:tc>
          <w:tcPr>
            <w:tcW w:w="578" w:type="pct"/>
            <w:noWrap/>
            <w:vAlign w:val="center"/>
          </w:tcPr>
          <w:p>
            <w:pPr>
              <w:pStyle w:val="139"/>
              <w:spacing w:line="240" w:lineRule="auto"/>
              <w:rPr>
                <w:rFonts w:cs="Times New Roman"/>
                <w:szCs w:val="18"/>
              </w:rPr>
            </w:pPr>
            <w:r>
              <w:rPr>
                <w:rFonts w:cs="Times New Roman"/>
                <w:szCs w:val="18"/>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8</w:t>
            </w:r>
          </w:p>
        </w:tc>
        <w:tc>
          <w:tcPr>
            <w:tcW w:w="715" w:type="pct"/>
            <w:noWrap/>
            <w:vAlign w:val="center"/>
          </w:tcPr>
          <w:p>
            <w:pPr>
              <w:pStyle w:val="139"/>
              <w:spacing w:line="240" w:lineRule="auto"/>
              <w:rPr>
                <w:rFonts w:cs="Times New Roman"/>
                <w:szCs w:val="18"/>
              </w:rPr>
            </w:pPr>
            <w:r>
              <w:rPr>
                <w:rFonts w:cs="Times New Roman"/>
                <w:szCs w:val="18"/>
              </w:rPr>
              <w:t>651.20</w:t>
            </w:r>
          </w:p>
        </w:tc>
        <w:tc>
          <w:tcPr>
            <w:tcW w:w="624" w:type="pct"/>
            <w:noWrap/>
            <w:vAlign w:val="center"/>
          </w:tcPr>
          <w:p>
            <w:pPr>
              <w:pStyle w:val="139"/>
              <w:spacing w:line="240" w:lineRule="auto"/>
              <w:rPr>
                <w:rFonts w:cs="Times New Roman"/>
                <w:szCs w:val="18"/>
              </w:rPr>
            </w:pPr>
            <w:r>
              <w:rPr>
                <w:rFonts w:cs="Times New Roman"/>
                <w:szCs w:val="18"/>
              </w:rPr>
              <w:t>12.98</w:t>
            </w:r>
          </w:p>
        </w:tc>
        <w:tc>
          <w:tcPr>
            <w:tcW w:w="624" w:type="pct"/>
            <w:noWrap/>
            <w:vAlign w:val="center"/>
          </w:tcPr>
          <w:p>
            <w:pPr>
              <w:pStyle w:val="139"/>
              <w:spacing w:line="240" w:lineRule="auto"/>
              <w:rPr>
                <w:rFonts w:cs="Times New Roman"/>
                <w:szCs w:val="18"/>
              </w:rPr>
            </w:pPr>
            <w:r>
              <w:rPr>
                <w:rFonts w:cs="Times New Roman"/>
                <w:szCs w:val="18"/>
              </w:rPr>
              <w:t>13.92</w:t>
            </w:r>
          </w:p>
        </w:tc>
        <w:tc>
          <w:tcPr>
            <w:tcW w:w="940" w:type="pct"/>
            <w:noWrap/>
            <w:vAlign w:val="center"/>
          </w:tcPr>
          <w:p>
            <w:pPr>
              <w:pStyle w:val="139"/>
              <w:spacing w:line="240" w:lineRule="auto"/>
              <w:rPr>
                <w:rFonts w:cs="Times New Roman"/>
                <w:szCs w:val="18"/>
              </w:rPr>
            </w:pPr>
            <w:r>
              <w:rPr>
                <w:rFonts w:cs="Times New Roman"/>
                <w:szCs w:val="18"/>
              </w:rPr>
              <w:t>15.17</w:t>
            </w:r>
          </w:p>
        </w:tc>
        <w:tc>
          <w:tcPr>
            <w:tcW w:w="940" w:type="pct"/>
            <w:noWrap/>
            <w:vAlign w:val="center"/>
          </w:tcPr>
          <w:p>
            <w:pPr>
              <w:pStyle w:val="139"/>
              <w:spacing w:line="240" w:lineRule="auto"/>
              <w:rPr>
                <w:rFonts w:cs="Times New Roman"/>
                <w:szCs w:val="18"/>
              </w:rPr>
            </w:pPr>
            <w:r>
              <w:rPr>
                <w:rFonts w:cs="Times New Roman"/>
                <w:szCs w:val="18"/>
              </w:rPr>
              <w:t>1.09</w:t>
            </w:r>
          </w:p>
        </w:tc>
        <w:tc>
          <w:tcPr>
            <w:tcW w:w="578" w:type="pct"/>
            <w:noWrap/>
            <w:vAlign w:val="center"/>
          </w:tcPr>
          <w:p>
            <w:pPr>
              <w:pStyle w:val="139"/>
              <w:spacing w:line="240" w:lineRule="auto"/>
              <w:rPr>
                <w:rFonts w:cs="Times New Roman"/>
                <w:szCs w:val="18"/>
              </w:rPr>
            </w:pPr>
            <w:r>
              <w:rPr>
                <w:rFonts w:cs="Times New Roman"/>
                <w:szCs w:val="18"/>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9</w:t>
            </w:r>
          </w:p>
        </w:tc>
        <w:tc>
          <w:tcPr>
            <w:tcW w:w="715" w:type="pct"/>
            <w:noWrap/>
            <w:vAlign w:val="center"/>
          </w:tcPr>
          <w:p>
            <w:pPr>
              <w:pStyle w:val="139"/>
              <w:spacing w:line="240" w:lineRule="auto"/>
              <w:rPr>
                <w:rFonts w:cs="Times New Roman"/>
                <w:szCs w:val="18"/>
              </w:rPr>
            </w:pPr>
            <w:r>
              <w:rPr>
                <w:rFonts w:cs="Times New Roman"/>
                <w:szCs w:val="18"/>
              </w:rPr>
              <w:t>651.40</w:t>
            </w:r>
          </w:p>
        </w:tc>
        <w:tc>
          <w:tcPr>
            <w:tcW w:w="624" w:type="pct"/>
            <w:noWrap/>
            <w:vAlign w:val="center"/>
          </w:tcPr>
          <w:p>
            <w:pPr>
              <w:pStyle w:val="139"/>
              <w:spacing w:line="240" w:lineRule="auto"/>
              <w:rPr>
                <w:rFonts w:cs="Times New Roman"/>
                <w:szCs w:val="18"/>
              </w:rPr>
            </w:pPr>
            <w:r>
              <w:rPr>
                <w:rFonts w:cs="Times New Roman"/>
                <w:szCs w:val="18"/>
              </w:rPr>
              <w:t>13.59</w:t>
            </w:r>
          </w:p>
        </w:tc>
        <w:tc>
          <w:tcPr>
            <w:tcW w:w="624" w:type="pct"/>
            <w:noWrap/>
            <w:vAlign w:val="center"/>
          </w:tcPr>
          <w:p>
            <w:pPr>
              <w:pStyle w:val="139"/>
              <w:spacing w:line="240" w:lineRule="auto"/>
              <w:rPr>
                <w:rFonts w:cs="Times New Roman"/>
                <w:szCs w:val="18"/>
              </w:rPr>
            </w:pPr>
            <w:r>
              <w:rPr>
                <w:rFonts w:cs="Times New Roman"/>
                <w:szCs w:val="18"/>
              </w:rPr>
              <w:t>14.66</w:t>
            </w:r>
          </w:p>
        </w:tc>
        <w:tc>
          <w:tcPr>
            <w:tcW w:w="940" w:type="pct"/>
            <w:noWrap/>
            <w:vAlign w:val="center"/>
          </w:tcPr>
          <w:p>
            <w:pPr>
              <w:pStyle w:val="139"/>
              <w:spacing w:line="240" w:lineRule="auto"/>
              <w:rPr>
                <w:rFonts w:cs="Times New Roman"/>
                <w:szCs w:val="18"/>
              </w:rPr>
            </w:pPr>
            <w:r>
              <w:rPr>
                <w:rFonts w:cs="Times New Roman"/>
                <w:szCs w:val="18"/>
              </w:rPr>
              <w:t>17.83</w:t>
            </w:r>
          </w:p>
        </w:tc>
        <w:tc>
          <w:tcPr>
            <w:tcW w:w="940" w:type="pct"/>
            <w:noWrap/>
            <w:vAlign w:val="center"/>
          </w:tcPr>
          <w:p>
            <w:pPr>
              <w:pStyle w:val="139"/>
              <w:spacing w:line="240" w:lineRule="auto"/>
              <w:rPr>
                <w:rFonts w:cs="Times New Roman"/>
                <w:szCs w:val="18"/>
              </w:rPr>
            </w:pPr>
            <w:r>
              <w:rPr>
                <w:rFonts w:cs="Times New Roman"/>
                <w:szCs w:val="18"/>
              </w:rPr>
              <w:t>1.22</w:t>
            </w:r>
          </w:p>
        </w:tc>
        <w:tc>
          <w:tcPr>
            <w:tcW w:w="578" w:type="pct"/>
            <w:noWrap/>
            <w:vAlign w:val="center"/>
          </w:tcPr>
          <w:p>
            <w:pPr>
              <w:pStyle w:val="139"/>
              <w:spacing w:line="240" w:lineRule="auto"/>
              <w:rPr>
                <w:rFonts w:cs="Times New Roman"/>
                <w:szCs w:val="18"/>
              </w:rPr>
            </w:pPr>
            <w:r>
              <w:rPr>
                <w:rFonts w:cs="Times New Roman"/>
                <w:szCs w:val="18"/>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10</w:t>
            </w:r>
          </w:p>
        </w:tc>
        <w:tc>
          <w:tcPr>
            <w:tcW w:w="715" w:type="pct"/>
            <w:noWrap/>
            <w:vAlign w:val="center"/>
          </w:tcPr>
          <w:p>
            <w:pPr>
              <w:pStyle w:val="139"/>
              <w:spacing w:line="240" w:lineRule="auto"/>
              <w:rPr>
                <w:rFonts w:cs="Times New Roman"/>
                <w:szCs w:val="18"/>
              </w:rPr>
            </w:pPr>
            <w:r>
              <w:rPr>
                <w:rFonts w:cs="Times New Roman"/>
                <w:szCs w:val="18"/>
              </w:rPr>
              <w:t>651.60</w:t>
            </w:r>
          </w:p>
        </w:tc>
        <w:tc>
          <w:tcPr>
            <w:tcW w:w="624" w:type="pct"/>
            <w:noWrap/>
            <w:vAlign w:val="center"/>
          </w:tcPr>
          <w:p>
            <w:pPr>
              <w:pStyle w:val="139"/>
              <w:spacing w:line="240" w:lineRule="auto"/>
              <w:rPr>
                <w:rFonts w:cs="Times New Roman"/>
                <w:szCs w:val="18"/>
              </w:rPr>
            </w:pPr>
            <w:r>
              <w:rPr>
                <w:rFonts w:cs="Times New Roman"/>
                <w:szCs w:val="18"/>
              </w:rPr>
              <w:t>14.2</w:t>
            </w:r>
          </w:p>
        </w:tc>
        <w:tc>
          <w:tcPr>
            <w:tcW w:w="624" w:type="pct"/>
            <w:noWrap/>
            <w:vAlign w:val="center"/>
          </w:tcPr>
          <w:p>
            <w:pPr>
              <w:pStyle w:val="139"/>
              <w:spacing w:line="240" w:lineRule="auto"/>
              <w:rPr>
                <w:rFonts w:cs="Times New Roman"/>
                <w:szCs w:val="18"/>
              </w:rPr>
            </w:pPr>
            <w:r>
              <w:rPr>
                <w:rFonts w:cs="Times New Roman"/>
                <w:szCs w:val="18"/>
              </w:rPr>
              <w:t>15.41</w:t>
            </w:r>
          </w:p>
        </w:tc>
        <w:tc>
          <w:tcPr>
            <w:tcW w:w="940" w:type="pct"/>
            <w:noWrap/>
            <w:vAlign w:val="center"/>
          </w:tcPr>
          <w:p>
            <w:pPr>
              <w:pStyle w:val="139"/>
              <w:spacing w:line="240" w:lineRule="auto"/>
              <w:rPr>
                <w:rFonts w:cs="Times New Roman"/>
                <w:szCs w:val="18"/>
              </w:rPr>
            </w:pPr>
            <w:r>
              <w:rPr>
                <w:rFonts w:cs="Times New Roman"/>
                <w:szCs w:val="18"/>
              </w:rPr>
              <w:t>20.61</w:t>
            </w:r>
          </w:p>
        </w:tc>
        <w:tc>
          <w:tcPr>
            <w:tcW w:w="940" w:type="pct"/>
            <w:noWrap/>
            <w:vAlign w:val="center"/>
          </w:tcPr>
          <w:p>
            <w:pPr>
              <w:pStyle w:val="139"/>
              <w:spacing w:line="240" w:lineRule="auto"/>
              <w:rPr>
                <w:rFonts w:cs="Times New Roman"/>
                <w:szCs w:val="18"/>
              </w:rPr>
            </w:pPr>
            <w:r>
              <w:rPr>
                <w:rFonts w:cs="Times New Roman"/>
                <w:szCs w:val="18"/>
              </w:rPr>
              <w:t>1.34</w:t>
            </w:r>
          </w:p>
        </w:tc>
        <w:tc>
          <w:tcPr>
            <w:tcW w:w="578" w:type="pct"/>
            <w:noWrap/>
            <w:vAlign w:val="center"/>
          </w:tcPr>
          <w:p>
            <w:pPr>
              <w:pStyle w:val="139"/>
              <w:spacing w:line="240" w:lineRule="auto"/>
              <w:rPr>
                <w:rFonts w:cs="Times New Roman"/>
                <w:szCs w:val="18"/>
              </w:rPr>
            </w:pPr>
            <w:r>
              <w:rPr>
                <w:rFonts w:cs="Times New Roman"/>
                <w:szCs w:val="18"/>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11</w:t>
            </w:r>
          </w:p>
        </w:tc>
        <w:tc>
          <w:tcPr>
            <w:tcW w:w="715" w:type="pct"/>
            <w:noWrap/>
            <w:vAlign w:val="center"/>
          </w:tcPr>
          <w:p>
            <w:pPr>
              <w:pStyle w:val="139"/>
              <w:spacing w:line="240" w:lineRule="auto"/>
              <w:rPr>
                <w:rFonts w:cs="Times New Roman"/>
                <w:szCs w:val="18"/>
              </w:rPr>
            </w:pPr>
            <w:r>
              <w:rPr>
                <w:rFonts w:cs="Times New Roman"/>
                <w:szCs w:val="18"/>
              </w:rPr>
              <w:t>651.80</w:t>
            </w:r>
          </w:p>
        </w:tc>
        <w:tc>
          <w:tcPr>
            <w:tcW w:w="624" w:type="pct"/>
            <w:noWrap/>
            <w:vAlign w:val="center"/>
          </w:tcPr>
          <w:p>
            <w:pPr>
              <w:pStyle w:val="139"/>
              <w:spacing w:line="240" w:lineRule="auto"/>
              <w:rPr>
                <w:rFonts w:cs="Times New Roman"/>
                <w:szCs w:val="18"/>
              </w:rPr>
            </w:pPr>
            <w:r>
              <w:rPr>
                <w:rFonts w:cs="Times New Roman"/>
                <w:szCs w:val="18"/>
              </w:rPr>
              <w:t>14.81</w:t>
            </w:r>
          </w:p>
        </w:tc>
        <w:tc>
          <w:tcPr>
            <w:tcW w:w="624" w:type="pct"/>
            <w:noWrap/>
            <w:vAlign w:val="center"/>
          </w:tcPr>
          <w:p>
            <w:pPr>
              <w:pStyle w:val="139"/>
              <w:spacing w:line="240" w:lineRule="auto"/>
              <w:rPr>
                <w:rFonts w:cs="Times New Roman"/>
                <w:szCs w:val="18"/>
              </w:rPr>
            </w:pPr>
            <w:r>
              <w:rPr>
                <w:rFonts w:cs="Times New Roman"/>
                <w:szCs w:val="18"/>
              </w:rPr>
              <w:t>16.15</w:t>
            </w:r>
          </w:p>
        </w:tc>
        <w:tc>
          <w:tcPr>
            <w:tcW w:w="940" w:type="pct"/>
            <w:noWrap/>
            <w:vAlign w:val="center"/>
          </w:tcPr>
          <w:p>
            <w:pPr>
              <w:pStyle w:val="139"/>
              <w:spacing w:line="240" w:lineRule="auto"/>
              <w:rPr>
                <w:rFonts w:cs="Times New Roman"/>
                <w:szCs w:val="18"/>
              </w:rPr>
            </w:pPr>
            <w:r>
              <w:rPr>
                <w:rFonts w:cs="Times New Roman"/>
                <w:szCs w:val="18"/>
              </w:rPr>
              <w:t>23.51</w:t>
            </w:r>
          </w:p>
        </w:tc>
        <w:tc>
          <w:tcPr>
            <w:tcW w:w="940" w:type="pct"/>
            <w:noWrap/>
            <w:vAlign w:val="center"/>
          </w:tcPr>
          <w:p>
            <w:pPr>
              <w:pStyle w:val="139"/>
              <w:spacing w:line="240" w:lineRule="auto"/>
              <w:rPr>
                <w:rFonts w:cs="Times New Roman"/>
                <w:szCs w:val="18"/>
              </w:rPr>
            </w:pPr>
            <w:r>
              <w:rPr>
                <w:rFonts w:cs="Times New Roman"/>
                <w:szCs w:val="18"/>
              </w:rPr>
              <w:t>1.46</w:t>
            </w:r>
          </w:p>
        </w:tc>
        <w:tc>
          <w:tcPr>
            <w:tcW w:w="578" w:type="pct"/>
            <w:noWrap/>
            <w:vAlign w:val="center"/>
          </w:tcPr>
          <w:p>
            <w:pPr>
              <w:pStyle w:val="139"/>
              <w:spacing w:line="240" w:lineRule="auto"/>
              <w:rPr>
                <w:rFonts w:cs="Times New Roman"/>
                <w:szCs w:val="18"/>
              </w:rPr>
            </w:pPr>
            <w:r>
              <w:rPr>
                <w:rFonts w:cs="Times New Roman"/>
                <w:szCs w:val="18"/>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noWrap/>
            <w:vAlign w:val="center"/>
          </w:tcPr>
          <w:p>
            <w:pPr>
              <w:pStyle w:val="139"/>
              <w:spacing w:line="240" w:lineRule="auto"/>
              <w:rPr>
                <w:rFonts w:cs="Times New Roman"/>
                <w:szCs w:val="18"/>
              </w:rPr>
            </w:pPr>
            <w:r>
              <w:rPr>
                <w:rFonts w:cs="Times New Roman"/>
                <w:szCs w:val="18"/>
              </w:rPr>
              <w:t>12</w:t>
            </w:r>
          </w:p>
        </w:tc>
        <w:tc>
          <w:tcPr>
            <w:tcW w:w="715" w:type="pct"/>
            <w:noWrap/>
            <w:vAlign w:val="center"/>
          </w:tcPr>
          <w:p>
            <w:pPr>
              <w:pStyle w:val="139"/>
              <w:spacing w:line="240" w:lineRule="auto"/>
              <w:rPr>
                <w:rFonts w:cs="Times New Roman"/>
                <w:szCs w:val="18"/>
              </w:rPr>
            </w:pPr>
            <w:r>
              <w:rPr>
                <w:rFonts w:cs="Times New Roman"/>
                <w:szCs w:val="18"/>
              </w:rPr>
              <w:t>652.00</w:t>
            </w:r>
          </w:p>
        </w:tc>
        <w:tc>
          <w:tcPr>
            <w:tcW w:w="624" w:type="pct"/>
            <w:noWrap/>
            <w:vAlign w:val="center"/>
          </w:tcPr>
          <w:p>
            <w:pPr>
              <w:pStyle w:val="139"/>
              <w:spacing w:line="240" w:lineRule="auto"/>
              <w:rPr>
                <w:rFonts w:cs="Times New Roman"/>
                <w:szCs w:val="18"/>
              </w:rPr>
            </w:pPr>
            <w:r>
              <w:rPr>
                <w:rFonts w:cs="Times New Roman"/>
                <w:szCs w:val="18"/>
              </w:rPr>
              <w:t>15.42</w:t>
            </w:r>
          </w:p>
        </w:tc>
        <w:tc>
          <w:tcPr>
            <w:tcW w:w="624" w:type="pct"/>
            <w:noWrap/>
            <w:vAlign w:val="center"/>
          </w:tcPr>
          <w:p>
            <w:pPr>
              <w:pStyle w:val="139"/>
              <w:spacing w:line="240" w:lineRule="auto"/>
              <w:rPr>
                <w:rFonts w:cs="Times New Roman"/>
                <w:szCs w:val="18"/>
              </w:rPr>
            </w:pPr>
            <w:r>
              <w:rPr>
                <w:rFonts w:cs="Times New Roman"/>
                <w:szCs w:val="18"/>
              </w:rPr>
              <w:t>16.9</w:t>
            </w:r>
          </w:p>
        </w:tc>
        <w:tc>
          <w:tcPr>
            <w:tcW w:w="940" w:type="pct"/>
            <w:noWrap/>
            <w:vAlign w:val="center"/>
          </w:tcPr>
          <w:p>
            <w:pPr>
              <w:pStyle w:val="139"/>
              <w:spacing w:line="240" w:lineRule="auto"/>
              <w:rPr>
                <w:rFonts w:cs="Times New Roman"/>
                <w:szCs w:val="18"/>
              </w:rPr>
            </w:pPr>
            <w:r>
              <w:rPr>
                <w:rFonts w:cs="Times New Roman"/>
                <w:szCs w:val="18"/>
              </w:rPr>
              <w:t>26.53</w:t>
            </w:r>
          </w:p>
        </w:tc>
        <w:tc>
          <w:tcPr>
            <w:tcW w:w="940" w:type="pct"/>
            <w:noWrap/>
            <w:vAlign w:val="center"/>
          </w:tcPr>
          <w:p>
            <w:pPr>
              <w:pStyle w:val="139"/>
              <w:spacing w:line="240" w:lineRule="auto"/>
              <w:rPr>
                <w:rFonts w:cs="Times New Roman"/>
                <w:szCs w:val="18"/>
              </w:rPr>
            </w:pPr>
            <w:r>
              <w:rPr>
                <w:rFonts w:cs="Times New Roman"/>
                <w:szCs w:val="18"/>
              </w:rPr>
              <w:t>1.57</w:t>
            </w:r>
          </w:p>
        </w:tc>
        <w:tc>
          <w:tcPr>
            <w:tcW w:w="578" w:type="pct"/>
            <w:noWrap/>
            <w:vAlign w:val="center"/>
          </w:tcPr>
          <w:p>
            <w:pPr>
              <w:pStyle w:val="139"/>
              <w:spacing w:line="240" w:lineRule="auto"/>
              <w:rPr>
                <w:rFonts w:cs="Times New Roman"/>
                <w:szCs w:val="18"/>
              </w:rPr>
            </w:pPr>
            <w:r>
              <w:rPr>
                <w:rFonts w:cs="Times New Roman"/>
                <w:szCs w:val="18"/>
              </w:rPr>
              <w:t>110</w:t>
            </w:r>
          </w:p>
        </w:tc>
      </w:tr>
    </w:tbl>
    <w:p>
      <w:pPr>
        <w:pStyle w:val="73"/>
        <w:adjustRightInd/>
        <w:snapToGrid/>
        <w:ind w:firstLine="0" w:firstLineChars="0"/>
        <w:contextualSpacing/>
        <w:rPr>
          <w:kern w:val="0"/>
        </w:rPr>
      </w:pPr>
      <w:r>
        <w:drawing>
          <wp:inline distT="0" distB="0" distL="0" distR="0">
            <wp:extent cx="4968875" cy="2862580"/>
            <wp:effectExtent l="0" t="0" r="0" b="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noChangeArrowheads="1"/>
                    </pic:cNvPicPr>
                  </pic:nvPicPr>
                  <pic:blipFill>
                    <a:blip r:embed="rId86">
                      <a:extLst>
                        <a:ext uri="{28A0092B-C50C-407E-A947-70E740481C1C}">
                          <a14:useLocalDpi xmlns:a14="http://schemas.microsoft.com/office/drawing/2010/main" val="0"/>
                        </a:ext>
                      </a:extLst>
                    </a:blip>
                    <a:srcRect t="7265" r="-162"/>
                    <a:stretch>
                      <a:fillRect/>
                    </a:stretch>
                  </pic:blipFill>
                  <pic:spPr>
                    <a:xfrm>
                      <a:off x="0" y="0"/>
                      <a:ext cx="4968875" cy="2862580"/>
                    </a:xfrm>
                    <a:prstGeom prst="rect">
                      <a:avLst/>
                    </a:prstGeom>
                    <a:noFill/>
                    <a:ln>
                      <a:noFill/>
                    </a:ln>
                  </pic:spPr>
                </pic:pic>
              </a:graphicData>
            </a:graphic>
          </wp:inline>
        </w:drawing>
      </w:r>
    </w:p>
    <w:p>
      <w:pPr>
        <w:pStyle w:val="73"/>
        <w:adjustRightInd/>
        <w:snapToGrid/>
        <w:ind w:firstLine="0" w:firstLineChars="0"/>
        <w:contextualSpacing/>
        <w:rPr>
          <w:rFonts w:eastAsia="宋体"/>
          <w:b/>
          <w:bCs/>
          <w:sz w:val="21"/>
          <w:szCs w:val="16"/>
        </w:rPr>
      </w:pPr>
      <w:r>
        <w:rPr>
          <w:rFonts w:hint="eastAsia" w:eastAsia="宋体"/>
          <w:b/>
          <w:bCs/>
          <w:sz w:val="21"/>
          <w:szCs w:val="16"/>
        </w:rPr>
        <w:t>图</w:t>
      </w:r>
      <w:r>
        <w:rPr>
          <w:rFonts w:eastAsia="宋体"/>
          <w:b/>
          <w:bCs/>
          <w:sz w:val="21"/>
          <w:szCs w:val="16"/>
        </w:rPr>
        <w:t>5.1.2-2  CS1（断面）</w:t>
      </w:r>
      <w:r>
        <w:rPr>
          <w:rFonts w:hint="eastAsia" w:eastAsia="宋体"/>
          <w:b/>
          <w:bCs/>
          <w:sz w:val="21"/>
          <w:szCs w:val="16"/>
        </w:rPr>
        <w:t>断面图</w:t>
      </w:r>
    </w:p>
    <w:p>
      <w:pPr>
        <w:pStyle w:val="73"/>
        <w:adjustRightInd/>
        <w:snapToGrid/>
        <w:ind w:firstLine="0" w:firstLineChars="0"/>
        <w:contextualSpacing/>
        <w:rPr>
          <w:kern w:val="0"/>
        </w:rPr>
      </w:pPr>
      <w:r>
        <w:drawing>
          <wp:inline distT="0" distB="0" distL="0" distR="0">
            <wp:extent cx="4789170" cy="2821940"/>
            <wp:effectExtent l="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noChangeArrowheads="1"/>
                    </pic:cNvPicPr>
                  </pic:nvPicPr>
                  <pic:blipFill>
                    <a:blip r:embed="rId87">
                      <a:extLst>
                        <a:ext uri="{28A0092B-C50C-407E-A947-70E740481C1C}">
                          <a14:useLocalDpi xmlns:a14="http://schemas.microsoft.com/office/drawing/2010/main" val="0"/>
                        </a:ext>
                      </a:extLst>
                    </a:blip>
                    <a:srcRect l="1706" t="7307" r="2415" b="1477"/>
                    <a:stretch>
                      <a:fillRect/>
                    </a:stretch>
                  </pic:blipFill>
                  <pic:spPr>
                    <a:xfrm>
                      <a:off x="0" y="0"/>
                      <a:ext cx="4789170" cy="2821940"/>
                    </a:xfrm>
                    <a:prstGeom prst="rect">
                      <a:avLst/>
                    </a:prstGeom>
                    <a:noFill/>
                    <a:ln>
                      <a:noFill/>
                    </a:ln>
                  </pic:spPr>
                </pic:pic>
              </a:graphicData>
            </a:graphic>
          </wp:inline>
        </w:drawing>
      </w:r>
    </w:p>
    <w:p>
      <w:pPr>
        <w:pStyle w:val="73"/>
        <w:adjustRightInd/>
        <w:snapToGrid/>
        <w:ind w:firstLine="0" w:firstLineChars="0"/>
        <w:contextualSpacing/>
        <w:rPr>
          <w:rFonts w:eastAsia="宋体"/>
          <w:b/>
          <w:bCs/>
          <w:sz w:val="21"/>
          <w:szCs w:val="16"/>
        </w:rPr>
      </w:pPr>
      <w:r>
        <w:rPr>
          <w:rFonts w:hint="eastAsia" w:eastAsia="宋体"/>
          <w:b/>
          <w:bCs/>
          <w:sz w:val="21"/>
          <w:szCs w:val="16"/>
        </w:rPr>
        <w:t>图</w:t>
      </w:r>
      <w:r>
        <w:rPr>
          <w:rFonts w:eastAsia="宋体"/>
          <w:b/>
          <w:bCs/>
          <w:sz w:val="21"/>
          <w:szCs w:val="16"/>
        </w:rPr>
        <w:t>5.1.2-3  CS2（断面）</w:t>
      </w:r>
      <w:r>
        <w:rPr>
          <w:rFonts w:hint="eastAsia" w:eastAsia="宋体"/>
          <w:b/>
          <w:bCs/>
          <w:sz w:val="21"/>
          <w:szCs w:val="16"/>
        </w:rPr>
        <w:t>断面图</w:t>
      </w:r>
    </w:p>
    <w:p>
      <w:pPr>
        <w:pStyle w:val="73"/>
        <w:adjustRightInd/>
        <w:snapToGrid/>
        <w:ind w:firstLine="0" w:firstLineChars="0"/>
        <w:contextualSpacing/>
        <w:rPr>
          <w:kern w:val="0"/>
        </w:rPr>
      </w:pPr>
      <w:r>
        <w:drawing>
          <wp:inline distT="0" distB="0" distL="0" distR="0">
            <wp:extent cx="4599940" cy="2586355"/>
            <wp:effectExtent l="0" t="0" r="0" b="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noChangeArrowheads="1"/>
                    </pic:cNvPicPr>
                  </pic:nvPicPr>
                  <pic:blipFill>
                    <a:blip r:embed="rId88">
                      <a:extLst>
                        <a:ext uri="{28A0092B-C50C-407E-A947-70E740481C1C}">
                          <a14:useLocalDpi xmlns:a14="http://schemas.microsoft.com/office/drawing/2010/main" val="0"/>
                        </a:ext>
                      </a:extLst>
                    </a:blip>
                    <a:srcRect t="6223" r="397" b="2350"/>
                    <a:stretch>
                      <a:fillRect/>
                    </a:stretch>
                  </pic:blipFill>
                  <pic:spPr>
                    <a:xfrm>
                      <a:off x="0" y="0"/>
                      <a:ext cx="4599940" cy="2586355"/>
                    </a:xfrm>
                    <a:prstGeom prst="rect">
                      <a:avLst/>
                    </a:prstGeom>
                    <a:noFill/>
                    <a:ln>
                      <a:noFill/>
                    </a:ln>
                  </pic:spPr>
                </pic:pic>
              </a:graphicData>
            </a:graphic>
          </wp:inline>
        </w:drawing>
      </w:r>
    </w:p>
    <w:p>
      <w:pPr>
        <w:pStyle w:val="73"/>
        <w:adjustRightInd/>
        <w:snapToGrid/>
        <w:ind w:firstLine="0" w:firstLineChars="0"/>
        <w:contextualSpacing/>
        <w:rPr>
          <w:rFonts w:eastAsia="宋体"/>
          <w:b/>
          <w:bCs/>
          <w:sz w:val="21"/>
          <w:szCs w:val="16"/>
        </w:rPr>
      </w:pPr>
      <w:r>
        <w:rPr>
          <w:rFonts w:hint="eastAsia" w:eastAsia="宋体"/>
          <w:b/>
          <w:bCs/>
          <w:sz w:val="21"/>
          <w:szCs w:val="16"/>
        </w:rPr>
        <w:t>图</w:t>
      </w:r>
      <w:r>
        <w:rPr>
          <w:rFonts w:eastAsia="宋体"/>
          <w:b/>
          <w:bCs/>
          <w:sz w:val="21"/>
          <w:szCs w:val="16"/>
        </w:rPr>
        <w:t>5.1.2-4  CS3（断面）</w:t>
      </w:r>
      <w:r>
        <w:rPr>
          <w:rFonts w:hint="eastAsia" w:eastAsia="宋体"/>
          <w:b/>
          <w:bCs/>
          <w:sz w:val="21"/>
          <w:szCs w:val="16"/>
        </w:rPr>
        <w:t>断面图</w:t>
      </w:r>
    </w:p>
    <w:p>
      <w:pPr>
        <w:pStyle w:val="5"/>
        <w:tabs>
          <w:tab w:val="left" w:pos="1843"/>
        </w:tabs>
        <w:ind w:firstLine="0" w:firstLineChars="0"/>
        <w:contextualSpacing/>
        <w:rPr>
          <w:rFonts w:ascii="Times New Roman" w:hAnsi="Times New Roman"/>
        </w:rPr>
      </w:pPr>
      <w:r>
        <w:rPr>
          <w:rFonts w:ascii="Times New Roman" w:hAnsi="Times New Roman"/>
        </w:rPr>
        <w:t>5.1.5泥沙情势影响分析</w:t>
      </w:r>
    </w:p>
    <w:p>
      <w:pPr>
        <w:ind w:firstLine="0" w:firstLineChars="0"/>
        <w:contextualSpacing/>
        <w:outlineLvl w:val="3"/>
        <w:rPr>
          <w:b/>
          <w:bCs/>
        </w:rPr>
      </w:pPr>
      <w:r>
        <w:rPr>
          <w:b/>
          <w:bCs/>
        </w:rPr>
        <w:t>5.1.5.1泥沙淤积分析</w:t>
      </w:r>
    </w:p>
    <w:p>
      <w:pPr>
        <w:adjustRightInd w:val="0"/>
        <w:snapToGrid w:val="0"/>
        <w:spacing w:line="560" w:lineRule="exact"/>
        <w:ind w:firstLine="480"/>
        <w:rPr>
          <w:kern w:val="144"/>
        </w:rPr>
      </w:pPr>
      <w:r>
        <w:rPr>
          <w:kern w:val="144"/>
        </w:rPr>
        <w:t>设计流域无实测泥沙资料，本次计算采用查等值线图法推算坝线以上泥沙。根据《四川省水文手册》多年平均悬移质输沙模数等值线图，查得本流域多年平均悬移质输沙模数，推移质沙量采用占悬移质泥沙比例系数法推求。本流域属大巴山区，河流属山溪性河流，河床比降大，并经现场调查了解，根据《四川省水文手册》，本工程选择采用悬移质沙量的15%为推移质沙量。泥沙计算成果见表2.7.2-1。</w:t>
      </w:r>
    </w:p>
    <w:p>
      <w:pPr>
        <w:pStyle w:val="73"/>
        <w:adjustRightInd/>
        <w:snapToGrid/>
        <w:ind w:firstLine="0" w:firstLineChars="0"/>
        <w:contextualSpacing/>
        <w:rPr>
          <w:rFonts w:eastAsia="宋体"/>
          <w:b/>
          <w:bCs/>
          <w:sz w:val="21"/>
          <w:szCs w:val="16"/>
        </w:rPr>
      </w:pPr>
      <w:r>
        <w:rPr>
          <w:rFonts w:eastAsia="宋体"/>
          <w:b/>
          <w:bCs/>
          <w:sz w:val="21"/>
          <w:szCs w:val="16"/>
        </w:rPr>
        <w:t>表5.1.2-4  寒溪寺水库入库泥沙特征值表</w:t>
      </w:r>
    </w:p>
    <w:tbl>
      <w:tblPr>
        <w:tblStyle w:val="38"/>
        <w:tblW w:w="47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84"/>
        <w:gridCol w:w="2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项   目</w:t>
            </w:r>
          </w:p>
        </w:tc>
        <w:tc>
          <w:tcPr>
            <w:tcW w:w="1792" w:type="pct"/>
            <w:vAlign w:val="center"/>
          </w:tcPr>
          <w:p>
            <w:pPr>
              <w:pStyle w:val="139"/>
              <w:ind w:firstLine="360"/>
              <w:rPr>
                <w:rFonts w:cs="Times New Roman"/>
                <w:szCs w:val="18"/>
              </w:rPr>
            </w:pPr>
            <w:r>
              <w:rPr>
                <w:rFonts w:cs="Times New Roman"/>
                <w:szCs w:val="18"/>
              </w:rPr>
              <w:t>寒溪寺水库坝线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多年平均流量（m</w:t>
            </w:r>
            <w:r>
              <w:rPr>
                <w:rFonts w:cs="Times New Roman"/>
                <w:szCs w:val="18"/>
                <w:vertAlign w:val="superscript"/>
              </w:rPr>
              <w:t>3</w:t>
            </w:r>
            <w:r>
              <w:rPr>
                <w:rFonts w:cs="Times New Roman"/>
                <w:szCs w:val="18"/>
              </w:rPr>
              <w:t>/s）</w:t>
            </w:r>
          </w:p>
        </w:tc>
        <w:tc>
          <w:tcPr>
            <w:tcW w:w="1792" w:type="pct"/>
            <w:vAlign w:val="center"/>
          </w:tcPr>
          <w:p>
            <w:pPr>
              <w:pStyle w:val="139"/>
              <w:ind w:firstLine="360"/>
              <w:rPr>
                <w:rFonts w:cs="Times New Roman"/>
                <w:szCs w:val="18"/>
              </w:rPr>
            </w:pPr>
            <w:r>
              <w:rPr>
                <w:rFonts w:cs="Times New Roman"/>
                <w:szCs w:val="18"/>
              </w:rPr>
              <w:t>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坝线处控制流域面积（km</w:t>
            </w:r>
            <w:r>
              <w:rPr>
                <w:rFonts w:cs="Times New Roman"/>
                <w:szCs w:val="18"/>
                <w:vertAlign w:val="superscript"/>
              </w:rPr>
              <w:t>2</w:t>
            </w:r>
            <w:r>
              <w:rPr>
                <w:rFonts w:cs="Times New Roman"/>
                <w:szCs w:val="18"/>
              </w:rPr>
              <w:t>）</w:t>
            </w:r>
          </w:p>
        </w:tc>
        <w:tc>
          <w:tcPr>
            <w:tcW w:w="1792" w:type="pct"/>
            <w:vAlign w:val="center"/>
          </w:tcPr>
          <w:p>
            <w:pPr>
              <w:pStyle w:val="139"/>
              <w:ind w:firstLine="360"/>
              <w:rPr>
                <w:rFonts w:cs="Times New Roman"/>
                <w:szCs w:val="18"/>
              </w:rPr>
            </w:pPr>
            <w:r>
              <w:rPr>
                <w:rFonts w:cs="Times New Roman"/>
                <w:szCs w:val="18"/>
              </w:rPr>
              <w:t>4.53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多年平均输沙模数（t/km</w:t>
            </w:r>
            <w:r>
              <w:rPr>
                <w:rFonts w:cs="Times New Roman"/>
                <w:szCs w:val="18"/>
                <w:vertAlign w:val="superscript"/>
              </w:rPr>
              <w:t>2</w:t>
            </w:r>
            <w:r>
              <w:rPr>
                <w:rFonts w:cs="Times New Roman"/>
                <w:szCs w:val="18"/>
              </w:rPr>
              <w:t>）</w:t>
            </w:r>
          </w:p>
        </w:tc>
        <w:tc>
          <w:tcPr>
            <w:tcW w:w="1792" w:type="pct"/>
            <w:vAlign w:val="center"/>
          </w:tcPr>
          <w:p>
            <w:pPr>
              <w:pStyle w:val="139"/>
              <w:ind w:firstLine="360"/>
              <w:rPr>
                <w:rFonts w:cs="Times New Roman"/>
                <w:szCs w:val="18"/>
              </w:rPr>
            </w:pPr>
            <w:r>
              <w:rPr>
                <w:rFonts w:cs="Times New Roman"/>
                <w:szCs w:val="18"/>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多年平均悬移质输沙量（t）</w:t>
            </w:r>
          </w:p>
        </w:tc>
        <w:tc>
          <w:tcPr>
            <w:tcW w:w="1792" w:type="pct"/>
            <w:vAlign w:val="center"/>
          </w:tcPr>
          <w:p>
            <w:pPr>
              <w:pStyle w:val="139"/>
              <w:ind w:firstLine="360"/>
              <w:rPr>
                <w:rFonts w:cs="Times New Roman"/>
                <w:szCs w:val="18"/>
              </w:rPr>
            </w:pPr>
            <w:r>
              <w:rPr>
                <w:rFonts w:cs="Times New Roman"/>
                <w:szCs w:val="18"/>
              </w:rPr>
              <w:t>1721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多年平均悬移质输沙率（kg/s）</w:t>
            </w:r>
          </w:p>
        </w:tc>
        <w:tc>
          <w:tcPr>
            <w:tcW w:w="1792" w:type="pct"/>
            <w:vAlign w:val="center"/>
          </w:tcPr>
          <w:p>
            <w:pPr>
              <w:pStyle w:val="139"/>
              <w:ind w:firstLine="360"/>
              <w:rPr>
                <w:rFonts w:cs="Times New Roman"/>
                <w:szCs w:val="18"/>
              </w:rPr>
            </w:pPr>
            <w:r>
              <w:rPr>
                <w:rFonts w:cs="Times New Roman"/>
                <w:szCs w:val="18"/>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多年平均悬移质含沙量（kg/m</w:t>
            </w:r>
            <w:r>
              <w:rPr>
                <w:rFonts w:cs="Times New Roman"/>
                <w:szCs w:val="18"/>
                <w:vertAlign w:val="superscript"/>
              </w:rPr>
              <w:t>3</w:t>
            </w:r>
            <w:r>
              <w:rPr>
                <w:rFonts w:cs="Times New Roman"/>
                <w:szCs w:val="18"/>
              </w:rPr>
              <w:t>）</w:t>
            </w:r>
          </w:p>
        </w:tc>
        <w:tc>
          <w:tcPr>
            <w:tcW w:w="1792" w:type="pct"/>
            <w:vAlign w:val="center"/>
          </w:tcPr>
          <w:p>
            <w:pPr>
              <w:pStyle w:val="139"/>
              <w:ind w:firstLine="360"/>
              <w:rPr>
                <w:rFonts w:cs="Times New Roman"/>
                <w:szCs w:val="18"/>
              </w:rPr>
            </w:pPr>
            <w:r>
              <w:rPr>
                <w:rFonts w:cs="Times New Roman"/>
                <w:szCs w:val="18"/>
              </w:rPr>
              <w:t>0.618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多年平均推移质输沙量（t）</w:t>
            </w:r>
          </w:p>
        </w:tc>
        <w:tc>
          <w:tcPr>
            <w:tcW w:w="1792" w:type="pct"/>
            <w:vAlign w:val="center"/>
          </w:tcPr>
          <w:p>
            <w:pPr>
              <w:pStyle w:val="139"/>
              <w:ind w:firstLine="360"/>
              <w:rPr>
                <w:rFonts w:cs="Times New Roman"/>
                <w:szCs w:val="18"/>
              </w:rPr>
            </w:pPr>
            <w:r>
              <w:rPr>
                <w:rFonts w:cs="Times New Roman"/>
                <w:szCs w:val="18"/>
              </w:rPr>
              <w:t>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7" w:type="pct"/>
            <w:vAlign w:val="center"/>
          </w:tcPr>
          <w:p>
            <w:pPr>
              <w:pStyle w:val="139"/>
              <w:ind w:firstLine="360"/>
              <w:rPr>
                <w:rFonts w:cs="Times New Roman"/>
                <w:szCs w:val="18"/>
              </w:rPr>
            </w:pPr>
            <w:r>
              <w:rPr>
                <w:rFonts w:cs="Times New Roman"/>
                <w:szCs w:val="18"/>
              </w:rPr>
              <w:t>多年平均入库泥沙总量（t）</w:t>
            </w:r>
          </w:p>
        </w:tc>
        <w:tc>
          <w:tcPr>
            <w:tcW w:w="1792" w:type="pct"/>
            <w:vAlign w:val="center"/>
          </w:tcPr>
          <w:p>
            <w:pPr>
              <w:pStyle w:val="139"/>
              <w:ind w:firstLine="360"/>
              <w:rPr>
                <w:rFonts w:cs="Times New Roman"/>
                <w:szCs w:val="18"/>
              </w:rPr>
            </w:pPr>
            <w:r>
              <w:rPr>
                <w:rFonts w:cs="Times New Roman"/>
                <w:szCs w:val="18"/>
              </w:rPr>
              <w:t>1979</w:t>
            </w:r>
          </w:p>
        </w:tc>
      </w:tr>
    </w:tbl>
    <w:p>
      <w:pPr>
        <w:pStyle w:val="65"/>
        <w:ind w:firstLine="480"/>
        <w:contextualSpacing/>
        <w:rPr>
          <w:szCs w:val="22"/>
        </w:rPr>
      </w:pPr>
      <w:r>
        <w:rPr>
          <w:szCs w:val="22"/>
        </w:rPr>
        <w:t>由于水库库沙比很大，水库泥沙淤积速率很慢，上游来沙基本带不到库前，因而泥沙淤积所造成的水库库容损失很小。</w:t>
      </w:r>
    </w:p>
    <w:p>
      <w:pPr>
        <w:ind w:firstLine="0" w:firstLineChars="0"/>
        <w:contextualSpacing/>
        <w:outlineLvl w:val="3"/>
        <w:rPr>
          <w:b/>
          <w:bCs/>
        </w:rPr>
      </w:pPr>
      <w:r>
        <w:rPr>
          <w:b/>
          <w:bCs/>
        </w:rPr>
        <w:t>5.1.5.2排沙影响分析</w:t>
      </w:r>
    </w:p>
    <w:p>
      <w:pPr>
        <w:widowControl/>
        <w:ind w:firstLine="480"/>
        <w:contextualSpacing/>
        <w:jc w:val="left"/>
      </w:pPr>
      <w:r>
        <w:rPr>
          <w:kern w:val="0"/>
        </w:rPr>
        <w:t>本项目坝址下游设有钢筋砼护坦，水流冲刷不易向深处发展，泄流时不会对大坝坝脚造成大的冲刷，抗冲满足规范要求。随着水库运行年限的增加，水库拦沙率的降低，下游河道冲淤也逐渐达到平衡状态。因此，水库坝下的河床受寒溪寺水库影响较小。</w:t>
      </w:r>
    </w:p>
    <w:p>
      <w:pPr>
        <w:pStyle w:val="4"/>
        <w:tabs>
          <w:tab w:val="left" w:pos="1843"/>
        </w:tabs>
        <w:ind w:firstLine="0" w:firstLineChars="0"/>
        <w:contextualSpacing/>
      </w:pPr>
      <w:bookmarkStart w:id="482" w:name="_Toc130753435"/>
      <w:r>
        <w:t>5.2 水环境影响预测评价</w:t>
      </w:r>
      <w:bookmarkEnd w:id="482"/>
    </w:p>
    <w:p>
      <w:pPr>
        <w:pStyle w:val="5"/>
        <w:tabs>
          <w:tab w:val="left" w:pos="1843"/>
        </w:tabs>
        <w:ind w:firstLine="0" w:firstLineChars="0"/>
        <w:contextualSpacing/>
        <w:rPr>
          <w:rFonts w:ascii="Times New Roman" w:hAnsi="Times New Roman"/>
        </w:rPr>
      </w:pPr>
      <w:r>
        <w:rPr>
          <w:rFonts w:ascii="Times New Roman" w:hAnsi="Times New Roman"/>
        </w:rPr>
        <w:t>5.2.1施工期地表水环境影响</w:t>
      </w:r>
    </w:p>
    <w:p>
      <w:pPr>
        <w:ind w:firstLine="0" w:firstLineChars="0"/>
        <w:contextualSpacing/>
        <w:rPr>
          <w:b/>
          <w:bCs/>
        </w:rPr>
      </w:pPr>
      <w:r>
        <w:rPr>
          <w:b/>
          <w:bCs/>
        </w:rPr>
        <w:t>5.2.1.1枢纽</w:t>
      </w:r>
      <w:r>
        <w:rPr>
          <w:rFonts w:hint="eastAsia"/>
          <w:b/>
          <w:bCs/>
        </w:rPr>
        <w:t>与灌区工程</w:t>
      </w:r>
    </w:p>
    <w:p>
      <w:pPr>
        <w:ind w:firstLine="480"/>
        <w:contextualSpacing/>
      </w:pPr>
      <w:r>
        <w:t>（1）混凝土拌和冲洗废水</w:t>
      </w:r>
    </w:p>
    <w:p>
      <w:pPr>
        <w:ind w:firstLine="480"/>
        <w:contextualSpacing/>
      </w:pPr>
      <w:r>
        <w:t>枢纽工程区采用1个混凝土拌和站。每天冲洗3次，废水中主要含悬浮物，pH值也较高，悬浮物浓度在1500mg/L。由于洗刷水呈强碱性，随意排放会对附近地表水环境造成污染。故拌和系统冲洗水拟采取沉淀法处理后，全部回用于系统自身，不外排。</w:t>
      </w:r>
    </w:p>
    <w:p>
      <w:pPr>
        <w:ind w:firstLine="480"/>
        <w:contextualSpacing/>
      </w:pPr>
      <w:r>
        <w:t>灌区工程混凝土均采用移动式混凝土拌和机，</w:t>
      </w:r>
      <w:r>
        <w:rPr>
          <w:spacing w:val="-4"/>
        </w:rPr>
        <w:t>共设置</w:t>
      </w:r>
      <w:r>
        <w:t>1</w:t>
      </w:r>
      <w:r>
        <w:rPr>
          <w:rFonts w:hint="eastAsia"/>
        </w:rPr>
        <w:t>0</w:t>
      </w:r>
      <w:r>
        <w:t>座JZC350</w:t>
      </w:r>
      <w:r>
        <w:rPr>
          <w:spacing w:val="-3"/>
        </w:rPr>
        <w:t>型混凝土搅拌机。</w:t>
      </w:r>
      <w:r>
        <w:t>拌和机移动循环使用，分布较散，产生的废水量较小，通过储水容器收集</w:t>
      </w:r>
      <w:r>
        <w:rPr>
          <w:rFonts w:hint="eastAsia"/>
        </w:rPr>
        <w:t>沉淀</w:t>
      </w:r>
      <w:r>
        <w:t>处理后循环使用，对地表水环境影响小。</w:t>
      </w:r>
    </w:p>
    <w:p>
      <w:pPr>
        <w:ind w:firstLine="480"/>
        <w:contextualSpacing/>
      </w:pPr>
      <w:r>
        <w:t>混凝土拌和冲洗水不会对地表水环境造成环境环境影响。</w:t>
      </w:r>
    </w:p>
    <w:p>
      <w:pPr>
        <w:ind w:firstLine="480"/>
        <w:contextualSpacing/>
      </w:pPr>
      <w:r>
        <w:t>（2）含油废水</w:t>
      </w:r>
    </w:p>
    <w:p>
      <w:pPr>
        <w:ind w:firstLine="480"/>
        <w:contextualSpacing/>
      </w:pPr>
      <w:r>
        <w:t>含油废水主要来自于施工车辆、机械清洗过程。含油废水在采取成套油水分离设施处理后，全部回用，不排放，对地表水环境影响较小。</w:t>
      </w:r>
    </w:p>
    <w:p>
      <w:pPr>
        <w:ind w:firstLine="480"/>
        <w:contextualSpacing/>
      </w:pPr>
      <w:r>
        <w:t>（3）基坑排水</w:t>
      </w:r>
    </w:p>
    <w:p>
      <w:pPr>
        <w:ind w:firstLine="480"/>
        <w:contextualSpacing/>
      </w:pPr>
      <w:r>
        <w:rPr>
          <w:rFonts w:hint="eastAsia"/>
        </w:rPr>
        <w:t>本</w:t>
      </w:r>
      <w:r>
        <w:t>工程主体建筑物开挖</w:t>
      </w:r>
      <w:r>
        <w:rPr>
          <w:rFonts w:hint="eastAsia"/>
        </w:rPr>
        <w:t>将在坝区</w:t>
      </w:r>
      <w:r>
        <w:t>形成基坑，降水、渗水和施工用水</w:t>
      </w:r>
      <w:r>
        <w:rPr>
          <w:rFonts w:hint="eastAsia"/>
        </w:rPr>
        <w:t>等在基坑内</w:t>
      </w:r>
      <w:r>
        <w:t>汇集成基坑水，其主要污染物为悬浮物和pH，悬浮物浓度一般在2000mg/L左右，一般为碱性。</w:t>
      </w:r>
    </w:p>
    <w:p>
      <w:pPr>
        <w:ind w:firstLine="480"/>
        <w:contextualSpacing/>
      </w:pPr>
      <w:r>
        <w:t>基坑</w:t>
      </w:r>
      <w:r>
        <w:rPr>
          <w:rFonts w:hint="eastAsia"/>
        </w:rPr>
        <w:t>排</w:t>
      </w:r>
      <w:r>
        <w:t>水对坝址所在支流及蔡家河水质的影响，主要体现在基坑开挖阶段，主要影响因子是悬浮物，其浓度受降水、地下岩隙渗水和施工用水（主要是混凝土养护水和冲洗水）等因素的影响，具有间歇排放的特点。如废水不经处理直接排放，将对河流水质产生不利影响，故考虑用沉淀法对其进行处理，</w:t>
      </w:r>
      <w:r>
        <w:rPr>
          <w:rFonts w:hint="eastAsia"/>
        </w:rPr>
        <w:t>加药</w:t>
      </w:r>
      <w:r>
        <w:t>静置2h左右，SS含量可降至200mg/L以下。经处理后的基坑废水回用于施工拌合、机械冲洗水或场地、道路抑尘洒水等，禁止未经处理直接排入河流，故施工对河流水质影响较小。</w:t>
      </w:r>
    </w:p>
    <w:p>
      <w:pPr>
        <w:ind w:firstLine="480"/>
        <w:contextualSpacing/>
      </w:pPr>
      <w:r>
        <w:t>（</w:t>
      </w:r>
      <w:r>
        <w:rPr>
          <w:rFonts w:hint="eastAsia"/>
        </w:rPr>
        <w:t>4</w:t>
      </w:r>
      <w:r>
        <w:t>）</w:t>
      </w:r>
      <w:r>
        <w:rPr>
          <w:rFonts w:hint="eastAsia"/>
        </w:rPr>
        <w:t>隧洞排水</w:t>
      </w:r>
    </w:p>
    <w:p>
      <w:pPr>
        <w:widowControl/>
        <w:ind w:firstLine="480"/>
        <w:contextualSpacing/>
        <w:jc w:val="left"/>
        <w:rPr>
          <w:kern w:val="0"/>
        </w:rPr>
      </w:pPr>
      <w:r>
        <w:rPr>
          <w:rFonts w:hint="eastAsia"/>
        </w:rPr>
        <w:t>本</w:t>
      </w:r>
      <w:r>
        <w:t>工程隧洞开挖</w:t>
      </w:r>
      <w:r>
        <w:rPr>
          <w:rFonts w:hint="eastAsia"/>
        </w:rPr>
        <w:t>过程中，受</w:t>
      </w:r>
      <w:r>
        <w:t>爆破、</w:t>
      </w:r>
      <w:r>
        <w:rPr>
          <w:rFonts w:hint="eastAsia"/>
        </w:rPr>
        <w:t>机械设备运行、注浆等施工活动的影响，会产生一定的施工废水，进一步影响到地下涌水。由于</w:t>
      </w:r>
      <w:r>
        <w:rPr>
          <w:kern w:val="0"/>
        </w:rPr>
        <w:t>隧洞涌水量无论是正常涌水量还是最大涌水量，都是依季节变化，预测时误差较大。</w:t>
      </w:r>
      <w:r>
        <w:rPr>
          <w:rFonts w:hint="eastAsia"/>
          <w:kern w:val="0"/>
        </w:rPr>
        <w:t>因此，</w:t>
      </w:r>
      <w:r>
        <w:rPr>
          <w:kern w:val="0"/>
        </w:rPr>
        <w:t>隧洞施工时如遇涌水，应做好清污分流措施，且洞口设置二级沉淀池，对隧洞涌水进行沉淀，沉淀时间不低于2h，处理达标后回用于绿化、场地洒水，禁止直排入水体。</w:t>
      </w:r>
    </w:p>
    <w:p>
      <w:pPr>
        <w:ind w:firstLine="480"/>
        <w:contextualSpacing/>
      </w:pPr>
      <w:r>
        <w:t>（</w:t>
      </w:r>
      <w:r>
        <w:rPr>
          <w:rFonts w:hint="eastAsia"/>
        </w:rPr>
        <w:t>5</w:t>
      </w:r>
      <w:r>
        <w:t>）生活污水</w:t>
      </w:r>
    </w:p>
    <w:p>
      <w:pPr>
        <w:ind w:firstLine="480"/>
        <w:contextualSpacing/>
      </w:pPr>
      <w:r>
        <w:t>根据工程分析，</w:t>
      </w:r>
      <w:r>
        <w:rPr>
          <w:rFonts w:hint="eastAsia"/>
        </w:rPr>
        <w:t>本工程</w:t>
      </w:r>
      <w:r>
        <w:t>施工期</w:t>
      </w:r>
      <w:r>
        <w:rPr>
          <w:rFonts w:hint="eastAsia"/>
        </w:rPr>
        <w:t>间生活污水产生总</w:t>
      </w:r>
      <w:r>
        <w:t>量约</w:t>
      </w:r>
      <w:r>
        <w:rPr>
          <w:rFonts w:hint="eastAsia"/>
        </w:rPr>
        <w:t>3.12万</w:t>
      </w:r>
      <w:r>
        <w:t>m</w:t>
      </w:r>
      <w:r>
        <w:rPr>
          <w:vertAlign w:val="superscript"/>
        </w:rPr>
        <w:t>3</w:t>
      </w:r>
      <w:r>
        <w:rPr>
          <w:rFonts w:hint="eastAsia"/>
        </w:rPr>
        <w:t>，</w:t>
      </w:r>
      <w:r>
        <w:t>枢纽</w:t>
      </w:r>
      <w:r>
        <w:rPr>
          <w:rFonts w:hint="eastAsia"/>
        </w:rPr>
        <w:t>工程、灌区工程区的生活污水产生量分别为2.54万</w:t>
      </w:r>
      <w:r>
        <w:t>m</w:t>
      </w:r>
      <w:r>
        <w:rPr>
          <w:vertAlign w:val="superscript"/>
        </w:rPr>
        <w:t>3</w:t>
      </w:r>
      <w:r>
        <w:t>、</w:t>
      </w:r>
      <w:r>
        <w:rPr>
          <w:rFonts w:hint="eastAsia"/>
        </w:rPr>
        <w:t>0.58万</w:t>
      </w:r>
      <w:r>
        <w:t>m</w:t>
      </w:r>
      <w:r>
        <w:rPr>
          <w:vertAlign w:val="superscript"/>
        </w:rPr>
        <w:t>3</w:t>
      </w:r>
      <w:r>
        <w:t>。生活污水中主要污染物及浓度分别为BOD</w:t>
      </w:r>
      <w:r>
        <w:rPr>
          <w:vertAlign w:val="subscript"/>
        </w:rPr>
        <w:t>5</w:t>
      </w:r>
      <w:r>
        <w:t>150mg/L、COD250mg/L、SS150mg/L、NH</w:t>
      </w:r>
      <w:r>
        <w:rPr>
          <w:vertAlign w:val="subscript"/>
        </w:rPr>
        <w:t>3</w:t>
      </w:r>
      <w:r>
        <w:t>-N20mg/L。由于项目位于农村区域，无管网承接生活污水，建设单位应在施工期间对生活污水进行收集处理。</w:t>
      </w:r>
      <w:r>
        <w:rPr>
          <w:rFonts w:hint="eastAsia"/>
        </w:rPr>
        <w:t>枢纽工程施工营地</w:t>
      </w:r>
      <w:r>
        <w:t>应采用一体化污水处置系统处理达《污水综合排放标准》（GB8978-1996）中一级</w:t>
      </w:r>
      <w:r>
        <w:rPr>
          <w:rFonts w:hint="eastAsia"/>
        </w:rPr>
        <w:t>标准后综合回用</w:t>
      </w:r>
      <w:r>
        <w:t>，</w:t>
      </w:r>
      <w:r>
        <w:rPr>
          <w:rFonts w:hint="eastAsia"/>
        </w:rPr>
        <w:t>可</w:t>
      </w:r>
      <w:r>
        <w:t>回用于道路洒水和绿化。</w:t>
      </w:r>
      <w:r>
        <w:rPr>
          <w:rFonts w:hint="eastAsia"/>
        </w:rPr>
        <w:t>灌区工程</w:t>
      </w:r>
      <w:r>
        <w:t>可在施工区设置旱厕，粪便经化粪池沉淀、降解处理后可定期清运就近施肥。</w:t>
      </w:r>
    </w:p>
    <w:p>
      <w:pPr>
        <w:ind w:firstLine="480"/>
        <w:contextualSpacing/>
      </w:pPr>
      <w:r>
        <w:t>综上，</w:t>
      </w:r>
      <w:r>
        <w:rPr>
          <w:rFonts w:hint="eastAsia"/>
        </w:rPr>
        <w:t>本工程</w:t>
      </w:r>
      <w:r>
        <w:t>施工生产废水</w:t>
      </w:r>
      <w:r>
        <w:rPr>
          <w:rFonts w:hint="eastAsia"/>
        </w:rPr>
        <w:t>和生活污水</w:t>
      </w:r>
      <w:r>
        <w:t>在施工过程中</w:t>
      </w:r>
      <w:r>
        <w:rPr>
          <w:rFonts w:hint="eastAsia"/>
        </w:rPr>
        <w:t>经过处理后</w:t>
      </w:r>
      <w:r>
        <w:t>重复使用，未排入蔡家河。施工生活污水严格按环评要求采取措施并处理达标后，对地表水环境影响小。</w:t>
      </w:r>
    </w:p>
    <w:p>
      <w:pPr>
        <w:ind w:firstLine="0" w:firstLineChars="0"/>
        <w:contextualSpacing/>
        <w:rPr>
          <w:b/>
          <w:bCs/>
        </w:rPr>
      </w:pPr>
      <w:r>
        <w:rPr>
          <w:b/>
          <w:bCs/>
        </w:rPr>
        <w:t>5.2.1.2</w:t>
      </w:r>
      <w:r>
        <w:rPr>
          <w:rFonts w:hint="eastAsia"/>
          <w:b/>
          <w:bCs/>
        </w:rPr>
        <w:t>库区</w:t>
      </w:r>
      <w:r>
        <w:rPr>
          <w:b/>
          <w:bCs/>
        </w:rPr>
        <w:t>道路复建</w:t>
      </w:r>
    </w:p>
    <w:p>
      <w:pPr>
        <w:ind w:firstLine="480"/>
        <w:contextualSpacing/>
      </w:pPr>
      <w:r>
        <w:t>寒溪寺水库</w:t>
      </w:r>
      <w:r>
        <w:rPr>
          <w:rFonts w:hint="eastAsia"/>
        </w:rPr>
        <w:t>还建道路</w:t>
      </w:r>
      <w:r>
        <w:t>及桥梁大部分沿寒溪寺水库库尾、大坝下游修建，均不</w:t>
      </w:r>
    </w:p>
    <w:p>
      <w:pPr>
        <w:ind w:firstLine="0" w:firstLineChars="0"/>
        <w:contextualSpacing/>
      </w:pPr>
      <w:r>
        <w:t>涉水施工。由于库周内桥梁、公路线路短，数量多，若不加强施工管理采取措施不当或未采取临时防护措施，施工弃土弃渣进入水库或河道，会使局部水体泥沙量增大，使河流下游水体浑浊，从而对下游水质造成污染。</w:t>
      </w:r>
    </w:p>
    <w:p>
      <w:pPr>
        <w:ind w:firstLine="480"/>
        <w:contextualSpacing/>
      </w:pPr>
      <w:r>
        <w:t>此外，路基填筑、筑路材料的运输、堆放等均会产生扬尘，并可能随风飘落到附近的地表水体中，或是遇暴雨时被冲刷进入河道，对其水质产生一定程度的不利影响。施工生产废水、生活污水等排放也会对地表水体（蔡家河及其支沟）的水质产生不利影响。</w:t>
      </w:r>
    </w:p>
    <w:p>
      <w:pPr>
        <w:pStyle w:val="5"/>
        <w:tabs>
          <w:tab w:val="left" w:pos="1843"/>
        </w:tabs>
        <w:ind w:firstLine="0" w:firstLineChars="0"/>
        <w:contextualSpacing/>
        <w:rPr>
          <w:rFonts w:ascii="Times New Roman" w:hAnsi="Times New Roman"/>
        </w:rPr>
      </w:pPr>
      <w:r>
        <w:rPr>
          <w:rFonts w:ascii="Times New Roman" w:hAnsi="Times New Roman"/>
        </w:rPr>
        <w:t>5.2.2运行期地表水环境影响</w:t>
      </w:r>
    </w:p>
    <w:p>
      <w:pPr>
        <w:ind w:firstLine="0" w:firstLineChars="0"/>
        <w:contextualSpacing/>
        <w:outlineLvl w:val="3"/>
        <w:rPr>
          <w:b/>
          <w:bCs/>
        </w:rPr>
      </w:pPr>
      <w:bookmarkStart w:id="483" w:name="_Toc19531"/>
      <w:bookmarkStart w:id="484" w:name="_Toc1957"/>
      <w:bookmarkStart w:id="485" w:name="_Toc177"/>
      <w:bookmarkStart w:id="486" w:name="_Toc41977696"/>
      <w:bookmarkStart w:id="487" w:name="_Toc26240"/>
      <w:r>
        <w:rPr>
          <w:b/>
          <w:bCs/>
        </w:rPr>
        <w:t>5.2.2.1库区水质影响分析</w:t>
      </w:r>
    </w:p>
    <w:p>
      <w:pPr>
        <w:ind w:firstLine="480"/>
        <w:contextualSpacing/>
        <w:rPr>
          <w:szCs w:val="22"/>
        </w:rPr>
      </w:pPr>
      <w:r>
        <w:rPr>
          <w:szCs w:val="22"/>
        </w:rPr>
        <w:t>（1）初期</w:t>
      </w:r>
      <w:r>
        <w:t>蓄水</w:t>
      </w:r>
      <w:r>
        <w:rPr>
          <w:szCs w:val="22"/>
        </w:rPr>
        <w:t>对水质的影响</w:t>
      </w:r>
    </w:p>
    <w:p>
      <w:pPr>
        <w:ind w:firstLine="480"/>
        <w:contextualSpacing/>
      </w:pPr>
      <w:r>
        <w:t>水库蓄水初期，随着水库蓄水量的增加，淹没区内残留的污染物以及土壤分解释放出的有机质使得水体中BOD、COD、氮和磷等浓度增加，溶解氧降低。如若蓄水前未按照规范清库，库底浸出物可能较多，会影响到初期蓄水的水质。</w:t>
      </w:r>
    </w:p>
    <w:p>
      <w:pPr>
        <w:ind w:firstLine="480"/>
        <w:contextualSpacing/>
        <w:rPr>
          <w:kern w:val="0"/>
        </w:rPr>
      </w:pPr>
      <w:r>
        <w:t>寒溪寺水库工程位于山地丘陵区，蓄水期库区污染主要来自上游来水以及库周面源汇入。水库建成蓄水后，水体面积、体积、水深以及水面宽度均较天然情况下有一定的增加，流速也一定程度的趋缓。通过对国内相似水库初期蓄水过程水质变化的类比调查，水库在蓄水初期水质主要受淹没区土壤污染物释放的影响，蓄水后则主要受入库来水水质影响。因水库上游来水水质较为稳定，库区沿岸污染物排放量也不大，因此，蓄水期间，影响水库水质的主要因素是淹没土地的污染物内源释放。通过做好库底清理工作，减少内源释放，寒溪寺水库初期蓄水期水体污染物浓度增加幅度较小，不会影响库区水质达标，而且影响时间也较短，水质会较快恢复。</w:t>
      </w:r>
    </w:p>
    <w:p>
      <w:pPr>
        <w:ind w:firstLine="480"/>
        <w:contextualSpacing/>
        <w:rPr>
          <w:szCs w:val="22"/>
        </w:rPr>
      </w:pPr>
      <w:r>
        <w:rPr>
          <w:szCs w:val="22"/>
        </w:rPr>
        <w:t>（2）运行期库区水质预测</w:t>
      </w:r>
    </w:p>
    <w:p>
      <w:pPr>
        <w:ind w:firstLine="480"/>
        <w:contextualSpacing/>
      </w:pPr>
      <w:r>
        <w:t>1）污染源预测</w:t>
      </w:r>
    </w:p>
    <w:p>
      <w:pPr>
        <w:ind w:firstLine="480"/>
        <w:contextualSpacing/>
      </w:pPr>
      <w:r>
        <w:rPr>
          <w:rFonts w:hint="eastAsia" w:ascii="宋体" w:hAnsi="宋体" w:cs="宋体"/>
        </w:rPr>
        <w:t>①</w:t>
      </w:r>
      <w:r>
        <w:t xml:space="preserve"> 居民生活污染源</w:t>
      </w:r>
    </w:p>
    <w:p>
      <w:pPr>
        <w:ind w:firstLine="480"/>
        <w:contextualSpacing/>
      </w:pPr>
      <w:r>
        <w:t>根据2020年统计资料，库区集雨面积内目前共有户籍人口4712人。考虑自然增长率，预测水平年2030年库区集雨面积内分布有人口4864人，污水产生量按农村0.0415m</w:t>
      </w:r>
      <w:r>
        <w:rPr>
          <w:vertAlign w:val="superscript"/>
        </w:rPr>
        <w:t>3</w:t>
      </w:r>
      <w:r>
        <w:t>/人.d计算，库区集雨面积内生活污水产生量为7.37万m</w:t>
      </w:r>
      <w:r>
        <w:rPr>
          <w:vertAlign w:val="superscript"/>
        </w:rPr>
        <w:t>3</w:t>
      </w:r>
      <w:r>
        <w:t>/a。</w:t>
      </w:r>
    </w:p>
    <w:p>
      <w:pPr>
        <w:ind w:firstLine="480"/>
        <w:contextualSpacing/>
      </w:pPr>
      <w:r>
        <w:t>根据调查，目前寒溪寺水库库区集雨面积内的乡镇均尚未有建成污水处理设施，各乡镇供水已覆盖，但污水管网尚不完善，存在雨污合流、无污水处理设备等问题。预测水平年，为计算最不利预测情景，考虑各乡镇没有生活污水处理设施，对生活污染源的调查和计算仍采用排污系数法估算，公式如下：</w:t>
      </w:r>
    </w:p>
    <w:p>
      <w:pPr>
        <w:spacing w:line="336" w:lineRule="auto"/>
        <w:ind w:firstLine="480"/>
        <w:contextualSpacing/>
        <w:jc w:val="center"/>
      </w:pPr>
      <w:r>
        <w:rPr>
          <w:i/>
        </w:rPr>
        <w:t>W</w:t>
      </w:r>
      <w:r>
        <w:rPr>
          <w:i/>
          <w:vertAlign w:val="subscript"/>
        </w:rPr>
        <w:t>生活</w:t>
      </w:r>
      <w:r>
        <w:rPr>
          <w:i/>
        </w:rPr>
        <w:t>=N</w:t>
      </w:r>
      <w:r>
        <w:rPr>
          <w:i/>
          <w:vertAlign w:val="subscript"/>
        </w:rPr>
        <w:t>人</w:t>
      </w:r>
      <w:r>
        <w:rPr>
          <w:i/>
        </w:rPr>
        <w:t>×α</w:t>
      </w:r>
      <w:r>
        <w:rPr>
          <w:i/>
          <w:vertAlign w:val="subscript"/>
        </w:rPr>
        <w:t>1</w:t>
      </w:r>
      <w:r>
        <w:rPr>
          <w:i/>
        </w:rPr>
        <w:t>×0.365</w:t>
      </w:r>
    </w:p>
    <w:p>
      <w:pPr>
        <w:spacing w:line="336" w:lineRule="auto"/>
        <w:ind w:firstLine="480"/>
        <w:contextualSpacing/>
      </w:pPr>
      <w:r>
        <w:t>式中：</w:t>
      </w:r>
    </w:p>
    <w:p>
      <w:pPr>
        <w:spacing w:line="336" w:lineRule="auto"/>
        <w:ind w:firstLine="480"/>
        <w:contextualSpacing/>
      </w:pPr>
      <w:r>
        <w:rPr>
          <w:i/>
        </w:rPr>
        <w:t>W</w:t>
      </w:r>
      <w:r>
        <w:rPr>
          <w:i/>
          <w:vertAlign w:val="subscript"/>
        </w:rPr>
        <w:t>生活</w:t>
      </w:r>
      <w:r>
        <w:t>——居民生活污染源特征污染物排放量，kg/a；</w:t>
      </w:r>
    </w:p>
    <w:p>
      <w:pPr>
        <w:spacing w:line="336" w:lineRule="auto"/>
        <w:ind w:firstLine="480"/>
        <w:contextualSpacing/>
      </w:pPr>
      <w:r>
        <w:rPr>
          <w:i/>
        </w:rPr>
        <w:t>N</w:t>
      </w:r>
      <w:r>
        <w:rPr>
          <w:i/>
          <w:vertAlign w:val="subscript"/>
        </w:rPr>
        <w:t>人</w:t>
      </w:r>
      <w:r>
        <w:t>——城镇居民或农村居民人口，人；</w:t>
      </w:r>
    </w:p>
    <w:p>
      <w:pPr>
        <w:spacing w:line="336" w:lineRule="auto"/>
        <w:ind w:firstLine="480"/>
        <w:contextualSpacing/>
      </w:pPr>
      <w:r>
        <w:rPr>
          <w:i/>
        </w:rPr>
        <w:t>α</w:t>
      </w:r>
      <w:r>
        <w:rPr>
          <w:i/>
          <w:vertAlign w:val="subscript"/>
        </w:rPr>
        <w:t>1</w:t>
      </w:r>
      <w:r>
        <w:t>——排污系数，g/人.d。</w:t>
      </w:r>
    </w:p>
    <w:p>
      <w:pPr>
        <w:ind w:firstLine="480"/>
        <w:contextualSpacing/>
      </w:pPr>
      <w:r>
        <w:t>本项目调查居民生活污染源排污系数参考《第二次全国污染源普查城镇生活源产排污系数手册》，项目农村地区分类为六区二类，根据“表6-6 六区农村居民生活污水及污染物产生和排放系数”具体取值见表5.2.2-1。</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表5.2.2-1  居民生活污染源排污系数取值  单位：g/（人.d）</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9"/>
        <w:gridCol w:w="1845"/>
        <w:gridCol w:w="1265"/>
        <w:gridCol w:w="1556"/>
        <w:gridCol w:w="1119"/>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6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88" w:name="_Toc87801834"/>
            <w:bookmarkStart w:id="489" w:name="_Toc88521544"/>
            <w:r>
              <w:rPr>
                <w:rFonts w:ascii="Times New Roman" w:hAnsi="Times New Roman"/>
                <w:spacing w:val="0"/>
                <w:kern w:val="2"/>
                <w:sz w:val="21"/>
                <w:szCs w:val="21"/>
              </w:rPr>
              <w:t>类别</w:t>
            </w:r>
            <w:bookmarkEnd w:id="488"/>
            <w:bookmarkEnd w:id="489"/>
          </w:p>
        </w:tc>
        <w:tc>
          <w:tcPr>
            <w:tcW w:w="110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90" w:name="_Toc88521545"/>
            <w:bookmarkStart w:id="491" w:name="_Toc87801835"/>
            <w:r>
              <w:rPr>
                <w:rFonts w:ascii="Times New Roman" w:hAnsi="Times New Roman"/>
                <w:spacing w:val="0"/>
                <w:kern w:val="2"/>
                <w:sz w:val="21"/>
                <w:szCs w:val="21"/>
              </w:rPr>
              <w:t>生活污水量</w:t>
            </w:r>
            <w:bookmarkEnd w:id="490"/>
            <w:bookmarkEnd w:id="491"/>
          </w:p>
        </w:tc>
        <w:tc>
          <w:tcPr>
            <w:tcW w:w="75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92" w:name="_Toc88521546"/>
            <w:bookmarkStart w:id="493" w:name="_Toc87801836"/>
            <w:r>
              <w:rPr>
                <w:rFonts w:ascii="Times New Roman" w:hAnsi="Times New Roman"/>
                <w:spacing w:val="0"/>
                <w:kern w:val="2"/>
                <w:sz w:val="21"/>
                <w:szCs w:val="21"/>
              </w:rPr>
              <w:t>COD</w:t>
            </w:r>
            <w:bookmarkEnd w:id="492"/>
            <w:bookmarkEnd w:id="493"/>
          </w:p>
        </w:tc>
        <w:tc>
          <w:tcPr>
            <w:tcW w:w="9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94" w:name="_Toc88521547"/>
            <w:bookmarkStart w:id="495" w:name="_Toc87801837"/>
            <w:r>
              <w:rPr>
                <w:rFonts w:ascii="Times New Roman" w:hAnsi="Times New Roman"/>
                <w:spacing w:val="0"/>
                <w:kern w:val="2"/>
                <w:sz w:val="21"/>
                <w:szCs w:val="21"/>
              </w:rPr>
              <w:t>氨氮</w:t>
            </w:r>
            <w:bookmarkEnd w:id="494"/>
            <w:bookmarkEnd w:id="495"/>
          </w:p>
        </w:tc>
        <w:tc>
          <w:tcPr>
            <w:tcW w:w="6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96" w:name="_Toc88521548"/>
            <w:bookmarkStart w:id="497" w:name="_Toc87801838"/>
            <w:r>
              <w:rPr>
                <w:rFonts w:ascii="Times New Roman" w:hAnsi="Times New Roman"/>
                <w:spacing w:val="0"/>
                <w:kern w:val="2"/>
                <w:sz w:val="21"/>
                <w:szCs w:val="21"/>
              </w:rPr>
              <w:t>总氮</w:t>
            </w:r>
            <w:bookmarkEnd w:id="496"/>
            <w:bookmarkEnd w:id="497"/>
          </w:p>
        </w:tc>
        <w:tc>
          <w:tcPr>
            <w:tcW w:w="66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498" w:name="_Toc87801839"/>
            <w:bookmarkStart w:id="499" w:name="_Toc88521549"/>
            <w:r>
              <w:rPr>
                <w:rFonts w:ascii="Times New Roman" w:hAnsi="Times New Roman"/>
                <w:spacing w:val="0"/>
                <w:kern w:val="2"/>
                <w:sz w:val="21"/>
                <w:szCs w:val="21"/>
              </w:rPr>
              <w:t>总磷</w:t>
            </w:r>
            <w:bookmarkEnd w:id="498"/>
            <w:bookmarkEnd w:id="49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6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00" w:name="_Toc88521550"/>
            <w:bookmarkStart w:id="501" w:name="_Toc87801840"/>
            <w:r>
              <w:rPr>
                <w:rFonts w:ascii="Times New Roman" w:hAnsi="Times New Roman"/>
                <w:spacing w:val="0"/>
                <w:kern w:val="2"/>
                <w:sz w:val="21"/>
                <w:szCs w:val="21"/>
              </w:rPr>
              <w:t>农村居民</w:t>
            </w:r>
            <w:bookmarkEnd w:id="500"/>
            <w:bookmarkEnd w:id="501"/>
          </w:p>
        </w:tc>
        <w:tc>
          <w:tcPr>
            <w:tcW w:w="110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02" w:name="_Toc87801841"/>
            <w:bookmarkStart w:id="503" w:name="_Toc88521551"/>
            <w:r>
              <w:rPr>
                <w:rFonts w:ascii="Times New Roman" w:hAnsi="Times New Roman"/>
                <w:spacing w:val="0"/>
                <w:kern w:val="2"/>
                <w:sz w:val="21"/>
                <w:szCs w:val="21"/>
              </w:rPr>
              <w:t>0.0415m</w:t>
            </w:r>
            <w:r>
              <w:rPr>
                <w:rFonts w:ascii="Times New Roman" w:hAnsi="Times New Roman"/>
                <w:spacing w:val="0"/>
                <w:kern w:val="2"/>
                <w:sz w:val="21"/>
                <w:szCs w:val="21"/>
                <w:vertAlign w:val="superscript"/>
              </w:rPr>
              <w:t>3</w:t>
            </w:r>
            <w:r>
              <w:rPr>
                <w:rFonts w:ascii="Times New Roman" w:hAnsi="Times New Roman"/>
                <w:spacing w:val="0"/>
                <w:kern w:val="2"/>
                <w:sz w:val="21"/>
                <w:szCs w:val="21"/>
              </w:rPr>
              <w:t>/人.d</w:t>
            </w:r>
            <w:bookmarkEnd w:id="502"/>
            <w:bookmarkEnd w:id="503"/>
          </w:p>
        </w:tc>
        <w:tc>
          <w:tcPr>
            <w:tcW w:w="75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04" w:name="_Toc87801842"/>
            <w:bookmarkStart w:id="505" w:name="_Toc88521552"/>
            <w:r>
              <w:rPr>
                <w:rFonts w:ascii="Times New Roman" w:hAnsi="Times New Roman"/>
                <w:spacing w:val="0"/>
                <w:kern w:val="2"/>
                <w:sz w:val="21"/>
                <w:szCs w:val="21"/>
              </w:rPr>
              <w:t>40.2</w:t>
            </w:r>
            <w:bookmarkEnd w:id="504"/>
            <w:bookmarkEnd w:id="505"/>
          </w:p>
        </w:tc>
        <w:tc>
          <w:tcPr>
            <w:tcW w:w="9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06" w:name="_Toc87801843"/>
            <w:bookmarkStart w:id="507" w:name="_Toc88521553"/>
            <w:r>
              <w:rPr>
                <w:rFonts w:ascii="Times New Roman" w:hAnsi="Times New Roman"/>
                <w:spacing w:val="0"/>
                <w:kern w:val="2"/>
                <w:sz w:val="21"/>
                <w:szCs w:val="21"/>
              </w:rPr>
              <w:t>2.83</w:t>
            </w:r>
            <w:bookmarkEnd w:id="506"/>
            <w:bookmarkEnd w:id="507"/>
          </w:p>
        </w:tc>
        <w:tc>
          <w:tcPr>
            <w:tcW w:w="6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08" w:name="_Toc87801844"/>
            <w:bookmarkStart w:id="509" w:name="_Toc88521554"/>
            <w:r>
              <w:rPr>
                <w:rFonts w:ascii="Times New Roman" w:hAnsi="Times New Roman"/>
                <w:spacing w:val="0"/>
                <w:kern w:val="2"/>
                <w:sz w:val="21"/>
                <w:szCs w:val="21"/>
              </w:rPr>
              <w:t>4.35</w:t>
            </w:r>
            <w:bookmarkEnd w:id="508"/>
            <w:bookmarkEnd w:id="509"/>
          </w:p>
        </w:tc>
        <w:tc>
          <w:tcPr>
            <w:tcW w:w="66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10" w:name="_Toc87801845"/>
            <w:bookmarkStart w:id="511" w:name="_Toc88521555"/>
            <w:r>
              <w:rPr>
                <w:rFonts w:ascii="Times New Roman" w:hAnsi="Times New Roman"/>
                <w:spacing w:val="0"/>
                <w:kern w:val="2"/>
                <w:sz w:val="21"/>
                <w:szCs w:val="21"/>
              </w:rPr>
              <w:t>0.30</w:t>
            </w:r>
            <w:bookmarkEnd w:id="510"/>
            <w:bookmarkEnd w:id="511"/>
          </w:p>
        </w:tc>
      </w:tr>
    </w:tbl>
    <w:p>
      <w:pPr>
        <w:ind w:firstLine="480"/>
        <w:contextualSpacing/>
      </w:pPr>
      <w:r>
        <w:t>各类污染源污染物入河量，根据污染物产生量乘以入河系数估算。根据《全国水环境容量核定技术指南》及其最新修订，点源污染源入河系数确定方法见表5.2.2-2，其中城镇生活污水减除污水处理厂实际削减量再乘以入河系数，非点源污染物入河系数在0.1～0.9选取。</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表5.2.2-2  点源污染源入河系数确定方法</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991"/>
        <w:gridCol w:w="1169"/>
        <w:gridCol w:w="1271"/>
        <w:gridCol w:w="1271"/>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16"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12" w:name="_Toc87801846"/>
            <w:bookmarkStart w:id="513" w:name="_Toc88521556"/>
            <w:r>
              <w:rPr>
                <w:rFonts w:ascii="Times New Roman" w:hAnsi="Times New Roman"/>
                <w:spacing w:val="0"/>
                <w:kern w:val="2"/>
                <w:sz w:val="21"/>
                <w:szCs w:val="21"/>
              </w:rPr>
              <w:t>排污口至河道距离L（km）</w:t>
            </w:r>
            <w:bookmarkEnd w:id="512"/>
            <w:bookmarkEnd w:id="513"/>
          </w:p>
        </w:tc>
        <w:tc>
          <w:tcPr>
            <w:tcW w:w="59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14" w:name="_Toc87801847"/>
            <w:bookmarkStart w:id="515" w:name="_Toc88521557"/>
            <w:r>
              <w:rPr>
                <w:rFonts w:ascii="Times New Roman" w:hAnsi="Times New Roman"/>
                <w:spacing w:val="0"/>
                <w:kern w:val="2"/>
                <w:sz w:val="21"/>
                <w:szCs w:val="21"/>
              </w:rPr>
              <w:t>L≤1</w:t>
            </w:r>
            <w:bookmarkEnd w:id="514"/>
            <w:bookmarkEnd w:id="515"/>
          </w:p>
        </w:tc>
        <w:tc>
          <w:tcPr>
            <w:tcW w:w="7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16" w:name="_Toc87801848"/>
            <w:bookmarkStart w:id="517" w:name="_Toc88521558"/>
            <w:r>
              <w:rPr>
                <w:rFonts w:ascii="Times New Roman" w:hAnsi="Times New Roman"/>
                <w:spacing w:val="0"/>
                <w:kern w:val="2"/>
                <w:sz w:val="21"/>
                <w:szCs w:val="21"/>
              </w:rPr>
              <w:t>1＜L≤10</w:t>
            </w:r>
            <w:bookmarkEnd w:id="516"/>
            <w:bookmarkEnd w:id="517"/>
          </w:p>
        </w:tc>
        <w:tc>
          <w:tcPr>
            <w:tcW w:w="76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18" w:name="_Toc87801849"/>
            <w:bookmarkStart w:id="519" w:name="_Toc88521559"/>
            <w:r>
              <w:rPr>
                <w:rFonts w:ascii="Times New Roman" w:hAnsi="Times New Roman"/>
                <w:spacing w:val="0"/>
                <w:kern w:val="2"/>
                <w:sz w:val="21"/>
                <w:szCs w:val="21"/>
              </w:rPr>
              <w:t>10＜L≤20</w:t>
            </w:r>
            <w:bookmarkEnd w:id="518"/>
            <w:bookmarkEnd w:id="519"/>
          </w:p>
        </w:tc>
        <w:tc>
          <w:tcPr>
            <w:tcW w:w="76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20" w:name="_Toc87801850"/>
            <w:bookmarkStart w:id="521" w:name="_Toc88521560"/>
            <w:r>
              <w:rPr>
                <w:rFonts w:ascii="Times New Roman" w:hAnsi="Times New Roman"/>
                <w:spacing w:val="0"/>
                <w:kern w:val="2"/>
                <w:sz w:val="21"/>
                <w:szCs w:val="21"/>
              </w:rPr>
              <w:t>20＜L≤40</w:t>
            </w:r>
            <w:bookmarkEnd w:id="520"/>
            <w:bookmarkEnd w:id="521"/>
          </w:p>
        </w:tc>
        <w:tc>
          <w:tcPr>
            <w:tcW w:w="56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22" w:name="_Toc88521561"/>
            <w:bookmarkStart w:id="523" w:name="_Toc87801851"/>
            <w:r>
              <w:rPr>
                <w:rFonts w:ascii="Times New Roman" w:hAnsi="Times New Roman"/>
                <w:spacing w:val="0"/>
                <w:kern w:val="2"/>
                <w:sz w:val="21"/>
                <w:szCs w:val="21"/>
              </w:rPr>
              <w:t>L＞40</w:t>
            </w:r>
            <w:bookmarkEnd w:id="522"/>
            <w:bookmarkEnd w:id="52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16"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24" w:name="_Toc88521562"/>
            <w:bookmarkStart w:id="525" w:name="_Toc87801852"/>
            <w:r>
              <w:rPr>
                <w:rFonts w:ascii="Times New Roman" w:hAnsi="Times New Roman"/>
                <w:spacing w:val="0"/>
                <w:kern w:val="2"/>
                <w:sz w:val="21"/>
                <w:szCs w:val="21"/>
              </w:rPr>
              <w:t>入河系数</w:t>
            </w:r>
            <w:bookmarkEnd w:id="524"/>
            <w:bookmarkEnd w:id="525"/>
          </w:p>
        </w:tc>
        <w:tc>
          <w:tcPr>
            <w:tcW w:w="59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26" w:name="_Toc88521563"/>
            <w:bookmarkStart w:id="527" w:name="_Toc87801853"/>
            <w:r>
              <w:rPr>
                <w:rFonts w:ascii="Times New Roman" w:hAnsi="Times New Roman"/>
                <w:spacing w:val="0"/>
                <w:kern w:val="2"/>
                <w:sz w:val="21"/>
                <w:szCs w:val="21"/>
              </w:rPr>
              <w:t>1.0</w:t>
            </w:r>
            <w:bookmarkEnd w:id="526"/>
            <w:bookmarkEnd w:id="527"/>
          </w:p>
        </w:tc>
        <w:tc>
          <w:tcPr>
            <w:tcW w:w="7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28" w:name="_Toc87801854"/>
            <w:bookmarkStart w:id="529" w:name="_Toc88521564"/>
            <w:r>
              <w:rPr>
                <w:rFonts w:ascii="Times New Roman" w:hAnsi="Times New Roman"/>
                <w:spacing w:val="0"/>
                <w:kern w:val="2"/>
                <w:sz w:val="21"/>
                <w:szCs w:val="21"/>
              </w:rPr>
              <w:t>0.9</w:t>
            </w:r>
            <w:bookmarkEnd w:id="528"/>
            <w:bookmarkEnd w:id="529"/>
          </w:p>
        </w:tc>
        <w:tc>
          <w:tcPr>
            <w:tcW w:w="76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30" w:name="_Toc88521565"/>
            <w:bookmarkStart w:id="531" w:name="_Toc87801855"/>
            <w:r>
              <w:rPr>
                <w:rFonts w:ascii="Times New Roman" w:hAnsi="Times New Roman"/>
                <w:spacing w:val="0"/>
                <w:kern w:val="2"/>
                <w:sz w:val="21"/>
                <w:szCs w:val="21"/>
              </w:rPr>
              <w:t>0.8</w:t>
            </w:r>
            <w:bookmarkEnd w:id="530"/>
            <w:bookmarkEnd w:id="531"/>
          </w:p>
        </w:tc>
        <w:tc>
          <w:tcPr>
            <w:tcW w:w="76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32" w:name="_Toc88521566"/>
            <w:bookmarkStart w:id="533" w:name="_Toc87801856"/>
            <w:r>
              <w:rPr>
                <w:rFonts w:ascii="Times New Roman" w:hAnsi="Times New Roman"/>
                <w:spacing w:val="0"/>
                <w:kern w:val="2"/>
                <w:sz w:val="21"/>
                <w:szCs w:val="21"/>
              </w:rPr>
              <w:t>0.7</w:t>
            </w:r>
            <w:bookmarkEnd w:id="532"/>
            <w:bookmarkEnd w:id="533"/>
          </w:p>
        </w:tc>
        <w:tc>
          <w:tcPr>
            <w:tcW w:w="56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34" w:name="_Toc87801857"/>
            <w:bookmarkStart w:id="535" w:name="_Toc88521567"/>
            <w:r>
              <w:rPr>
                <w:rFonts w:ascii="Times New Roman" w:hAnsi="Times New Roman"/>
                <w:spacing w:val="0"/>
                <w:kern w:val="2"/>
                <w:sz w:val="21"/>
                <w:szCs w:val="21"/>
              </w:rPr>
              <w:t>0.6</w:t>
            </w:r>
            <w:bookmarkEnd w:id="534"/>
            <w:bookmarkEnd w:id="535"/>
          </w:p>
        </w:tc>
      </w:tr>
    </w:tbl>
    <w:p>
      <w:pPr>
        <w:ind w:firstLine="480"/>
        <w:contextualSpacing/>
      </w:pPr>
      <w:r>
        <w:t>根据各村组人口，统计计算寒溪寺水库库区集雨面积内生活污水污染物年排放量为：COD71.37t、氨氮5.02t、总磷0.54t、总氮7.72t，详见表5.2.2-3。农村生活污水污染物入河系数取0.2，计算流域内生活污水污染物年入河量为：COD14.27t、氨氮1.0t、总磷0.10t、总氮1.54t，详见表5.2.2-4。</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表5.2.2-3  寒溪寺水库库区流域生活污水污染物排放量</w:t>
      </w:r>
    </w:p>
    <w:tbl>
      <w:tblPr>
        <w:tblStyle w:val="38"/>
        <w:tblW w:w="51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440"/>
        <w:gridCol w:w="1958"/>
        <w:gridCol w:w="1626"/>
        <w:gridCol w:w="1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6" w:hRule="atLeast"/>
          <w:jc w:val="center"/>
        </w:trPr>
        <w:tc>
          <w:tcPr>
            <w:tcW w:w="1262"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36" w:name="_Toc88521569"/>
            <w:bookmarkStart w:id="537" w:name="_Toc87801859"/>
            <w:r>
              <w:rPr>
                <w:rFonts w:ascii="Times New Roman" w:hAnsi="Times New Roman"/>
                <w:spacing w:val="0"/>
                <w:kern w:val="2"/>
                <w:sz w:val="21"/>
                <w:szCs w:val="21"/>
              </w:rPr>
              <w:t>污水排放量</w:t>
            </w:r>
            <w:bookmarkEnd w:id="536"/>
            <w:bookmarkEnd w:id="537"/>
          </w:p>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38" w:name="_Toc87801860"/>
            <w:bookmarkStart w:id="539" w:name="_Toc88521570"/>
            <w:r>
              <w:rPr>
                <w:rFonts w:ascii="Times New Roman" w:hAnsi="Times New Roman"/>
                <w:spacing w:val="0"/>
                <w:kern w:val="2"/>
                <w:sz w:val="21"/>
                <w:szCs w:val="21"/>
              </w:rPr>
              <w:t>万m</w:t>
            </w:r>
            <w:r>
              <w:rPr>
                <w:rFonts w:ascii="Times New Roman" w:hAnsi="Times New Roman"/>
                <w:spacing w:val="0"/>
                <w:kern w:val="2"/>
                <w:sz w:val="21"/>
                <w:szCs w:val="21"/>
                <w:vertAlign w:val="superscript"/>
              </w:rPr>
              <w:t>3</w:t>
            </w:r>
            <w:r>
              <w:rPr>
                <w:rFonts w:ascii="Times New Roman" w:hAnsi="Times New Roman"/>
                <w:spacing w:val="0"/>
                <w:kern w:val="2"/>
                <w:sz w:val="21"/>
                <w:szCs w:val="21"/>
              </w:rPr>
              <w:t>/a</w:t>
            </w:r>
            <w:bookmarkEnd w:id="538"/>
            <w:bookmarkEnd w:id="539"/>
          </w:p>
        </w:tc>
        <w:tc>
          <w:tcPr>
            <w:tcW w:w="3737"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40" w:name="_Toc88521571"/>
            <w:bookmarkStart w:id="541" w:name="_Toc87801861"/>
            <w:r>
              <w:rPr>
                <w:rFonts w:ascii="Times New Roman" w:hAnsi="Times New Roman"/>
                <w:spacing w:val="0"/>
                <w:kern w:val="2"/>
                <w:sz w:val="21"/>
                <w:szCs w:val="21"/>
              </w:rPr>
              <w:t>污染物排放量</w:t>
            </w:r>
            <w:bookmarkEnd w:id="540"/>
            <w:bookmarkEnd w:id="541"/>
          </w:p>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42" w:name="_Toc88521572"/>
            <w:bookmarkStart w:id="543" w:name="_Toc87801862"/>
            <w:r>
              <w:rPr>
                <w:rFonts w:ascii="Times New Roman" w:hAnsi="Times New Roman"/>
                <w:spacing w:val="0"/>
                <w:kern w:val="2"/>
                <w:sz w:val="21"/>
                <w:szCs w:val="21"/>
              </w:rPr>
              <w:t>t/a</w:t>
            </w:r>
            <w:bookmarkEnd w:id="542"/>
            <w:bookmarkEnd w:id="54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62"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81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44" w:name="_Toc88521573"/>
            <w:bookmarkStart w:id="545" w:name="_Toc87801863"/>
            <w:r>
              <w:rPr>
                <w:rFonts w:ascii="Times New Roman" w:hAnsi="Times New Roman"/>
                <w:spacing w:val="0"/>
                <w:kern w:val="2"/>
                <w:sz w:val="21"/>
                <w:szCs w:val="21"/>
              </w:rPr>
              <w:t>COD</w:t>
            </w:r>
            <w:bookmarkEnd w:id="544"/>
            <w:bookmarkEnd w:id="545"/>
          </w:p>
        </w:tc>
        <w:tc>
          <w:tcPr>
            <w:tcW w:w="11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46" w:name="_Toc88521574"/>
            <w:bookmarkStart w:id="547" w:name="_Toc87801864"/>
            <w:r>
              <w:rPr>
                <w:rFonts w:ascii="Times New Roman" w:hAnsi="Times New Roman"/>
                <w:spacing w:val="0"/>
                <w:kern w:val="2"/>
                <w:sz w:val="21"/>
                <w:szCs w:val="21"/>
              </w:rPr>
              <w:t>氨氮</w:t>
            </w:r>
            <w:bookmarkEnd w:id="546"/>
            <w:bookmarkEnd w:id="547"/>
          </w:p>
        </w:tc>
        <w:tc>
          <w:tcPr>
            <w:tcW w:w="92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48" w:name="_Toc88521575"/>
            <w:bookmarkStart w:id="549" w:name="_Toc87801865"/>
            <w:r>
              <w:rPr>
                <w:rFonts w:ascii="Times New Roman" w:hAnsi="Times New Roman"/>
                <w:spacing w:val="0"/>
                <w:kern w:val="2"/>
                <w:sz w:val="21"/>
                <w:szCs w:val="21"/>
              </w:rPr>
              <w:t>总氮</w:t>
            </w:r>
            <w:bookmarkEnd w:id="548"/>
            <w:bookmarkEnd w:id="549"/>
          </w:p>
        </w:tc>
        <w:tc>
          <w:tcPr>
            <w:tcW w:w="89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0" w:name="_Toc87801866"/>
            <w:bookmarkStart w:id="551" w:name="_Toc88521576"/>
            <w:r>
              <w:rPr>
                <w:rFonts w:ascii="Times New Roman" w:hAnsi="Times New Roman"/>
                <w:spacing w:val="0"/>
                <w:kern w:val="2"/>
                <w:sz w:val="21"/>
                <w:szCs w:val="21"/>
              </w:rPr>
              <w:t>总磷</w:t>
            </w:r>
            <w:bookmarkEnd w:id="550"/>
            <w:bookmarkEnd w:id="55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26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2" w:name="_Toc88521590"/>
            <w:r>
              <w:rPr>
                <w:rFonts w:ascii="Times New Roman" w:hAnsi="Times New Roman"/>
                <w:sz w:val="21"/>
                <w:szCs w:val="21"/>
              </w:rPr>
              <w:t>7.36</w:t>
            </w:r>
            <w:bookmarkEnd w:id="552"/>
          </w:p>
        </w:tc>
        <w:tc>
          <w:tcPr>
            <w:tcW w:w="81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3" w:name="_Toc88521591"/>
            <w:r>
              <w:rPr>
                <w:rFonts w:ascii="Times New Roman" w:hAnsi="Times New Roman"/>
                <w:sz w:val="21"/>
                <w:szCs w:val="21"/>
              </w:rPr>
              <w:t>71.37</w:t>
            </w:r>
            <w:bookmarkEnd w:id="553"/>
          </w:p>
        </w:tc>
        <w:tc>
          <w:tcPr>
            <w:tcW w:w="11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4" w:name="_Toc88521592"/>
            <w:r>
              <w:rPr>
                <w:rFonts w:ascii="Times New Roman" w:hAnsi="Times New Roman"/>
                <w:sz w:val="21"/>
                <w:szCs w:val="21"/>
              </w:rPr>
              <w:t>5.02</w:t>
            </w:r>
            <w:bookmarkEnd w:id="554"/>
          </w:p>
        </w:tc>
        <w:tc>
          <w:tcPr>
            <w:tcW w:w="92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5" w:name="_Toc88521593"/>
            <w:r>
              <w:rPr>
                <w:rFonts w:ascii="Times New Roman" w:hAnsi="Times New Roman"/>
                <w:sz w:val="21"/>
                <w:szCs w:val="21"/>
              </w:rPr>
              <w:t>7.72</w:t>
            </w:r>
            <w:bookmarkEnd w:id="555"/>
          </w:p>
        </w:tc>
        <w:tc>
          <w:tcPr>
            <w:tcW w:w="89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6" w:name="_Toc88521594"/>
            <w:r>
              <w:rPr>
                <w:rFonts w:ascii="Times New Roman" w:hAnsi="Times New Roman"/>
                <w:sz w:val="21"/>
                <w:szCs w:val="21"/>
              </w:rPr>
              <w:t>0.54</w:t>
            </w:r>
            <w:bookmarkEnd w:id="556"/>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表5.2.2-4  寒溪寺水库库区流域生活污水污染物入河量</w:t>
      </w:r>
    </w:p>
    <w:tbl>
      <w:tblPr>
        <w:tblStyle w:val="38"/>
        <w:tblW w:w="51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6"/>
        <w:gridCol w:w="1414"/>
        <w:gridCol w:w="1962"/>
        <w:gridCol w:w="1483"/>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270"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7" w:name="_Toc87801886"/>
            <w:bookmarkStart w:id="558" w:name="_Toc88521596"/>
            <w:r>
              <w:rPr>
                <w:rFonts w:ascii="Times New Roman" w:hAnsi="Times New Roman"/>
                <w:spacing w:val="0"/>
                <w:kern w:val="2"/>
                <w:sz w:val="21"/>
                <w:szCs w:val="21"/>
              </w:rPr>
              <w:t>污水入河量</w:t>
            </w:r>
            <w:bookmarkEnd w:id="557"/>
            <w:bookmarkEnd w:id="558"/>
          </w:p>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59" w:name="_Toc88521597"/>
            <w:bookmarkStart w:id="560" w:name="_Toc87801887"/>
            <w:r>
              <w:rPr>
                <w:rFonts w:ascii="Times New Roman" w:hAnsi="Times New Roman"/>
                <w:spacing w:val="0"/>
                <w:kern w:val="2"/>
                <w:sz w:val="21"/>
                <w:szCs w:val="21"/>
              </w:rPr>
              <w:t>万m</w:t>
            </w:r>
            <w:r>
              <w:rPr>
                <w:rFonts w:ascii="Times New Roman" w:hAnsi="Times New Roman"/>
                <w:spacing w:val="0"/>
                <w:kern w:val="2"/>
                <w:sz w:val="21"/>
                <w:szCs w:val="21"/>
                <w:vertAlign w:val="superscript"/>
              </w:rPr>
              <w:t>3</w:t>
            </w:r>
            <w:r>
              <w:rPr>
                <w:rFonts w:ascii="Times New Roman" w:hAnsi="Times New Roman"/>
                <w:spacing w:val="0"/>
                <w:kern w:val="2"/>
                <w:sz w:val="21"/>
                <w:szCs w:val="21"/>
              </w:rPr>
              <w:t>/a</w:t>
            </w:r>
            <w:bookmarkEnd w:id="559"/>
            <w:bookmarkEnd w:id="560"/>
          </w:p>
        </w:tc>
        <w:tc>
          <w:tcPr>
            <w:tcW w:w="3729"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61" w:name="_Toc88521598"/>
            <w:bookmarkStart w:id="562" w:name="_Toc87801888"/>
            <w:r>
              <w:rPr>
                <w:rFonts w:ascii="Times New Roman" w:hAnsi="Times New Roman"/>
                <w:spacing w:val="0"/>
                <w:kern w:val="2"/>
                <w:sz w:val="21"/>
                <w:szCs w:val="21"/>
              </w:rPr>
              <w:t>污染物入河量</w:t>
            </w:r>
            <w:bookmarkEnd w:id="561"/>
            <w:bookmarkEnd w:id="562"/>
          </w:p>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63" w:name="_Toc87801889"/>
            <w:bookmarkStart w:id="564" w:name="_Toc88521599"/>
            <w:r>
              <w:rPr>
                <w:rFonts w:ascii="Times New Roman" w:hAnsi="Times New Roman"/>
                <w:spacing w:val="0"/>
                <w:kern w:val="2"/>
                <w:sz w:val="21"/>
                <w:szCs w:val="21"/>
              </w:rPr>
              <w:t>t/a</w:t>
            </w:r>
            <w:bookmarkEnd w:id="563"/>
            <w:bookmarkEnd w:id="56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1270" w:type="pct"/>
            <w:vMerge w:val="continue"/>
            <w:vAlign w:val="center"/>
          </w:tcPr>
          <w:p>
            <w:pPr>
              <w:spacing w:line="240" w:lineRule="auto"/>
              <w:ind w:firstLine="0" w:firstLineChars="0"/>
              <w:contextualSpacing/>
              <w:rPr>
                <w:highlight w:val="yellow"/>
              </w:rPr>
            </w:pPr>
          </w:p>
        </w:tc>
        <w:tc>
          <w:tcPr>
            <w:tcW w:w="8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65" w:name="_Toc87801890"/>
            <w:bookmarkStart w:id="566" w:name="_Toc88521600"/>
            <w:r>
              <w:rPr>
                <w:rFonts w:ascii="Times New Roman" w:hAnsi="Times New Roman"/>
                <w:spacing w:val="0"/>
                <w:kern w:val="2"/>
                <w:sz w:val="21"/>
                <w:szCs w:val="21"/>
              </w:rPr>
              <w:t>COD</w:t>
            </w:r>
            <w:bookmarkEnd w:id="565"/>
            <w:bookmarkEnd w:id="566"/>
          </w:p>
        </w:tc>
        <w:tc>
          <w:tcPr>
            <w:tcW w:w="111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67" w:name="_Toc88521601"/>
            <w:bookmarkStart w:id="568" w:name="_Toc87801891"/>
            <w:r>
              <w:rPr>
                <w:rFonts w:ascii="Times New Roman" w:hAnsi="Times New Roman"/>
                <w:spacing w:val="0"/>
                <w:kern w:val="2"/>
                <w:sz w:val="21"/>
                <w:szCs w:val="21"/>
              </w:rPr>
              <w:t>氨氮</w:t>
            </w:r>
            <w:bookmarkEnd w:id="567"/>
            <w:bookmarkEnd w:id="568"/>
          </w:p>
        </w:tc>
        <w:tc>
          <w:tcPr>
            <w:tcW w:w="83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69" w:name="_Toc88521602"/>
            <w:bookmarkStart w:id="570" w:name="_Toc87801892"/>
            <w:r>
              <w:rPr>
                <w:rFonts w:ascii="Times New Roman" w:hAnsi="Times New Roman"/>
                <w:spacing w:val="0"/>
                <w:kern w:val="2"/>
                <w:sz w:val="21"/>
                <w:szCs w:val="21"/>
              </w:rPr>
              <w:t>总氮</w:t>
            </w:r>
            <w:bookmarkEnd w:id="569"/>
            <w:bookmarkEnd w:id="570"/>
          </w:p>
        </w:tc>
        <w:tc>
          <w:tcPr>
            <w:tcW w:w="97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71" w:name="_Toc87801893"/>
            <w:bookmarkStart w:id="572" w:name="_Toc88521603"/>
            <w:r>
              <w:rPr>
                <w:rFonts w:ascii="Times New Roman" w:hAnsi="Times New Roman"/>
                <w:spacing w:val="0"/>
                <w:kern w:val="2"/>
                <w:sz w:val="21"/>
                <w:szCs w:val="21"/>
              </w:rPr>
              <w:t>总磷</w:t>
            </w:r>
            <w:bookmarkEnd w:id="571"/>
            <w:bookmarkEnd w:id="57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 w:hRule="atLeast"/>
          <w:jc w:val="center"/>
        </w:trPr>
        <w:tc>
          <w:tcPr>
            <w:tcW w:w="1270" w:type="pct"/>
            <w:vAlign w:val="center"/>
          </w:tcPr>
          <w:p>
            <w:pPr>
              <w:widowControl/>
              <w:spacing w:line="240" w:lineRule="auto"/>
              <w:ind w:firstLine="0" w:firstLineChars="0"/>
              <w:contextualSpacing/>
              <w:jc w:val="center"/>
              <w:textAlignment w:val="center"/>
              <w:rPr>
                <w:sz w:val="21"/>
              </w:rPr>
            </w:pPr>
            <w:r>
              <w:rPr>
                <w:sz w:val="21"/>
                <w:szCs w:val="21"/>
              </w:rPr>
              <w:t xml:space="preserve">1.48 </w:t>
            </w:r>
          </w:p>
        </w:tc>
        <w:tc>
          <w:tcPr>
            <w:tcW w:w="800" w:type="pct"/>
            <w:vAlign w:val="center"/>
          </w:tcPr>
          <w:p>
            <w:pPr>
              <w:widowControl/>
              <w:spacing w:line="240" w:lineRule="auto"/>
              <w:ind w:firstLine="0" w:firstLineChars="0"/>
              <w:contextualSpacing/>
              <w:jc w:val="center"/>
              <w:textAlignment w:val="center"/>
              <w:rPr>
                <w:sz w:val="21"/>
              </w:rPr>
            </w:pPr>
            <w:r>
              <w:rPr>
                <w:sz w:val="21"/>
                <w:szCs w:val="21"/>
              </w:rPr>
              <w:t xml:space="preserve">14.27 </w:t>
            </w:r>
          </w:p>
        </w:tc>
        <w:tc>
          <w:tcPr>
            <w:tcW w:w="1110" w:type="pct"/>
            <w:vAlign w:val="center"/>
          </w:tcPr>
          <w:p>
            <w:pPr>
              <w:widowControl/>
              <w:spacing w:line="240" w:lineRule="auto"/>
              <w:ind w:firstLine="0" w:firstLineChars="0"/>
              <w:contextualSpacing/>
              <w:jc w:val="center"/>
              <w:textAlignment w:val="center"/>
              <w:rPr>
                <w:sz w:val="21"/>
              </w:rPr>
            </w:pPr>
            <w:r>
              <w:rPr>
                <w:sz w:val="21"/>
                <w:szCs w:val="21"/>
              </w:rPr>
              <w:t xml:space="preserve">1.00 </w:t>
            </w:r>
          </w:p>
        </w:tc>
        <w:tc>
          <w:tcPr>
            <w:tcW w:w="839" w:type="pct"/>
            <w:vAlign w:val="center"/>
          </w:tcPr>
          <w:p>
            <w:pPr>
              <w:widowControl/>
              <w:spacing w:line="240" w:lineRule="auto"/>
              <w:ind w:firstLine="0" w:firstLineChars="0"/>
              <w:contextualSpacing/>
              <w:jc w:val="center"/>
              <w:textAlignment w:val="center"/>
              <w:rPr>
                <w:sz w:val="21"/>
              </w:rPr>
            </w:pPr>
            <w:r>
              <w:rPr>
                <w:sz w:val="21"/>
                <w:szCs w:val="21"/>
              </w:rPr>
              <w:t xml:space="preserve">1.54 </w:t>
            </w:r>
          </w:p>
        </w:tc>
        <w:tc>
          <w:tcPr>
            <w:tcW w:w="978" w:type="pct"/>
            <w:vAlign w:val="center"/>
          </w:tcPr>
          <w:p>
            <w:pPr>
              <w:widowControl/>
              <w:spacing w:line="240" w:lineRule="auto"/>
              <w:ind w:firstLine="0" w:firstLineChars="0"/>
              <w:contextualSpacing/>
              <w:jc w:val="center"/>
              <w:textAlignment w:val="center"/>
              <w:rPr>
                <w:sz w:val="21"/>
              </w:rPr>
            </w:pPr>
            <w:r>
              <w:rPr>
                <w:sz w:val="21"/>
                <w:szCs w:val="21"/>
              </w:rPr>
              <w:t xml:space="preserve">0.10 </w:t>
            </w:r>
          </w:p>
        </w:tc>
      </w:tr>
    </w:tbl>
    <w:p>
      <w:pPr>
        <w:ind w:firstLine="480"/>
        <w:contextualSpacing/>
      </w:pPr>
      <w:r>
        <w:rPr>
          <w:rFonts w:hint="eastAsia" w:ascii="宋体" w:hAnsi="宋体" w:cs="宋体"/>
        </w:rPr>
        <w:t>②</w:t>
      </w:r>
      <w:r>
        <w:t>畜禽养殖污染源</w:t>
      </w:r>
    </w:p>
    <w:p>
      <w:pPr>
        <w:ind w:firstLine="480"/>
        <w:contextualSpacing/>
      </w:pPr>
      <w:r>
        <w:t>根据调查，目前寒溪寺水库库区流域规模化及非规模化养殖各类家禽（鸡、鸭、鹅）约6362只，生猪839头、肉牛11头。预测水平年考虑畜禽养殖污染源与现状保持同一水平，根据各村组畜禽养殖量，统计计算寒溪寺水库库区流域畜禽养殖污水污染物年排放量为COD86.93t、氨氮1.20t、总磷1.09t、总氮4.23t，各镇污染物排放量详见表5.2.2-6，畜禽养殖污染物入河系数取0.4，计算流域内畜禽养殖污水污染物年入河量为：COD34.77t、氨氮0.48t、总磷0.44t、总氮1.69t，各镇污染物入河量详见表5.2.2-7。</w:t>
      </w:r>
    </w:p>
    <w:p>
      <w:pPr>
        <w:ind w:firstLine="480"/>
        <w:contextualSpacing/>
      </w:pPr>
      <w:r>
        <w:t>根据调查，寒溪寺水库库区集雨面积内畜禽养殖主要为非规模的养殖专业户以及散养户。养殖品种以猪、鸡、鸭为主，此外还有少量羊、牛养殖户。部分养殖场有化粪池、沼气池等处置措施，大部分简易存贮后外运，基本都在本流域内消纳。由于大部分畜禽养殖场没有集中的污水排口，也缺乏排水监测数据，因此畜禽养殖污染源的特征污染物排放量采用排污系数法估算，公式如下：</w:t>
      </w:r>
    </w:p>
    <w:p>
      <w:pPr>
        <w:spacing w:line="460" w:lineRule="exact"/>
        <w:ind w:firstLine="480"/>
        <w:contextualSpacing/>
        <w:jc w:val="center"/>
      </w:pPr>
      <w:r>
        <w:rPr>
          <w:i/>
        </w:rPr>
        <w:t>W</w:t>
      </w:r>
      <w:r>
        <w:rPr>
          <w:i/>
          <w:vertAlign w:val="subscript"/>
        </w:rPr>
        <w:t>畜禽</w:t>
      </w:r>
      <w:r>
        <w:rPr>
          <w:i/>
        </w:rPr>
        <w:t>=N</w:t>
      </w:r>
      <w:r>
        <w:rPr>
          <w:i/>
          <w:vertAlign w:val="subscript"/>
        </w:rPr>
        <w:t>畜禽</w:t>
      </w:r>
      <w:r>
        <w:rPr>
          <w:i/>
        </w:rPr>
        <w:t>×α</w:t>
      </w:r>
      <w:r>
        <w:rPr>
          <w:i/>
          <w:vertAlign w:val="subscript"/>
        </w:rPr>
        <w:t>2</w:t>
      </w:r>
    </w:p>
    <w:p>
      <w:pPr>
        <w:ind w:firstLine="480"/>
        <w:contextualSpacing/>
      </w:pPr>
      <w:r>
        <w:t>式中：</w:t>
      </w:r>
    </w:p>
    <w:p>
      <w:pPr>
        <w:ind w:firstLine="480"/>
        <w:contextualSpacing/>
      </w:pPr>
      <w:r>
        <w:rPr>
          <w:i/>
        </w:rPr>
        <w:t>W</w:t>
      </w:r>
      <w:r>
        <w:rPr>
          <w:i/>
          <w:vertAlign w:val="subscript"/>
        </w:rPr>
        <w:t>畜禽</w:t>
      </w:r>
      <w:r>
        <w:t>——畜禽养殖污染源特征污染物排放量，kg/a；</w:t>
      </w:r>
    </w:p>
    <w:p>
      <w:pPr>
        <w:ind w:firstLine="480"/>
        <w:contextualSpacing/>
      </w:pPr>
      <w:r>
        <w:rPr>
          <w:i/>
        </w:rPr>
        <w:t>N</w:t>
      </w:r>
      <w:r>
        <w:rPr>
          <w:i/>
          <w:vertAlign w:val="subscript"/>
        </w:rPr>
        <w:t>畜禽</w:t>
      </w:r>
      <w:r>
        <w:t>——某种畜禽年养殖量，头（只）；</w:t>
      </w:r>
    </w:p>
    <w:p>
      <w:pPr>
        <w:ind w:firstLine="480"/>
        <w:contextualSpacing/>
      </w:pPr>
      <w:r>
        <w:rPr>
          <w:i/>
        </w:rPr>
        <w:t>α</w:t>
      </w:r>
      <w:r>
        <w:rPr>
          <w:i/>
          <w:vertAlign w:val="subscript"/>
        </w:rPr>
        <w:t>2</w:t>
      </w:r>
      <w:r>
        <w:t>——排污系数，g/（头.年）或g/（只.年）；</w:t>
      </w:r>
    </w:p>
    <w:p>
      <w:pPr>
        <w:ind w:firstLine="480"/>
        <w:contextualSpacing/>
      </w:pPr>
      <w:r>
        <w:t>本项目畜禽养殖污染源排污系数参考《第二次全国污染源普查农业污染源产排污系数手册》中表3畜禽养殖户产污系数表，具体取值见表5.2.2-5。</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表5.2.2-5  畜禽养殖污染源排污系数取值</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1287"/>
        <w:gridCol w:w="1307"/>
        <w:gridCol w:w="1307"/>
        <w:gridCol w:w="1307"/>
        <w:gridCol w:w="1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73" w:name="_Toc87801897"/>
            <w:bookmarkStart w:id="574" w:name="_Toc88521607"/>
            <w:r>
              <w:rPr>
                <w:rFonts w:ascii="Times New Roman" w:hAnsi="Times New Roman"/>
                <w:spacing w:val="0"/>
                <w:kern w:val="2"/>
                <w:sz w:val="21"/>
                <w:szCs w:val="21"/>
              </w:rPr>
              <w:t>养殖品种</w:t>
            </w:r>
            <w:bookmarkEnd w:id="573"/>
            <w:bookmarkEnd w:id="574"/>
          </w:p>
        </w:tc>
        <w:tc>
          <w:tcPr>
            <w:tcW w:w="7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75" w:name="_Toc87801898"/>
            <w:bookmarkStart w:id="576" w:name="_Toc88521608"/>
            <w:r>
              <w:rPr>
                <w:rFonts w:ascii="Times New Roman" w:hAnsi="Times New Roman"/>
                <w:spacing w:val="0"/>
                <w:kern w:val="2"/>
                <w:sz w:val="21"/>
                <w:szCs w:val="21"/>
              </w:rPr>
              <w:t>单位</w:t>
            </w:r>
            <w:bookmarkEnd w:id="575"/>
            <w:bookmarkEnd w:id="576"/>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77" w:name="_Toc87801899"/>
            <w:bookmarkStart w:id="578" w:name="_Toc88521609"/>
            <w:r>
              <w:rPr>
                <w:rFonts w:ascii="Times New Roman" w:hAnsi="Times New Roman"/>
                <w:spacing w:val="0"/>
                <w:kern w:val="2"/>
                <w:sz w:val="21"/>
                <w:szCs w:val="21"/>
              </w:rPr>
              <w:t>COD</w:t>
            </w:r>
            <w:bookmarkEnd w:id="577"/>
            <w:bookmarkEnd w:id="578"/>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79" w:name="_Toc88521610"/>
            <w:bookmarkStart w:id="580" w:name="_Toc87801900"/>
            <w:r>
              <w:rPr>
                <w:rFonts w:ascii="Times New Roman" w:hAnsi="Times New Roman"/>
                <w:spacing w:val="0"/>
                <w:kern w:val="2"/>
                <w:sz w:val="21"/>
                <w:szCs w:val="21"/>
              </w:rPr>
              <w:t>氨氮</w:t>
            </w:r>
            <w:bookmarkEnd w:id="579"/>
            <w:bookmarkEnd w:id="580"/>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81" w:name="_Toc88521611"/>
            <w:bookmarkStart w:id="582" w:name="_Toc87801901"/>
            <w:r>
              <w:rPr>
                <w:rFonts w:ascii="Times New Roman" w:hAnsi="Times New Roman"/>
                <w:spacing w:val="0"/>
                <w:kern w:val="2"/>
                <w:sz w:val="21"/>
                <w:szCs w:val="21"/>
              </w:rPr>
              <w:t>总氮</w:t>
            </w:r>
            <w:bookmarkEnd w:id="581"/>
            <w:bookmarkEnd w:id="582"/>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83" w:name="_Toc88521612"/>
            <w:r>
              <w:rPr>
                <w:rFonts w:ascii="Times New Roman" w:hAnsi="Times New Roman"/>
                <w:spacing w:val="0"/>
                <w:kern w:val="2"/>
                <w:sz w:val="21"/>
                <w:szCs w:val="21"/>
              </w:rPr>
              <w:t>氨氮</w:t>
            </w:r>
            <w:bookmarkEnd w:id="58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84" w:name="_Toc88521613"/>
            <w:bookmarkStart w:id="585" w:name="_Toc87801903"/>
            <w:r>
              <w:rPr>
                <w:rFonts w:ascii="Times New Roman" w:hAnsi="Times New Roman"/>
                <w:spacing w:val="0"/>
                <w:kern w:val="2"/>
                <w:sz w:val="21"/>
                <w:szCs w:val="21"/>
              </w:rPr>
              <w:t>肉鸡</w:t>
            </w:r>
            <w:bookmarkEnd w:id="584"/>
            <w:bookmarkEnd w:id="585"/>
          </w:p>
        </w:tc>
        <w:tc>
          <w:tcPr>
            <w:tcW w:w="7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86" w:name="_Toc87801904"/>
            <w:bookmarkStart w:id="587" w:name="_Toc88521614"/>
            <w:r>
              <w:rPr>
                <w:rFonts w:ascii="Times New Roman" w:hAnsi="Times New Roman"/>
                <w:spacing w:val="0"/>
                <w:kern w:val="2"/>
                <w:sz w:val="21"/>
                <w:szCs w:val="21"/>
              </w:rPr>
              <w:t>kg/（只.年）</w:t>
            </w:r>
            <w:bookmarkEnd w:id="586"/>
            <w:bookmarkEnd w:id="587"/>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88" w:name="_Toc88521615"/>
            <w:bookmarkStart w:id="589" w:name="_Toc87801905"/>
            <w:r>
              <w:rPr>
                <w:rFonts w:ascii="Times New Roman" w:hAnsi="Times New Roman"/>
                <w:spacing w:val="0"/>
                <w:kern w:val="2"/>
                <w:sz w:val="21"/>
                <w:szCs w:val="21"/>
              </w:rPr>
              <w:t>2.4</w:t>
            </w:r>
            <w:bookmarkEnd w:id="588"/>
            <w:bookmarkEnd w:id="589"/>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90" w:name="_Toc88521616"/>
            <w:bookmarkStart w:id="591" w:name="_Toc87801906"/>
            <w:r>
              <w:rPr>
                <w:rFonts w:ascii="Times New Roman" w:hAnsi="Times New Roman"/>
                <w:spacing w:val="0"/>
                <w:kern w:val="2"/>
                <w:sz w:val="21"/>
                <w:szCs w:val="21"/>
              </w:rPr>
              <w:t>0.01</w:t>
            </w:r>
            <w:bookmarkEnd w:id="590"/>
            <w:bookmarkEnd w:id="591"/>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92" w:name="_Toc88521617"/>
            <w:bookmarkStart w:id="593" w:name="_Toc87801907"/>
            <w:r>
              <w:rPr>
                <w:rFonts w:ascii="Times New Roman" w:hAnsi="Times New Roman"/>
                <w:spacing w:val="0"/>
                <w:kern w:val="2"/>
                <w:sz w:val="21"/>
                <w:szCs w:val="21"/>
              </w:rPr>
              <w:t>0.1</w:t>
            </w:r>
            <w:bookmarkEnd w:id="592"/>
            <w:bookmarkEnd w:id="593"/>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94" w:name="_Toc87801908"/>
            <w:bookmarkStart w:id="595" w:name="_Toc88521618"/>
            <w:r>
              <w:rPr>
                <w:rFonts w:ascii="Times New Roman" w:hAnsi="Times New Roman"/>
                <w:spacing w:val="0"/>
                <w:kern w:val="2"/>
                <w:sz w:val="21"/>
                <w:szCs w:val="21"/>
              </w:rPr>
              <w:t>0.03</w:t>
            </w:r>
            <w:bookmarkEnd w:id="594"/>
            <w:bookmarkEnd w:id="59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96" w:name="_Toc88521619"/>
            <w:bookmarkStart w:id="597" w:name="_Toc87801909"/>
            <w:r>
              <w:rPr>
                <w:rFonts w:ascii="Times New Roman" w:hAnsi="Times New Roman"/>
                <w:spacing w:val="0"/>
                <w:kern w:val="2"/>
                <w:sz w:val="21"/>
                <w:szCs w:val="21"/>
              </w:rPr>
              <w:t>蛋鸡</w:t>
            </w:r>
            <w:bookmarkEnd w:id="596"/>
            <w:bookmarkEnd w:id="597"/>
          </w:p>
        </w:tc>
        <w:tc>
          <w:tcPr>
            <w:tcW w:w="7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598" w:name="_Toc88521620"/>
            <w:bookmarkStart w:id="599" w:name="_Toc87801910"/>
            <w:r>
              <w:rPr>
                <w:rFonts w:ascii="Times New Roman" w:hAnsi="Times New Roman"/>
                <w:spacing w:val="0"/>
                <w:kern w:val="2"/>
                <w:sz w:val="21"/>
                <w:szCs w:val="21"/>
              </w:rPr>
              <w:t>kg/（只.年）</w:t>
            </w:r>
            <w:bookmarkEnd w:id="598"/>
            <w:bookmarkEnd w:id="599"/>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00" w:name="_Toc87801911"/>
            <w:bookmarkStart w:id="601" w:name="_Toc88521621"/>
            <w:r>
              <w:rPr>
                <w:rFonts w:ascii="Times New Roman" w:hAnsi="Times New Roman"/>
                <w:spacing w:val="0"/>
                <w:kern w:val="2"/>
                <w:sz w:val="21"/>
                <w:szCs w:val="21"/>
              </w:rPr>
              <w:t>9.1</w:t>
            </w:r>
            <w:bookmarkEnd w:id="600"/>
            <w:bookmarkEnd w:id="601"/>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02" w:name="_Toc87801912"/>
            <w:bookmarkStart w:id="603" w:name="_Toc88521622"/>
            <w:r>
              <w:rPr>
                <w:rFonts w:ascii="Times New Roman" w:hAnsi="Times New Roman"/>
                <w:spacing w:val="0"/>
                <w:kern w:val="2"/>
                <w:sz w:val="21"/>
                <w:szCs w:val="21"/>
              </w:rPr>
              <w:t>0.1</w:t>
            </w:r>
            <w:bookmarkEnd w:id="602"/>
            <w:bookmarkEnd w:id="603"/>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04" w:name="_Toc88521623"/>
            <w:bookmarkStart w:id="605" w:name="_Toc87801913"/>
            <w:r>
              <w:rPr>
                <w:rFonts w:ascii="Times New Roman" w:hAnsi="Times New Roman"/>
                <w:spacing w:val="0"/>
                <w:kern w:val="2"/>
                <w:sz w:val="21"/>
                <w:szCs w:val="21"/>
              </w:rPr>
              <w:t>0.4</w:t>
            </w:r>
            <w:bookmarkEnd w:id="604"/>
            <w:bookmarkEnd w:id="605"/>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06" w:name="_Toc87801914"/>
            <w:bookmarkStart w:id="607" w:name="_Toc88521624"/>
            <w:r>
              <w:rPr>
                <w:rFonts w:ascii="Times New Roman" w:hAnsi="Times New Roman"/>
                <w:spacing w:val="0"/>
                <w:kern w:val="2"/>
                <w:sz w:val="21"/>
                <w:szCs w:val="21"/>
              </w:rPr>
              <w:t>0.1</w:t>
            </w:r>
            <w:bookmarkEnd w:id="606"/>
            <w:bookmarkEnd w:id="60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08" w:name="_Toc87801915"/>
            <w:bookmarkStart w:id="609" w:name="_Toc88521625"/>
            <w:r>
              <w:rPr>
                <w:rFonts w:ascii="Times New Roman" w:hAnsi="Times New Roman"/>
                <w:spacing w:val="0"/>
                <w:kern w:val="2"/>
                <w:sz w:val="21"/>
                <w:szCs w:val="21"/>
              </w:rPr>
              <w:t>生猪</w:t>
            </w:r>
            <w:bookmarkEnd w:id="608"/>
            <w:bookmarkEnd w:id="609"/>
          </w:p>
        </w:tc>
        <w:tc>
          <w:tcPr>
            <w:tcW w:w="7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10" w:name="_Toc87801916"/>
            <w:bookmarkStart w:id="611" w:name="_Toc88521626"/>
            <w:r>
              <w:rPr>
                <w:rFonts w:ascii="Times New Roman" w:hAnsi="Times New Roman"/>
                <w:spacing w:val="0"/>
                <w:kern w:val="2"/>
                <w:sz w:val="21"/>
                <w:szCs w:val="21"/>
              </w:rPr>
              <w:t>kg/（头.年）</w:t>
            </w:r>
            <w:bookmarkEnd w:id="610"/>
            <w:bookmarkEnd w:id="611"/>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12" w:name="_Toc88521627"/>
            <w:bookmarkStart w:id="613" w:name="_Toc87801917"/>
            <w:r>
              <w:rPr>
                <w:rFonts w:ascii="Times New Roman" w:hAnsi="Times New Roman"/>
                <w:spacing w:val="0"/>
                <w:kern w:val="2"/>
                <w:sz w:val="21"/>
                <w:szCs w:val="21"/>
              </w:rPr>
              <w:t>49.4</w:t>
            </w:r>
            <w:bookmarkEnd w:id="612"/>
            <w:bookmarkEnd w:id="613"/>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14" w:name="_Toc87801918"/>
            <w:bookmarkStart w:id="615" w:name="_Toc88521628"/>
            <w:r>
              <w:rPr>
                <w:rFonts w:ascii="Times New Roman" w:hAnsi="Times New Roman"/>
                <w:spacing w:val="0"/>
                <w:kern w:val="2"/>
                <w:sz w:val="21"/>
                <w:szCs w:val="21"/>
              </w:rPr>
              <w:t>0.6</w:t>
            </w:r>
            <w:bookmarkEnd w:id="614"/>
            <w:bookmarkEnd w:id="615"/>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16" w:name="_Toc87801919"/>
            <w:bookmarkStart w:id="617" w:name="_Toc88521629"/>
            <w:r>
              <w:rPr>
                <w:rFonts w:ascii="Times New Roman" w:hAnsi="Times New Roman"/>
                <w:spacing w:val="0"/>
                <w:kern w:val="2"/>
                <w:sz w:val="21"/>
                <w:szCs w:val="21"/>
              </w:rPr>
              <w:t>4.6</w:t>
            </w:r>
            <w:bookmarkEnd w:id="616"/>
            <w:bookmarkEnd w:id="617"/>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18" w:name="_Toc88521630"/>
            <w:bookmarkStart w:id="619" w:name="_Toc87801920"/>
            <w:r>
              <w:rPr>
                <w:rFonts w:ascii="Times New Roman" w:hAnsi="Times New Roman"/>
                <w:spacing w:val="0"/>
                <w:kern w:val="2"/>
                <w:sz w:val="21"/>
                <w:szCs w:val="21"/>
              </w:rPr>
              <w:t>0.7</w:t>
            </w:r>
            <w:bookmarkEnd w:id="618"/>
            <w:bookmarkEnd w:id="61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20" w:name="_Toc87801921"/>
            <w:bookmarkStart w:id="621" w:name="_Toc88521631"/>
            <w:r>
              <w:rPr>
                <w:rFonts w:ascii="Times New Roman" w:hAnsi="Times New Roman"/>
                <w:spacing w:val="0"/>
                <w:kern w:val="2"/>
                <w:sz w:val="21"/>
                <w:szCs w:val="21"/>
              </w:rPr>
              <w:t>肉牛</w:t>
            </w:r>
            <w:bookmarkEnd w:id="620"/>
            <w:bookmarkEnd w:id="621"/>
          </w:p>
        </w:tc>
        <w:tc>
          <w:tcPr>
            <w:tcW w:w="770"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22" w:name="_Toc87801922"/>
            <w:bookmarkStart w:id="623" w:name="_Toc88521632"/>
            <w:r>
              <w:rPr>
                <w:rFonts w:ascii="Times New Roman" w:hAnsi="Times New Roman"/>
                <w:spacing w:val="0"/>
                <w:kern w:val="2"/>
                <w:sz w:val="21"/>
                <w:szCs w:val="21"/>
              </w:rPr>
              <w:t>kg/（头.年）</w:t>
            </w:r>
            <w:bookmarkEnd w:id="622"/>
            <w:bookmarkEnd w:id="623"/>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24" w:name="_Toc87801923"/>
            <w:bookmarkStart w:id="625" w:name="_Toc88521633"/>
            <w:r>
              <w:rPr>
                <w:rFonts w:ascii="Times New Roman" w:hAnsi="Times New Roman"/>
                <w:spacing w:val="0"/>
                <w:kern w:val="2"/>
                <w:sz w:val="21"/>
                <w:szCs w:val="21"/>
              </w:rPr>
              <w:t>1388.6</w:t>
            </w:r>
            <w:bookmarkEnd w:id="624"/>
            <w:bookmarkEnd w:id="625"/>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26" w:name="_Toc88521634"/>
            <w:bookmarkStart w:id="627" w:name="_Toc87801924"/>
            <w:r>
              <w:rPr>
                <w:rFonts w:ascii="Times New Roman" w:hAnsi="Times New Roman"/>
                <w:spacing w:val="0"/>
                <w:kern w:val="2"/>
                <w:sz w:val="21"/>
                <w:szCs w:val="21"/>
              </w:rPr>
              <w:t>1.4</w:t>
            </w:r>
            <w:bookmarkEnd w:id="626"/>
            <w:bookmarkEnd w:id="627"/>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28" w:name="_Toc87801925"/>
            <w:bookmarkStart w:id="629" w:name="_Toc88521635"/>
            <w:r>
              <w:rPr>
                <w:rFonts w:ascii="Times New Roman" w:hAnsi="Times New Roman"/>
                <w:spacing w:val="0"/>
                <w:kern w:val="2"/>
                <w:sz w:val="21"/>
                <w:szCs w:val="21"/>
              </w:rPr>
              <w:t>51.5</w:t>
            </w:r>
            <w:bookmarkEnd w:id="628"/>
            <w:bookmarkEnd w:id="629"/>
          </w:p>
        </w:tc>
        <w:tc>
          <w:tcPr>
            <w:tcW w:w="78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30" w:name="_Toc88521636"/>
            <w:bookmarkStart w:id="631" w:name="_Toc87801926"/>
            <w:r>
              <w:rPr>
                <w:rFonts w:ascii="Times New Roman" w:hAnsi="Times New Roman"/>
                <w:spacing w:val="0"/>
                <w:kern w:val="2"/>
                <w:sz w:val="21"/>
                <w:szCs w:val="21"/>
              </w:rPr>
              <w:t>8.9</w:t>
            </w:r>
            <w:bookmarkEnd w:id="630"/>
            <w:bookmarkEnd w:id="631"/>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表5.2.2-6  寒溪寺水库库区流域畜禽养殖污水污染物排放量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3"/>
        <w:gridCol w:w="1696"/>
        <w:gridCol w:w="1696"/>
        <w:gridCol w:w="1695"/>
        <w:gridCol w:w="1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35"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4064"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32" w:name="_Toc87801928"/>
            <w:bookmarkStart w:id="633" w:name="_Toc88521638"/>
            <w:r>
              <w:rPr>
                <w:rFonts w:ascii="Times New Roman" w:hAnsi="Times New Roman"/>
                <w:spacing w:val="0"/>
                <w:kern w:val="2"/>
                <w:sz w:val="21"/>
                <w:szCs w:val="21"/>
              </w:rPr>
              <w:t>污染物排放量t/a</w:t>
            </w:r>
            <w:bookmarkEnd w:id="632"/>
            <w:bookmarkEnd w:id="63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35"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34" w:name="_Toc87801929"/>
            <w:bookmarkStart w:id="635" w:name="_Toc88521639"/>
            <w:r>
              <w:rPr>
                <w:rFonts w:ascii="Times New Roman" w:hAnsi="Times New Roman"/>
                <w:spacing w:val="0"/>
                <w:kern w:val="2"/>
                <w:sz w:val="21"/>
                <w:szCs w:val="21"/>
              </w:rPr>
              <w:t>COD</w:t>
            </w:r>
            <w:bookmarkEnd w:id="634"/>
            <w:bookmarkEnd w:id="635"/>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36" w:name="_Toc87801930"/>
            <w:bookmarkStart w:id="637" w:name="_Toc88521640"/>
            <w:r>
              <w:rPr>
                <w:rFonts w:ascii="Times New Roman" w:hAnsi="Times New Roman"/>
                <w:spacing w:val="0"/>
                <w:kern w:val="2"/>
                <w:sz w:val="21"/>
                <w:szCs w:val="21"/>
              </w:rPr>
              <w:t>氨氮</w:t>
            </w:r>
            <w:bookmarkEnd w:id="636"/>
            <w:bookmarkEnd w:id="637"/>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38" w:name="_Toc87801931"/>
            <w:bookmarkStart w:id="639" w:name="_Toc88521641"/>
            <w:r>
              <w:rPr>
                <w:rFonts w:ascii="Times New Roman" w:hAnsi="Times New Roman"/>
                <w:spacing w:val="0"/>
                <w:kern w:val="2"/>
                <w:sz w:val="21"/>
                <w:szCs w:val="21"/>
              </w:rPr>
              <w:t>总氮</w:t>
            </w:r>
            <w:bookmarkEnd w:id="638"/>
            <w:bookmarkEnd w:id="639"/>
          </w:p>
        </w:tc>
        <w:tc>
          <w:tcPr>
            <w:tcW w:w="101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40" w:name="_Toc87801932"/>
            <w:bookmarkStart w:id="641" w:name="_Toc88521642"/>
            <w:r>
              <w:rPr>
                <w:rFonts w:ascii="Times New Roman" w:hAnsi="Times New Roman"/>
                <w:spacing w:val="0"/>
                <w:kern w:val="2"/>
                <w:sz w:val="21"/>
                <w:szCs w:val="21"/>
              </w:rPr>
              <w:t>总磷</w:t>
            </w:r>
            <w:bookmarkEnd w:id="640"/>
            <w:bookmarkEnd w:id="64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3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42" w:name="_Toc88521653"/>
            <w:bookmarkStart w:id="643" w:name="_Toc87801943"/>
            <w:r>
              <w:rPr>
                <w:rFonts w:ascii="Times New Roman" w:hAnsi="Times New Roman"/>
                <w:spacing w:val="0"/>
                <w:kern w:val="2"/>
                <w:sz w:val="21"/>
                <w:szCs w:val="21"/>
              </w:rPr>
              <w:t>合计</w:t>
            </w:r>
            <w:bookmarkEnd w:id="642"/>
            <w:bookmarkEnd w:id="643"/>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44" w:name="_Toc88521654"/>
            <w:bookmarkStart w:id="645" w:name="_Toc87801944"/>
            <w:r>
              <w:rPr>
                <w:rFonts w:ascii="Times New Roman" w:hAnsi="Times New Roman"/>
                <w:spacing w:val="0"/>
                <w:kern w:val="2"/>
                <w:sz w:val="21"/>
                <w:szCs w:val="21"/>
              </w:rPr>
              <w:t>86.93</w:t>
            </w:r>
            <w:bookmarkEnd w:id="644"/>
            <w:bookmarkEnd w:id="645"/>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46" w:name="_Toc88521655"/>
            <w:bookmarkStart w:id="647" w:name="_Toc87801945"/>
            <w:r>
              <w:rPr>
                <w:rFonts w:ascii="Times New Roman" w:hAnsi="Times New Roman"/>
                <w:spacing w:val="0"/>
                <w:kern w:val="2"/>
                <w:sz w:val="21"/>
                <w:szCs w:val="21"/>
              </w:rPr>
              <w:t>1.20</w:t>
            </w:r>
            <w:bookmarkEnd w:id="646"/>
            <w:bookmarkEnd w:id="647"/>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48" w:name="_Toc87801946"/>
            <w:bookmarkStart w:id="649" w:name="_Toc88521656"/>
            <w:r>
              <w:rPr>
                <w:rFonts w:ascii="Times New Roman" w:hAnsi="Times New Roman"/>
                <w:spacing w:val="0"/>
                <w:kern w:val="2"/>
                <w:sz w:val="21"/>
                <w:szCs w:val="21"/>
              </w:rPr>
              <w:t>4.23</w:t>
            </w:r>
            <w:bookmarkEnd w:id="648"/>
            <w:bookmarkEnd w:id="649"/>
          </w:p>
        </w:tc>
        <w:tc>
          <w:tcPr>
            <w:tcW w:w="101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0" w:name="_Toc88521657"/>
            <w:bookmarkStart w:id="651" w:name="_Toc87801947"/>
            <w:r>
              <w:rPr>
                <w:rFonts w:ascii="Times New Roman" w:hAnsi="Times New Roman"/>
                <w:spacing w:val="0"/>
                <w:kern w:val="2"/>
                <w:sz w:val="21"/>
                <w:szCs w:val="21"/>
              </w:rPr>
              <w:t>1.09</w:t>
            </w:r>
            <w:bookmarkEnd w:id="650"/>
            <w:bookmarkEnd w:id="651"/>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表5.2.2-7  寒溪寺水库库区流域畜禽养殖污水污染物入河量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3"/>
        <w:gridCol w:w="1696"/>
        <w:gridCol w:w="1696"/>
        <w:gridCol w:w="1695"/>
        <w:gridCol w:w="1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4064"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2" w:name="_Toc88521659"/>
            <w:bookmarkStart w:id="653" w:name="_Toc87801949"/>
            <w:r>
              <w:rPr>
                <w:rFonts w:ascii="Times New Roman" w:hAnsi="Times New Roman"/>
                <w:spacing w:val="0"/>
                <w:kern w:val="2"/>
                <w:sz w:val="21"/>
                <w:szCs w:val="21"/>
              </w:rPr>
              <w:t>污染物入河量t/a</w:t>
            </w:r>
            <w:bookmarkEnd w:id="652"/>
            <w:bookmarkEnd w:id="65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4" w:name="_Toc88521660"/>
            <w:bookmarkStart w:id="655" w:name="_Toc87801950"/>
            <w:r>
              <w:rPr>
                <w:rFonts w:ascii="Times New Roman" w:hAnsi="Times New Roman"/>
                <w:spacing w:val="0"/>
                <w:kern w:val="2"/>
                <w:sz w:val="21"/>
                <w:szCs w:val="21"/>
              </w:rPr>
              <w:t>COD</w:t>
            </w:r>
            <w:bookmarkEnd w:id="654"/>
            <w:bookmarkEnd w:id="655"/>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6" w:name="_Toc88521661"/>
            <w:r>
              <w:rPr>
                <w:rFonts w:ascii="Times New Roman" w:hAnsi="Times New Roman"/>
                <w:spacing w:val="0"/>
                <w:kern w:val="2"/>
                <w:sz w:val="21"/>
                <w:szCs w:val="21"/>
              </w:rPr>
              <w:t>氨氮</w:t>
            </w:r>
            <w:bookmarkEnd w:id="656"/>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7" w:name="_Toc88521662"/>
            <w:r>
              <w:rPr>
                <w:rFonts w:ascii="Times New Roman" w:hAnsi="Times New Roman"/>
                <w:spacing w:val="0"/>
                <w:kern w:val="2"/>
                <w:sz w:val="21"/>
                <w:szCs w:val="21"/>
              </w:rPr>
              <w:t>总氮</w:t>
            </w:r>
            <w:bookmarkEnd w:id="657"/>
          </w:p>
        </w:tc>
        <w:tc>
          <w:tcPr>
            <w:tcW w:w="101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8" w:name="_Toc88521663"/>
            <w:r>
              <w:rPr>
                <w:rFonts w:ascii="Times New Roman" w:hAnsi="Times New Roman"/>
                <w:spacing w:val="0"/>
                <w:kern w:val="2"/>
                <w:sz w:val="21"/>
                <w:szCs w:val="21"/>
              </w:rPr>
              <w:t>总磷</w:t>
            </w:r>
            <w:bookmarkEnd w:id="65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59" w:name="_Toc88521674"/>
            <w:bookmarkStart w:id="660" w:name="_Toc87801964"/>
            <w:r>
              <w:rPr>
                <w:rFonts w:ascii="Times New Roman" w:hAnsi="Times New Roman"/>
                <w:spacing w:val="0"/>
                <w:kern w:val="2"/>
                <w:sz w:val="21"/>
                <w:szCs w:val="21"/>
              </w:rPr>
              <w:t>合计</w:t>
            </w:r>
            <w:bookmarkEnd w:id="659"/>
            <w:bookmarkEnd w:id="660"/>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61" w:name="_Toc87801965"/>
            <w:bookmarkStart w:id="662" w:name="_Toc88521675"/>
            <w:r>
              <w:rPr>
                <w:rFonts w:ascii="Times New Roman" w:hAnsi="Times New Roman"/>
                <w:spacing w:val="0"/>
                <w:kern w:val="2"/>
                <w:sz w:val="21"/>
                <w:szCs w:val="21"/>
              </w:rPr>
              <w:t>34.77</w:t>
            </w:r>
            <w:bookmarkEnd w:id="661"/>
            <w:bookmarkEnd w:id="662"/>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63" w:name="_Toc87801966"/>
            <w:bookmarkStart w:id="664" w:name="_Toc88521676"/>
            <w:r>
              <w:rPr>
                <w:rFonts w:ascii="Times New Roman" w:hAnsi="Times New Roman"/>
                <w:spacing w:val="0"/>
                <w:kern w:val="2"/>
                <w:sz w:val="21"/>
                <w:szCs w:val="21"/>
              </w:rPr>
              <w:t>0.48</w:t>
            </w:r>
            <w:bookmarkEnd w:id="663"/>
            <w:bookmarkEnd w:id="664"/>
          </w:p>
        </w:tc>
        <w:tc>
          <w:tcPr>
            <w:tcW w:w="10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65" w:name="_Toc87801967"/>
            <w:bookmarkStart w:id="666" w:name="_Toc88521677"/>
            <w:r>
              <w:rPr>
                <w:rFonts w:ascii="Times New Roman" w:hAnsi="Times New Roman"/>
                <w:spacing w:val="0"/>
                <w:kern w:val="2"/>
                <w:sz w:val="21"/>
                <w:szCs w:val="21"/>
              </w:rPr>
              <w:t>1.69</w:t>
            </w:r>
            <w:bookmarkEnd w:id="665"/>
            <w:bookmarkEnd w:id="666"/>
          </w:p>
        </w:tc>
        <w:tc>
          <w:tcPr>
            <w:tcW w:w="101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67" w:name="_Toc88521678"/>
            <w:bookmarkStart w:id="668" w:name="_Toc87801968"/>
            <w:r>
              <w:rPr>
                <w:rFonts w:ascii="Times New Roman" w:hAnsi="Times New Roman"/>
                <w:spacing w:val="0"/>
                <w:kern w:val="2"/>
                <w:sz w:val="21"/>
                <w:szCs w:val="21"/>
              </w:rPr>
              <w:t>0.44</w:t>
            </w:r>
            <w:bookmarkEnd w:id="667"/>
            <w:bookmarkEnd w:id="668"/>
          </w:p>
        </w:tc>
      </w:tr>
    </w:tbl>
    <w:p>
      <w:pPr>
        <w:ind w:firstLine="480"/>
        <w:contextualSpacing/>
      </w:pPr>
      <w:r>
        <w:rPr>
          <w:rFonts w:hint="eastAsia" w:ascii="宋体" w:hAnsi="宋体" w:cs="宋体"/>
        </w:rPr>
        <w:t>③</w:t>
      </w:r>
      <w:r>
        <w:t>农田径流污染源</w:t>
      </w:r>
    </w:p>
    <w:p>
      <w:pPr>
        <w:ind w:firstLine="480"/>
        <w:contextualSpacing/>
      </w:pPr>
      <w:r>
        <w:t>根据调查，寒溪寺水库库区流域内有农用地4410亩（294公顷），预测水平年考虑农业面源与现状保持同一水平，统计计算寒溪寺水库库区流域农田径流污水污染物年排放量为COD17.64t、氨氮0.10t、总磷0.01t、总氮0.10t，各镇污染物排放量详见表5.2.2-9，农田径流污染物入河系数取0.5，计算流域内农田径流污水污染物年入河量为：COD8.82t、氨氮0.05t、总磷0.005t、总氮0.05t，各镇污染物入河量详见表5.2.2-10。</w:t>
      </w:r>
    </w:p>
    <w:p>
      <w:pPr>
        <w:ind w:firstLine="480"/>
        <w:contextualSpacing/>
      </w:pPr>
      <w:r>
        <w:t>根据调查，寒溪寺水库库区流域主要种植有水稻、小麦等。根据各镇水田、旱地、菜地、园地和林地的统计数据，农田径流污染源排污量采用排污系数法估算，估算公式如下：</w:t>
      </w:r>
    </w:p>
    <w:p>
      <w:pPr>
        <w:spacing w:line="460" w:lineRule="exact"/>
        <w:ind w:firstLine="480"/>
        <w:contextualSpacing/>
        <w:jc w:val="center"/>
      </w:pPr>
      <w:r>
        <w:rPr>
          <w:i/>
        </w:rPr>
        <w:t>W</w:t>
      </w:r>
      <w:r>
        <w:rPr>
          <w:i/>
          <w:vertAlign w:val="subscript"/>
        </w:rPr>
        <w:t>农田</w:t>
      </w:r>
      <w:r>
        <w:rPr>
          <w:i/>
        </w:rPr>
        <w:t>=N</w:t>
      </w:r>
      <w:r>
        <w:rPr>
          <w:i/>
          <w:vertAlign w:val="subscript"/>
        </w:rPr>
        <w:t>农田</w:t>
      </w:r>
      <w:r>
        <w:rPr>
          <w:i/>
        </w:rPr>
        <w:t>×α</w:t>
      </w:r>
      <w:r>
        <w:rPr>
          <w:i/>
          <w:vertAlign w:val="subscript"/>
        </w:rPr>
        <w:t>4</w:t>
      </w:r>
    </w:p>
    <w:p>
      <w:pPr>
        <w:ind w:firstLine="480"/>
        <w:contextualSpacing/>
      </w:pPr>
      <w:r>
        <w:t>式中：</w:t>
      </w:r>
    </w:p>
    <w:p>
      <w:pPr>
        <w:ind w:firstLine="480"/>
        <w:contextualSpacing/>
      </w:pPr>
      <w:r>
        <w:rPr>
          <w:i/>
        </w:rPr>
        <w:t>W</w:t>
      </w:r>
      <w:r>
        <w:rPr>
          <w:i/>
          <w:vertAlign w:val="subscript"/>
        </w:rPr>
        <w:t>农田</w:t>
      </w:r>
      <w:r>
        <w:t>——农田径流污染源特征污染物排放量，kg/a；</w:t>
      </w:r>
    </w:p>
    <w:p>
      <w:pPr>
        <w:ind w:firstLine="480"/>
        <w:contextualSpacing/>
      </w:pPr>
      <w:r>
        <w:rPr>
          <w:i/>
        </w:rPr>
        <w:t>N</w:t>
      </w:r>
      <w:r>
        <w:rPr>
          <w:i/>
          <w:vertAlign w:val="subscript"/>
        </w:rPr>
        <w:t>农田</w:t>
      </w:r>
      <w:r>
        <w:t>——某种地类面积，亩；</w:t>
      </w:r>
      <w:r>
        <w:rPr>
          <w:i/>
        </w:rPr>
        <w:t>α</w:t>
      </w:r>
      <w:r>
        <w:rPr>
          <w:i/>
          <w:vertAlign w:val="subscript"/>
        </w:rPr>
        <w:t>4</w:t>
      </w:r>
      <w:r>
        <w:t>为排污系数，kg/亩.a；</w:t>
      </w:r>
    </w:p>
    <w:p>
      <w:pPr>
        <w:ind w:firstLine="480"/>
        <w:contextualSpacing/>
      </w:pPr>
      <w:r>
        <w:t>本项目调查农田径流污染源排污系数参考《第二次全国污染源普查农业污染源产排污系数手册》中种植业氮磷排放（流失）系数，COD系数参照《第一次全国污染源普查城镇生活源产排污系数手册》，具体取值见表5.2.2-8。</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表5.2.2-8  种植业氮磷排放（流失）系数取值</w:t>
      </w:r>
      <w:r>
        <w:rPr>
          <w:rFonts w:hint="eastAsia" w:eastAsia="宋体"/>
          <w:b/>
          <w:bCs/>
          <w:kern w:val="0"/>
          <w:sz w:val="21"/>
          <w:szCs w:val="21"/>
        </w:rPr>
        <w:t xml:space="preserve">  </w:t>
      </w:r>
      <w:r>
        <w:rPr>
          <w:rFonts w:eastAsia="宋体"/>
          <w:b/>
          <w:bCs/>
          <w:kern w:val="0"/>
          <w:sz w:val="21"/>
          <w:szCs w:val="21"/>
        </w:rPr>
        <w:t>单位：kg/（公顷.a）</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1"/>
        <w:gridCol w:w="1926"/>
        <w:gridCol w:w="1639"/>
        <w:gridCol w:w="1639"/>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69" w:name="_Toc87801969"/>
            <w:bookmarkStart w:id="670" w:name="_Toc88521679"/>
            <w:r>
              <w:rPr>
                <w:rFonts w:ascii="Times New Roman" w:hAnsi="Times New Roman"/>
                <w:spacing w:val="0"/>
                <w:kern w:val="2"/>
                <w:sz w:val="21"/>
                <w:szCs w:val="21"/>
              </w:rPr>
              <w:t>地类</w:t>
            </w:r>
            <w:bookmarkEnd w:id="669"/>
            <w:bookmarkEnd w:id="670"/>
          </w:p>
        </w:tc>
        <w:tc>
          <w:tcPr>
            <w:tcW w:w="115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71" w:name="_Toc87801970"/>
            <w:bookmarkStart w:id="672" w:name="_Toc88521680"/>
            <w:r>
              <w:rPr>
                <w:rFonts w:ascii="Times New Roman" w:hAnsi="Times New Roman"/>
                <w:spacing w:val="0"/>
                <w:kern w:val="2"/>
                <w:sz w:val="21"/>
                <w:szCs w:val="21"/>
              </w:rPr>
              <w:t>氨氮</w:t>
            </w:r>
            <w:bookmarkEnd w:id="671"/>
            <w:bookmarkEnd w:id="672"/>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73" w:name="_Toc88521681"/>
            <w:bookmarkStart w:id="674" w:name="_Toc87801971"/>
            <w:r>
              <w:rPr>
                <w:rFonts w:ascii="Times New Roman" w:hAnsi="Times New Roman"/>
                <w:spacing w:val="0"/>
                <w:kern w:val="2"/>
                <w:sz w:val="21"/>
                <w:szCs w:val="21"/>
              </w:rPr>
              <w:t>总氮</w:t>
            </w:r>
            <w:bookmarkEnd w:id="673"/>
            <w:bookmarkEnd w:id="674"/>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75" w:name="_Toc87801972"/>
            <w:bookmarkStart w:id="676" w:name="_Toc88521682"/>
            <w:r>
              <w:rPr>
                <w:rFonts w:ascii="Times New Roman" w:hAnsi="Times New Roman"/>
                <w:spacing w:val="0"/>
                <w:kern w:val="2"/>
                <w:sz w:val="21"/>
                <w:szCs w:val="21"/>
              </w:rPr>
              <w:t>总磷</w:t>
            </w:r>
            <w:bookmarkEnd w:id="675"/>
            <w:bookmarkEnd w:id="676"/>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77" w:name="_Toc88521683"/>
            <w:bookmarkStart w:id="678" w:name="_Toc87801973"/>
            <w:r>
              <w:rPr>
                <w:rFonts w:ascii="Times New Roman" w:hAnsi="Times New Roman"/>
                <w:spacing w:val="0"/>
                <w:kern w:val="2"/>
                <w:sz w:val="21"/>
                <w:szCs w:val="21"/>
              </w:rPr>
              <w:t>COD</w:t>
            </w:r>
            <w:bookmarkEnd w:id="677"/>
            <w:bookmarkEnd w:id="67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79" w:name="_Toc88521684"/>
            <w:bookmarkStart w:id="680" w:name="_Toc87801974"/>
            <w:r>
              <w:rPr>
                <w:rFonts w:ascii="Times New Roman" w:hAnsi="Times New Roman"/>
                <w:spacing w:val="0"/>
                <w:kern w:val="2"/>
                <w:sz w:val="21"/>
                <w:szCs w:val="21"/>
              </w:rPr>
              <w:t>四川省</w:t>
            </w:r>
            <w:bookmarkEnd w:id="679"/>
            <w:bookmarkEnd w:id="680"/>
          </w:p>
        </w:tc>
        <w:tc>
          <w:tcPr>
            <w:tcW w:w="115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81" w:name="_Toc88521685"/>
            <w:bookmarkStart w:id="682" w:name="_Toc87801975"/>
            <w:r>
              <w:rPr>
                <w:rFonts w:ascii="Times New Roman" w:hAnsi="Times New Roman"/>
                <w:spacing w:val="0"/>
                <w:kern w:val="2"/>
                <w:sz w:val="21"/>
                <w:szCs w:val="21"/>
              </w:rPr>
              <w:t>0.336</w:t>
            </w:r>
            <w:bookmarkEnd w:id="681"/>
            <w:bookmarkEnd w:id="682"/>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83" w:name="_Toc88521686"/>
            <w:bookmarkStart w:id="684" w:name="_Toc87801976"/>
            <w:r>
              <w:rPr>
                <w:rFonts w:ascii="Times New Roman" w:hAnsi="Times New Roman"/>
                <w:spacing w:val="0"/>
                <w:kern w:val="2"/>
                <w:sz w:val="21"/>
                <w:szCs w:val="21"/>
              </w:rPr>
              <w:t>3.402</w:t>
            </w:r>
            <w:bookmarkEnd w:id="683"/>
            <w:bookmarkEnd w:id="684"/>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85" w:name="_Toc88521687"/>
            <w:bookmarkStart w:id="686" w:name="_Toc87801977"/>
            <w:r>
              <w:rPr>
                <w:rFonts w:ascii="Times New Roman" w:hAnsi="Times New Roman"/>
                <w:spacing w:val="0"/>
                <w:kern w:val="2"/>
                <w:sz w:val="21"/>
                <w:szCs w:val="21"/>
              </w:rPr>
              <w:t>0.373</w:t>
            </w:r>
            <w:bookmarkEnd w:id="685"/>
            <w:bookmarkEnd w:id="686"/>
          </w:p>
        </w:tc>
        <w:tc>
          <w:tcPr>
            <w:tcW w:w="98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87" w:name="_Toc88521688"/>
            <w:bookmarkStart w:id="688" w:name="_Toc87801978"/>
            <w:r>
              <w:rPr>
                <w:rFonts w:ascii="Times New Roman" w:hAnsi="Times New Roman"/>
                <w:spacing w:val="0"/>
                <w:kern w:val="2"/>
                <w:sz w:val="21"/>
                <w:szCs w:val="21"/>
              </w:rPr>
              <w:t>4.0</w:t>
            </w:r>
            <w:bookmarkEnd w:id="687"/>
            <w:bookmarkEnd w:id="688"/>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表5.2.2-9  寒溪寺水库库区流域农田径流水污染物排放量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02"/>
        <w:gridCol w:w="1669"/>
        <w:gridCol w:w="1482"/>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59"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3940"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89" w:name="_Toc88521690"/>
            <w:bookmarkStart w:id="690" w:name="_Toc87801980"/>
            <w:r>
              <w:rPr>
                <w:rFonts w:ascii="Times New Roman" w:hAnsi="Times New Roman"/>
                <w:spacing w:val="0"/>
                <w:kern w:val="2"/>
                <w:sz w:val="21"/>
                <w:szCs w:val="21"/>
              </w:rPr>
              <w:t>污染物排放量t/a</w:t>
            </w:r>
            <w:bookmarkEnd w:id="689"/>
            <w:bookmarkEnd w:id="69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59"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07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91" w:name="_Toc88521691"/>
            <w:bookmarkStart w:id="692" w:name="_Toc87801981"/>
            <w:r>
              <w:rPr>
                <w:rFonts w:ascii="Times New Roman" w:hAnsi="Times New Roman"/>
                <w:spacing w:val="0"/>
                <w:kern w:val="2"/>
                <w:sz w:val="21"/>
                <w:szCs w:val="21"/>
              </w:rPr>
              <w:t>COD</w:t>
            </w:r>
            <w:bookmarkEnd w:id="691"/>
            <w:bookmarkEnd w:id="692"/>
          </w:p>
        </w:tc>
        <w:tc>
          <w:tcPr>
            <w:tcW w:w="99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93" w:name="_Toc87801982"/>
            <w:bookmarkStart w:id="694" w:name="_Toc88521692"/>
            <w:r>
              <w:rPr>
                <w:rFonts w:ascii="Times New Roman" w:hAnsi="Times New Roman"/>
                <w:spacing w:val="0"/>
                <w:kern w:val="2"/>
                <w:sz w:val="21"/>
                <w:szCs w:val="21"/>
              </w:rPr>
              <w:t>氨氮</w:t>
            </w:r>
            <w:bookmarkEnd w:id="693"/>
            <w:bookmarkEnd w:id="694"/>
          </w:p>
        </w:tc>
        <w:tc>
          <w:tcPr>
            <w:tcW w:w="88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95" w:name="_Toc88521693"/>
            <w:bookmarkStart w:id="696" w:name="_Toc87801983"/>
            <w:r>
              <w:rPr>
                <w:rFonts w:ascii="Times New Roman" w:hAnsi="Times New Roman"/>
                <w:spacing w:val="0"/>
                <w:kern w:val="2"/>
                <w:sz w:val="21"/>
                <w:szCs w:val="21"/>
              </w:rPr>
              <w:t>总氮</w:t>
            </w:r>
            <w:bookmarkEnd w:id="695"/>
            <w:bookmarkEnd w:id="696"/>
          </w:p>
        </w:tc>
        <w:tc>
          <w:tcPr>
            <w:tcW w:w="97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97" w:name="_Toc88521694"/>
            <w:bookmarkStart w:id="698" w:name="_Toc87801984"/>
            <w:r>
              <w:rPr>
                <w:rFonts w:ascii="Times New Roman" w:hAnsi="Times New Roman"/>
                <w:spacing w:val="0"/>
                <w:kern w:val="2"/>
                <w:sz w:val="21"/>
                <w:szCs w:val="21"/>
              </w:rPr>
              <w:t>总磷</w:t>
            </w:r>
            <w:bookmarkEnd w:id="697"/>
            <w:bookmarkEnd w:id="69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5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699" w:name="_Toc88521705"/>
            <w:bookmarkStart w:id="700" w:name="_Toc87801995"/>
            <w:r>
              <w:rPr>
                <w:rFonts w:ascii="Times New Roman" w:hAnsi="Times New Roman"/>
                <w:spacing w:val="0"/>
                <w:kern w:val="2"/>
                <w:sz w:val="21"/>
                <w:szCs w:val="21"/>
              </w:rPr>
              <w:t>合计</w:t>
            </w:r>
            <w:bookmarkEnd w:id="699"/>
            <w:bookmarkEnd w:id="700"/>
          </w:p>
        </w:tc>
        <w:tc>
          <w:tcPr>
            <w:tcW w:w="107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01" w:name="_Toc88521706"/>
            <w:bookmarkStart w:id="702" w:name="_Toc87801996"/>
            <w:r>
              <w:rPr>
                <w:rFonts w:ascii="Times New Roman" w:hAnsi="Times New Roman"/>
                <w:spacing w:val="0"/>
                <w:kern w:val="2"/>
                <w:sz w:val="21"/>
                <w:szCs w:val="21"/>
              </w:rPr>
              <w:t>17.64</w:t>
            </w:r>
            <w:bookmarkEnd w:id="701"/>
            <w:bookmarkEnd w:id="702"/>
          </w:p>
        </w:tc>
        <w:tc>
          <w:tcPr>
            <w:tcW w:w="99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03" w:name="_Toc88521707"/>
            <w:bookmarkStart w:id="704" w:name="_Toc87801997"/>
            <w:r>
              <w:rPr>
                <w:rFonts w:ascii="Times New Roman" w:hAnsi="Times New Roman"/>
                <w:spacing w:val="0"/>
                <w:kern w:val="2"/>
                <w:sz w:val="21"/>
                <w:szCs w:val="21"/>
              </w:rPr>
              <w:t>0.10</w:t>
            </w:r>
            <w:bookmarkEnd w:id="703"/>
            <w:bookmarkEnd w:id="704"/>
          </w:p>
        </w:tc>
        <w:tc>
          <w:tcPr>
            <w:tcW w:w="88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05" w:name="_Toc88521708"/>
            <w:bookmarkStart w:id="706" w:name="_Toc87801998"/>
            <w:r>
              <w:rPr>
                <w:rFonts w:ascii="Times New Roman" w:hAnsi="Times New Roman"/>
                <w:spacing w:val="0"/>
                <w:kern w:val="2"/>
                <w:sz w:val="21"/>
                <w:szCs w:val="21"/>
              </w:rPr>
              <w:t>0.10</w:t>
            </w:r>
            <w:bookmarkEnd w:id="705"/>
            <w:bookmarkEnd w:id="706"/>
          </w:p>
        </w:tc>
        <w:tc>
          <w:tcPr>
            <w:tcW w:w="974"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07" w:name="_Toc87801999"/>
            <w:bookmarkStart w:id="708" w:name="_Toc88521709"/>
            <w:r>
              <w:rPr>
                <w:rFonts w:ascii="Times New Roman" w:hAnsi="Times New Roman"/>
                <w:spacing w:val="0"/>
                <w:kern w:val="2"/>
                <w:sz w:val="21"/>
                <w:szCs w:val="21"/>
              </w:rPr>
              <w:t>0.0</w:t>
            </w:r>
            <w:bookmarkEnd w:id="707"/>
            <w:r>
              <w:rPr>
                <w:rFonts w:ascii="Times New Roman" w:hAnsi="Times New Roman"/>
                <w:spacing w:val="0"/>
                <w:kern w:val="2"/>
                <w:sz w:val="21"/>
                <w:szCs w:val="21"/>
              </w:rPr>
              <w:t>2</w:t>
            </w:r>
            <w:bookmarkEnd w:id="708"/>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表5.2.2-10  寒溪寺水库库区流域农田径流污水污染物入河量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7"/>
        <w:gridCol w:w="1803"/>
        <w:gridCol w:w="1665"/>
        <w:gridCol w:w="1528"/>
        <w:gridCol w:w="1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3"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3936" w:type="pct"/>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09" w:name="_Toc87802001"/>
            <w:bookmarkStart w:id="710" w:name="_Toc88521711"/>
            <w:r>
              <w:rPr>
                <w:rFonts w:ascii="Times New Roman" w:hAnsi="Times New Roman"/>
                <w:spacing w:val="0"/>
                <w:kern w:val="2"/>
                <w:sz w:val="21"/>
                <w:szCs w:val="21"/>
              </w:rPr>
              <w:t>污染物入河量</w:t>
            </w:r>
            <w:bookmarkEnd w:id="709"/>
            <w:bookmarkEnd w:id="710"/>
            <w:bookmarkStart w:id="711" w:name="_Toc88521712"/>
            <w:bookmarkStart w:id="712" w:name="_Toc87802002"/>
            <w:r>
              <w:rPr>
                <w:rFonts w:ascii="Times New Roman" w:hAnsi="Times New Roman"/>
                <w:spacing w:val="0"/>
                <w:kern w:val="2"/>
                <w:sz w:val="21"/>
                <w:szCs w:val="21"/>
              </w:rPr>
              <w:t>t/a</w:t>
            </w:r>
            <w:bookmarkEnd w:id="711"/>
            <w:bookmarkEnd w:id="71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3"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079"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13" w:name="_Toc88521713"/>
            <w:bookmarkStart w:id="714" w:name="_Toc87802003"/>
            <w:r>
              <w:rPr>
                <w:rFonts w:ascii="Times New Roman" w:hAnsi="Times New Roman"/>
                <w:spacing w:val="0"/>
                <w:kern w:val="2"/>
                <w:sz w:val="21"/>
                <w:szCs w:val="21"/>
              </w:rPr>
              <w:t>COD</w:t>
            </w:r>
            <w:bookmarkEnd w:id="713"/>
            <w:bookmarkEnd w:id="714"/>
          </w:p>
        </w:tc>
        <w:tc>
          <w:tcPr>
            <w:tcW w:w="997"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15" w:name="_Toc88521714"/>
            <w:bookmarkStart w:id="716" w:name="_Toc87802004"/>
            <w:r>
              <w:rPr>
                <w:rFonts w:ascii="Times New Roman" w:hAnsi="Times New Roman"/>
                <w:spacing w:val="0"/>
                <w:kern w:val="2"/>
                <w:sz w:val="21"/>
                <w:szCs w:val="21"/>
              </w:rPr>
              <w:t>氨氮</w:t>
            </w:r>
            <w:bookmarkEnd w:id="715"/>
            <w:bookmarkEnd w:id="716"/>
          </w:p>
        </w:tc>
        <w:tc>
          <w:tcPr>
            <w:tcW w:w="915"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17" w:name="_Toc88521715"/>
            <w:bookmarkStart w:id="718" w:name="_Toc87802005"/>
            <w:r>
              <w:rPr>
                <w:rFonts w:ascii="Times New Roman" w:hAnsi="Times New Roman"/>
                <w:spacing w:val="0"/>
                <w:kern w:val="2"/>
                <w:sz w:val="21"/>
                <w:szCs w:val="21"/>
              </w:rPr>
              <w:t>总氮</w:t>
            </w:r>
            <w:bookmarkEnd w:id="717"/>
            <w:bookmarkEnd w:id="718"/>
          </w:p>
        </w:tc>
        <w:tc>
          <w:tcPr>
            <w:tcW w:w="942"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19" w:name="_Toc88521716"/>
            <w:bookmarkStart w:id="720" w:name="_Toc87802006"/>
            <w:r>
              <w:rPr>
                <w:rFonts w:ascii="Times New Roman" w:hAnsi="Times New Roman"/>
                <w:spacing w:val="0"/>
                <w:kern w:val="2"/>
                <w:sz w:val="21"/>
                <w:szCs w:val="21"/>
              </w:rPr>
              <w:t>总磷</w:t>
            </w:r>
            <w:bookmarkEnd w:id="719"/>
            <w:bookmarkEnd w:id="72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6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21" w:name="_Toc88521719"/>
            <w:bookmarkStart w:id="722" w:name="_Toc87802009"/>
            <w:r>
              <w:rPr>
                <w:rFonts w:ascii="Times New Roman" w:hAnsi="Times New Roman"/>
                <w:spacing w:val="0"/>
                <w:kern w:val="2"/>
                <w:sz w:val="21"/>
                <w:szCs w:val="21"/>
              </w:rPr>
              <w:t>合计</w:t>
            </w:r>
            <w:bookmarkEnd w:id="721"/>
            <w:bookmarkEnd w:id="722"/>
          </w:p>
        </w:tc>
        <w:tc>
          <w:tcPr>
            <w:tcW w:w="1079" w:type="pct"/>
            <w:vAlign w:val="center"/>
          </w:tcPr>
          <w:p>
            <w:pPr>
              <w:widowControl/>
              <w:spacing w:line="240" w:lineRule="auto"/>
              <w:ind w:firstLine="0" w:firstLineChars="0"/>
              <w:contextualSpacing/>
              <w:jc w:val="center"/>
              <w:textAlignment w:val="center"/>
              <w:rPr>
                <w:sz w:val="21"/>
              </w:rPr>
            </w:pPr>
            <w:r>
              <w:rPr>
                <w:sz w:val="21"/>
                <w:szCs w:val="21"/>
              </w:rPr>
              <w:t>8.82</w:t>
            </w:r>
          </w:p>
        </w:tc>
        <w:tc>
          <w:tcPr>
            <w:tcW w:w="997" w:type="pct"/>
            <w:vAlign w:val="center"/>
          </w:tcPr>
          <w:p>
            <w:pPr>
              <w:widowControl/>
              <w:spacing w:line="240" w:lineRule="auto"/>
              <w:ind w:firstLine="0" w:firstLineChars="0"/>
              <w:contextualSpacing/>
              <w:jc w:val="center"/>
              <w:textAlignment w:val="center"/>
              <w:rPr>
                <w:sz w:val="21"/>
              </w:rPr>
            </w:pPr>
            <w:r>
              <w:rPr>
                <w:sz w:val="21"/>
                <w:szCs w:val="21"/>
              </w:rPr>
              <w:t>0.05</w:t>
            </w:r>
          </w:p>
        </w:tc>
        <w:tc>
          <w:tcPr>
            <w:tcW w:w="915" w:type="pct"/>
            <w:vAlign w:val="center"/>
          </w:tcPr>
          <w:p>
            <w:pPr>
              <w:widowControl/>
              <w:spacing w:line="240" w:lineRule="auto"/>
              <w:ind w:firstLine="0" w:firstLineChars="0"/>
              <w:contextualSpacing/>
              <w:jc w:val="center"/>
              <w:textAlignment w:val="center"/>
              <w:rPr>
                <w:sz w:val="21"/>
              </w:rPr>
            </w:pPr>
            <w:r>
              <w:rPr>
                <w:sz w:val="21"/>
                <w:szCs w:val="21"/>
              </w:rPr>
              <w:t>0.05</w:t>
            </w:r>
          </w:p>
        </w:tc>
        <w:tc>
          <w:tcPr>
            <w:tcW w:w="942" w:type="pct"/>
            <w:vAlign w:val="center"/>
          </w:tcPr>
          <w:p>
            <w:pPr>
              <w:widowControl/>
              <w:spacing w:line="240" w:lineRule="auto"/>
              <w:ind w:firstLine="0" w:firstLineChars="0"/>
              <w:contextualSpacing/>
              <w:jc w:val="center"/>
              <w:textAlignment w:val="center"/>
              <w:rPr>
                <w:sz w:val="21"/>
              </w:rPr>
            </w:pPr>
            <w:r>
              <w:rPr>
                <w:sz w:val="21"/>
                <w:szCs w:val="21"/>
              </w:rPr>
              <w:t>0.001</w:t>
            </w:r>
          </w:p>
        </w:tc>
      </w:tr>
    </w:tbl>
    <w:p>
      <w:pPr>
        <w:ind w:firstLine="480"/>
        <w:contextualSpacing/>
      </w:pPr>
      <w:r>
        <w:rPr>
          <w:rFonts w:hint="eastAsia" w:ascii="宋体" w:hAnsi="宋体" w:cs="宋体"/>
        </w:rPr>
        <w:t>④</w:t>
      </w:r>
      <w:r>
        <w:t xml:space="preserve"> 库区</w:t>
      </w:r>
      <w:r>
        <w:rPr>
          <w:kern w:val="0"/>
        </w:rPr>
        <w:t>污染源</w:t>
      </w:r>
      <w:r>
        <w:t>汇总</w:t>
      </w:r>
    </w:p>
    <w:p>
      <w:pPr>
        <w:ind w:firstLine="480"/>
        <w:contextualSpacing/>
        <w:rPr>
          <w:lang w:val="zh-CN"/>
        </w:rPr>
      </w:pPr>
      <w:r>
        <w:t>库区集雨面积内</w:t>
      </w:r>
      <w:r>
        <w:rPr>
          <w:lang w:val="zh-CN"/>
        </w:rPr>
        <w:t>污染物排放量、入河量见表5.2.2-11。</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表5.2.2-11  寒溪寺水库库区流域污染物排放量、入河量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3"/>
        <w:gridCol w:w="1806"/>
        <w:gridCol w:w="1667"/>
        <w:gridCol w:w="1528"/>
        <w:gridCol w:w="1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3" w:type="dxa"/>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23" w:name="_Toc87802010"/>
            <w:bookmarkStart w:id="724" w:name="_Toc88521720"/>
            <w:r>
              <w:rPr>
                <w:rFonts w:ascii="Times New Roman" w:hAnsi="Times New Roman"/>
                <w:spacing w:val="0"/>
                <w:kern w:val="2"/>
                <w:sz w:val="21"/>
                <w:szCs w:val="21"/>
              </w:rPr>
              <w:t>库区流域</w:t>
            </w:r>
            <w:bookmarkEnd w:id="723"/>
            <w:bookmarkEnd w:id="724"/>
          </w:p>
        </w:tc>
        <w:tc>
          <w:tcPr>
            <w:tcW w:w="6579" w:type="dxa"/>
            <w:gridSpan w:val="4"/>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25" w:name="_Toc87802011"/>
            <w:bookmarkStart w:id="726" w:name="_Toc88521721"/>
            <w:r>
              <w:rPr>
                <w:rFonts w:ascii="Times New Roman" w:hAnsi="Times New Roman"/>
                <w:spacing w:val="0"/>
                <w:kern w:val="2"/>
                <w:sz w:val="21"/>
                <w:szCs w:val="21"/>
              </w:rPr>
              <w:t>污染物t/a</w:t>
            </w:r>
            <w:bookmarkEnd w:id="725"/>
            <w:bookmarkEnd w:id="7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3" w:type="dxa"/>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806"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27" w:name="_Toc87802012"/>
            <w:bookmarkStart w:id="728" w:name="_Toc88521722"/>
            <w:r>
              <w:rPr>
                <w:rFonts w:ascii="Times New Roman" w:hAnsi="Times New Roman"/>
                <w:spacing w:val="0"/>
                <w:kern w:val="2"/>
                <w:sz w:val="21"/>
                <w:szCs w:val="21"/>
              </w:rPr>
              <w:t>COD</w:t>
            </w:r>
            <w:bookmarkEnd w:id="727"/>
            <w:bookmarkEnd w:id="728"/>
          </w:p>
        </w:tc>
        <w:tc>
          <w:tcPr>
            <w:tcW w:w="1667"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29" w:name="_Toc87802013"/>
            <w:bookmarkStart w:id="730" w:name="_Toc88521723"/>
            <w:r>
              <w:rPr>
                <w:rFonts w:ascii="Times New Roman" w:hAnsi="Times New Roman"/>
                <w:spacing w:val="0"/>
                <w:kern w:val="2"/>
                <w:sz w:val="21"/>
                <w:szCs w:val="21"/>
              </w:rPr>
              <w:t>氨氮</w:t>
            </w:r>
            <w:bookmarkEnd w:id="729"/>
            <w:bookmarkEnd w:id="730"/>
          </w:p>
        </w:tc>
        <w:tc>
          <w:tcPr>
            <w:tcW w:w="1528"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31" w:name="_Toc87802014"/>
            <w:bookmarkStart w:id="732" w:name="_Toc88521724"/>
            <w:r>
              <w:rPr>
                <w:rFonts w:ascii="Times New Roman" w:hAnsi="Times New Roman"/>
                <w:spacing w:val="0"/>
                <w:kern w:val="2"/>
                <w:sz w:val="21"/>
                <w:szCs w:val="21"/>
              </w:rPr>
              <w:t>总氮</w:t>
            </w:r>
            <w:bookmarkEnd w:id="731"/>
            <w:bookmarkEnd w:id="732"/>
          </w:p>
        </w:tc>
        <w:tc>
          <w:tcPr>
            <w:tcW w:w="1578"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33" w:name="_Toc88521725"/>
            <w:bookmarkStart w:id="734" w:name="_Toc87802015"/>
            <w:r>
              <w:rPr>
                <w:rFonts w:ascii="Times New Roman" w:hAnsi="Times New Roman"/>
                <w:spacing w:val="0"/>
                <w:kern w:val="2"/>
                <w:sz w:val="21"/>
                <w:szCs w:val="21"/>
              </w:rPr>
              <w:t>总磷</w:t>
            </w:r>
            <w:bookmarkEnd w:id="733"/>
            <w:bookmarkEnd w:id="73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3"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35" w:name="_Toc88521726"/>
            <w:bookmarkStart w:id="736" w:name="_Toc87802016"/>
            <w:r>
              <w:rPr>
                <w:rFonts w:ascii="Times New Roman" w:hAnsi="Times New Roman"/>
                <w:spacing w:val="0"/>
                <w:kern w:val="2"/>
                <w:sz w:val="21"/>
                <w:szCs w:val="21"/>
              </w:rPr>
              <w:t>排放量</w:t>
            </w:r>
            <w:bookmarkEnd w:id="735"/>
            <w:bookmarkEnd w:id="736"/>
          </w:p>
        </w:tc>
        <w:tc>
          <w:tcPr>
            <w:tcW w:w="1806" w:type="dxa"/>
            <w:vAlign w:val="center"/>
          </w:tcPr>
          <w:p>
            <w:pPr>
              <w:widowControl/>
              <w:spacing w:line="240" w:lineRule="auto"/>
              <w:ind w:firstLine="0" w:firstLineChars="0"/>
              <w:contextualSpacing/>
              <w:jc w:val="center"/>
              <w:textAlignment w:val="center"/>
              <w:rPr>
                <w:sz w:val="21"/>
              </w:rPr>
            </w:pPr>
            <w:r>
              <w:rPr>
                <w:sz w:val="22"/>
                <w:szCs w:val="22"/>
              </w:rPr>
              <w:t xml:space="preserve">175.94 </w:t>
            </w:r>
          </w:p>
        </w:tc>
        <w:tc>
          <w:tcPr>
            <w:tcW w:w="1667" w:type="dxa"/>
            <w:vAlign w:val="center"/>
          </w:tcPr>
          <w:p>
            <w:pPr>
              <w:widowControl/>
              <w:spacing w:line="240" w:lineRule="auto"/>
              <w:ind w:firstLine="0" w:firstLineChars="0"/>
              <w:contextualSpacing/>
              <w:jc w:val="center"/>
              <w:textAlignment w:val="center"/>
              <w:rPr>
                <w:sz w:val="21"/>
              </w:rPr>
            </w:pPr>
            <w:r>
              <w:rPr>
                <w:sz w:val="22"/>
                <w:szCs w:val="22"/>
              </w:rPr>
              <w:t xml:space="preserve">6.32 </w:t>
            </w:r>
          </w:p>
        </w:tc>
        <w:tc>
          <w:tcPr>
            <w:tcW w:w="1528" w:type="dxa"/>
            <w:vAlign w:val="center"/>
          </w:tcPr>
          <w:p>
            <w:pPr>
              <w:widowControl/>
              <w:spacing w:line="240" w:lineRule="auto"/>
              <w:ind w:firstLine="0" w:firstLineChars="0"/>
              <w:contextualSpacing/>
              <w:jc w:val="center"/>
              <w:textAlignment w:val="center"/>
              <w:rPr>
                <w:sz w:val="21"/>
              </w:rPr>
            </w:pPr>
            <w:r>
              <w:rPr>
                <w:sz w:val="22"/>
                <w:szCs w:val="22"/>
              </w:rPr>
              <w:t xml:space="preserve">12.05 </w:t>
            </w:r>
          </w:p>
        </w:tc>
        <w:tc>
          <w:tcPr>
            <w:tcW w:w="1578" w:type="dxa"/>
            <w:vAlign w:val="center"/>
          </w:tcPr>
          <w:p>
            <w:pPr>
              <w:widowControl/>
              <w:spacing w:line="240" w:lineRule="auto"/>
              <w:ind w:firstLine="0" w:firstLineChars="0"/>
              <w:contextualSpacing/>
              <w:jc w:val="center"/>
              <w:textAlignment w:val="center"/>
              <w:rPr>
                <w:sz w:val="21"/>
              </w:rPr>
            </w:pPr>
            <w:r>
              <w:rPr>
                <w:sz w:val="22"/>
                <w:szCs w:val="22"/>
              </w:rPr>
              <w:t xml:space="preserve">1.65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3" w:type="dxa"/>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37" w:name="_Toc88521727"/>
            <w:bookmarkStart w:id="738" w:name="_Toc87802017"/>
            <w:r>
              <w:rPr>
                <w:rFonts w:ascii="Times New Roman" w:hAnsi="Times New Roman"/>
                <w:spacing w:val="0"/>
                <w:kern w:val="2"/>
                <w:sz w:val="21"/>
                <w:szCs w:val="21"/>
              </w:rPr>
              <w:t>入河量</w:t>
            </w:r>
            <w:bookmarkEnd w:id="737"/>
            <w:bookmarkEnd w:id="738"/>
          </w:p>
        </w:tc>
        <w:tc>
          <w:tcPr>
            <w:tcW w:w="1806" w:type="dxa"/>
            <w:vAlign w:val="center"/>
          </w:tcPr>
          <w:p>
            <w:pPr>
              <w:widowControl/>
              <w:spacing w:line="240" w:lineRule="auto"/>
              <w:ind w:firstLine="0" w:firstLineChars="0"/>
              <w:contextualSpacing/>
              <w:jc w:val="center"/>
              <w:textAlignment w:val="center"/>
              <w:rPr>
                <w:sz w:val="21"/>
              </w:rPr>
            </w:pPr>
            <w:r>
              <w:rPr>
                <w:sz w:val="22"/>
                <w:szCs w:val="22"/>
              </w:rPr>
              <w:t xml:space="preserve">57.86 </w:t>
            </w:r>
          </w:p>
        </w:tc>
        <w:tc>
          <w:tcPr>
            <w:tcW w:w="1667" w:type="dxa"/>
            <w:vAlign w:val="center"/>
          </w:tcPr>
          <w:p>
            <w:pPr>
              <w:widowControl/>
              <w:spacing w:line="240" w:lineRule="auto"/>
              <w:ind w:firstLine="0" w:firstLineChars="0"/>
              <w:contextualSpacing/>
              <w:jc w:val="center"/>
              <w:textAlignment w:val="center"/>
              <w:rPr>
                <w:sz w:val="21"/>
              </w:rPr>
            </w:pPr>
            <w:r>
              <w:rPr>
                <w:sz w:val="22"/>
                <w:szCs w:val="22"/>
              </w:rPr>
              <w:t xml:space="preserve">1.53 </w:t>
            </w:r>
          </w:p>
        </w:tc>
        <w:tc>
          <w:tcPr>
            <w:tcW w:w="1528" w:type="dxa"/>
            <w:vAlign w:val="center"/>
          </w:tcPr>
          <w:p>
            <w:pPr>
              <w:widowControl/>
              <w:spacing w:line="240" w:lineRule="auto"/>
              <w:ind w:firstLine="0" w:firstLineChars="0"/>
              <w:contextualSpacing/>
              <w:jc w:val="center"/>
              <w:textAlignment w:val="center"/>
              <w:rPr>
                <w:sz w:val="21"/>
              </w:rPr>
            </w:pPr>
            <w:r>
              <w:rPr>
                <w:sz w:val="22"/>
                <w:szCs w:val="22"/>
              </w:rPr>
              <w:t xml:space="preserve">3.28 </w:t>
            </w:r>
          </w:p>
        </w:tc>
        <w:tc>
          <w:tcPr>
            <w:tcW w:w="1578" w:type="dxa"/>
            <w:vAlign w:val="center"/>
          </w:tcPr>
          <w:p>
            <w:pPr>
              <w:widowControl/>
              <w:spacing w:line="240" w:lineRule="auto"/>
              <w:ind w:firstLine="0" w:firstLineChars="0"/>
              <w:contextualSpacing/>
              <w:jc w:val="center"/>
              <w:textAlignment w:val="center"/>
              <w:rPr>
                <w:sz w:val="21"/>
              </w:rPr>
            </w:pPr>
            <w:r>
              <w:rPr>
                <w:sz w:val="22"/>
                <w:szCs w:val="22"/>
              </w:rPr>
              <w:t xml:space="preserve">0.54 </w:t>
            </w:r>
          </w:p>
        </w:tc>
      </w:tr>
    </w:tbl>
    <w:p>
      <w:pPr>
        <w:ind w:firstLine="480"/>
        <w:contextualSpacing/>
      </w:pPr>
      <w:r>
        <w:t>2）常规水质预测</w:t>
      </w:r>
    </w:p>
    <w:p>
      <w:pPr>
        <w:ind w:firstLine="480"/>
        <w:contextualSpacing/>
      </w:pPr>
      <w:r>
        <w:rPr>
          <w:rFonts w:hint="eastAsia" w:ascii="宋体" w:hAnsi="宋体" w:cs="宋体"/>
        </w:rPr>
        <w:t>①</w:t>
      </w:r>
      <w:r>
        <w:rPr>
          <w:kern w:val="0"/>
        </w:rPr>
        <w:t>预测模型</w:t>
      </w:r>
      <w:r>
        <w:t>选择</w:t>
      </w:r>
    </w:p>
    <w:p>
      <w:pPr>
        <w:ind w:firstLine="480"/>
        <w:contextualSpacing/>
      </w:pPr>
      <w:r>
        <w:t>寒溪寺</w:t>
      </w:r>
      <w:r>
        <w:rPr>
          <w:kern w:val="0"/>
        </w:rPr>
        <w:t>水库</w:t>
      </w:r>
      <w:r>
        <w:t>库周没有点源污染，入库污染源主要以面源形式汇入。本次预测拟采用狭长湖移流衰减模式进行预测。狭长湖移流衰减模式计算式为：</w:t>
      </w:r>
    </w:p>
    <w:p>
      <w:pPr>
        <w:ind w:firstLine="480"/>
        <w:contextualSpacing/>
        <w:jc w:val="center"/>
      </w:pPr>
      <w:r>
        <w:drawing>
          <wp:inline distT="0" distB="0" distL="0" distR="0">
            <wp:extent cx="1884045" cy="39878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884045" cy="398780"/>
                    </a:xfrm>
                    <a:prstGeom prst="rect">
                      <a:avLst/>
                    </a:prstGeom>
                    <a:noFill/>
                    <a:ln>
                      <a:noFill/>
                    </a:ln>
                  </pic:spPr>
                </pic:pic>
              </a:graphicData>
            </a:graphic>
          </wp:inline>
        </w:drawing>
      </w:r>
    </w:p>
    <w:p>
      <w:pPr>
        <w:ind w:firstLine="480"/>
        <w:contextualSpacing/>
      </w:pPr>
      <w:r>
        <w:t>式中：</w:t>
      </w:r>
    </w:p>
    <w:p>
      <w:pPr>
        <w:ind w:firstLine="480"/>
        <w:contextualSpacing/>
      </w:pPr>
      <w:r>
        <w:t>C</w:t>
      </w:r>
      <w:r>
        <w:rPr>
          <w:vertAlign w:val="subscript"/>
        </w:rPr>
        <w:t>l</w:t>
      </w:r>
      <w:r>
        <w:t>——狭长</w:t>
      </w:r>
      <w:r>
        <w:rPr>
          <w:kern w:val="0"/>
        </w:rPr>
        <w:t>水库</w:t>
      </w:r>
      <w:r>
        <w:t>出口污染物平均浓度，mg/L；</w:t>
      </w:r>
    </w:p>
    <w:p>
      <w:pPr>
        <w:ind w:firstLine="480"/>
        <w:contextualSpacing/>
      </w:pPr>
      <w:r>
        <w:t>C</w:t>
      </w:r>
      <w:r>
        <w:rPr>
          <w:vertAlign w:val="subscript"/>
        </w:rPr>
        <w:t>p</w:t>
      </w:r>
      <w:r>
        <w:t>——污染物排放浓度，mg/L；</w:t>
      </w:r>
    </w:p>
    <w:p>
      <w:pPr>
        <w:ind w:firstLine="480"/>
        <w:contextualSpacing/>
      </w:pPr>
      <w:r>
        <w:t>C</w:t>
      </w:r>
      <w:r>
        <w:rPr>
          <w:vertAlign w:val="subscript"/>
        </w:rPr>
        <w:t>h</w:t>
      </w:r>
      <w:r>
        <w:t>——水库</w:t>
      </w:r>
      <w:r>
        <w:rPr>
          <w:kern w:val="0"/>
        </w:rPr>
        <w:t>上游</w:t>
      </w:r>
      <w:r>
        <w:t>背景浓度，mg/L；</w:t>
      </w:r>
    </w:p>
    <w:p>
      <w:pPr>
        <w:ind w:firstLine="480"/>
        <w:contextualSpacing/>
      </w:pPr>
      <w:r>
        <w:t>Q</w:t>
      </w:r>
      <w:r>
        <w:rPr>
          <w:vertAlign w:val="subscript"/>
        </w:rPr>
        <w:t>p</w:t>
      </w:r>
      <w:r>
        <w:t>——</w:t>
      </w:r>
      <w:r>
        <w:rPr>
          <w:kern w:val="0"/>
        </w:rPr>
        <w:t>污染物</w:t>
      </w:r>
      <w:r>
        <w:t>排放流量，m</w:t>
      </w:r>
      <w:r>
        <w:rPr>
          <w:vertAlign w:val="superscript"/>
        </w:rPr>
        <w:t>3</w:t>
      </w:r>
      <w:r>
        <w:t>/s；</w:t>
      </w:r>
    </w:p>
    <w:p>
      <w:pPr>
        <w:ind w:firstLine="480"/>
        <w:contextualSpacing/>
      </w:pPr>
      <w:r>
        <w:t>Q</w:t>
      </w:r>
      <w:r>
        <w:rPr>
          <w:vertAlign w:val="subscript"/>
        </w:rPr>
        <w:t>h</w:t>
      </w:r>
      <w:r>
        <w:t>——多</w:t>
      </w:r>
      <w:r>
        <w:rPr>
          <w:kern w:val="0"/>
        </w:rPr>
        <w:t>年平均</w:t>
      </w:r>
      <w:r>
        <w:t>入库流量，m</w:t>
      </w:r>
      <w:r>
        <w:rPr>
          <w:vertAlign w:val="superscript"/>
        </w:rPr>
        <w:t>3</w:t>
      </w:r>
      <w:r>
        <w:t>/s；计算中取各代表年逐月的入库流量；</w:t>
      </w:r>
    </w:p>
    <w:p>
      <w:pPr>
        <w:ind w:firstLine="480"/>
        <w:contextualSpacing/>
      </w:pPr>
      <w:r>
        <w:t>K</w:t>
      </w:r>
      <w:r>
        <w:rPr>
          <w:vertAlign w:val="subscript"/>
        </w:rPr>
        <w:t>1</w:t>
      </w:r>
      <w:r>
        <w:t>——</w:t>
      </w:r>
      <w:r>
        <w:rPr>
          <w:kern w:val="0"/>
        </w:rPr>
        <w:t>污染物</w:t>
      </w:r>
      <w:r>
        <w:t>综合衰减系数，1/d；设计水平年，库区流速降低，污染物衰减系数减小，考虑不利条件，COD拟取0.01，氨氮拟取0.04，总磷拟取0.01，总氮拟取0.05；</w:t>
      </w:r>
    </w:p>
    <w:p>
      <w:pPr>
        <w:ind w:firstLine="480"/>
        <w:contextualSpacing/>
      </w:pPr>
      <w:r>
        <w:t>V ——</w:t>
      </w:r>
      <w:r>
        <w:rPr>
          <w:kern w:val="0"/>
        </w:rPr>
        <w:t>水库</w:t>
      </w:r>
      <w:r>
        <w:t>总库容，m</w:t>
      </w:r>
      <w:r>
        <w:rPr>
          <w:vertAlign w:val="superscript"/>
        </w:rPr>
        <w:t>3</w:t>
      </w:r>
      <w:r>
        <w:t>。</w:t>
      </w:r>
    </w:p>
    <w:p>
      <w:pPr>
        <w:ind w:firstLine="480"/>
        <w:contextualSpacing/>
      </w:pPr>
      <w:r>
        <w:rPr>
          <w:rFonts w:hint="eastAsia" w:ascii="宋体" w:hAnsi="宋体" w:cs="宋体"/>
        </w:rPr>
        <w:t>②</w:t>
      </w:r>
      <w:r>
        <w:t>预测</w:t>
      </w:r>
      <w:r>
        <w:rPr>
          <w:kern w:val="0"/>
        </w:rPr>
        <w:t>因子</w:t>
      </w:r>
      <w:r>
        <w:t>选择</w:t>
      </w:r>
    </w:p>
    <w:p>
      <w:pPr>
        <w:ind w:firstLine="480"/>
      </w:pPr>
      <w:r>
        <w:t>根据调查区域水质污染现状，其主要污染物为COD、氨氮、总磷、总氮，污染特征为有机</w:t>
      </w:r>
      <w:r>
        <w:rPr>
          <w:rFonts w:hint="eastAsia"/>
          <w:kern w:val="0"/>
        </w:rPr>
        <w:t>污染</w:t>
      </w:r>
      <w:r>
        <w:t>性，因此选用以上污染物作为预测因子。</w:t>
      </w:r>
      <w:r>
        <w:rPr>
          <w:rFonts w:hint="eastAsia"/>
        </w:rPr>
        <w:t>其中，平枯水期（1</w:t>
      </w:r>
      <w:r>
        <w:t>0</w:t>
      </w:r>
      <w:r>
        <w:rPr>
          <w:rFonts w:hint="eastAsia"/>
        </w:rPr>
        <w:t>月~次年6月）水库上游背景浓度选择2</w:t>
      </w:r>
      <w:r>
        <w:t>023</w:t>
      </w:r>
      <w:r>
        <w:rPr>
          <w:rFonts w:hint="eastAsia"/>
        </w:rPr>
        <w:t>年</w:t>
      </w:r>
      <w:r>
        <w:t>3</w:t>
      </w:r>
      <w:r>
        <w:rPr>
          <w:rFonts w:hint="eastAsia"/>
        </w:rPr>
        <w:t>月坝址断面水质监测值，即C</w:t>
      </w:r>
      <w:r>
        <w:t>OD</w:t>
      </w:r>
      <w:r>
        <w:rPr>
          <w:rFonts w:hint="eastAsia"/>
        </w:rPr>
        <w:t>为9</w:t>
      </w:r>
      <w:r>
        <w:t>.67</w:t>
      </w:r>
      <w:r>
        <w:rPr>
          <w:rFonts w:hint="eastAsia"/>
        </w:rPr>
        <w:t>mg</w:t>
      </w:r>
      <w:r>
        <w:t>/L</w:t>
      </w:r>
      <w:r>
        <w:rPr>
          <w:rFonts w:hint="eastAsia"/>
        </w:rPr>
        <w:t>，氨氮为0</w:t>
      </w:r>
      <w:r>
        <w:t>.087</w:t>
      </w:r>
      <w:r>
        <w:rPr>
          <w:rFonts w:hint="eastAsia"/>
        </w:rPr>
        <w:t>mg</w:t>
      </w:r>
      <w:r>
        <w:t>/L</w:t>
      </w:r>
      <w:r>
        <w:rPr>
          <w:rFonts w:hint="eastAsia"/>
        </w:rPr>
        <w:t>，总氮为0</w:t>
      </w:r>
      <w:r>
        <w:t>.47</w:t>
      </w:r>
      <w:r>
        <w:rPr>
          <w:rFonts w:hint="eastAsia"/>
        </w:rPr>
        <w:t>mg</w:t>
      </w:r>
      <w:r>
        <w:t>/L</w:t>
      </w:r>
      <w:r>
        <w:rPr>
          <w:rFonts w:hint="eastAsia"/>
        </w:rPr>
        <w:t>，总磷为0</w:t>
      </w:r>
      <w:r>
        <w:t>.027</w:t>
      </w:r>
      <w:r>
        <w:rPr>
          <w:rFonts w:hint="eastAsia"/>
        </w:rPr>
        <w:t>mg</w:t>
      </w:r>
      <w:r>
        <w:t>/L</w:t>
      </w:r>
      <w:r>
        <w:rPr>
          <w:rFonts w:hint="eastAsia"/>
        </w:rPr>
        <w:t>；丰水期（7月~</w:t>
      </w:r>
      <w:r>
        <w:t>9</w:t>
      </w:r>
      <w:r>
        <w:rPr>
          <w:rFonts w:hint="eastAsia"/>
        </w:rPr>
        <w:t>月）水库上游背景浓度取2</w:t>
      </w:r>
      <w:r>
        <w:t>021</w:t>
      </w:r>
      <w:r>
        <w:rPr>
          <w:rFonts w:hint="eastAsia"/>
        </w:rPr>
        <w:t>年7月坝址断面水质监测值，C</w:t>
      </w:r>
      <w:r>
        <w:t>OD</w:t>
      </w:r>
      <w:r>
        <w:rPr>
          <w:rFonts w:hint="eastAsia"/>
        </w:rPr>
        <w:t>为</w:t>
      </w:r>
      <w:r>
        <w:t>13.0</w:t>
      </w:r>
      <w:r>
        <w:rPr>
          <w:rFonts w:hint="eastAsia"/>
        </w:rPr>
        <w:t>mg</w:t>
      </w:r>
      <w:r>
        <w:t>/L</w:t>
      </w:r>
      <w:r>
        <w:rPr>
          <w:rFonts w:hint="eastAsia"/>
        </w:rPr>
        <w:t>，氨氮为0</w:t>
      </w:r>
      <w:r>
        <w:t>.42</w:t>
      </w:r>
      <w:r>
        <w:rPr>
          <w:rFonts w:hint="eastAsia"/>
        </w:rPr>
        <w:t>mg</w:t>
      </w:r>
      <w:r>
        <w:t>/L</w:t>
      </w:r>
      <w:r>
        <w:rPr>
          <w:rFonts w:hint="eastAsia"/>
        </w:rPr>
        <w:t>，总氮为</w:t>
      </w:r>
      <w:r>
        <w:t>2.0</w:t>
      </w:r>
      <w:r>
        <w:rPr>
          <w:rFonts w:hint="eastAsia"/>
        </w:rPr>
        <w:t>mg</w:t>
      </w:r>
      <w:r>
        <w:t>/L</w:t>
      </w:r>
      <w:r>
        <w:rPr>
          <w:rFonts w:hint="eastAsia"/>
        </w:rPr>
        <w:t>，总磷为0</w:t>
      </w:r>
      <w:r>
        <w:t>.12</w:t>
      </w:r>
      <w:r>
        <w:rPr>
          <w:rFonts w:hint="eastAsia"/>
        </w:rPr>
        <w:t>mg</w:t>
      </w:r>
      <w:r>
        <w:t>/L</w:t>
      </w:r>
      <w:r>
        <w:rPr>
          <w:rFonts w:hint="eastAsia"/>
        </w:rPr>
        <w:t>。</w:t>
      </w:r>
    </w:p>
    <w:p>
      <w:pPr>
        <w:ind w:firstLine="480"/>
        <w:contextualSpacing/>
      </w:pPr>
      <w:r>
        <w:rPr>
          <w:rFonts w:hint="eastAsia" w:ascii="宋体" w:hAnsi="宋体" w:cs="宋体"/>
        </w:rPr>
        <w:t>③</w:t>
      </w:r>
      <w:r>
        <w:rPr>
          <w:kern w:val="0"/>
        </w:rPr>
        <w:t>预测</w:t>
      </w:r>
      <w:r>
        <w:t>结果</w:t>
      </w:r>
    </w:p>
    <w:p>
      <w:pPr>
        <w:ind w:firstLine="480"/>
        <w:contextualSpacing/>
      </w:pPr>
      <w:r>
        <w:t>水库水质预测断面选择为坝前，计算建库后正常调度运行时，丰、平、枯代表年条件下坝前断面水质的情况，以反映水库建设对库区河段地表水水质的影响。水质评价标准为《地表水环境质量标准》（GB3838-2002）Ⅲ类标准。预测成果见表5.2.2-12~14。</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 5.2.2-12  丰水年水库水质预测结果表</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285"/>
        <w:gridCol w:w="1283"/>
        <w:gridCol w:w="1233"/>
        <w:gridCol w:w="1233"/>
        <w:gridCol w:w="1233"/>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月份</w:t>
            </w:r>
          </w:p>
        </w:tc>
        <w:tc>
          <w:tcPr>
            <w:tcW w:w="769" w:type="pct"/>
            <w:vAlign w:val="center"/>
          </w:tcPr>
          <w:p>
            <w:pPr>
              <w:spacing w:line="240" w:lineRule="auto"/>
              <w:ind w:firstLine="0" w:firstLineChars="0"/>
              <w:contextualSpacing/>
              <w:jc w:val="center"/>
              <w:rPr>
                <w:sz w:val="21"/>
                <w:szCs w:val="21"/>
              </w:rPr>
            </w:pPr>
            <w:r>
              <w:rPr>
                <w:sz w:val="21"/>
                <w:szCs w:val="21"/>
              </w:rPr>
              <w:t>入库流量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68"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38"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w:t>
            </w:r>
          </w:p>
        </w:tc>
        <w:tc>
          <w:tcPr>
            <w:tcW w:w="769" w:type="pct"/>
            <w:vAlign w:val="center"/>
          </w:tcPr>
          <w:p>
            <w:pPr>
              <w:spacing w:line="240" w:lineRule="auto"/>
              <w:ind w:firstLine="0" w:firstLineChars="0"/>
              <w:contextualSpacing/>
              <w:jc w:val="center"/>
              <w:rPr>
                <w:sz w:val="21"/>
                <w:szCs w:val="21"/>
              </w:rPr>
            </w:pPr>
            <w:r>
              <w:rPr>
                <w:sz w:val="21"/>
                <w:szCs w:val="21"/>
              </w:rPr>
              <w:t>0.133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2</w:t>
            </w:r>
          </w:p>
        </w:tc>
        <w:tc>
          <w:tcPr>
            <w:tcW w:w="769" w:type="pct"/>
            <w:vAlign w:val="center"/>
          </w:tcPr>
          <w:p>
            <w:pPr>
              <w:spacing w:line="240" w:lineRule="auto"/>
              <w:ind w:firstLine="0" w:firstLineChars="0"/>
              <w:contextualSpacing/>
              <w:jc w:val="center"/>
              <w:rPr>
                <w:sz w:val="21"/>
                <w:szCs w:val="21"/>
              </w:rPr>
            </w:pPr>
            <w:r>
              <w:rPr>
                <w:sz w:val="21"/>
                <w:szCs w:val="21"/>
              </w:rPr>
              <w:t>0.072</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3</w:t>
            </w:r>
          </w:p>
        </w:tc>
        <w:tc>
          <w:tcPr>
            <w:tcW w:w="769" w:type="pct"/>
            <w:vAlign w:val="center"/>
          </w:tcPr>
          <w:p>
            <w:pPr>
              <w:spacing w:line="240" w:lineRule="auto"/>
              <w:ind w:firstLine="0" w:firstLineChars="0"/>
              <w:contextualSpacing/>
              <w:jc w:val="center"/>
              <w:rPr>
                <w:sz w:val="21"/>
                <w:szCs w:val="21"/>
              </w:rPr>
            </w:pPr>
            <w:r>
              <w:rPr>
                <w:sz w:val="21"/>
                <w:szCs w:val="21"/>
              </w:rPr>
              <w:t>0.123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4</w:t>
            </w:r>
          </w:p>
        </w:tc>
        <w:tc>
          <w:tcPr>
            <w:tcW w:w="769" w:type="pct"/>
            <w:vAlign w:val="center"/>
          </w:tcPr>
          <w:p>
            <w:pPr>
              <w:spacing w:line="240" w:lineRule="auto"/>
              <w:ind w:firstLine="0" w:firstLineChars="0"/>
              <w:contextualSpacing/>
              <w:jc w:val="center"/>
              <w:rPr>
                <w:sz w:val="21"/>
                <w:szCs w:val="21"/>
              </w:rPr>
            </w:pPr>
            <w:r>
              <w:rPr>
                <w:sz w:val="21"/>
                <w:szCs w:val="21"/>
              </w:rPr>
              <w:t>0.443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9.69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5</w:t>
            </w:r>
          </w:p>
        </w:tc>
        <w:tc>
          <w:tcPr>
            <w:tcW w:w="769" w:type="pct"/>
            <w:vAlign w:val="center"/>
          </w:tcPr>
          <w:p>
            <w:pPr>
              <w:spacing w:line="240" w:lineRule="auto"/>
              <w:ind w:firstLine="0" w:firstLineChars="0"/>
              <w:contextualSpacing/>
              <w:jc w:val="center"/>
              <w:rPr>
                <w:sz w:val="21"/>
                <w:szCs w:val="21"/>
              </w:rPr>
            </w:pPr>
            <w:r>
              <w:rPr>
                <w:sz w:val="21"/>
                <w:szCs w:val="21"/>
              </w:rPr>
              <w:t>0.761</w:t>
            </w:r>
          </w:p>
        </w:tc>
        <w:tc>
          <w:tcPr>
            <w:tcW w:w="768" w:type="pct"/>
            <w:vAlign w:val="center"/>
          </w:tcPr>
          <w:p>
            <w:pPr>
              <w:spacing w:line="240" w:lineRule="auto"/>
              <w:ind w:firstLine="0" w:firstLineChars="0"/>
              <w:contextualSpacing/>
              <w:jc w:val="center"/>
              <w:rPr>
                <w:sz w:val="21"/>
                <w:szCs w:val="21"/>
              </w:rPr>
            </w:pPr>
            <w:r>
              <w:rPr>
                <w:sz w:val="21"/>
                <w:szCs w:val="21"/>
              </w:rPr>
              <w:t>0.322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9.78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6</w:t>
            </w:r>
          </w:p>
        </w:tc>
        <w:tc>
          <w:tcPr>
            <w:tcW w:w="769" w:type="pct"/>
            <w:vAlign w:val="center"/>
          </w:tcPr>
          <w:p>
            <w:pPr>
              <w:spacing w:line="240" w:lineRule="auto"/>
              <w:ind w:firstLine="0" w:firstLineChars="0"/>
              <w:contextualSpacing/>
              <w:jc w:val="center"/>
              <w:rPr>
                <w:sz w:val="21"/>
                <w:szCs w:val="21"/>
              </w:rPr>
            </w:pPr>
            <w:r>
              <w:rPr>
                <w:sz w:val="21"/>
                <w:szCs w:val="21"/>
              </w:rPr>
              <w:t>1.249</w:t>
            </w:r>
          </w:p>
        </w:tc>
        <w:tc>
          <w:tcPr>
            <w:tcW w:w="768" w:type="pct"/>
            <w:vAlign w:val="center"/>
          </w:tcPr>
          <w:p>
            <w:pPr>
              <w:spacing w:line="240" w:lineRule="auto"/>
              <w:ind w:firstLine="0" w:firstLineChars="0"/>
              <w:contextualSpacing/>
              <w:jc w:val="center"/>
              <w:rPr>
                <w:sz w:val="21"/>
                <w:szCs w:val="21"/>
              </w:rPr>
            </w:pPr>
            <w:r>
              <w:rPr>
                <w:sz w:val="21"/>
                <w:szCs w:val="21"/>
              </w:rPr>
              <w:t>1.232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9.90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7</w:t>
            </w:r>
          </w:p>
        </w:tc>
        <w:tc>
          <w:tcPr>
            <w:tcW w:w="769" w:type="pct"/>
            <w:vAlign w:val="center"/>
          </w:tcPr>
          <w:p>
            <w:pPr>
              <w:spacing w:line="240" w:lineRule="auto"/>
              <w:ind w:firstLine="0" w:firstLineChars="0"/>
              <w:contextualSpacing/>
              <w:jc w:val="center"/>
              <w:rPr>
                <w:sz w:val="21"/>
                <w:szCs w:val="21"/>
              </w:rPr>
            </w:pPr>
            <w:r>
              <w:rPr>
                <w:sz w:val="21"/>
                <w:szCs w:val="21"/>
              </w:rPr>
              <w:t>1.124</w:t>
            </w:r>
          </w:p>
        </w:tc>
        <w:tc>
          <w:tcPr>
            <w:tcW w:w="768" w:type="pct"/>
            <w:vAlign w:val="center"/>
          </w:tcPr>
          <w:p>
            <w:pPr>
              <w:spacing w:line="240" w:lineRule="auto"/>
              <w:ind w:firstLine="0" w:firstLineChars="0"/>
              <w:contextualSpacing/>
              <w:jc w:val="center"/>
              <w:rPr>
                <w:sz w:val="21"/>
                <w:szCs w:val="21"/>
              </w:rPr>
            </w:pPr>
            <w:r>
              <w:rPr>
                <w:sz w:val="21"/>
                <w:szCs w:val="21"/>
              </w:rPr>
              <w:t>1.524</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13.21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8</w:t>
            </w:r>
          </w:p>
        </w:tc>
        <w:tc>
          <w:tcPr>
            <w:tcW w:w="769" w:type="pct"/>
            <w:vAlign w:val="center"/>
          </w:tcPr>
          <w:p>
            <w:pPr>
              <w:spacing w:line="240" w:lineRule="auto"/>
              <w:ind w:firstLine="0" w:firstLineChars="0"/>
              <w:contextualSpacing/>
              <w:jc w:val="center"/>
              <w:rPr>
                <w:sz w:val="21"/>
                <w:szCs w:val="21"/>
              </w:rPr>
            </w:pPr>
            <w:r>
              <w:rPr>
                <w:sz w:val="21"/>
                <w:szCs w:val="21"/>
              </w:rPr>
              <w:t>6.687</w:t>
            </w:r>
          </w:p>
        </w:tc>
        <w:tc>
          <w:tcPr>
            <w:tcW w:w="768" w:type="pct"/>
            <w:vAlign w:val="center"/>
          </w:tcPr>
          <w:p>
            <w:pPr>
              <w:spacing w:line="240" w:lineRule="auto"/>
              <w:ind w:firstLine="0" w:firstLineChars="0"/>
              <w:contextualSpacing/>
              <w:jc w:val="center"/>
              <w:rPr>
                <w:sz w:val="21"/>
                <w:szCs w:val="21"/>
              </w:rPr>
            </w:pPr>
            <w:r>
              <w:rPr>
                <w:sz w:val="21"/>
                <w:szCs w:val="21"/>
              </w:rPr>
              <w:t>1.572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13.19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0.422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2.003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9</w:t>
            </w:r>
          </w:p>
        </w:tc>
        <w:tc>
          <w:tcPr>
            <w:tcW w:w="769" w:type="pct"/>
            <w:vAlign w:val="center"/>
          </w:tcPr>
          <w:p>
            <w:pPr>
              <w:spacing w:line="240" w:lineRule="auto"/>
              <w:ind w:firstLine="0" w:firstLineChars="0"/>
              <w:contextualSpacing/>
              <w:jc w:val="center"/>
              <w:rPr>
                <w:sz w:val="21"/>
                <w:szCs w:val="21"/>
              </w:rPr>
            </w:pPr>
            <w:r>
              <w:rPr>
                <w:sz w:val="21"/>
                <w:szCs w:val="21"/>
              </w:rPr>
              <w:t>1.547</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13.26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10</w:t>
            </w:r>
          </w:p>
        </w:tc>
        <w:tc>
          <w:tcPr>
            <w:tcW w:w="769" w:type="pct"/>
            <w:vAlign w:val="center"/>
          </w:tcPr>
          <w:p>
            <w:pPr>
              <w:spacing w:line="240" w:lineRule="auto"/>
              <w:ind w:firstLine="0" w:firstLineChars="0"/>
              <w:contextualSpacing/>
              <w:jc w:val="center"/>
              <w:rPr>
                <w:sz w:val="21"/>
                <w:szCs w:val="21"/>
              </w:rPr>
            </w:pPr>
            <w:r>
              <w:rPr>
                <w:sz w:val="21"/>
                <w:szCs w:val="21"/>
              </w:rPr>
              <w:t>0.269</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11</w:t>
            </w:r>
          </w:p>
        </w:tc>
        <w:tc>
          <w:tcPr>
            <w:tcW w:w="769" w:type="pct"/>
            <w:vAlign w:val="center"/>
          </w:tcPr>
          <w:p>
            <w:pPr>
              <w:spacing w:line="240" w:lineRule="auto"/>
              <w:ind w:firstLine="0" w:firstLineChars="0"/>
              <w:contextualSpacing/>
              <w:jc w:val="center"/>
              <w:rPr>
                <w:sz w:val="21"/>
                <w:szCs w:val="21"/>
              </w:rPr>
            </w:pPr>
            <w:r>
              <w:rPr>
                <w:sz w:val="21"/>
                <w:szCs w:val="21"/>
              </w:rPr>
              <w:t>0.164</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12</w:t>
            </w:r>
          </w:p>
        </w:tc>
        <w:tc>
          <w:tcPr>
            <w:tcW w:w="769" w:type="pct"/>
            <w:vAlign w:val="center"/>
          </w:tcPr>
          <w:p>
            <w:pPr>
              <w:spacing w:line="240" w:lineRule="auto"/>
              <w:ind w:firstLine="0" w:firstLineChars="0"/>
              <w:contextualSpacing/>
              <w:jc w:val="center"/>
              <w:rPr>
                <w:sz w:val="21"/>
                <w:szCs w:val="21"/>
              </w:rPr>
            </w:pPr>
            <w:r>
              <w:rPr>
                <w:sz w:val="21"/>
                <w:szCs w:val="21"/>
              </w:rPr>
              <w:t>0.094</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7" w:type="pct"/>
            <w:gridSpan w:val="3"/>
            <w:vAlign w:val="center"/>
          </w:tcPr>
          <w:p>
            <w:pPr>
              <w:spacing w:line="240" w:lineRule="auto"/>
              <w:ind w:firstLine="0" w:firstLineChars="0"/>
              <w:contextualSpacing/>
              <w:jc w:val="center"/>
              <w:rPr>
                <w:sz w:val="21"/>
                <w:szCs w:val="21"/>
              </w:rPr>
            </w:pPr>
            <w:r>
              <w:rPr>
                <w:sz w:val="21"/>
                <w:szCs w:val="21"/>
              </w:rPr>
              <w:t>《地表水环境质量标准》Ⅲ类</w:t>
            </w:r>
          </w:p>
        </w:tc>
        <w:tc>
          <w:tcPr>
            <w:tcW w:w="738" w:type="pct"/>
            <w:vAlign w:val="center"/>
          </w:tcPr>
          <w:p>
            <w:pPr>
              <w:spacing w:line="240" w:lineRule="auto"/>
              <w:ind w:firstLine="0" w:firstLineChars="0"/>
              <w:contextualSpacing/>
              <w:jc w:val="center"/>
              <w:rPr>
                <w:sz w:val="21"/>
                <w:szCs w:val="21"/>
              </w:rPr>
            </w:pPr>
            <w:r>
              <w:rPr>
                <w:sz w:val="21"/>
                <w:szCs w:val="21"/>
              </w:rPr>
              <w:t>20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0.05</w:t>
            </w:r>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 5.2.2-13  平水年水库水质预测结果表</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285"/>
        <w:gridCol w:w="1283"/>
        <w:gridCol w:w="1233"/>
        <w:gridCol w:w="1233"/>
        <w:gridCol w:w="1233"/>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月份</w:t>
            </w:r>
          </w:p>
        </w:tc>
        <w:tc>
          <w:tcPr>
            <w:tcW w:w="769" w:type="pct"/>
            <w:vAlign w:val="center"/>
          </w:tcPr>
          <w:p>
            <w:pPr>
              <w:spacing w:line="240" w:lineRule="auto"/>
              <w:ind w:firstLine="0" w:firstLineChars="0"/>
              <w:contextualSpacing/>
              <w:jc w:val="center"/>
              <w:rPr>
                <w:sz w:val="21"/>
                <w:szCs w:val="21"/>
              </w:rPr>
            </w:pPr>
            <w:r>
              <w:rPr>
                <w:sz w:val="21"/>
                <w:szCs w:val="21"/>
              </w:rPr>
              <w:t>入库流量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68"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38"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w:t>
            </w:r>
          </w:p>
        </w:tc>
        <w:tc>
          <w:tcPr>
            <w:tcW w:w="769" w:type="pct"/>
            <w:vAlign w:val="center"/>
          </w:tcPr>
          <w:p>
            <w:pPr>
              <w:spacing w:line="240" w:lineRule="auto"/>
              <w:ind w:firstLine="0" w:firstLineChars="0"/>
              <w:contextualSpacing/>
              <w:jc w:val="center"/>
              <w:rPr>
                <w:sz w:val="21"/>
                <w:szCs w:val="21"/>
              </w:rPr>
            </w:pPr>
            <w:r>
              <w:rPr>
                <w:sz w:val="21"/>
                <w:szCs w:val="21"/>
              </w:rPr>
              <w:t>0.062</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2</w:t>
            </w:r>
          </w:p>
        </w:tc>
        <w:tc>
          <w:tcPr>
            <w:tcW w:w="769" w:type="pct"/>
            <w:vAlign w:val="center"/>
          </w:tcPr>
          <w:p>
            <w:pPr>
              <w:spacing w:line="240" w:lineRule="auto"/>
              <w:ind w:firstLine="0" w:firstLineChars="0"/>
              <w:contextualSpacing/>
              <w:jc w:val="center"/>
              <w:rPr>
                <w:sz w:val="21"/>
                <w:szCs w:val="21"/>
              </w:rPr>
            </w:pPr>
            <w:r>
              <w:rPr>
                <w:sz w:val="21"/>
                <w:szCs w:val="21"/>
              </w:rPr>
              <w:t>0.049</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3</w:t>
            </w:r>
          </w:p>
        </w:tc>
        <w:tc>
          <w:tcPr>
            <w:tcW w:w="769" w:type="pct"/>
            <w:vAlign w:val="center"/>
          </w:tcPr>
          <w:p>
            <w:pPr>
              <w:spacing w:line="240" w:lineRule="auto"/>
              <w:ind w:firstLine="0" w:firstLineChars="0"/>
              <w:contextualSpacing/>
              <w:jc w:val="center"/>
              <w:rPr>
                <w:sz w:val="21"/>
                <w:szCs w:val="21"/>
              </w:rPr>
            </w:pPr>
            <w:r>
              <w:rPr>
                <w:sz w:val="21"/>
                <w:szCs w:val="21"/>
              </w:rPr>
              <w:t>0.201</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4</w:t>
            </w:r>
          </w:p>
        </w:tc>
        <w:tc>
          <w:tcPr>
            <w:tcW w:w="769" w:type="pct"/>
            <w:vAlign w:val="center"/>
          </w:tcPr>
          <w:p>
            <w:pPr>
              <w:spacing w:line="240" w:lineRule="auto"/>
              <w:ind w:firstLine="0" w:firstLineChars="0"/>
              <w:contextualSpacing/>
              <w:jc w:val="center"/>
              <w:rPr>
                <w:sz w:val="21"/>
                <w:szCs w:val="21"/>
              </w:rPr>
            </w:pPr>
            <w:r>
              <w:rPr>
                <w:sz w:val="21"/>
                <w:szCs w:val="21"/>
              </w:rPr>
              <w:t>0.423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5</w:t>
            </w:r>
          </w:p>
        </w:tc>
        <w:tc>
          <w:tcPr>
            <w:tcW w:w="769" w:type="pct"/>
            <w:vAlign w:val="center"/>
          </w:tcPr>
          <w:p>
            <w:pPr>
              <w:spacing w:line="240" w:lineRule="auto"/>
              <w:ind w:firstLine="0" w:firstLineChars="0"/>
              <w:contextualSpacing/>
              <w:jc w:val="center"/>
              <w:rPr>
                <w:sz w:val="21"/>
                <w:szCs w:val="21"/>
              </w:rPr>
            </w:pPr>
            <w:r>
              <w:rPr>
                <w:sz w:val="21"/>
                <w:szCs w:val="21"/>
              </w:rPr>
              <w:t>0.491</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6</w:t>
            </w:r>
          </w:p>
        </w:tc>
        <w:tc>
          <w:tcPr>
            <w:tcW w:w="769" w:type="pct"/>
            <w:vAlign w:val="center"/>
          </w:tcPr>
          <w:p>
            <w:pPr>
              <w:spacing w:line="240" w:lineRule="auto"/>
              <w:ind w:firstLine="0" w:firstLineChars="0"/>
              <w:contextualSpacing/>
              <w:jc w:val="center"/>
              <w:rPr>
                <w:sz w:val="21"/>
                <w:szCs w:val="21"/>
              </w:rPr>
            </w:pPr>
            <w:r>
              <w:rPr>
                <w:sz w:val="21"/>
                <w:szCs w:val="21"/>
              </w:rPr>
              <w:t>2.143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9.96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7</w:t>
            </w:r>
          </w:p>
        </w:tc>
        <w:tc>
          <w:tcPr>
            <w:tcW w:w="769" w:type="pct"/>
            <w:vAlign w:val="center"/>
          </w:tcPr>
          <w:p>
            <w:pPr>
              <w:spacing w:line="240" w:lineRule="auto"/>
              <w:ind w:firstLine="0" w:firstLineChars="0"/>
              <w:contextualSpacing/>
              <w:jc w:val="center"/>
              <w:rPr>
                <w:sz w:val="21"/>
                <w:szCs w:val="21"/>
              </w:rPr>
            </w:pPr>
            <w:r>
              <w:rPr>
                <w:sz w:val="21"/>
                <w:szCs w:val="21"/>
              </w:rPr>
              <w:t>0.697</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13.09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8</w:t>
            </w:r>
          </w:p>
        </w:tc>
        <w:tc>
          <w:tcPr>
            <w:tcW w:w="769" w:type="pct"/>
            <w:vAlign w:val="center"/>
          </w:tcPr>
          <w:p>
            <w:pPr>
              <w:spacing w:line="240" w:lineRule="auto"/>
              <w:ind w:firstLine="0" w:firstLineChars="0"/>
              <w:contextualSpacing/>
              <w:jc w:val="center"/>
              <w:rPr>
                <w:sz w:val="21"/>
                <w:szCs w:val="21"/>
              </w:rPr>
            </w:pPr>
            <w:r>
              <w:rPr>
                <w:sz w:val="21"/>
                <w:szCs w:val="21"/>
              </w:rPr>
              <w:t>2.356</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13.29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9</w:t>
            </w:r>
          </w:p>
        </w:tc>
        <w:tc>
          <w:tcPr>
            <w:tcW w:w="769" w:type="pct"/>
            <w:vAlign w:val="center"/>
          </w:tcPr>
          <w:p>
            <w:pPr>
              <w:spacing w:line="240" w:lineRule="auto"/>
              <w:ind w:firstLine="0" w:firstLineChars="0"/>
              <w:contextualSpacing/>
              <w:jc w:val="center"/>
              <w:rPr>
                <w:sz w:val="21"/>
                <w:szCs w:val="21"/>
              </w:rPr>
            </w:pPr>
            <w:r>
              <w:rPr>
                <w:sz w:val="21"/>
                <w:szCs w:val="21"/>
              </w:rPr>
              <w:t>0.273</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10</w:t>
            </w:r>
          </w:p>
        </w:tc>
        <w:tc>
          <w:tcPr>
            <w:tcW w:w="769" w:type="pct"/>
            <w:vAlign w:val="center"/>
          </w:tcPr>
          <w:p>
            <w:pPr>
              <w:spacing w:line="240" w:lineRule="auto"/>
              <w:ind w:firstLine="0" w:firstLineChars="0"/>
              <w:contextualSpacing/>
              <w:jc w:val="center"/>
              <w:rPr>
                <w:sz w:val="21"/>
                <w:szCs w:val="21"/>
              </w:rPr>
            </w:pPr>
            <w:r>
              <w:rPr>
                <w:sz w:val="21"/>
                <w:szCs w:val="21"/>
              </w:rPr>
              <w:t>0.491</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11</w:t>
            </w:r>
          </w:p>
        </w:tc>
        <w:tc>
          <w:tcPr>
            <w:tcW w:w="769" w:type="pct"/>
            <w:vAlign w:val="center"/>
          </w:tcPr>
          <w:p>
            <w:pPr>
              <w:spacing w:line="240" w:lineRule="auto"/>
              <w:ind w:firstLine="0" w:firstLineChars="0"/>
              <w:contextualSpacing/>
              <w:jc w:val="center"/>
              <w:rPr>
                <w:sz w:val="21"/>
                <w:szCs w:val="21"/>
              </w:rPr>
            </w:pPr>
            <w:r>
              <w:rPr>
                <w:sz w:val="21"/>
                <w:szCs w:val="21"/>
              </w:rPr>
              <w:t>0.171</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12</w:t>
            </w:r>
          </w:p>
        </w:tc>
        <w:tc>
          <w:tcPr>
            <w:tcW w:w="769" w:type="pct"/>
            <w:vAlign w:val="center"/>
          </w:tcPr>
          <w:p>
            <w:pPr>
              <w:spacing w:line="240" w:lineRule="auto"/>
              <w:ind w:firstLine="0" w:firstLineChars="0"/>
              <w:contextualSpacing/>
              <w:jc w:val="center"/>
              <w:rPr>
                <w:sz w:val="21"/>
                <w:szCs w:val="21"/>
              </w:rPr>
            </w:pPr>
            <w:r>
              <w:rPr>
                <w:sz w:val="21"/>
                <w:szCs w:val="21"/>
              </w:rPr>
              <w:t>0.097</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7" w:type="pct"/>
            <w:gridSpan w:val="3"/>
            <w:vAlign w:val="center"/>
          </w:tcPr>
          <w:p>
            <w:pPr>
              <w:spacing w:line="240" w:lineRule="auto"/>
              <w:ind w:firstLine="0" w:firstLineChars="0"/>
              <w:contextualSpacing/>
              <w:jc w:val="center"/>
              <w:rPr>
                <w:sz w:val="18"/>
                <w:szCs w:val="18"/>
              </w:rPr>
            </w:pPr>
            <w:r>
              <w:rPr>
                <w:sz w:val="21"/>
                <w:szCs w:val="21"/>
              </w:rPr>
              <w:t>《地表水环境质量标准》Ⅲ类</w:t>
            </w:r>
          </w:p>
        </w:tc>
        <w:tc>
          <w:tcPr>
            <w:tcW w:w="738" w:type="pct"/>
            <w:vAlign w:val="center"/>
          </w:tcPr>
          <w:p>
            <w:pPr>
              <w:spacing w:line="240" w:lineRule="auto"/>
              <w:ind w:firstLine="0" w:firstLineChars="0"/>
              <w:contextualSpacing/>
              <w:jc w:val="center"/>
              <w:rPr>
                <w:sz w:val="21"/>
                <w:szCs w:val="21"/>
              </w:rPr>
            </w:pPr>
            <w:r>
              <w:rPr>
                <w:sz w:val="21"/>
                <w:szCs w:val="21"/>
              </w:rPr>
              <w:t>20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0.05</w:t>
            </w:r>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 5.2.2-14  枯水年水库水质预测结果表</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285"/>
        <w:gridCol w:w="1283"/>
        <w:gridCol w:w="1233"/>
        <w:gridCol w:w="1233"/>
        <w:gridCol w:w="1233"/>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月份</w:t>
            </w:r>
          </w:p>
        </w:tc>
        <w:tc>
          <w:tcPr>
            <w:tcW w:w="769" w:type="pct"/>
            <w:vAlign w:val="center"/>
          </w:tcPr>
          <w:p>
            <w:pPr>
              <w:spacing w:line="240" w:lineRule="auto"/>
              <w:ind w:firstLine="0" w:firstLineChars="0"/>
              <w:contextualSpacing/>
              <w:jc w:val="center"/>
              <w:rPr>
                <w:sz w:val="21"/>
                <w:szCs w:val="21"/>
              </w:rPr>
            </w:pPr>
            <w:r>
              <w:rPr>
                <w:sz w:val="21"/>
                <w:szCs w:val="21"/>
              </w:rPr>
              <w:t>入库流量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68"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738"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总氮</w:t>
            </w:r>
          </w:p>
          <w:p>
            <w:pPr>
              <w:spacing w:line="240" w:lineRule="auto"/>
              <w:ind w:firstLine="0" w:firstLineChars="0"/>
              <w:contextualSpacing/>
              <w:jc w:val="center"/>
              <w:rPr>
                <w:sz w:val="21"/>
                <w:szCs w:val="21"/>
              </w:rPr>
            </w:pPr>
            <w:r>
              <w:rPr>
                <w:sz w:val="21"/>
                <w:szCs w:val="21"/>
              </w:rPr>
              <w:t>mg/L</w:t>
            </w:r>
          </w:p>
        </w:tc>
        <w:tc>
          <w:tcPr>
            <w:tcW w:w="738"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w:t>
            </w:r>
          </w:p>
        </w:tc>
        <w:tc>
          <w:tcPr>
            <w:tcW w:w="769" w:type="pct"/>
            <w:vAlign w:val="center"/>
          </w:tcPr>
          <w:p>
            <w:pPr>
              <w:spacing w:line="240" w:lineRule="auto"/>
              <w:ind w:firstLine="0" w:firstLineChars="0"/>
              <w:contextualSpacing/>
              <w:jc w:val="center"/>
              <w:rPr>
                <w:sz w:val="21"/>
                <w:szCs w:val="21"/>
              </w:rPr>
            </w:pPr>
            <w:r>
              <w:rPr>
                <w:sz w:val="21"/>
                <w:szCs w:val="21"/>
              </w:rPr>
              <w:t>0.155</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2</w:t>
            </w:r>
          </w:p>
        </w:tc>
        <w:tc>
          <w:tcPr>
            <w:tcW w:w="769" w:type="pct"/>
            <w:vAlign w:val="center"/>
          </w:tcPr>
          <w:p>
            <w:pPr>
              <w:spacing w:line="240" w:lineRule="auto"/>
              <w:ind w:firstLine="0" w:firstLineChars="0"/>
              <w:contextualSpacing/>
              <w:jc w:val="center"/>
              <w:rPr>
                <w:sz w:val="21"/>
                <w:szCs w:val="21"/>
              </w:rPr>
            </w:pPr>
            <w:r>
              <w:rPr>
                <w:sz w:val="21"/>
                <w:szCs w:val="21"/>
              </w:rPr>
              <w:t>0.168</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3</w:t>
            </w:r>
          </w:p>
        </w:tc>
        <w:tc>
          <w:tcPr>
            <w:tcW w:w="769" w:type="pct"/>
            <w:vAlign w:val="center"/>
          </w:tcPr>
          <w:p>
            <w:pPr>
              <w:spacing w:line="240" w:lineRule="auto"/>
              <w:ind w:firstLine="0" w:firstLineChars="0"/>
              <w:contextualSpacing/>
              <w:jc w:val="center"/>
              <w:rPr>
                <w:sz w:val="21"/>
                <w:szCs w:val="21"/>
              </w:rPr>
            </w:pPr>
            <w:r>
              <w:rPr>
                <w:sz w:val="21"/>
                <w:szCs w:val="21"/>
              </w:rPr>
              <w:t>0.212</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4</w:t>
            </w:r>
          </w:p>
        </w:tc>
        <w:tc>
          <w:tcPr>
            <w:tcW w:w="769" w:type="pct"/>
            <w:vAlign w:val="center"/>
          </w:tcPr>
          <w:p>
            <w:pPr>
              <w:spacing w:line="240" w:lineRule="auto"/>
              <w:ind w:firstLine="0" w:firstLineChars="0"/>
              <w:contextualSpacing/>
              <w:jc w:val="center"/>
              <w:rPr>
                <w:sz w:val="21"/>
                <w:szCs w:val="21"/>
              </w:rPr>
            </w:pPr>
            <w:r>
              <w:rPr>
                <w:sz w:val="21"/>
                <w:szCs w:val="21"/>
              </w:rPr>
              <w:t>0.266</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5</w:t>
            </w:r>
          </w:p>
        </w:tc>
        <w:tc>
          <w:tcPr>
            <w:tcW w:w="769" w:type="pct"/>
            <w:vAlign w:val="center"/>
          </w:tcPr>
          <w:p>
            <w:pPr>
              <w:spacing w:line="240" w:lineRule="auto"/>
              <w:ind w:firstLine="0" w:firstLineChars="0"/>
              <w:contextualSpacing/>
              <w:jc w:val="center"/>
              <w:rPr>
                <w:sz w:val="21"/>
                <w:szCs w:val="21"/>
              </w:rPr>
            </w:pPr>
            <w:r>
              <w:rPr>
                <w:sz w:val="21"/>
                <w:szCs w:val="21"/>
              </w:rPr>
              <w:t>0.419</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6</w:t>
            </w:r>
          </w:p>
        </w:tc>
        <w:tc>
          <w:tcPr>
            <w:tcW w:w="769" w:type="pct"/>
            <w:vAlign w:val="center"/>
          </w:tcPr>
          <w:p>
            <w:pPr>
              <w:spacing w:line="240" w:lineRule="auto"/>
              <w:ind w:firstLine="0" w:firstLineChars="0"/>
              <w:contextualSpacing/>
              <w:jc w:val="center"/>
              <w:rPr>
                <w:sz w:val="21"/>
                <w:szCs w:val="21"/>
              </w:rPr>
            </w:pPr>
            <w:r>
              <w:rPr>
                <w:sz w:val="21"/>
                <w:szCs w:val="21"/>
              </w:rPr>
              <w:t>0.508</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7</w:t>
            </w:r>
          </w:p>
        </w:tc>
        <w:tc>
          <w:tcPr>
            <w:tcW w:w="769" w:type="pct"/>
            <w:vAlign w:val="center"/>
          </w:tcPr>
          <w:p>
            <w:pPr>
              <w:spacing w:line="240" w:lineRule="auto"/>
              <w:ind w:firstLine="0" w:firstLineChars="0"/>
              <w:contextualSpacing/>
              <w:jc w:val="center"/>
              <w:rPr>
                <w:sz w:val="21"/>
                <w:szCs w:val="21"/>
              </w:rPr>
            </w:pPr>
            <w:r>
              <w:rPr>
                <w:sz w:val="21"/>
                <w:szCs w:val="21"/>
              </w:rPr>
              <w:t>1.724</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13.28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8</w:t>
            </w:r>
          </w:p>
        </w:tc>
        <w:tc>
          <w:tcPr>
            <w:tcW w:w="769" w:type="pct"/>
            <w:vAlign w:val="center"/>
          </w:tcPr>
          <w:p>
            <w:pPr>
              <w:spacing w:line="240" w:lineRule="auto"/>
              <w:ind w:firstLine="0" w:firstLineChars="0"/>
              <w:contextualSpacing/>
              <w:jc w:val="center"/>
              <w:rPr>
                <w:sz w:val="21"/>
                <w:szCs w:val="21"/>
              </w:rPr>
            </w:pPr>
            <w:r>
              <w:rPr>
                <w:sz w:val="21"/>
                <w:szCs w:val="21"/>
              </w:rPr>
              <w:t>3.186</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13.28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0.421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2.001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9</w:t>
            </w:r>
          </w:p>
        </w:tc>
        <w:tc>
          <w:tcPr>
            <w:tcW w:w="769" w:type="pct"/>
            <w:vAlign w:val="center"/>
          </w:tcPr>
          <w:p>
            <w:pPr>
              <w:spacing w:line="240" w:lineRule="auto"/>
              <w:ind w:firstLine="0" w:firstLineChars="0"/>
              <w:contextualSpacing/>
              <w:jc w:val="center"/>
              <w:rPr>
                <w:sz w:val="21"/>
                <w:szCs w:val="21"/>
              </w:rPr>
            </w:pPr>
            <w:r>
              <w:rPr>
                <w:sz w:val="21"/>
                <w:szCs w:val="21"/>
              </w:rPr>
              <w:t>0.419</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13.02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0.420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2.000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0.120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10</w:t>
            </w:r>
          </w:p>
        </w:tc>
        <w:tc>
          <w:tcPr>
            <w:tcW w:w="769" w:type="pct"/>
            <w:vAlign w:val="center"/>
          </w:tcPr>
          <w:p>
            <w:pPr>
              <w:spacing w:line="240" w:lineRule="auto"/>
              <w:ind w:firstLine="0" w:firstLineChars="0"/>
              <w:contextualSpacing/>
              <w:jc w:val="center"/>
              <w:rPr>
                <w:sz w:val="21"/>
                <w:szCs w:val="21"/>
              </w:rPr>
            </w:pPr>
            <w:r>
              <w:rPr>
                <w:sz w:val="21"/>
                <w:szCs w:val="21"/>
              </w:rPr>
              <w:t>0.371</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9.68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11</w:t>
            </w:r>
          </w:p>
        </w:tc>
        <w:tc>
          <w:tcPr>
            <w:tcW w:w="769" w:type="pct"/>
            <w:vAlign w:val="center"/>
          </w:tcPr>
          <w:p>
            <w:pPr>
              <w:spacing w:line="240" w:lineRule="auto"/>
              <w:ind w:firstLine="0" w:firstLineChars="0"/>
              <w:contextualSpacing/>
              <w:jc w:val="center"/>
              <w:rPr>
                <w:sz w:val="21"/>
                <w:szCs w:val="21"/>
              </w:rPr>
            </w:pPr>
            <w:r>
              <w:rPr>
                <w:sz w:val="21"/>
                <w:szCs w:val="21"/>
              </w:rPr>
              <w:t>0.075</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10" w:type="pct"/>
            <w:vAlign w:val="center"/>
          </w:tcPr>
          <w:p>
            <w:pPr>
              <w:spacing w:line="240" w:lineRule="auto"/>
              <w:ind w:firstLine="0" w:firstLineChars="0"/>
              <w:contextualSpacing/>
              <w:jc w:val="center"/>
              <w:rPr>
                <w:sz w:val="21"/>
                <w:szCs w:val="21"/>
              </w:rPr>
            </w:pPr>
            <w:r>
              <w:rPr>
                <w:sz w:val="21"/>
                <w:szCs w:val="21"/>
              </w:rPr>
              <w:t>12</w:t>
            </w:r>
          </w:p>
        </w:tc>
        <w:tc>
          <w:tcPr>
            <w:tcW w:w="769" w:type="pct"/>
            <w:vAlign w:val="center"/>
          </w:tcPr>
          <w:p>
            <w:pPr>
              <w:spacing w:line="240" w:lineRule="auto"/>
              <w:ind w:firstLine="0" w:firstLineChars="0"/>
              <w:contextualSpacing/>
              <w:jc w:val="center"/>
              <w:rPr>
                <w:sz w:val="21"/>
                <w:szCs w:val="21"/>
              </w:rPr>
            </w:pPr>
            <w:r>
              <w:rPr>
                <w:sz w:val="21"/>
                <w:szCs w:val="21"/>
              </w:rPr>
              <w:t>0.085</w:t>
            </w:r>
          </w:p>
        </w:tc>
        <w:tc>
          <w:tcPr>
            <w:tcW w:w="768" w:type="pct"/>
            <w:vAlign w:val="center"/>
          </w:tcPr>
          <w:p>
            <w:pPr>
              <w:spacing w:line="240" w:lineRule="auto"/>
              <w:ind w:firstLine="0" w:firstLineChars="0"/>
              <w:contextualSpacing/>
              <w:jc w:val="center"/>
              <w:rPr>
                <w:sz w:val="21"/>
                <w:szCs w:val="21"/>
              </w:rPr>
            </w:pPr>
            <w:r>
              <w:rPr>
                <w:sz w:val="21"/>
                <w:szCs w:val="21"/>
              </w:rPr>
              <w:t>0.092</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9.67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0.087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0.470 </w:t>
            </w:r>
          </w:p>
        </w:tc>
        <w:tc>
          <w:tcPr>
            <w:tcW w:w="738" w:type="pct"/>
            <w:vAlign w:val="center"/>
          </w:tcPr>
          <w:p>
            <w:pPr>
              <w:spacing w:line="240" w:lineRule="auto"/>
              <w:ind w:firstLine="0" w:firstLineChars="0"/>
              <w:contextualSpacing/>
              <w:jc w:val="center"/>
              <w:rPr>
                <w:sz w:val="21"/>
                <w:szCs w:val="21"/>
              </w:rPr>
            </w:pPr>
            <w:r>
              <w:rPr>
                <w:rFonts w:eastAsia="等线"/>
                <w:sz w:val="21"/>
                <w:szCs w:val="21"/>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7" w:type="pct"/>
            <w:gridSpan w:val="3"/>
            <w:vAlign w:val="center"/>
          </w:tcPr>
          <w:p>
            <w:pPr>
              <w:spacing w:line="240" w:lineRule="auto"/>
              <w:ind w:firstLine="0" w:firstLineChars="0"/>
              <w:contextualSpacing/>
              <w:jc w:val="center"/>
              <w:rPr>
                <w:sz w:val="18"/>
                <w:szCs w:val="18"/>
              </w:rPr>
            </w:pPr>
            <w:r>
              <w:rPr>
                <w:sz w:val="21"/>
                <w:szCs w:val="21"/>
              </w:rPr>
              <w:t>《地表水环境质量标准》Ⅲ类</w:t>
            </w:r>
          </w:p>
        </w:tc>
        <w:tc>
          <w:tcPr>
            <w:tcW w:w="738" w:type="pct"/>
            <w:vAlign w:val="center"/>
          </w:tcPr>
          <w:p>
            <w:pPr>
              <w:spacing w:line="240" w:lineRule="auto"/>
              <w:ind w:firstLine="0" w:firstLineChars="0"/>
              <w:contextualSpacing/>
              <w:jc w:val="center"/>
              <w:rPr>
                <w:sz w:val="21"/>
                <w:szCs w:val="21"/>
              </w:rPr>
            </w:pPr>
            <w:r>
              <w:rPr>
                <w:sz w:val="21"/>
                <w:szCs w:val="21"/>
              </w:rPr>
              <w:t>20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1.0</w:t>
            </w:r>
          </w:p>
        </w:tc>
        <w:tc>
          <w:tcPr>
            <w:tcW w:w="738" w:type="pct"/>
            <w:vAlign w:val="center"/>
          </w:tcPr>
          <w:p>
            <w:pPr>
              <w:spacing w:line="240" w:lineRule="auto"/>
              <w:ind w:firstLine="0" w:firstLineChars="0"/>
              <w:contextualSpacing/>
              <w:jc w:val="center"/>
              <w:rPr>
                <w:sz w:val="21"/>
                <w:szCs w:val="21"/>
              </w:rPr>
            </w:pPr>
            <w:r>
              <w:rPr>
                <w:sz w:val="21"/>
                <w:szCs w:val="21"/>
              </w:rPr>
              <w:t>0.05</w:t>
            </w:r>
          </w:p>
        </w:tc>
      </w:tr>
    </w:tbl>
    <w:p>
      <w:pPr>
        <w:ind w:firstLine="474"/>
      </w:pPr>
      <w:r>
        <w:rPr>
          <w:rFonts w:hint="eastAsia"/>
          <w:spacing w:val="-3"/>
        </w:rPr>
        <w:t>丰水年</w:t>
      </w:r>
      <w:r>
        <w:rPr>
          <w:rFonts w:hint="eastAsia"/>
          <w:kern w:val="0"/>
        </w:rPr>
        <w:t>条件</w:t>
      </w:r>
      <w:r>
        <w:rPr>
          <w:rFonts w:hint="eastAsia"/>
          <w:spacing w:val="-3"/>
        </w:rPr>
        <w:t>下，建库后，坝前断面</w:t>
      </w:r>
      <w:r>
        <w:rPr>
          <w:spacing w:val="-3"/>
        </w:rPr>
        <w:t>COD</w:t>
      </w:r>
      <w:r>
        <w:rPr>
          <w:rFonts w:hint="eastAsia"/>
          <w:spacing w:val="-3"/>
        </w:rPr>
        <w:t>浓度在</w:t>
      </w:r>
      <w:r>
        <w:rPr>
          <w:spacing w:val="-3"/>
        </w:rPr>
        <w:t>9.67mg/L</w:t>
      </w:r>
      <w:r>
        <w:rPr>
          <w:rFonts w:hint="eastAsia"/>
          <w:spacing w:val="-3"/>
        </w:rPr>
        <w:t>～</w:t>
      </w:r>
      <w:r>
        <w:rPr>
          <w:spacing w:val="-3"/>
        </w:rPr>
        <w:t>13.26mg/L</w:t>
      </w:r>
      <w:r>
        <w:rPr>
          <w:rFonts w:hint="eastAsia"/>
          <w:spacing w:val="-3"/>
        </w:rPr>
        <w:t>；氨氮浓度在</w:t>
      </w:r>
      <w:r>
        <w:rPr>
          <w:spacing w:val="-3"/>
        </w:rPr>
        <w:t>0.087mg/L</w:t>
      </w:r>
      <w:r>
        <w:rPr>
          <w:rFonts w:hint="eastAsia"/>
          <w:spacing w:val="-3"/>
        </w:rPr>
        <w:t>～</w:t>
      </w:r>
      <w:r>
        <w:rPr>
          <w:spacing w:val="-3"/>
        </w:rPr>
        <w:t>0.422mg/L</w:t>
      </w:r>
      <w:r>
        <w:rPr>
          <w:rFonts w:hint="eastAsia"/>
          <w:spacing w:val="-3"/>
        </w:rPr>
        <w:t>；总磷浓度在</w:t>
      </w:r>
      <w:r>
        <w:rPr>
          <w:spacing w:val="-3"/>
        </w:rPr>
        <w:t>0.027mg/L</w:t>
      </w:r>
      <w:r>
        <w:rPr>
          <w:rFonts w:hint="eastAsia"/>
          <w:spacing w:val="-3"/>
        </w:rPr>
        <w:t>～</w:t>
      </w:r>
      <w:r>
        <w:rPr>
          <w:spacing w:val="-3"/>
        </w:rPr>
        <w:t>0.122mg/L</w:t>
      </w:r>
      <w:r>
        <w:rPr>
          <w:rFonts w:hint="eastAsia"/>
          <w:spacing w:val="-3"/>
        </w:rPr>
        <w:t>；总氮浓度在</w:t>
      </w:r>
      <w:r>
        <w:rPr>
          <w:spacing w:val="-3"/>
        </w:rPr>
        <w:t>0.470mg/L</w:t>
      </w:r>
      <w:r>
        <w:rPr>
          <w:rFonts w:hint="eastAsia"/>
          <w:spacing w:val="-3"/>
        </w:rPr>
        <w:t>～</w:t>
      </w:r>
      <w:r>
        <w:rPr>
          <w:spacing w:val="-3"/>
        </w:rPr>
        <w:t>2.</w:t>
      </w:r>
      <w:r>
        <w:rPr>
          <w:rFonts w:hint="eastAsia"/>
          <w:spacing w:val="-3"/>
        </w:rPr>
        <w:t>0</w:t>
      </w:r>
      <w:r>
        <w:rPr>
          <w:spacing w:val="-3"/>
        </w:rPr>
        <w:t>03mg/L</w:t>
      </w:r>
      <w:r>
        <w:rPr>
          <w:rFonts w:hint="eastAsia"/>
          <w:spacing w:val="-3"/>
        </w:rPr>
        <w:t>。在本预测情景下，建库后，枯水期坝前断面水质可达到《地表水环境质量标准》（</w:t>
      </w:r>
      <w:r>
        <w:rPr>
          <w:spacing w:val="-3"/>
        </w:rPr>
        <w:t>GB3838-2002</w:t>
      </w:r>
      <w:r>
        <w:rPr>
          <w:rFonts w:hint="eastAsia"/>
          <w:spacing w:val="-3"/>
        </w:rPr>
        <w:t>）</w:t>
      </w:r>
      <w:r>
        <w:rPr>
          <w:rFonts w:hint="eastAsia"/>
        </w:rPr>
        <w:t>Ⅲ类</w:t>
      </w:r>
      <w:r>
        <w:rPr>
          <w:rFonts w:hint="eastAsia"/>
          <w:spacing w:val="-3"/>
        </w:rPr>
        <w:t>标准要求；除总磷指标外，水库水质可基本达到《地表水环境质量标准》（</w:t>
      </w:r>
      <w:r>
        <w:rPr>
          <w:spacing w:val="-3"/>
        </w:rPr>
        <w:t>GB3838-2002</w:t>
      </w:r>
      <w:r>
        <w:rPr>
          <w:rFonts w:hint="eastAsia"/>
          <w:spacing w:val="-3"/>
        </w:rPr>
        <w:t>）</w:t>
      </w:r>
      <w:r>
        <w:rPr>
          <w:rFonts w:hint="eastAsia" w:ascii="宋体" w:hAnsi="宋体"/>
        </w:rPr>
        <w:t>Ⅱ</w:t>
      </w:r>
      <w:r>
        <w:rPr>
          <w:rFonts w:hint="eastAsia"/>
        </w:rPr>
        <w:t>类</w:t>
      </w:r>
      <w:r>
        <w:rPr>
          <w:rFonts w:hint="eastAsia"/>
          <w:spacing w:val="-3"/>
        </w:rPr>
        <w:t>标准要求。丰水期，坝前断面水质总氮、总磷指标无法满足《地表水环境质量标准》（</w:t>
      </w:r>
      <w:r>
        <w:rPr>
          <w:spacing w:val="-3"/>
        </w:rPr>
        <w:t>GB3838-2002</w:t>
      </w:r>
      <w:r>
        <w:rPr>
          <w:rFonts w:hint="eastAsia"/>
          <w:spacing w:val="-3"/>
        </w:rPr>
        <w:t>）</w:t>
      </w:r>
      <w:r>
        <w:rPr>
          <w:rFonts w:hint="eastAsia"/>
        </w:rPr>
        <w:t>Ⅲ类</w:t>
      </w:r>
      <w:r>
        <w:rPr>
          <w:rFonts w:hint="eastAsia"/>
          <w:spacing w:val="-3"/>
        </w:rPr>
        <w:t>标准要求，这与预测时丰水期来水浓度取值偏高有关，实际上，从2</w:t>
      </w:r>
      <w:r>
        <w:rPr>
          <w:spacing w:val="-3"/>
        </w:rPr>
        <w:t>020</w:t>
      </w:r>
      <w:r>
        <w:rPr>
          <w:rFonts w:hint="eastAsia"/>
          <w:spacing w:val="-3"/>
        </w:rPr>
        <w:t>年~</w:t>
      </w:r>
      <w:r>
        <w:rPr>
          <w:spacing w:val="-3"/>
        </w:rPr>
        <w:t>2021</w:t>
      </w:r>
      <w:r>
        <w:rPr>
          <w:rFonts w:hint="eastAsia"/>
          <w:spacing w:val="-3"/>
        </w:rPr>
        <w:t>年所收集的常规水质监测成果来看，蔡家河流域整体水质较好，总氮、总磷因子已没有超标的情况发生，因此，预计在寒溪寺水库建成运行的设计水平年，库区水质在丰水期要好于预测值。</w:t>
      </w:r>
    </w:p>
    <w:p>
      <w:pPr>
        <w:ind w:firstLine="474"/>
      </w:pPr>
      <w:r>
        <w:rPr>
          <w:rFonts w:hint="eastAsia"/>
          <w:spacing w:val="-3"/>
        </w:rPr>
        <w:t>平水年条件下，建库后，坝前断面</w:t>
      </w:r>
      <w:r>
        <w:rPr>
          <w:spacing w:val="-3"/>
        </w:rPr>
        <w:t>COD</w:t>
      </w:r>
      <w:r>
        <w:rPr>
          <w:rFonts w:hint="eastAsia"/>
          <w:spacing w:val="-3"/>
        </w:rPr>
        <w:t>浓度在</w:t>
      </w:r>
      <w:r>
        <w:rPr>
          <w:spacing w:val="-3"/>
        </w:rPr>
        <w:t>9.67mg/L</w:t>
      </w:r>
      <w:r>
        <w:rPr>
          <w:rFonts w:hint="eastAsia"/>
          <w:spacing w:val="-3"/>
        </w:rPr>
        <w:t>～</w:t>
      </w:r>
      <w:r>
        <w:rPr>
          <w:spacing w:val="-3"/>
        </w:rPr>
        <w:t>13.29mg/L</w:t>
      </w:r>
      <w:r>
        <w:rPr>
          <w:rFonts w:hint="eastAsia"/>
          <w:spacing w:val="-3"/>
        </w:rPr>
        <w:t>；氨氮浓度在</w:t>
      </w:r>
      <w:r>
        <w:rPr>
          <w:spacing w:val="-3"/>
        </w:rPr>
        <w:t>0.087</w:t>
      </w:r>
      <w:r>
        <w:rPr>
          <w:rFonts w:hint="eastAsia"/>
          <w:spacing w:val="-3"/>
        </w:rPr>
        <w:t>～</w:t>
      </w:r>
      <w:r>
        <w:rPr>
          <w:spacing w:val="-3"/>
        </w:rPr>
        <w:t>0.420mg/Lmg/L</w:t>
      </w:r>
      <w:r>
        <w:rPr>
          <w:rFonts w:hint="eastAsia"/>
          <w:spacing w:val="-3"/>
        </w:rPr>
        <w:t>；总磷浓度在</w:t>
      </w:r>
      <w:r>
        <w:rPr>
          <w:spacing w:val="-3"/>
        </w:rPr>
        <w:t>0.027mg/L</w:t>
      </w:r>
      <w:r>
        <w:rPr>
          <w:rFonts w:hint="eastAsia"/>
          <w:spacing w:val="-3"/>
        </w:rPr>
        <w:t>～</w:t>
      </w:r>
      <w:r>
        <w:rPr>
          <w:spacing w:val="-3"/>
        </w:rPr>
        <w:t>0.123mg/L</w:t>
      </w:r>
      <w:r>
        <w:rPr>
          <w:rFonts w:hint="eastAsia"/>
          <w:spacing w:val="-3"/>
        </w:rPr>
        <w:t>；总氮浓度在</w:t>
      </w:r>
      <w:r>
        <w:rPr>
          <w:spacing w:val="-3"/>
        </w:rPr>
        <w:t>0.470mg/L</w:t>
      </w:r>
      <w:r>
        <w:rPr>
          <w:rFonts w:hint="eastAsia"/>
          <w:spacing w:val="-3"/>
        </w:rPr>
        <w:t>～</w:t>
      </w:r>
      <w:r>
        <w:rPr>
          <w:spacing w:val="-3"/>
        </w:rPr>
        <w:t>2.</w:t>
      </w:r>
      <w:r>
        <w:rPr>
          <w:rFonts w:hint="eastAsia"/>
          <w:spacing w:val="-3"/>
        </w:rPr>
        <w:t>0</w:t>
      </w:r>
      <w:r>
        <w:rPr>
          <w:spacing w:val="-3"/>
        </w:rPr>
        <w:t>00mg/L</w:t>
      </w:r>
      <w:r>
        <w:rPr>
          <w:rFonts w:hint="eastAsia"/>
          <w:spacing w:val="-3"/>
        </w:rPr>
        <w:t>。与丰水年预测成果相似，建库后，枯水期坝前断面水质可达到《地表水环境质量标准》（</w:t>
      </w:r>
      <w:r>
        <w:rPr>
          <w:spacing w:val="-3"/>
        </w:rPr>
        <w:t>GB3838-2002</w:t>
      </w:r>
      <w:r>
        <w:rPr>
          <w:rFonts w:hint="eastAsia"/>
          <w:spacing w:val="-3"/>
        </w:rPr>
        <w:t>）</w:t>
      </w:r>
      <w:r>
        <w:rPr>
          <w:rFonts w:hint="eastAsia"/>
        </w:rPr>
        <w:t>Ⅲ类</w:t>
      </w:r>
      <w:r>
        <w:rPr>
          <w:rFonts w:hint="eastAsia"/>
          <w:spacing w:val="-3"/>
        </w:rPr>
        <w:t>标准要求；除总磷指标外，水库水质可基本达到《地表水环境质量标准》（</w:t>
      </w:r>
      <w:r>
        <w:rPr>
          <w:spacing w:val="-3"/>
        </w:rPr>
        <w:t>GB3838-2002</w:t>
      </w:r>
      <w:r>
        <w:rPr>
          <w:rFonts w:hint="eastAsia"/>
          <w:spacing w:val="-3"/>
        </w:rPr>
        <w:t>）</w:t>
      </w:r>
      <w:r>
        <w:rPr>
          <w:rFonts w:hint="eastAsia" w:ascii="宋体" w:hAnsi="宋体"/>
        </w:rPr>
        <w:t>Ⅱ</w:t>
      </w:r>
      <w:r>
        <w:rPr>
          <w:rFonts w:hint="eastAsia"/>
        </w:rPr>
        <w:t>类</w:t>
      </w:r>
      <w:r>
        <w:rPr>
          <w:rFonts w:hint="eastAsia"/>
          <w:spacing w:val="-3"/>
        </w:rPr>
        <w:t>标准要求。丰水期，坝前断面水质总氮、总磷指标无法满足《地表水环境质量标准》（</w:t>
      </w:r>
      <w:r>
        <w:rPr>
          <w:spacing w:val="-3"/>
        </w:rPr>
        <w:t>GB3838-2002</w:t>
      </w:r>
      <w:r>
        <w:rPr>
          <w:rFonts w:hint="eastAsia"/>
          <w:spacing w:val="-3"/>
        </w:rPr>
        <w:t>）</w:t>
      </w:r>
      <w:r>
        <w:rPr>
          <w:rFonts w:hint="eastAsia"/>
        </w:rPr>
        <w:t>Ⅲ类</w:t>
      </w:r>
      <w:r>
        <w:rPr>
          <w:rFonts w:hint="eastAsia"/>
          <w:spacing w:val="-3"/>
        </w:rPr>
        <w:t>标准要求，但预计设计水平年丰水期水库水质要好于预测值。</w:t>
      </w:r>
    </w:p>
    <w:p>
      <w:pPr>
        <w:ind w:firstLine="474"/>
      </w:pPr>
      <w:r>
        <w:rPr>
          <w:rFonts w:hint="eastAsia"/>
          <w:spacing w:val="-3"/>
        </w:rPr>
        <w:t>枯水年条件下，建库后，坝前断面</w:t>
      </w:r>
      <w:r>
        <w:rPr>
          <w:spacing w:val="-3"/>
        </w:rPr>
        <w:t>COD</w:t>
      </w:r>
      <w:r>
        <w:rPr>
          <w:rFonts w:hint="eastAsia"/>
          <w:spacing w:val="-3"/>
        </w:rPr>
        <w:t>浓度在</w:t>
      </w:r>
      <w:r>
        <w:rPr>
          <w:spacing w:val="-3"/>
        </w:rPr>
        <w:t>9.67mg/L</w:t>
      </w:r>
      <w:r>
        <w:rPr>
          <w:rFonts w:hint="eastAsia"/>
          <w:spacing w:val="-3"/>
        </w:rPr>
        <w:t>～</w:t>
      </w:r>
      <w:r>
        <w:rPr>
          <w:spacing w:val="-3"/>
        </w:rPr>
        <w:t>13.28mg/L</w:t>
      </w:r>
      <w:r>
        <w:rPr>
          <w:rFonts w:hint="eastAsia"/>
          <w:spacing w:val="-3"/>
        </w:rPr>
        <w:t>；氨氮浓度在</w:t>
      </w:r>
      <w:r>
        <w:rPr>
          <w:spacing w:val="-3"/>
        </w:rPr>
        <w:t>0.087mg/L</w:t>
      </w:r>
      <w:r>
        <w:rPr>
          <w:rFonts w:hint="eastAsia"/>
          <w:spacing w:val="-3"/>
        </w:rPr>
        <w:t>～</w:t>
      </w:r>
      <w:r>
        <w:rPr>
          <w:spacing w:val="-3"/>
        </w:rPr>
        <w:t>0.421mg/L</w:t>
      </w:r>
      <w:r>
        <w:rPr>
          <w:rFonts w:hint="eastAsia"/>
          <w:spacing w:val="-3"/>
        </w:rPr>
        <w:t>；总磷浓度在</w:t>
      </w:r>
      <w:r>
        <w:rPr>
          <w:spacing w:val="-3"/>
        </w:rPr>
        <w:t>0.027mg/L</w:t>
      </w:r>
      <w:r>
        <w:rPr>
          <w:rFonts w:hint="eastAsia"/>
          <w:spacing w:val="-3"/>
        </w:rPr>
        <w:t>～</w:t>
      </w:r>
      <w:r>
        <w:rPr>
          <w:spacing w:val="-3"/>
        </w:rPr>
        <w:t>0.123mg/L</w:t>
      </w:r>
      <w:r>
        <w:rPr>
          <w:rFonts w:hint="eastAsia"/>
          <w:spacing w:val="-3"/>
        </w:rPr>
        <w:t>；总氮浓度在</w:t>
      </w:r>
      <w:r>
        <w:rPr>
          <w:spacing w:val="-3"/>
        </w:rPr>
        <w:t>0.470mg/L</w:t>
      </w:r>
      <w:r>
        <w:rPr>
          <w:rFonts w:hint="eastAsia"/>
          <w:spacing w:val="-3"/>
        </w:rPr>
        <w:t>～</w:t>
      </w:r>
      <w:r>
        <w:rPr>
          <w:spacing w:val="-3"/>
        </w:rPr>
        <w:t>2.001mg/L</w:t>
      </w:r>
      <w:r>
        <w:rPr>
          <w:rFonts w:hint="eastAsia"/>
          <w:spacing w:val="-3"/>
        </w:rPr>
        <w:t>。与丰水年预测成果相似，建库后，枯水期坝前断面水质可达到《地表水环境质量标准》（</w:t>
      </w:r>
      <w:r>
        <w:rPr>
          <w:spacing w:val="-3"/>
        </w:rPr>
        <w:t>GB3838-2002</w:t>
      </w:r>
      <w:r>
        <w:rPr>
          <w:rFonts w:hint="eastAsia"/>
          <w:spacing w:val="-3"/>
        </w:rPr>
        <w:t>）</w:t>
      </w:r>
      <w:r>
        <w:rPr>
          <w:rFonts w:hint="eastAsia"/>
        </w:rPr>
        <w:t>Ⅲ类</w:t>
      </w:r>
      <w:r>
        <w:rPr>
          <w:rFonts w:hint="eastAsia"/>
          <w:spacing w:val="-3"/>
        </w:rPr>
        <w:t>标准要求；除总磷指标外，水库水质可基本达到《地表水环境质量标准》（</w:t>
      </w:r>
      <w:r>
        <w:rPr>
          <w:spacing w:val="-3"/>
        </w:rPr>
        <w:t>GB3838-2002</w:t>
      </w:r>
      <w:r>
        <w:rPr>
          <w:rFonts w:hint="eastAsia"/>
          <w:spacing w:val="-3"/>
        </w:rPr>
        <w:t>）</w:t>
      </w:r>
      <w:r>
        <w:rPr>
          <w:rFonts w:hint="eastAsia" w:ascii="宋体" w:hAnsi="宋体"/>
        </w:rPr>
        <w:t>Ⅱ</w:t>
      </w:r>
      <w:r>
        <w:rPr>
          <w:rFonts w:hint="eastAsia"/>
        </w:rPr>
        <w:t>类</w:t>
      </w:r>
      <w:r>
        <w:rPr>
          <w:rFonts w:hint="eastAsia"/>
          <w:spacing w:val="-3"/>
        </w:rPr>
        <w:t>标准要求。丰水期，坝前断面水质总氮、总磷指标无法满足《地表水环境质量标准》（</w:t>
      </w:r>
      <w:r>
        <w:rPr>
          <w:spacing w:val="-3"/>
        </w:rPr>
        <w:t>GB3838-2002</w:t>
      </w:r>
      <w:r>
        <w:rPr>
          <w:rFonts w:hint="eastAsia"/>
          <w:spacing w:val="-3"/>
        </w:rPr>
        <w:t>）</w:t>
      </w:r>
      <w:r>
        <w:rPr>
          <w:rFonts w:hint="eastAsia"/>
        </w:rPr>
        <w:t>Ⅲ类</w:t>
      </w:r>
      <w:r>
        <w:rPr>
          <w:rFonts w:hint="eastAsia"/>
          <w:spacing w:val="-3"/>
        </w:rPr>
        <w:t>标准要求，但预计设计水平年丰水期水库水质要好于预测值。</w:t>
      </w:r>
    </w:p>
    <w:p>
      <w:pPr>
        <w:ind w:firstLine="480"/>
        <w:contextualSpacing/>
      </w:pPr>
      <w:r>
        <w:t>（3）水库富营养化预测</w:t>
      </w:r>
    </w:p>
    <w:p>
      <w:pPr>
        <w:ind w:firstLine="474"/>
        <w:contextualSpacing/>
      </w:pPr>
      <w:r>
        <w:rPr>
          <w:spacing w:val="-3"/>
        </w:rPr>
        <w:t>根据</w:t>
      </w:r>
      <w:r>
        <w:rPr>
          <w:kern w:val="0"/>
        </w:rPr>
        <w:t>《地表水环境质量评价办法（试行）》</w:t>
      </w:r>
      <w:r>
        <w:t>（环办</w:t>
      </w:r>
      <w:r>
        <w:rPr>
          <w:lang w:val="zh-CN"/>
        </w:rPr>
        <w:t>〔2011〕</w:t>
      </w:r>
      <w:r>
        <w:t>22号），湖库营养状态评价指标采用综合营养指数法，具体步骤为：</w:t>
      </w:r>
    </w:p>
    <w:p>
      <w:pPr>
        <w:ind w:firstLine="480"/>
        <w:contextualSpacing/>
      </w:pPr>
      <w:r>
        <w:t>综合</w:t>
      </w:r>
      <w:r>
        <w:rPr>
          <w:kern w:val="0"/>
        </w:rPr>
        <w:t>营养</w:t>
      </w:r>
      <w:r>
        <w:t>状态指数计算公式如下：</w:t>
      </w:r>
    </w:p>
    <w:p>
      <w:pPr>
        <w:ind w:firstLine="480"/>
        <w:contextualSpacing/>
        <w:jc w:val="center"/>
      </w:pPr>
      <w:r>
        <w:t>TLI（∑）=∑Wj·TLI（j）</w:t>
      </w:r>
    </w:p>
    <w:p>
      <w:pPr>
        <w:ind w:firstLine="480"/>
        <w:contextualSpacing/>
      </w:pPr>
      <w:r>
        <w:t>式中：</w:t>
      </w:r>
    </w:p>
    <w:p>
      <w:pPr>
        <w:ind w:firstLine="480"/>
        <w:contextualSpacing/>
      </w:pPr>
      <w:r>
        <w:rPr>
          <w:kern w:val="0"/>
        </w:rPr>
        <w:t>TLI</w:t>
      </w:r>
      <w:r>
        <w:t>（∑）——综合</w:t>
      </w:r>
      <w:r>
        <w:rPr>
          <w:spacing w:val="-3"/>
        </w:rPr>
        <w:t>营养</w:t>
      </w:r>
      <w:r>
        <w:t>状态指数；</w:t>
      </w:r>
    </w:p>
    <w:p>
      <w:pPr>
        <w:ind w:firstLine="480"/>
        <w:contextualSpacing/>
      </w:pPr>
      <w:r>
        <w:t>Wj——第j种参数的营养状态指数的相关权重；</w:t>
      </w:r>
    </w:p>
    <w:p>
      <w:pPr>
        <w:ind w:firstLine="480"/>
        <w:contextualSpacing/>
      </w:pPr>
      <w:r>
        <w:rPr>
          <w:kern w:val="0"/>
        </w:rPr>
        <w:t>TLI</w:t>
      </w:r>
      <w:r>
        <w:t>（j）——代表第j种参数的营养状态指数；</w:t>
      </w:r>
    </w:p>
    <w:p>
      <w:pPr>
        <w:ind w:firstLine="480"/>
        <w:contextualSpacing/>
      </w:pPr>
      <w:r>
        <w:t>以chla作为</w:t>
      </w:r>
      <w:r>
        <w:rPr>
          <w:spacing w:val="-3"/>
        </w:rPr>
        <w:t>基准</w:t>
      </w:r>
      <w:r>
        <w:t>参数，则第j种参数的归一化的相关权重计算公式为：</w:t>
      </w:r>
    </w:p>
    <w:p>
      <w:pPr>
        <w:spacing w:line="240" w:lineRule="auto"/>
        <w:ind w:firstLine="480"/>
        <w:contextualSpacing/>
        <w:jc w:val="center"/>
      </w:pPr>
      <w:r>
        <w:drawing>
          <wp:inline distT="0" distB="0" distL="0" distR="0">
            <wp:extent cx="953770" cy="789305"/>
            <wp:effectExtent l="0" t="0" r="0" b="0"/>
            <wp:docPr id="36" name="图片 50" descr="e0c335a68a07cc50188edf09a098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0" descr="e0c335a68a07cc50188edf09a098a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953770" cy="789305"/>
                    </a:xfrm>
                    <a:prstGeom prst="rect">
                      <a:avLst/>
                    </a:prstGeom>
                    <a:noFill/>
                    <a:ln>
                      <a:noFill/>
                    </a:ln>
                  </pic:spPr>
                </pic:pic>
              </a:graphicData>
            </a:graphic>
          </wp:inline>
        </w:drawing>
      </w:r>
    </w:p>
    <w:p>
      <w:pPr>
        <w:ind w:firstLine="480"/>
        <w:contextualSpacing/>
      </w:pPr>
      <w:r>
        <w:t>式中：r</w:t>
      </w:r>
      <w:r>
        <w:rPr>
          <w:vertAlign w:val="subscript"/>
        </w:rPr>
        <w:t>ij</w:t>
      </w:r>
      <w:r>
        <w:t>——第j种</w:t>
      </w:r>
      <w:r>
        <w:rPr>
          <w:spacing w:val="-3"/>
        </w:rPr>
        <w:t>参数</w:t>
      </w:r>
      <w:r>
        <w:t>与基准参数chla的相关系数；</w:t>
      </w:r>
    </w:p>
    <w:p>
      <w:pPr>
        <w:ind w:firstLine="480"/>
        <w:contextualSpacing/>
      </w:pPr>
      <w:r>
        <w:t>m——评价参数的个数</w:t>
      </w:r>
    </w:p>
    <w:p>
      <w:pPr>
        <w:ind w:firstLine="480"/>
        <w:contextualSpacing/>
      </w:pPr>
      <w:r>
        <w:t>中国湖泊（水库）的chla与其它参数之间的相关关系r</w:t>
      </w:r>
      <w:r>
        <w:rPr>
          <w:vertAlign w:val="subscript"/>
        </w:rPr>
        <w:t>ij</w:t>
      </w:r>
      <w:r>
        <w:t>及r</w:t>
      </w:r>
      <w:r>
        <w:rPr>
          <w:vertAlign w:val="subscript"/>
        </w:rPr>
        <w:t>ij</w:t>
      </w:r>
      <w:r>
        <w:rPr>
          <w:vertAlign w:val="superscript"/>
        </w:rPr>
        <w:t>2</w:t>
      </w:r>
      <w:r>
        <w:t>见下表。</w:t>
      </w:r>
    </w:p>
    <w:p>
      <w:pPr>
        <w:ind w:firstLine="0" w:firstLineChars="0"/>
        <w:contextualSpacing/>
        <w:jc w:val="center"/>
        <w:rPr>
          <w:b/>
          <w:bCs/>
          <w:sz w:val="21"/>
          <w:szCs w:val="21"/>
        </w:rPr>
      </w:pPr>
      <w:r>
        <w:rPr>
          <w:b/>
          <w:bCs/>
          <w:sz w:val="21"/>
          <w:szCs w:val="21"/>
        </w:rPr>
        <w:t>表5.2.2-15  中国湖泊（水库）部分参数与chla的相关关系r</w:t>
      </w:r>
      <w:r>
        <w:rPr>
          <w:b/>
          <w:bCs/>
          <w:sz w:val="21"/>
          <w:szCs w:val="21"/>
          <w:vertAlign w:val="subscript"/>
        </w:rPr>
        <w:t>ij</w:t>
      </w:r>
      <w:r>
        <w:rPr>
          <w:b/>
          <w:bCs/>
          <w:sz w:val="21"/>
          <w:szCs w:val="21"/>
        </w:rPr>
        <w:t>及r</w:t>
      </w:r>
      <w:r>
        <w:rPr>
          <w:b/>
          <w:bCs/>
          <w:sz w:val="21"/>
          <w:szCs w:val="21"/>
          <w:vertAlign w:val="subscript"/>
        </w:rPr>
        <w:t>ij</w:t>
      </w:r>
      <w:r>
        <w:rPr>
          <w:b/>
          <w:bCs/>
          <w:sz w:val="21"/>
          <w:szCs w:val="21"/>
          <w:vertAlign w:val="superscript"/>
        </w:rPr>
        <w:t>2</w:t>
      </w:r>
      <w:r>
        <w:rPr>
          <w:b/>
          <w:bCs/>
          <w:sz w:val="21"/>
          <w:szCs w:val="21"/>
        </w:rPr>
        <w:t>值</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4"/>
        <w:gridCol w:w="1392"/>
        <w:gridCol w:w="1391"/>
        <w:gridCol w:w="1391"/>
        <w:gridCol w:w="1391"/>
        <w:gridCol w:w="1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4" w:type="pct"/>
            <w:vAlign w:val="center"/>
          </w:tcPr>
          <w:p>
            <w:pPr>
              <w:spacing w:line="240" w:lineRule="auto"/>
              <w:ind w:firstLine="0" w:firstLineChars="0"/>
              <w:contextualSpacing/>
              <w:jc w:val="center"/>
              <w:rPr>
                <w:sz w:val="21"/>
                <w:szCs w:val="21"/>
              </w:rPr>
            </w:pPr>
            <w:r>
              <w:rPr>
                <w:sz w:val="21"/>
                <w:szCs w:val="21"/>
              </w:rPr>
              <w:t>参数</w:t>
            </w:r>
          </w:p>
        </w:tc>
        <w:tc>
          <w:tcPr>
            <w:tcW w:w="833" w:type="pct"/>
            <w:vAlign w:val="center"/>
          </w:tcPr>
          <w:p>
            <w:pPr>
              <w:spacing w:line="240" w:lineRule="auto"/>
              <w:ind w:firstLine="0" w:firstLineChars="0"/>
              <w:contextualSpacing/>
              <w:jc w:val="center"/>
              <w:rPr>
                <w:sz w:val="21"/>
                <w:szCs w:val="21"/>
              </w:rPr>
            </w:pPr>
            <w:r>
              <w:t>chla</w:t>
            </w:r>
          </w:p>
        </w:tc>
        <w:tc>
          <w:tcPr>
            <w:tcW w:w="833" w:type="pct"/>
            <w:vAlign w:val="center"/>
          </w:tcPr>
          <w:p>
            <w:pPr>
              <w:spacing w:line="240" w:lineRule="auto"/>
              <w:ind w:firstLine="0" w:firstLineChars="0"/>
              <w:contextualSpacing/>
              <w:jc w:val="center"/>
              <w:rPr>
                <w:sz w:val="21"/>
                <w:szCs w:val="21"/>
              </w:rPr>
            </w:pPr>
            <w:r>
              <w:rPr>
                <w:sz w:val="21"/>
                <w:szCs w:val="21"/>
              </w:rPr>
              <w:t>TP</w:t>
            </w:r>
          </w:p>
        </w:tc>
        <w:tc>
          <w:tcPr>
            <w:tcW w:w="833" w:type="pct"/>
            <w:vAlign w:val="center"/>
          </w:tcPr>
          <w:p>
            <w:pPr>
              <w:spacing w:line="240" w:lineRule="auto"/>
              <w:ind w:firstLine="0" w:firstLineChars="0"/>
              <w:contextualSpacing/>
              <w:jc w:val="center"/>
              <w:rPr>
                <w:sz w:val="21"/>
                <w:szCs w:val="21"/>
              </w:rPr>
            </w:pPr>
            <w:r>
              <w:rPr>
                <w:sz w:val="21"/>
                <w:szCs w:val="21"/>
              </w:rPr>
              <w:t>TN</w:t>
            </w:r>
          </w:p>
        </w:tc>
        <w:tc>
          <w:tcPr>
            <w:tcW w:w="833" w:type="pct"/>
            <w:vAlign w:val="center"/>
          </w:tcPr>
          <w:p>
            <w:pPr>
              <w:spacing w:line="240" w:lineRule="auto"/>
              <w:ind w:firstLine="0" w:firstLineChars="0"/>
              <w:contextualSpacing/>
              <w:jc w:val="center"/>
              <w:rPr>
                <w:sz w:val="21"/>
                <w:szCs w:val="21"/>
              </w:rPr>
            </w:pPr>
            <w:r>
              <w:rPr>
                <w:sz w:val="21"/>
                <w:szCs w:val="21"/>
              </w:rPr>
              <w:t>SD</w:t>
            </w:r>
          </w:p>
        </w:tc>
        <w:tc>
          <w:tcPr>
            <w:tcW w:w="834" w:type="pct"/>
            <w:vAlign w:val="center"/>
          </w:tcPr>
          <w:p>
            <w:pPr>
              <w:spacing w:line="240" w:lineRule="auto"/>
              <w:ind w:firstLine="0" w:firstLineChars="0"/>
              <w:contextualSpacing/>
              <w:jc w:val="center"/>
              <w:rPr>
                <w:sz w:val="21"/>
                <w:szCs w:val="21"/>
              </w:rPr>
            </w:pPr>
            <w:r>
              <w:rPr>
                <w:sz w:val="21"/>
                <w:szCs w:val="21"/>
              </w:rPr>
              <w:t>COD</w:t>
            </w:r>
            <w:r>
              <w:rPr>
                <w:sz w:val="21"/>
                <w:szCs w:val="21"/>
                <w:vertAlign w:val="subscript"/>
              </w:rPr>
              <w:t>Mn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4" w:type="pct"/>
            <w:vAlign w:val="center"/>
          </w:tcPr>
          <w:p>
            <w:pPr>
              <w:spacing w:line="240" w:lineRule="auto"/>
              <w:ind w:firstLine="0" w:firstLineChars="0"/>
              <w:contextualSpacing/>
              <w:jc w:val="center"/>
              <w:rPr>
                <w:sz w:val="21"/>
                <w:szCs w:val="21"/>
              </w:rPr>
            </w:pPr>
            <w:r>
              <w:t>r</w:t>
            </w:r>
            <w:r>
              <w:rPr>
                <w:vertAlign w:val="subscript"/>
              </w:rPr>
              <w:t>ij</w:t>
            </w:r>
          </w:p>
        </w:tc>
        <w:tc>
          <w:tcPr>
            <w:tcW w:w="833" w:type="pct"/>
            <w:vAlign w:val="center"/>
          </w:tcPr>
          <w:p>
            <w:pPr>
              <w:spacing w:line="240" w:lineRule="auto"/>
              <w:ind w:firstLine="0" w:firstLineChars="0"/>
              <w:contextualSpacing/>
              <w:jc w:val="center"/>
              <w:rPr>
                <w:sz w:val="21"/>
                <w:szCs w:val="21"/>
              </w:rPr>
            </w:pPr>
            <w:r>
              <w:rPr>
                <w:sz w:val="21"/>
                <w:szCs w:val="21"/>
              </w:rPr>
              <w:t>1</w:t>
            </w:r>
          </w:p>
        </w:tc>
        <w:tc>
          <w:tcPr>
            <w:tcW w:w="833" w:type="pct"/>
            <w:vAlign w:val="center"/>
          </w:tcPr>
          <w:p>
            <w:pPr>
              <w:spacing w:line="240" w:lineRule="auto"/>
              <w:ind w:firstLine="0" w:firstLineChars="0"/>
              <w:contextualSpacing/>
              <w:jc w:val="center"/>
              <w:rPr>
                <w:sz w:val="21"/>
                <w:szCs w:val="21"/>
              </w:rPr>
            </w:pPr>
            <w:r>
              <w:rPr>
                <w:sz w:val="21"/>
                <w:szCs w:val="21"/>
              </w:rPr>
              <w:t>0.84</w:t>
            </w:r>
          </w:p>
        </w:tc>
        <w:tc>
          <w:tcPr>
            <w:tcW w:w="833" w:type="pct"/>
            <w:vAlign w:val="center"/>
          </w:tcPr>
          <w:p>
            <w:pPr>
              <w:spacing w:line="240" w:lineRule="auto"/>
              <w:ind w:firstLine="0" w:firstLineChars="0"/>
              <w:contextualSpacing/>
              <w:jc w:val="center"/>
              <w:rPr>
                <w:sz w:val="21"/>
                <w:szCs w:val="21"/>
              </w:rPr>
            </w:pPr>
            <w:r>
              <w:rPr>
                <w:sz w:val="21"/>
                <w:szCs w:val="21"/>
              </w:rPr>
              <w:t>0.82</w:t>
            </w:r>
          </w:p>
        </w:tc>
        <w:tc>
          <w:tcPr>
            <w:tcW w:w="833" w:type="pct"/>
            <w:vAlign w:val="center"/>
          </w:tcPr>
          <w:p>
            <w:pPr>
              <w:spacing w:line="240" w:lineRule="auto"/>
              <w:ind w:firstLine="0" w:firstLineChars="0"/>
              <w:contextualSpacing/>
              <w:jc w:val="center"/>
              <w:rPr>
                <w:sz w:val="21"/>
                <w:szCs w:val="21"/>
              </w:rPr>
            </w:pPr>
            <w:r>
              <w:rPr>
                <w:sz w:val="21"/>
                <w:szCs w:val="21"/>
              </w:rPr>
              <w:t>-0.83</w:t>
            </w:r>
          </w:p>
        </w:tc>
        <w:tc>
          <w:tcPr>
            <w:tcW w:w="834" w:type="pct"/>
            <w:vAlign w:val="center"/>
          </w:tcPr>
          <w:p>
            <w:pPr>
              <w:spacing w:line="240" w:lineRule="auto"/>
              <w:ind w:firstLine="0" w:firstLineChars="0"/>
              <w:contextualSpacing/>
              <w:jc w:val="center"/>
              <w:rPr>
                <w:sz w:val="21"/>
                <w:szCs w:val="21"/>
              </w:rPr>
            </w:pPr>
            <w:r>
              <w:rPr>
                <w:sz w:val="21"/>
                <w:szCs w:val="21"/>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4" w:type="pct"/>
            <w:vAlign w:val="center"/>
          </w:tcPr>
          <w:p>
            <w:pPr>
              <w:spacing w:line="240" w:lineRule="auto"/>
              <w:ind w:firstLine="0" w:firstLineChars="0"/>
              <w:contextualSpacing/>
              <w:jc w:val="center"/>
              <w:rPr>
                <w:sz w:val="21"/>
                <w:szCs w:val="21"/>
              </w:rPr>
            </w:pPr>
            <w:r>
              <w:t>r</w:t>
            </w:r>
            <w:r>
              <w:rPr>
                <w:vertAlign w:val="subscript"/>
              </w:rPr>
              <w:t>ij</w:t>
            </w:r>
            <w:r>
              <w:rPr>
                <w:vertAlign w:val="superscript"/>
              </w:rPr>
              <w:t>2</w:t>
            </w:r>
          </w:p>
        </w:tc>
        <w:tc>
          <w:tcPr>
            <w:tcW w:w="833" w:type="pct"/>
            <w:vAlign w:val="center"/>
          </w:tcPr>
          <w:p>
            <w:pPr>
              <w:spacing w:line="240" w:lineRule="auto"/>
              <w:ind w:firstLine="0" w:firstLineChars="0"/>
              <w:contextualSpacing/>
              <w:jc w:val="center"/>
              <w:rPr>
                <w:sz w:val="21"/>
                <w:szCs w:val="21"/>
              </w:rPr>
            </w:pPr>
            <w:r>
              <w:rPr>
                <w:sz w:val="21"/>
                <w:szCs w:val="21"/>
              </w:rPr>
              <w:t>1</w:t>
            </w:r>
          </w:p>
        </w:tc>
        <w:tc>
          <w:tcPr>
            <w:tcW w:w="833" w:type="pct"/>
            <w:vAlign w:val="center"/>
          </w:tcPr>
          <w:p>
            <w:pPr>
              <w:spacing w:line="240" w:lineRule="auto"/>
              <w:ind w:firstLine="0" w:firstLineChars="0"/>
              <w:contextualSpacing/>
              <w:jc w:val="center"/>
              <w:rPr>
                <w:sz w:val="21"/>
                <w:szCs w:val="21"/>
              </w:rPr>
            </w:pPr>
            <w:r>
              <w:rPr>
                <w:sz w:val="21"/>
                <w:szCs w:val="21"/>
              </w:rPr>
              <w:t>0.7056</w:t>
            </w:r>
          </w:p>
        </w:tc>
        <w:tc>
          <w:tcPr>
            <w:tcW w:w="833" w:type="pct"/>
            <w:vAlign w:val="center"/>
          </w:tcPr>
          <w:p>
            <w:pPr>
              <w:spacing w:line="240" w:lineRule="auto"/>
              <w:ind w:firstLine="0" w:firstLineChars="0"/>
              <w:contextualSpacing/>
              <w:jc w:val="center"/>
              <w:rPr>
                <w:sz w:val="21"/>
                <w:szCs w:val="21"/>
              </w:rPr>
            </w:pPr>
            <w:r>
              <w:rPr>
                <w:sz w:val="21"/>
                <w:szCs w:val="21"/>
              </w:rPr>
              <w:t>0.6274</w:t>
            </w:r>
          </w:p>
        </w:tc>
        <w:tc>
          <w:tcPr>
            <w:tcW w:w="833" w:type="pct"/>
            <w:vAlign w:val="center"/>
          </w:tcPr>
          <w:p>
            <w:pPr>
              <w:spacing w:line="240" w:lineRule="auto"/>
              <w:ind w:firstLine="0" w:firstLineChars="0"/>
              <w:contextualSpacing/>
              <w:jc w:val="center"/>
              <w:rPr>
                <w:sz w:val="21"/>
                <w:szCs w:val="21"/>
              </w:rPr>
            </w:pPr>
            <w:r>
              <w:rPr>
                <w:sz w:val="21"/>
                <w:szCs w:val="21"/>
              </w:rPr>
              <w:t>0.6889</w:t>
            </w:r>
          </w:p>
        </w:tc>
        <w:tc>
          <w:tcPr>
            <w:tcW w:w="834" w:type="pct"/>
            <w:vAlign w:val="center"/>
          </w:tcPr>
          <w:p>
            <w:pPr>
              <w:spacing w:line="240" w:lineRule="auto"/>
              <w:ind w:firstLine="0" w:firstLineChars="0"/>
              <w:contextualSpacing/>
              <w:jc w:val="center"/>
              <w:rPr>
                <w:sz w:val="21"/>
                <w:szCs w:val="21"/>
              </w:rPr>
            </w:pPr>
            <w:r>
              <w:rPr>
                <w:sz w:val="21"/>
                <w:szCs w:val="21"/>
              </w:rPr>
              <w:t>0.6889</w:t>
            </w:r>
          </w:p>
        </w:tc>
      </w:tr>
    </w:tbl>
    <w:p>
      <w:pPr>
        <w:ind w:firstLine="480"/>
        <w:contextualSpacing/>
      </w:pPr>
      <w:r>
        <w:t>水库富营养化状况评价指标包括：叶绿素a（chla）、总磷、总氮、透明度、高锰酸盐指数，营养状态指数计算公式为：</w:t>
      </w:r>
    </w:p>
    <w:p>
      <w:pPr>
        <w:ind w:firstLine="480"/>
        <w:contextualSpacing/>
        <w:jc w:val="center"/>
        <w:rPr>
          <w:vertAlign w:val="superscript"/>
        </w:rPr>
      </w:pPr>
      <w:r>
        <w:t>TLI（chl）=10（2.5+1.086lnchla）；</w:t>
      </w:r>
    </w:p>
    <w:p>
      <w:pPr>
        <w:ind w:firstLine="480"/>
        <w:contextualSpacing/>
        <w:jc w:val="center"/>
      </w:pPr>
      <w:r>
        <w:t>TLI（TP）=10（9.436+1.624lnTP）；</w:t>
      </w:r>
    </w:p>
    <w:p>
      <w:pPr>
        <w:ind w:firstLine="480"/>
        <w:contextualSpacing/>
        <w:jc w:val="center"/>
      </w:pPr>
      <w:r>
        <w:t>TLI（TN）=10（5.453+1.694lnTN）；</w:t>
      </w:r>
    </w:p>
    <w:p>
      <w:pPr>
        <w:ind w:firstLine="480"/>
        <w:contextualSpacing/>
        <w:jc w:val="center"/>
      </w:pPr>
      <w:r>
        <w:t>TLI（SD）=10（5.118-1.94lnSD）；</w:t>
      </w:r>
    </w:p>
    <w:p>
      <w:pPr>
        <w:ind w:firstLine="480"/>
        <w:contextualSpacing/>
        <w:jc w:val="center"/>
      </w:pPr>
      <w:r>
        <w:t>TLI（COD</w:t>
      </w:r>
      <w:r>
        <w:rPr>
          <w:vertAlign w:val="subscript"/>
        </w:rPr>
        <w:t>Mn</w:t>
      </w:r>
      <w:r>
        <w:t>）=10（0.109+2.661lnCOD</w:t>
      </w:r>
      <w:r>
        <w:rPr>
          <w:vertAlign w:val="subscript"/>
        </w:rPr>
        <w:t>Mn</w:t>
      </w:r>
      <w:r>
        <w:t>）；</w:t>
      </w:r>
    </w:p>
    <w:p>
      <w:pPr>
        <w:ind w:firstLine="480"/>
        <w:contextualSpacing/>
      </w:pPr>
      <w:r>
        <w:t>式中chla单位为mg/m³，SD单位为m，其他指标单位为mg/L。</w:t>
      </w:r>
    </w:p>
    <w:p>
      <w:pPr>
        <w:ind w:firstLine="480"/>
        <w:contextualSpacing/>
      </w:pPr>
      <w:r>
        <w:t>采用0~100的一系列连续数字对水库营养状态进行分级。见下表。</w:t>
      </w:r>
    </w:p>
    <w:p>
      <w:pPr>
        <w:ind w:firstLine="0" w:firstLineChars="0"/>
        <w:contextualSpacing/>
        <w:jc w:val="center"/>
        <w:rPr>
          <w:b/>
          <w:bCs/>
          <w:sz w:val="21"/>
          <w:szCs w:val="21"/>
        </w:rPr>
      </w:pPr>
      <w:r>
        <w:rPr>
          <w:b/>
          <w:bCs/>
          <w:sz w:val="21"/>
          <w:szCs w:val="21"/>
        </w:rPr>
        <w:t>表5.2.2-16  水库营养状态分级</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6"/>
        <w:gridCol w:w="4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sz w:val="21"/>
                <w:szCs w:val="21"/>
              </w:rPr>
              <w:t>TLI（∑）</w:t>
            </w:r>
          </w:p>
        </w:tc>
        <w:tc>
          <w:tcPr>
            <w:tcW w:w="2500" w:type="pct"/>
            <w:vAlign w:val="center"/>
          </w:tcPr>
          <w:p>
            <w:pPr>
              <w:spacing w:line="240" w:lineRule="auto"/>
              <w:ind w:firstLine="420"/>
              <w:contextualSpacing/>
              <w:jc w:val="center"/>
              <w:rPr>
                <w:sz w:val="21"/>
                <w:szCs w:val="21"/>
              </w:rPr>
            </w:pPr>
            <w:r>
              <w:rPr>
                <w:sz w:val="21"/>
                <w:szCs w:val="21"/>
              </w:rPr>
              <w:t>营养状态分级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sz w:val="21"/>
                <w:szCs w:val="21"/>
              </w:rPr>
              <w:t>TLI（∑）＜30</w:t>
            </w:r>
          </w:p>
        </w:tc>
        <w:tc>
          <w:tcPr>
            <w:tcW w:w="2500" w:type="pct"/>
            <w:vAlign w:val="center"/>
          </w:tcPr>
          <w:p>
            <w:pPr>
              <w:spacing w:line="240" w:lineRule="auto"/>
              <w:ind w:firstLine="420"/>
              <w:contextualSpacing/>
              <w:jc w:val="center"/>
              <w:rPr>
                <w:sz w:val="21"/>
                <w:szCs w:val="21"/>
              </w:rPr>
            </w:pPr>
            <w:r>
              <w:rPr>
                <w:sz w:val="21"/>
                <w:szCs w:val="21"/>
              </w:rPr>
              <w:t>贫营养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sz w:val="21"/>
                <w:szCs w:val="21"/>
              </w:rPr>
              <w:t>30≤TLI（∑）≤50</w:t>
            </w:r>
          </w:p>
        </w:tc>
        <w:tc>
          <w:tcPr>
            <w:tcW w:w="2500" w:type="pct"/>
            <w:vAlign w:val="center"/>
          </w:tcPr>
          <w:p>
            <w:pPr>
              <w:spacing w:line="240" w:lineRule="auto"/>
              <w:ind w:firstLine="420"/>
              <w:contextualSpacing/>
              <w:jc w:val="center"/>
              <w:rPr>
                <w:sz w:val="21"/>
                <w:szCs w:val="21"/>
              </w:rPr>
            </w:pPr>
            <w:r>
              <w:rPr>
                <w:sz w:val="21"/>
                <w:szCs w:val="21"/>
              </w:rPr>
              <w:t>中营养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00" w:type="pct"/>
            <w:vAlign w:val="center"/>
          </w:tcPr>
          <w:p>
            <w:pPr>
              <w:spacing w:line="240" w:lineRule="auto"/>
              <w:ind w:firstLine="420"/>
              <w:contextualSpacing/>
              <w:jc w:val="center"/>
              <w:rPr>
                <w:sz w:val="21"/>
                <w:szCs w:val="21"/>
              </w:rPr>
            </w:pPr>
            <w:r>
              <w:rPr>
                <w:sz w:val="21"/>
                <w:szCs w:val="21"/>
              </w:rPr>
              <w:t>TLI（∑）＞50</w:t>
            </w:r>
          </w:p>
        </w:tc>
        <w:tc>
          <w:tcPr>
            <w:tcW w:w="2500" w:type="pct"/>
            <w:vAlign w:val="center"/>
          </w:tcPr>
          <w:p>
            <w:pPr>
              <w:spacing w:line="240" w:lineRule="auto"/>
              <w:ind w:firstLine="420"/>
              <w:contextualSpacing/>
              <w:jc w:val="center"/>
              <w:rPr>
                <w:sz w:val="21"/>
                <w:szCs w:val="21"/>
              </w:rPr>
            </w:pPr>
            <w:r>
              <w:rPr>
                <w:sz w:val="21"/>
                <w:szCs w:val="21"/>
              </w:rPr>
              <w:t>富营养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rFonts w:hint="eastAsia"/>
                <w:sz w:val="21"/>
                <w:szCs w:val="21"/>
              </w:rPr>
              <w:t>5</w:t>
            </w:r>
            <w:r>
              <w:rPr>
                <w:sz w:val="21"/>
                <w:szCs w:val="21"/>
              </w:rPr>
              <w:t>0＜TLI（∑）≤60</w:t>
            </w:r>
          </w:p>
        </w:tc>
        <w:tc>
          <w:tcPr>
            <w:tcW w:w="2500" w:type="pct"/>
            <w:vAlign w:val="center"/>
          </w:tcPr>
          <w:p>
            <w:pPr>
              <w:spacing w:line="240" w:lineRule="auto"/>
              <w:ind w:firstLine="420"/>
              <w:contextualSpacing/>
              <w:jc w:val="center"/>
              <w:rPr>
                <w:sz w:val="21"/>
                <w:szCs w:val="21"/>
              </w:rPr>
            </w:pPr>
            <w:r>
              <w:rPr>
                <w:sz w:val="21"/>
                <w:szCs w:val="21"/>
              </w:rPr>
              <w:t>轻度富营养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sz w:val="21"/>
                <w:szCs w:val="21"/>
              </w:rPr>
              <w:t>60＜TLI（∑）≤70</w:t>
            </w:r>
          </w:p>
        </w:tc>
        <w:tc>
          <w:tcPr>
            <w:tcW w:w="2500" w:type="pct"/>
            <w:vAlign w:val="center"/>
          </w:tcPr>
          <w:p>
            <w:pPr>
              <w:spacing w:line="240" w:lineRule="auto"/>
              <w:ind w:firstLine="420"/>
              <w:contextualSpacing/>
              <w:jc w:val="center"/>
              <w:rPr>
                <w:sz w:val="21"/>
                <w:szCs w:val="21"/>
              </w:rPr>
            </w:pPr>
            <w:r>
              <w:rPr>
                <w:sz w:val="21"/>
                <w:szCs w:val="21"/>
              </w:rPr>
              <w:t>中度富营养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00" w:type="pct"/>
            <w:vAlign w:val="center"/>
          </w:tcPr>
          <w:p>
            <w:pPr>
              <w:spacing w:line="240" w:lineRule="auto"/>
              <w:ind w:firstLine="420"/>
              <w:contextualSpacing/>
              <w:jc w:val="center"/>
              <w:rPr>
                <w:sz w:val="21"/>
                <w:szCs w:val="21"/>
              </w:rPr>
            </w:pPr>
            <w:r>
              <w:rPr>
                <w:sz w:val="21"/>
                <w:szCs w:val="21"/>
              </w:rPr>
              <w:t>TLI（∑）＞70</w:t>
            </w:r>
          </w:p>
        </w:tc>
        <w:tc>
          <w:tcPr>
            <w:tcW w:w="2500" w:type="pct"/>
            <w:vAlign w:val="center"/>
          </w:tcPr>
          <w:p>
            <w:pPr>
              <w:spacing w:line="240" w:lineRule="auto"/>
              <w:ind w:firstLine="420"/>
              <w:contextualSpacing/>
              <w:jc w:val="center"/>
              <w:rPr>
                <w:sz w:val="21"/>
                <w:szCs w:val="21"/>
              </w:rPr>
            </w:pPr>
            <w:r>
              <w:rPr>
                <w:sz w:val="21"/>
                <w:szCs w:val="21"/>
              </w:rPr>
              <w:t>重度富营养</w:t>
            </w:r>
          </w:p>
        </w:tc>
      </w:tr>
    </w:tbl>
    <w:p>
      <w:pPr>
        <w:ind w:firstLine="480"/>
        <w:contextualSpacing/>
      </w:pPr>
      <w:r>
        <w:t>根据计算，寒溪寺水库</w:t>
      </w:r>
      <w:r>
        <w:rPr>
          <w:rFonts w:hint="eastAsia"/>
        </w:rPr>
        <w:t>枯水期</w:t>
      </w:r>
      <w:r>
        <w:t>坝前总氮浓度0.47mg/L，总磷浓度0.027mg/L。</w:t>
      </w:r>
      <w:r>
        <w:rPr>
          <w:kern w:val="0"/>
        </w:rPr>
        <w:t>对于待建水库，其高锰酸盐指数参照坝址现状实测浓度值，叶绿素a和透明度可类比区域内已建水库的实测值参与评价。根据收集到的寒溪寺水库所在流域河口水库2020</w:t>
      </w:r>
      <w:r>
        <w:rPr>
          <w:rFonts w:hint="eastAsia"/>
          <w:kern w:val="0"/>
        </w:rPr>
        <w:t>年</w:t>
      </w:r>
      <w:r>
        <w:rPr>
          <w:kern w:val="0"/>
        </w:rPr>
        <w:t>的</w:t>
      </w:r>
      <w:r>
        <w:rPr>
          <w:rFonts w:hint="eastAsia"/>
          <w:kern w:val="0"/>
        </w:rPr>
        <w:t>水质</w:t>
      </w:r>
      <w:r>
        <w:rPr>
          <w:kern w:val="0"/>
        </w:rPr>
        <w:t>监测资料，</w:t>
      </w:r>
      <w:r>
        <w:rPr>
          <w:rFonts w:hint="eastAsia"/>
          <w:kern w:val="0"/>
        </w:rPr>
        <w:t>在枯水期，河口水库</w:t>
      </w:r>
      <w:r>
        <w:rPr>
          <w:kern w:val="0"/>
        </w:rPr>
        <w:t>叶绿素a监测值</w:t>
      </w:r>
      <w:r>
        <w:rPr>
          <w:rFonts w:hint="eastAsia"/>
          <w:kern w:val="0"/>
        </w:rPr>
        <w:t>的平均值</w:t>
      </w:r>
      <w:r>
        <w:rPr>
          <w:kern w:val="0"/>
        </w:rPr>
        <w:t>为5.5mg/m</w:t>
      </w:r>
      <w:r>
        <w:rPr>
          <w:kern w:val="0"/>
          <w:vertAlign w:val="superscript"/>
        </w:rPr>
        <w:t>3</w:t>
      </w:r>
      <w:r>
        <w:rPr>
          <w:kern w:val="0"/>
        </w:rPr>
        <w:t>，透明度</w:t>
      </w:r>
      <w:r>
        <w:rPr>
          <w:rFonts w:hint="eastAsia"/>
          <w:kern w:val="0"/>
        </w:rPr>
        <w:t>平均值</w:t>
      </w:r>
      <w:r>
        <w:rPr>
          <w:kern w:val="0"/>
        </w:rPr>
        <w:t>为236cm。坝址处的高锰酸盐指数为5.3mg/L</w:t>
      </w:r>
      <w:r>
        <w:rPr>
          <w:rFonts w:hint="eastAsia"/>
          <w:kern w:val="0"/>
        </w:rPr>
        <w:t>，</w:t>
      </w:r>
      <w:r>
        <w:rPr>
          <w:kern w:val="0"/>
        </w:rPr>
        <w:t>根据计算，水库坝前</w:t>
      </w:r>
      <w:r>
        <w:t>综合营养指数为40.4，属于中营养水平。</w:t>
      </w:r>
    </w:p>
    <w:p>
      <w:pPr>
        <w:ind w:firstLine="480"/>
        <w:contextualSpacing/>
      </w:pPr>
      <w:r>
        <w:rPr>
          <w:rFonts w:hint="eastAsia"/>
        </w:rPr>
        <w:t>丰水期，</w:t>
      </w:r>
      <w:r>
        <w:t>寒溪寺水库坝前总氮浓度2.0mg/L，总磷浓度0.12mg/L</w:t>
      </w:r>
      <w:r>
        <w:rPr>
          <w:kern w:val="0"/>
        </w:rPr>
        <w:t>，叶绿素a</w:t>
      </w:r>
      <w:r>
        <w:rPr>
          <w:rFonts w:hint="eastAsia"/>
          <w:kern w:val="0"/>
        </w:rPr>
        <w:t>取河口水库2</w:t>
      </w:r>
      <w:r>
        <w:rPr>
          <w:kern w:val="0"/>
        </w:rPr>
        <w:t>020</w:t>
      </w:r>
      <w:r>
        <w:rPr>
          <w:rFonts w:hint="eastAsia"/>
          <w:kern w:val="0"/>
        </w:rPr>
        <w:t>年汛期监测值的平均值</w:t>
      </w:r>
      <w:r>
        <w:rPr>
          <w:kern w:val="0"/>
        </w:rPr>
        <w:t>5.8mg/m</w:t>
      </w:r>
      <w:r>
        <w:rPr>
          <w:kern w:val="0"/>
          <w:vertAlign w:val="superscript"/>
        </w:rPr>
        <w:t>3</w:t>
      </w:r>
      <w:r>
        <w:rPr>
          <w:kern w:val="0"/>
        </w:rPr>
        <w:t>，透明度</w:t>
      </w:r>
      <w:r>
        <w:rPr>
          <w:rFonts w:hint="eastAsia"/>
          <w:kern w:val="0"/>
        </w:rPr>
        <w:t>取河口水库汛期监测值的平均值</w:t>
      </w:r>
      <w:r>
        <w:rPr>
          <w:kern w:val="0"/>
        </w:rPr>
        <w:t>249cm</w:t>
      </w:r>
      <w:r>
        <w:rPr>
          <w:rFonts w:hint="eastAsia"/>
          <w:kern w:val="0"/>
        </w:rPr>
        <w:t>，</w:t>
      </w:r>
      <w:r>
        <w:rPr>
          <w:kern w:val="0"/>
        </w:rPr>
        <w:t>高锰酸盐指数为5.3mg/L。根据计算，水库坝前</w:t>
      </w:r>
      <w:r>
        <w:t>综合营养指数为49.3，</w:t>
      </w:r>
      <w:r>
        <w:rPr>
          <w:rFonts w:hint="eastAsia"/>
        </w:rPr>
        <w:t>仍</w:t>
      </w:r>
      <w:r>
        <w:t>属于</w:t>
      </w:r>
      <w:r>
        <w:rPr>
          <w:rFonts w:hint="eastAsia"/>
        </w:rPr>
        <w:t>中</w:t>
      </w:r>
      <w:r>
        <w:t>营养水平。</w:t>
      </w:r>
    </w:p>
    <w:p>
      <w:pPr>
        <w:ind w:firstLine="480"/>
        <w:contextualSpacing/>
      </w:pPr>
      <w:r>
        <w:rPr>
          <w:rFonts w:hint="eastAsia"/>
        </w:rPr>
        <w:t>由此可见，在本次环评预测情景下，</w:t>
      </w:r>
      <w:r>
        <w:t>运行期，寒溪寺水库</w:t>
      </w:r>
      <w:r>
        <w:rPr>
          <w:rFonts w:hint="eastAsia"/>
        </w:rPr>
        <w:t>不会出现整体向富营养化转化的情况，全年都维持在中营养化水平</w:t>
      </w:r>
      <w:r>
        <w:t>。</w:t>
      </w:r>
      <w:r>
        <w:rPr>
          <w:rFonts w:hint="eastAsia"/>
        </w:rPr>
        <w:t>为了防止水库发生富营养化，必须在水库蓄水前全面做好水源区水污染防治工作，将现有的污染源清理到位，并削减污染物入库量，确保蓄水后水库水质稳定向好转变，保证水库供水安全。</w:t>
      </w:r>
    </w:p>
    <w:p>
      <w:pPr>
        <w:ind w:firstLine="0" w:firstLineChars="0"/>
        <w:contextualSpacing/>
        <w:outlineLvl w:val="3"/>
        <w:rPr>
          <w:b/>
          <w:bCs/>
        </w:rPr>
      </w:pPr>
      <w:r>
        <w:rPr>
          <w:b/>
          <w:bCs/>
        </w:rPr>
        <w:t>5.2.2.2下游水质影响分析</w:t>
      </w:r>
    </w:p>
    <w:p>
      <w:pPr>
        <w:ind w:firstLine="480"/>
        <w:contextualSpacing/>
      </w:pPr>
      <w:r>
        <w:t>（1）下游河道</w:t>
      </w:r>
      <w:r>
        <w:rPr>
          <w:spacing w:val="-3"/>
        </w:rPr>
        <w:t>水质</w:t>
      </w:r>
      <w:r>
        <w:t>计算</w:t>
      </w:r>
    </w:p>
    <w:p>
      <w:pPr>
        <w:ind w:firstLine="480"/>
        <w:contextualSpacing/>
      </w:pPr>
      <w:r>
        <w:t>1）</w:t>
      </w:r>
      <w:r>
        <w:rPr>
          <w:kern w:val="0"/>
        </w:rPr>
        <w:t>污染源</w:t>
      </w:r>
      <w:r>
        <w:t>预测</w:t>
      </w:r>
    </w:p>
    <w:p>
      <w:pPr>
        <w:ind w:firstLine="480"/>
      </w:pPr>
      <w:r>
        <w:t>坝下</w:t>
      </w:r>
      <w:r>
        <w:rPr>
          <w:rFonts w:hint="eastAsia"/>
          <w:kern w:val="0"/>
        </w:rPr>
        <w:t>河段</w:t>
      </w:r>
      <w:r>
        <w:t>水质</w:t>
      </w:r>
      <w:r>
        <w:rPr>
          <w:rFonts w:hint="eastAsia"/>
          <w:spacing w:val="-3"/>
        </w:rPr>
        <w:t>影响</w:t>
      </w:r>
      <w:r>
        <w:t>预测范围为</w:t>
      </w:r>
      <w:r>
        <w:rPr>
          <w:rFonts w:hint="eastAsia"/>
        </w:rPr>
        <w:t>寒溪寺</w:t>
      </w:r>
      <w:r>
        <w:t>水库坝址至下游</w:t>
      </w:r>
      <w:r>
        <w:rPr>
          <w:rFonts w:hint="eastAsia"/>
        </w:rPr>
        <w:t>寒溪寺水库回水末端的蔡家河河段</w:t>
      </w:r>
      <w:r>
        <w:t>，长约3.15km</w:t>
      </w:r>
      <w:r>
        <w:rPr>
          <w:rFonts w:hint="eastAsia"/>
        </w:rPr>
        <w:t>（减水河段）</w:t>
      </w:r>
      <w:r>
        <w:t>。</w:t>
      </w:r>
      <w:r>
        <w:rPr>
          <w:rFonts w:hint="eastAsia"/>
        </w:rPr>
        <w:t>本河段两岸目前没有集中分布的点源，主要污染源为两岸分布的农村居民的生活污染源和农业面源。目前这些自然村人口约有</w:t>
      </w:r>
      <w:r>
        <w:t>5023</w:t>
      </w:r>
      <w:r>
        <w:rPr>
          <w:rFonts w:hint="eastAsia"/>
        </w:rPr>
        <w:t>人，预测水平年考虑人口增长率</w:t>
      </w:r>
      <w:r>
        <w:t>3.18‰</w:t>
      </w:r>
      <w:r>
        <w:rPr>
          <w:rFonts w:hint="eastAsia"/>
        </w:rPr>
        <w:t>，下游减水河段分布有农村人口约</w:t>
      </w:r>
      <w:r>
        <w:t>5103</w:t>
      </w:r>
      <w:r>
        <w:rPr>
          <w:rFonts w:hint="eastAsia"/>
        </w:rPr>
        <w:t>人，农田耕地约</w:t>
      </w:r>
      <w:r>
        <w:t>7011</w:t>
      </w:r>
      <w:r>
        <w:rPr>
          <w:rFonts w:hint="eastAsia"/>
        </w:rPr>
        <w:t>亩。采用库区污染物排放量、入河量计算方法（取值详见5</w:t>
      </w:r>
      <w:r>
        <w:t>.2.2</w:t>
      </w:r>
      <w:r>
        <w:rPr>
          <w:rFonts w:hint="eastAsia"/>
        </w:rPr>
        <w:t>.</w:t>
      </w:r>
      <w:r>
        <w:t>1</w:t>
      </w:r>
      <w:r>
        <w:rPr>
          <w:rFonts w:hint="eastAsia"/>
        </w:rPr>
        <w:t>小节），经计算，预测水平年下游河段两岸污染物排放量和入河量见表5</w:t>
      </w:r>
      <w:r>
        <w:t>.2.2</w:t>
      </w:r>
      <w:r>
        <w:rPr>
          <w:rFonts w:hint="eastAsia"/>
        </w:rPr>
        <w:t>-</w:t>
      </w:r>
      <w:r>
        <w:t>17</w:t>
      </w:r>
      <w:r>
        <w:rPr>
          <w:rFonts w:hint="eastAsia"/>
        </w:rPr>
        <w:t>。预测水平年，寒溪寺水库下游</w:t>
      </w:r>
      <w:r>
        <w:t>8.5</w:t>
      </w:r>
      <w:r>
        <w:rPr>
          <w:rFonts w:hint="eastAsia"/>
        </w:rPr>
        <w:t>km减水河段两岸大多不是本工程的受水区灌面，少量灌面在本工程规划中也是作为改善灌面设计。因此，本次预测过程中所核算的两岸污染物排放量、入河量按现状情况考虑，并结合人口增长是基本合理的，可以反映预测水平年坝址下游减水河段偏大的污染物排放、入河水平。</w:t>
      </w:r>
    </w:p>
    <w:p>
      <w:pPr>
        <w:ind w:firstLine="0" w:firstLineChars="0"/>
        <w:contextualSpacing/>
        <w:jc w:val="center"/>
        <w:rPr>
          <w:b/>
          <w:bCs/>
          <w:sz w:val="21"/>
          <w:szCs w:val="21"/>
        </w:rPr>
      </w:pPr>
      <w:r>
        <w:rPr>
          <w:b/>
          <w:bCs/>
          <w:sz w:val="21"/>
          <w:szCs w:val="21"/>
        </w:rPr>
        <w:t>表5.2.2-17预测水平年坝下河段污染物排放量、入河量</w:t>
      </w:r>
    </w:p>
    <w:tbl>
      <w:tblPr>
        <w:tblStyle w:val="3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5"/>
        <w:gridCol w:w="2227"/>
        <w:gridCol w:w="2056"/>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Merge w:val="restar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39" w:name="_Toc88521728"/>
            <w:bookmarkStart w:id="740" w:name="_Toc87802018"/>
            <w:r>
              <w:rPr>
                <w:rFonts w:ascii="Times New Roman" w:hAnsi="Times New Roman"/>
                <w:spacing w:val="0"/>
                <w:kern w:val="2"/>
                <w:sz w:val="21"/>
                <w:szCs w:val="21"/>
              </w:rPr>
              <w:t>坝下河段</w:t>
            </w:r>
            <w:bookmarkEnd w:id="739"/>
            <w:bookmarkEnd w:id="740"/>
          </w:p>
        </w:tc>
        <w:tc>
          <w:tcPr>
            <w:tcW w:w="3692" w:type="pct"/>
            <w:gridSpan w:val="3"/>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41" w:name="_Toc88521729"/>
            <w:bookmarkStart w:id="742" w:name="_Toc87802019"/>
            <w:r>
              <w:rPr>
                <w:rFonts w:ascii="Times New Roman" w:hAnsi="Times New Roman"/>
                <w:spacing w:val="0"/>
                <w:kern w:val="2"/>
                <w:sz w:val="21"/>
                <w:szCs w:val="21"/>
              </w:rPr>
              <w:t>污染物t/a</w:t>
            </w:r>
            <w:bookmarkEnd w:id="741"/>
            <w:bookmarkEnd w:id="74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Merge w:val="continue"/>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p>
        </w:tc>
        <w:tc>
          <w:tcPr>
            <w:tcW w:w="133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43" w:name="_Toc87802020"/>
            <w:bookmarkStart w:id="744" w:name="_Toc88521730"/>
            <w:r>
              <w:rPr>
                <w:rFonts w:ascii="Times New Roman" w:hAnsi="Times New Roman"/>
                <w:spacing w:val="0"/>
                <w:kern w:val="2"/>
                <w:sz w:val="21"/>
                <w:szCs w:val="21"/>
              </w:rPr>
              <w:t>COD</w:t>
            </w:r>
            <w:bookmarkEnd w:id="743"/>
            <w:bookmarkEnd w:id="744"/>
          </w:p>
        </w:tc>
        <w:tc>
          <w:tcPr>
            <w:tcW w:w="12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45" w:name="_Toc87802021"/>
            <w:bookmarkStart w:id="746" w:name="_Toc88521731"/>
            <w:r>
              <w:rPr>
                <w:rFonts w:ascii="Times New Roman" w:hAnsi="Times New Roman"/>
                <w:spacing w:val="0"/>
                <w:kern w:val="2"/>
                <w:sz w:val="21"/>
                <w:szCs w:val="21"/>
              </w:rPr>
              <w:t>氨氮</w:t>
            </w:r>
            <w:bookmarkEnd w:id="745"/>
            <w:bookmarkEnd w:id="746"/>
          </w:p>
        </w:tc>
        <w:tc>
          <w:tcPr>
            <w:tcW w:w="112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47" w:name="_Toc87802022"/>
            <w:bookmarkStart w:id="748" w:name="_Toc88521732"/>
            <w:r>
              <w:rPr>
                <w:rFonts w:ascii="Times New Roman" w:hAnsi="Times New Roman"/>
                <w:spacing w:val="0"/>
                <w:kern w:val="2"/>
                <w:sz w:val="21"/>
                <w:szCs w:val="21"/>
              </w:rPr>
              <w:t>总磷</w:t>
            </w:r>
            <w:bookmarkEnd w:id="747"/>
            <w:bookmarkEnd w:id="74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spacing w:val="0"/>
                <w:kern w:val="2"/>
                <w:sz w:val="21"/>
                <w:szCs w:val="21"/>
              </w:rPr>
              <w:t>排放量</w:t>
            </w:r>
          </w:p>
        </w:tc>
        <w:tc>
          <w:tcPr>
            <w:tcW w:w="133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74.47 </w:t>
            </w:r>
          </w:p>
        </w:tc>
        <w:tc>
          <w:tcPr>
            <w:tcW w:w="12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5.27 </w:t>
            </w:r>
          </w:p>
        </w:tc>
        <w:tc>
          <w:tcPr>
            <w:tcW w:w="112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0.71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spacing w:val="0"/>
                <w:kern w:val="2"/>
                <w:sz w:val="21"/>
                <w:szCs w:val="21"/>
              </w:rPr>
              <w:t>其中生活污染源</w:t>
            </w:r>
          </w:p>
        </w:tc>
        <w:tc>
          <w:tcPr>
            <w:tcW w:w="133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59.90 </w:t>
            </w:r>
          </w:p>
        </w:tc>
        <w:tc>
          <w:tcPr>
            <w:tcW w:w="12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4.22 </w:t>
            </w:r>
          </w:p>
        </w:tc>
        <w:tc>
          <w:tcPr>
            <w:tcW w:w="112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0.45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spacing w:val="0"/>
                <w:kern w:val="2"/>
                <w:sz w:val="21"/>
                <w:szCs w:val="21"/>
              </w:rPr>
              <w:t>农业面源</w:t>
            </w:r>
          </w:p>
        </w:tc>
        <w:tc>
          <w:tcPr>
            <w:tcW w:w="133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14.57 </w:t>
            </w:r>
          </w:p>
        </w:tc>
        <w:tc>
          <w:tcPr>
            <w:tcW w:w="12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1.05 </w:t>
            </w:r>
          </w:p>
        </w:tc>
        <w:tc>
          <w:tcPr>
            <w:tcW w:w="112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spacing w:val="0"/>
                <w:kern w:val="2"/>
                <w:sz w:val="21"/>
                <w:szCs w:val="21"/>
              </w:rPr>
              <w:t>入河量</w:t>
            </w:r>
          </w:p>
        </w:tc>
        <w:tc>
          <w:tcPr>
            <w:tcW w:w="1333"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28.17 </w:t>
            </w:r>
          </w:p>
        </w:tc>
        <w:tc>
          <w:tcPr>
            <w:tcW w:w="1231"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2.00 </w:t>
            </w:r>
          </w:p>
        </w:tc>
        <w:tc>
          <w:tcPr>
            <w:tcW w:w="112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r>
              <w:rPr>
                <w:rFonts w:ascii="Times New Roman" w:hAnsi="Times New Roman" w:eastAsia="等线"/>
                <w:sz w:val="21"/>
                <w:szCs w:val="21"/>
              </w:rPr>
              <w:t xml:space="preserve">0.32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49" w:name="_Toc88521733"/>
            <w:bookmarkStart w:id="750" w:name="_Toc87802023"/>
            <w:r>
              <w:rPr>
                <w:rFonts w:ascii="Times New Roman" w:hAnsi="Times New Roman"/>
                <w:spacing w:val="0"/>
                <w:kern w:val="2"/>
                <w:sz w:val="21"/>
                <w:szCs w:val="21"/>
              </w:rPr>
              <w:t>其中生活污染源</w:t>
            </w:r>
            <w:bookmarkEnd w:id="749"/>
            <w:bookmarkEnd w:id="750"/>
          </w:p>
        </w:tc>
        <w:tc>
          <w:tcPr>
            <w:tcW w:w="1333" w:type="pct"/>
            <w:vAlign w:val="center"/>
          </w:tcPr>
          <w:p>
            <w:pPr>
              <w:widowControl/>
              <w:spacing w:line="240" w:lineRule="auto"/>
              <w:ind w:firstLine="0" w:firstLineChars="0"/>
              <w:contextualSpacing/>
              <w:jc w:val="center"/>
              <w:rPr>
                <w:sz w:val="21"/>
              </w:rPr>
            </w:pPr>
            <w:r>
              <w:rPr>
                <w:rFonts w:eastAsia="等线"/>
                <w:sz w:val="21"/>
                <w:szCs w:val="21"/>
              </w:rPr>
              <w:t xml:space="preserve">17.97 </w:t>
            </w:r>
          </w:p>
        </w:tc>
        <w:tc>
          <w:tcPr>
            <w:tcW w:w="1231" w:type="pct"/>
            <w:vAlign w:val="center"/>
          </w:tcPr>
          <w:p>
            <w:pPr>
              <w:spacing w:line="240" w:lineRule="auto"/>
              <w:ind w:firstLine="0" w:firstLineChars="0"/>
              <w:contextualSpacing/>
              <w:jc w:val="center"/>
              <w:rPr>
                <w:sz w:val="21"/>
              </w:rPr>
            </w:pPr>
            <w:r>
              <w:rPr>
                <w:rFonts w:eastAsia="等线"/>
                <w:sz w:val="21"/>
                <w:szCs w:val="21"/>
              </w:rPr>
              <w:t xml:space="preserve">1.27 </w:t>
            </w:r>
          </w:p>
        </w:tc>
        <w:tc>
          <w:tcPr>
            <w:tcW w:w="1128" w:type="pct"/>
            <w:vAlign w:val="center"/>
          </w:tcPr>
          <w:p>
            <w:pPr>
              <w:spacing w:line="240" w:lineRule="auto"/>
              <w:ind w:firstLine="0" w:firstLineChars="0"/>
              <w:contextualSpacing/>
              <w:jc w:val="center"/>
              <w:rPr>
                <w:sz w:val="21"/>
              </w:rPr>
            </w:pPr>
            <w:r>
              <w:rPr>
                <w:rFonts w:eastAsia="等线"/>
                <w:sz w:val="21"/>
                <w:szCs w:val="21"/>
              </w:rPr>
              <w:t xml:space="preserve">0.13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08" w:type="pct"/>
            <w:vAlign w:val="center"/>
          </w:tcPr>
          <w:p>
            <w:pPr>
              <w:pStyle w:val="117"/>
              <w:tabs>
                <w:tab w:val="left" w:pos="1651"/>
              </w:tabs>
              <w:spacing w:line="240" w:lineRule="auto"/>
              <w:contextualSpacing/>
              <w:jc w:val="center"/>
              <w:outlineLvl w:val="9"/>
              <w:rPr>
                <w:rFonts w:ascii="Times New Roman" w:hAnsi="Times New Roman"/>
                <w:spacing w:val="0"/>
                <w:kern w:val="2"/>
                <w:sz w:val="21"/>
                <w:szCs w:val="21"/>
              </w:rPr>
            </w:pPr>
            <w:bookmarkStart w:id="751" w:name="_Toc87802024"/>
            <w:bookmarkStart w:id="752" w:name="_Toc88521734"/>
            <w:r>
              <w:rPr>
                <w:rFonts w:ascii="Times New Roman" w:hAnsi="Times New Roman"/>
                <w:spacing w:val="0"/>
                <w:kern w:val="2"/>
                <w:sz w:val="21"/>
                <w:szCs w:val="21"/>
              </w:rPr>
              <w:t>农业面源</w:t>
            </w:r>
            <w:bookmarkEnd w:id="751"/>
            <w:bookmarkEnd w:id="752"/>
          </w:p>
        </w:tc>
        <w:tc>
          <w:tcPr>
            <w:tcW w:w="1333" w:type="pct"/>
            <w:vAlign w:val="center"/>
          </w:tcPr>
          <w:p>
            <w:pPr>
              <w:widowControl/>
              <w:spacing w:line="240" w:lineRule="auto"/>
              <w:ind w:firstLine="0" w:firstLineChars="0"/>
              <w:contextualSpacing/>
              <w:jc w:val="center"/>
              <w:rPr>
                <w:sz w:val="21"/>
              </w:rPr>
            </w:pPr>
            <w:r>
              <w:rPr>
                <w:rFonts w:eastAsia="等线"/>
                <w:sz w:val="21"/>
                <w:szCs w:val="21"/>
              </w:rPr>
              <w:t xml:space="preserve">10.20 </w:t>
            </w:r>
          </w:p>
        </w:tc>
        <w:tc>
          <w:tcPr>
            <w:tcW w:w="1231" w:type="pct"/>
            <w:vAlign w:val="center"/>
          </w:tcPr>
          <w:p>
            <w:pPr>
              <w:spacing w:line="240" w:lineRule="auto"/>
              <w:ind w:firstLine="0" w:firstLineChars="0"/>
              <w:contextualSpacing/>
              <w:jc w:val="center"/>
              <w:rPr>
                <w:sz w:val="21"/>
              </w:rPr>
            </w:pPr>
            <w:r>
              <w:rPr>
                <w:rFonts w:eastAsia="等线"/>
                <w:sz w:val="21"/>
                <w:szCs w:val="21"/>
              </w:rPr>
              <w:t xml:space="preserve">0.74 </w:t>
            </w:r>
          </w:p>
        </w:tc>
        <w:tc>
          <w:tcPr>
            <w:tcW w:w="1128" w:type="pct"/>
            <w:vAlign w:val="center"/>
          </w:tcPr>
          <w:p>
            <w:pPr>
              <w:spacing w:line="240" w:lineRule="auto"/>
              <w:ind w:firstLine="0" w:firstLineChars="0"/>
              <w:contextualSpacing/>
              <w:jc w:val="center"/>
              <w:rPr>
                <w:sz w:val="21"/>
              </w:rPr>
            </w:pPr>
            <w:r>
              <w:rPr>
                <w:rFonts w:eastAsia="等线"/>
                <w:sz w:val="21"/>
                <w:szCs w:val="21"/>
              </w:rPr>
              <w:t xml:space="preserve">0.19 </w:t>
            </w:r>
          </w:p>
        </w:tc>
      </w:tr>
    </w:tbl>
    <w:p>
      <w:pPr>
        <w:ind w:firstLine="480"/>
        <w:contextualSpacing/>
      </w:pPr>
      <w:r>
        <w:t>2）计算模式选择</w:t>
      </w:r>
    </w:p>
    <w:p>
      <w:pPr>
        <w:ind w:firstLine="480"/>
        <w:contextualSpacing/>
      </w:pPr>
      <w:r>
        <w:t>预测模型采用《环境影响评价技术导则地表水环境》（HJ2.3-2018）推荐的纵向一维水质数学模型，模型计算公式为：</w:t>
      </w:r>
    </w:p>
    <w:p>
      <w:pPr>
        <w:widowControl/>
        <w:tabs>
          <w:tab w:val="right" w:pos="6663"/>
        </w:tabs>
        <w:ind w:firstLine="480"/>
        <w:contextualSpacing/>
        <w:jc w:val="center"/>
      </w:pPr>
      <w:r>
        <w:drawing>
          <wp:inline distT="0" distB="0" distL="0" distR="0">
            <wp:extent cx="3328670" cy="58610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28670" cy="586105"/>
                    </a:xfrm>
                    <a:prstGeom prst="rect">
                      <a:avLst/>
                    </a:prstGeom>
                    <a:noFill/>
                    <a:ln>
                      <a:noFill/>
                    </a:ln>
                  </pic:spPr>
                </pic:pic>
              </a:graphicData>
            </a:graphic>
          </wp:inline>
        </w:drawing>
      </w:r>
    </w:p>
    <w:p>
      <w:pPr>
        <w:ind w:firstLine="480"/>
        <w:contextualSpacing/>
      </w:pPr>
      <w:r>
        <w:t>式中：</w:t>
      </w:r>
    </w:p>
    <w:p>
      <w:pPr>
        <w:ind w:firstLine="480"/>
        <w:contextualSpacing/>
      </w:pPr>
      <w:r>
        <w:t>C——</w:t>
      </w:r>
      <w:r>
        <w:rPr>
          <w:kern w:val="0"/>
        </w:rPr>
        <w:t>污染物</w:t>
      </w:r>
      <w:r>
        <w:t>浓度，mg/L；</w:t>
      </w:r>
    </w:p>
    <w:p>
      <w:pPr>
        <w:ind w:firstLine="480"/>
        <w:contextualSpacing/>
      </w:pPr>
      <w:r>
        <w:t>Q——断面流量，m</w:t>
      </w:r>
      <w:r>
        <w:rPr>
          <w:vertAlign w:val="superscript"/>
        </w:rPr>
        <w:t>3</w:t>
      </w:r>
      <w:r>
        <w:t>/s；</w:t>
      </w:r>
    </w:p>
    <w:p>
      <w:pPr>
        <w:ind w:firstLine="480"/>
        <w:contextualSpacing/>
      </w:pPr>
      <w:r>
        <w:t>q——单位河长的旁侧入流，m</w:t>
      </w:r>
      <w:r>
        <w:rPr>
          <w:vertAlign w:val="superscript"/>
        </w:rPr>
        <w:t>2</w:t>
      </w:r>
      <w:r>
        <w:t>/s；</w:t>
      </w:r>
    </w:p>
    <w:p>
      <w:pPr>
        <w:ind w:firstLine="480"/>
        <w:contextualSpacing/>
      </w:pPr>
      <w:r>
        <w:t>A——断面面积，m</w:t>
      </w:r>
      <w:r>
        <w:rPr>
          <w:vertAlign w:val="superscript"/>
        </w:rPr>
        <w:t>2</w:t>
      </w:r>
      <w:r>
        <w:t>；</w:t>
      </w:r>
    </w:p>
    <w:p>
      <w:pPr>
        <w:ind w:firstLine="480"/>
        <w:contextualSpacing/>
      </w:pPr>
      <w:r>
        <w:t>E</w:t>
      </w:r>
      <w:r>
        <w:rPr>
          <w:vertAlign w:val="subscript"/>
        </w:rPr>
        <w:t>x</w:t>
      </w:r>
      <w:r>
        <w:t>——</w:t>
      </w:r>
      <w:r>
        <w:rPr>
          <w:kern w:val="0"/>
        </w:rPr>
        <w:t>污染物纵向扩散系数</w:t>
      </w:r>
      <w:r>
        <w:t>，m</w:t>
      </w:r>
      <w:r>
        <w:rPr>
          <w:vertAlign w:val="superscript"/>
        </w:rPr>
        <w:t>2</w:t>
      </w:r>
      <w:r>
        <w:t>/s；</w:t>
      </w:r>
    </w:p>
    <w:p>
      <w:pPr>
        <w:ind w:firstLine="480"/>
        <w:contextualSpacing/>
      </w:pPr>
      <w:r>
        <w:t>C</w:t>
      </w:r>
      <w:r>
        <w:rPr>
          <w:vertAlign w:val="subscript"/>
        </w:rPr>
        <w:t>L</w:t>
      </w:r>
      <w:r>
        <w:t>——旁侧出入流（源汇项）污染物浓度，mg/L；</w:t>
      </w:r>
    </w:p>
    <w:p>
      <w:pPr>
        <w:ind w:firstLine="480"/>
        <w:contextualSpacing/>
        <w:rPr>
          <w:kern w:val="0"/>
        </w:rPr>
      </w:pPr>
      <w:r>
        <w:rPr>
          <w:kern w:val="0"/>
        </w:rPr>
        <w:t>根据河流纵向一维水质模型方程的简化、分类判别条件（即：O’Connor数α和贝克来数Pe的临界值），选择相应的解析解公式。经计算，本项目COD、TN、TP的O’Connor数α小于0.027，贝克来数Pe大于1，因此，本次预测适用对流降解模型。公式为：</w:t>
      </w:r>
    </w:p>
    <w:p>
      <w:pPr>
        <w:pStyle w:val="2"/>
        <w:spacing w:before="0" w:line="240" w:lineRule="auto"/>
        <w:ind w:left="136" w:firstLine="0" w:firstLineChars="0"/>
        <w:contextualSpacing/>
        <w:jc w:val="center"/>
        <w:rPr>
          <w:rFonts w:ascii="Times New Roman" w:hAnsi="Times New Roman"/>
        </w:rPr>
      </w:pPr>
      <w:r>
        <w:rPr>
          <w:rFonts w:ascii="Times New Roman" w:hAnsi="Times New Roman"/>
        </w:rPr>
        <w:drawing>
          <wp:inline distT="0" distB="0" distL="0" distR="0">
            <wp:extent cx="1633855" cy="320675"/>
            <wp:effectExtent l="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92" cstate="print">
                      <a:extLst>
                        <a:ext uri="{28A0092B-C50C-407E-A947-70E740481C1C}">
                          <a14:useLocalDpi xmlns:a14="http://schemas.microsoft.com/office/drawing/2010/main" val="0"/>
                        </a:ext>
                      </a:extLst>
                    </a:blip>
                    <a:srcRect t="11903" b="11472"/>
                    <a:stretch>
                      <a:fillRect/>
                    </a:stretch>
                  </pic:blipFill>
                  <pic:spPr>
                    <a:xfrm>
                      <a:off x="0" y="0"/>
                      <a:ext cx="1633855" cy="320675"/>
                    </a:xfrm>
                    <a:prstGeom prst="rect">
                      <a:avLst/>
                    </a:prstGeom>
                    <a:noFill/>
                    <a:ln>
                      <a:noFill/>
                    </a:ln>
                  </pic:spPr>
                </pic:pic>
              </a:graphicData>
            </a:graphic>
          </wp:inline>
        </w:drawing>
      </w:r>
    </w:p>
    <w:p>
      <w:pPr>
        <w:pStyle w:val="2"/>
        <w:spacing w:before="0" w:line="240" w:lineRule="auto"/>
        <w:ind w:left="136" w:firstLine="0" w:firstLineChars="0"/>
        <w:contextualSpacing/>
        <w:jc w:val="center"/>
        <w:rPr>
          <w:rFonts w:ascii="Times New Roman" w:hAnsi="Times New Roman"/>
        </w:rPr>
      </w:pPr>
      <w:r>
        <w:rPr>
          <w:rFonts w:ascii="Times New Roman" w:hAnsi="Times New Roman"/>
        </w:rPr>
        <w:drawing>
          <wp:inline distT="0" distB="0" distL="0" distR="0">
            <wp:extent cx="1710690" cy="257810"/>
            <wp:effectExtent l="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710690" cy="257810"/>
                    </a:xfrm>
                    <a:prstGeom prst="rect">
                      <a:avLst/>
                    </a:prstGeom>
                    <a:noFill/>
                    <a:ln>
                      <a:noFill/>
                    </a:ln>
                  </pic:spPr>
                </pic:pic>
              </a:graphicData>
            </a:graphic>
          </wp:inline>
        </w:drawing>
      </w:r>
    </w:p>
    <w:p>
      <w:pPr>
        <w:ind w:firstLine="480"/>
        <w:contextualSpacing/>
      </w:pPr>
      <w:r>
        <w:t>式中：</w:t>
      </w:r>
    </w:p>
    <w:p>
      <w:pPr>
        <w:ind w:firstLine="480"/>
        <w:contextualSpacing/>
      </w:pPr>
      <w:r>
        <w:t>C</w:t>
      </w:r>
      <w:r>
        <w:rPr>
          <w:vertAlign w:val="subscript"/>
        </w:rPr>
        <w:t>0</w:t>
      </w:r>
      <w:r>
        <w:t>——河流排放口初始断面混合浓度，mg/L；</w:t>
      </w:r>
    </w:p>
    <w:p>
      <w:pPr>
        <w:ind w:firstLine="480"/>
        <w:contextualSpacing/>
      </w:pPr>
      <w:r>
        <w:t>x——河流沿程坐标，m；x=0指排放口处，x&gt;0指排放口下游段，x&lt;0指排放口上游段；</w:t>
      </w:r>
    </w:p>
    <w:p>
      <w:pPr>
        <w:ind w:firstLine="480"/>
        <w:contextualSpacing/>
      </w:pPr>
      <w:r>
        <w:t>k——污染物综合衰减系数，1/s；COD拟取0.06，氨氮拟取0.1，总磷拟取0.04；</w:t>
      </w:r>
    </w:p>
    <w:p>
      <w:pPr>
        <w:ind w:firstLine="480"/>
        <w:contextualSpacing/>
      </w:pPr>
      <w:r>
        <w:t>u——断面流速，m/s；</w:t>
      </w:r>
    </w:p>
    <w:p>
      <w:pPr>
        <w:ind w:firstLine="480"/>
        <w:contextualSpacing/>
      </w:pPr>
      <w:r>
        <w:t>C</w:t>
      </w:r>
      <w:r>
        <w:rPr>
          <w:vertAlign w:val="subscript"/>
        </w:rPr>
        <w:t>p</w:t>
      </w:r>
      <w:r>
        <w:t>——污染物排放浓度，mg/L；</w:t>
      </w:r>
    </w:p>
    <w:p>
      <w:pPr>
        <w:ind w:firstLine="480"/>
        <w:contextualSpacing/>
      </w:pPr>
      <w:r>
        <w:t>Q</w:t>
      </w:r>
      <w:r>
        <w:rPr>
          <w:vertAlign w:val="subscript"/>
        </w:rPr>
        <w:t>p</w:t>
      </w:r>
      <w:r>
        <w:t>——污水排放量，m</w:t>
      </w:r>
      <w:r>
        <w:rPr>
          <w:vertAlign w:val="superscript"/>
        </w:rPr>
        <w:t>3</w:t>
      </w:r>
      <w:r>
        <w:t>/s；</w:t>
      </w:r>
    </w:p>
    <w:p>
      <w:pPr>
        <w:ind w:firstLine="480"/>
        <w:contextualSpacing/>
      </w:pPr>
      <w:r>
        <w:t>C</w:t>
      </w:r>
      <w:r>
        <w:rPr>
          <w:vertAlign w:val="subscript"/>
        </w:rPr>
        <w:t>h</w:t>
      </w:r>
      <w:r>
        <w:t>——河流上游污染物浓度，mg/L；计算时按各代表年预测寒溪寺水库出库水质取值；</w:t>
      </w:r>
    </w:p>
    <w:p>
      <w:pPr>
        <w:ind w:firstLine="480"/>
        <w:contextualSpacing/>
      </w:pPr>
      <w:r>
        <w:t>Q</w:t>
      </w:r>
      <w:r>
        <w:rPr>
          <w:vertAlign w:val="subscript"/>
        </w:rPr>
        <w:t>h</w:t>
      </w:r>
      <w:r>
        <w:t>——河流流量，m</w:t>
      </w:r>
      <w:r>
        <w:rPr>
          <w:vertAlign w:val="superscript"/>
        </w:rPr>
        <w:t>3</w:t>
      </w:r>
      <w:r>
        <w:t>/s；计算时按各水平年水库出库流量取值；</w:t>
      </w:r>
    </w:p>
    <w:p>
      <w:pPr>
        <w:ind w:firstLine="480"/>
        <w:contextualSpacing/>
      </w:pPr>
      <w:r>
        <w:t>3）水质预测结果</w:t>
      </w:r>
    </w:p>
    <w:p>
      <w:pPr>
        <w:ind w:firstLine="474"/>
        <w:contextualSpacing/>
      </w:pPr>
      <w:r>
        <w:rPr>
          <w:spacing w:val="-3"/>
        </w:rPr>
        <w:t>坝下河段水质预测断面选取</w:t>
      </w:r>
      <w:r>
        <w:rPr>
          <w:rFonts w:hint="eastAsia"/>
          <w:spacing w:val="-3"/>
        </w:rPr>
        <w:t>寒溪寺水库回水末端断面</w:t>
      </w:r>
      <w:r>
        <w:rPr>
          <w:spacing w:val="-3"/>
        </w:rPr>
        <w:t>，距离寒溪寺水库坝址3.15km，预测水平年选择</w:t>
      </w:r>
      <w:r>
        <w:t>丰、平、枯代表年，预测因子选取COD、氨氮和总磷，预测工况为建库后，水质评价标准为《地表水环境质量标准》（GB3838-2002）Ⅲ类标准。计算结果见表5.2.2-18~20。</w:t>
      </w:r>
    </w:p>
    <w:p>
      <w:pPr>
        <w:pStyle w:val="73"/>
        <w:adjustRightInd/>
        <w:snapToGrid/>
        <w:ind w:firstLine="0" w:firstLineChars="0"/>
        <w:contextualSpacing/>
        <w:rPr>
          <w:rFonts w:eastAsia="宋体"/>
          <w:b/>
          <w:bCs/>
          <w:kern w:val="0"/>
          <w:sz w:val="21"/>
          <w:szCs w:val="21"/>
        </w:rPr>
      </w:pPr>
      <w:r>
        <w:rPr>
          <w:rFonts w:eastAsia="宋体"/>
          <w:b/>
          <w:bCs/>
          <w:kern w:val="0"/>
          <w:sz w:val="21"/>
          <w:szCs w:val="21"/>
        </w:rPr>
        <w:t>表 5.2.2-18丰水年坝下减水河段水质预测结果表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7"/>
        <w:gridCol w:w="1877"/>
        <w:gridCol w:w="1800"/>
        <w:gridCol w:w="1800"/>
        <w:gridCol w:w="1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月份</w:t>
            </w:r>
          </w:p>
        </w:tc>
        <w:tc>
          <w:tcPr>
            <w:tcW w:w="1101"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1056"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1056"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1055"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3</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4</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17.07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5</w:t>
            </w:r>
          </w:p>
        </w:tc>
        <w:tc>
          <w:tcPr>
            <w:tcW w:w="1101" w:type="pct"/>
            <w:vAlign w:val="center"/>
          </w:tcPr>
          <w:p>
            <w:pPr>
              <w:spacing w:line="240" w:lineRule="auto"/>
              <w:ind w:firstLine="0" w:firstLineChars="0"/>
              <w:contextualSpacing/>
              <w:jc w:val="center"/>
              <w:rPr>
                <w:sz w:val="21"/>
                <w:szCs w:val="21"/>
              </w:rPr>
            </w:pPr>
            <w:r>
              <w:rPr>
                <w:sz w:val="21"/>
                <w:szCs w:val="21"/>
              </w:rPr>
              <w:t>0.322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12.10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0.274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0.057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6</w:t>
            </w:r>
          </w:p>
        </w:tc>
        <w:tc>
          <w:tcPr>
            <w:tcW w:w="1101" w:type="pct"/>
            <w:vAlign w:val="center"/>
          </w:tcPr>
          <w:p>
            <w:pPr>
              <w:spacing w:line="240" w:lineRule="auto"/>
              <w:ind w:firstLine="0" w:firstLineChars="0"/>
              <w:contextualSpacing/>
              <w:jc w:val="center"/>
              <w:rPr>
                <w:sz w:val="21"/>
                <w:szCs w:val="21"/>
              </w:rPr>
            </w:pPr>
            <w:r>
              <w:rPr>
                <w:sz w:val="21"/>
                <w:szCs w:val="21"/>
              </w:rPr>
              <w:t>1.232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10.52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0.137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0.037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7</w:t>
            </w:r>
          </w:p>
        </w:tc>
        <w:tc>
          <w:tcPr>
            <w:tcW w:w="1101" w:type="pct"/>
            <w:vAlign w:val="center"/>
          </w:tcPr>
          <w:p>
            <w:pPr>
              <w:spacing w:line="240" w:lineRule="auto"/>
              <w:ind w:firstLine="0" w:firstLineChars="0"/>
              <w:contextualSpacing/>
              <w:jc w:val="center"/>
              <w:rPr>
                <w:sz w:val="21"/>
                <w:szCs w:val="21"/>
              </w:rPr>
            </w:pPr>
            <w:r>
              <w:rPr>
                <w:sz w:val="21"/>
                <w:szCs w:val="21"/>
              </w:rPr>
              <w:t>1.524</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13.69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0.458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8</w:t>
            </w:r>
          </w:p>
        </w:tc>
        <w:tc>
          <w:tcPr>
            <w:tcW w:w="1101" w:type="pct"/>
            <w:vAlign w:val="center"/>
          </w:tcPr>
          <w:p>
            <w:pPr>
              <w:spacing w:line="240" w:lineRule="auto"/>
              <w:ind w:firstLine="0" w:firstLineChars="0"/>
              <w:contextualSpacing/>
              <w:jc w:val="center"/>
              <w:rPr>
                <w:sz w:val="21"/>
                <w:szCs w:val="21"/>
              </w:rPr>
            </w:pPr>
            <w:r>
              <w:rPr>
                <w:sz w:val="21"/>
                <w:szCs w:val="21"/>
              </w:rPr>
              <w:t>1.572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13.65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0.459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9</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19.74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10</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33" w:type="pct"/>
            <w:gridSpan w:val="2"/>
            <w:vAlign w:val="center"/>
          </w:tcPr>
          <w:p>
            <w:pPr>
              <w:spacing w:line="240" w:lineRule="auto"/>
              <w:ind w:firstLine="0" w:firstLineChars="0"/>
              <w:contextualSpacing/>
              <w:jc w:val="center"/>
              <w:rPr>
                <w:sz w:val="21"/>
                <w:szCs w:val="21"/>
              </w:rPr>
            </w:pPr>
            <w:r>
              <w:rPr>
                <w:sz w:val="21"/>
                <w:szCs w:val="21"/>
              </w:rPr>
              <w:t>《地表水环境质量标准》Ⅲ类</w:t>
            </w:r>
          </w:p>
        </w:tc>
        <w:tc>
          <w:tcPr>
            <w:tcW w:w="1056" w:type="pct"/>
            <w:vAlign w:val="center"/>
          </w:tcPr>
          <w:p>
            <w:pPr>
              <w:spacing w:line="240" w:lineRule="auto"/>
              <w:ind w:firstLine="0" w:firstLineChars="0"/>
              <w:contextualSpacing/>
              <w:jc w:val="center"/>
              <w:rPr>
                <w:sz w:val="21"/>
                <w:szCs w:val="21"/>
              </w:rPr>
            </w:pPr>
            <w:r>
              <w:rPr>
                <w:sz w:val="21"/>
                <w:szCs w:val="21"/>
              </w:rPr>
              <w:t>20</w:t>
            </w:r>
          </w:p>
        </w:tc>
        <w:tc>
          <w:tcPr>
            <w:tcW w:w="1056" w:type="pct"/>
            <w:vAlign w:val="center"/>
          </w:tcPr>
          <w:p>
            <w:pPr>
              <w:spacing w:line="240" w:lineRule="auto"/>
              <w:ind w:firstLine="0" w:firstLineChars="0"/>
              <w:contextualSpacing/>
              <w:jc w:val="center"/>
              <w:rPr>
                <w:sz w:val="21"/>
                <w:szCs w:val="21"/>
              </w:rPr>
            </w:pPr>
            <w:r>
              <w:rPr>
                <w:sz w:val="21"/>
                <w:szCs w:val="21"/>
              </w:rPr>
              <w:t>1.0</w:t>
            </w:r>
          </w:p>
        </w:tc>
        <w:tc>
          <w:tcPr>
            <w:tcW w:w="1055" w:type="pct"/>
            <w:vAlign w:val="center"/>
          </w:tcPr>
          <w:p>
            <w:pPr>
              <w:spacing w:line="240" w:lineRule="auto"/>
              <w:ind w:firstLine="0" w:firstLineChars="0"/>
              <w:contextualSpacing/>
              <w:jc w:val="center"/>
              <w:rPr>
                <w:sz w:val="21"/>
                <w:szCs w:val="21"/>
              </w:rPr>
            </w:pPr>
            <w:r>
              <w:rPr>
                <w:sz w:val="21"/>
                <w:szCs w:val="21"/>
              </w:rPr>
              <w:t>0.2</w:t>
            </w:r>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 5.2.2-19平水年坝下减水河段水质预测结果表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7"/>
        <w:gridCol w:w="1877"/>
        <w:gridCol w:w="1800"/>
        <w:gridCol w:w="1800"/>
        <w:gridCol w:w="1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月份</w:t>
            </w:r>
          </w:p>
        </w:tc>
        <w:tc>
          <w:tcPr>
            <w:tcW w:w="1101"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1056"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1056"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1055"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3</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4</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17.06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5</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17.07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6</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17.30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7</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19.59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8</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19.77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9</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19.52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10</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17.07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33" w:type="pct"/>
            <w:gridSpan w:val="2"/>
            <w:vAlign w:val="center"/>
          </w:tcPr>
          <w:p>
            <w:pPr>
              <w:spacing w:line="240" w:lineRule="auto"/>
              <w:ind w:firstLine="0" w:firstLineChars="0"/>
              <w:contextualSpacing/>
              <w:jc w:val="center"/>
              <w:rPr>
                <w:sz w:val="21"/>
                <w:szCs w:val="21"/>
              </w:rPr>
            </w:pPr>
            <w:r>
              <w:rPr>
                <w:sz w:val="21"/>
                <w:szCs w:val="21"/>
              </w:rPr>
              <w:t>《地表水环境质量标准》Ⅲ类</w:t>
            </w:r>
          </w:p>
        </w:tc>
        <w:tc>
          <w:tcPr>
            <w:tcW w:w="1056" w:type="pct"/>
            <w:vAlign w:val="center"/>
          </w:tcPr>
          <w:p>
            <w:pPr>
              <w:spacing w:line="240" w:lineRule="auto"/>
              <w:ind w:firstLine="0" w:firstLineChars="0"/>
              <w:contextualSpacing/>
              <w:jc w:val="center"/>
              <w:rPr>
                <w:sz w:val="21"/>
                <w:szCs w:val="21"/>
              </w:rPr>
            </w:pPr>
            <w:r>
              <w:rPr>
                <w:sz w:val="21"/>
                <w:szCs w:val="21"/>
              </w:rPr>
              <w:t>20</w:t>
            </w:r>
          </w:p>
        </w:tc>
        <w:tc>
          <w:tcPr>
            <w:tcW w:w="1056" w:type="pct"/>
            <w:vAlign w:val="center"/>
          </w:tcPr>
          <w:p>
            <w:pPr>
              <w:spacing w:line="240" w:lineRule="auto"/>
              <w:ind w:firstLine="0" w:firstLineChars="0"/>
              <w:contextualSpacing/>
              <w:jc w:val="center"/>
              <w:rPr>
                <w:sz w:val="21"/>
                <w:szCs w:val="21"/>
              </w:rPr>
            </w:pPr>
            <w:r>
              <w:rPr>
                <w:sz w:val="21"/>
                <w:szCs w:val="21"/>
              </w:rPr>
              <w:t>1.0</w:t>
            </w:r>
          </w:p>
        </w:tc>
        <w:tc>
          <w:tcPr>
            <w:tcW w:w="1055" w:type="pct"/>
            <w:vAlign w:val="center"/>
          </w:tcPr>
          <w:p>
            <w:pPr>
              <w:spacing w:line="240" w:lineRule="auto"/>
              <w:ind w:firstLine="0" w:firstLineChars="0"/>
              <w:contextualSpacing/>
              <w:jc w:val="center"/>
              <w:rPr>
                <w:sz w:val="21"/>
                <w:szCs w:val="21"/>
              </w:rPr>
            </w:pPr>
            <w:r>
              <w:rPr>
                <w:sz w:val="21"/>
                <w:szCs w:val="21"/>
              </w:rPr>
              <w:t>0.2</w:t>
            </w:r>
          </w:p>
        </w:tc>
      </w:tr>
    </w:tbl>
    <w:p>
      <w:pPr>
        <w:pStyle w:val="73"/>
        <w:adjustRightInd/>
        <w:snapToGrid/>
        <w:ind w:firstLine="0" w:firstLineChars="0"/>
        <w:contextualSpacing/>
        <w:rPr>
          <w:rFonts w:eastAsia="宋体"/>
          <w:b/>
          <w:bCs/>
          <w:kern w:val="0"/>
          <w:sz w:val="21"/>
          <w:szCs w:val="21"/>
        </w:rPr>
      </w:pPr>
      <w:r>
        <w:rPr>
          <w:rFonts w:eastAsia="宋体"/>
          <w:b/>
          <w:bCs/>
          <w:kern w:val="0"/>
          <w:sz w:val="21"/>
          <w:szCs w:val="21"/>
        </w:rPr>
        <w:t>表 5.2.2-20枯水年坝下减水河段水质预测结果表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7"/>
        <w:gridCol w:w="1877"/>
        <w:gridCol w:w="1800"/>
        <w:gridCol w:w="1800"/>
        <w:gridCol w:w="1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月份</w:t>
            </w:r>
          </w:p>
        </w:tc>
        <w:tc>
          <w:tcPr>
            <w:tcW w:w="1101" w:type="pct"/>
            <w:vAlign w:val="center"/>
          </w:tcPr>
          <w:p>
            <w:pPr>
              <w:spacing w:line="240" w:lineRule="auto"/>
              <w:ind w:firstLine="0" w:firstLineChars="0"/>
              <w:contextualSpacing/>
              <w:jc w:val="center"/>
              <w:rPr>
                <w:sz w:val="21"/>
                <w:szCs w:val="21"/>
              </w:rPr>
            </w:pPr>
            <w:r>
              <w:rPr>
                <w:sz w:val="21"/>
                <w:szCs w:val="21"/>
              </w:rPr>
              <w:t>出库流量</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/s</w:t>
            </w:r>
          </w:p>
        </w:tc>
        <w:tc>
          <w:tcPr>
            <w:tcW w:w="1056" w:type="pct"/>
            <w:vAlign w:val="center"/>
          </w:tcPr>
          <w:p>
            <w:pPr>
              <w:spacing w:line="240" w:lineRule="auto"/>
              <w:ind w:firstLine="0" w:firstLineChars="0"/>
              <w:contextualSpacing/>
              <w:jc w:val="center"/>
              <w:rPr>
                <w:sz w:val="21"/>
                <w:szCs w:val="21"/>
              </w:rPr>
            </w:pPr>
            <w:r>
              <w:rPr>
                <w:sz w:val="21"/>
                <w:szCs w:val="21"/>
              </w:rPr>
              <w:t>COD</w:t>
            </w:r>
          </w:p>
          <w:p>
            <w:pPr>
              <w:spacing w:line="240" w:lineRule="auto"/>
              <w:ind w:firstLine="0" w:firstLineChars="0"/>
              <w:contextualSpacing/>
              <w:jc w:val="center"/>
              <w:rPr>
                <w:sz w:val="21"/>
                <w:szCs w:val="21"/>
              </w:rPr>
            </w:pPr>
            <w:r>
              <w:rPr>
                <w:sz w:val="21"/>
                <w:szCs w:val="21"/>
              </w:rPr>
              <w:t>mg/L</w:t>
            </w:r>
          </w:p>
        </w:tc>
        <w:tc>
          <w:tcPr>
            <w:tcW w:w="1056" w:type="pct"/>
            <w:vAlign w:val="center"/>
          </w:tcPr>
          <w:p>
            <w:pPr>
              <w:spacing w:line="240" w:lineRule="auto"/>
              <w:ind w:firstLine="0" w:firstLineChars="0"/>
              <w:contextualSpacing/>
              <w:jc w:val="center"/>
              <w:rPr>
                <w:sz w:val="21"/>
                <w:szCs w:val="21"/>
              </w:rPr>
            </w:pPr>
            <w:r>
              <w:rPr>
                <w:sz w:val="21"/>
                <w:szCs w:val="21"/>
              </w:rPr>
              <w:t>氨氮</w:t>
            </w:r>
          </w:p>
          <w:p>
            <w:pPr>
              <w:spacing w:line="240" w:lineRule="auto"/>
              <w:ind w:firstLine="0" w:firstLineChars="0"/>
              <w:contextualSpacing/>
              <w:jc w:val="center"/>
              <w:rPr>
                <w:sz w:val="21"/>
                <w:szCs w:val="21"/>
              </w:rPr>
            </w:pPr>
            <w:r>
              <w:rPr>
                <w:sz w:val="21"/>
                <w:szCs w:val="21"/>
              </w:rPr>
              <w:t>mg/L</w:t>
            </w:r>
          </w:p>
        </w:tc>
        <w:tc>
          <w:tcPr>
            <w:tcW w:w="1055" w:type="pct"/>
            <w:vAlign w:val="center"/>
          </w:tcPr>
          <w:p>
            <w:pPr>
              <w:spacing w:line="240" w:lineRule="auto"/>
              <w:ind w:firstLine="0" w:firstLineChars="0"/>
              <w:contextualSpacing/>
              <w:jc w:val="center"/>
              <w:rPr>
                <w:sz w:val="21"/>
                <w:szCs w:val="21"/>
              </w:rPr>
            </w:pPr>
            <w:r>
              <w:rPr>
                <w:sz w:val="21"/>
                <w:szCs w:val="21"/>
              </w:rPr>
              <w:t>总磷</w:t>
            </w:r>
          </w:p>
          <w:p>
            <w:pPr>
              <w:spacing w:line="240" w:lineRule="auto"/>
              <w:ind w:firstLine="0" w:firstLineChars="0"/>
              <w:contextualSpacing/>
              <w:jc w:val="center"/>
              <w:rPr>
                <w:sz w:val="21"/>
                <w:szCs w:val="21"/>
              </w:rPr>
            </w:pPr>
            <w:r>
              <w:rPr>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3</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4</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5</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17.06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6</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17.07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7</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19.76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8</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19.76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0.954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9</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19.53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0.953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0.201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10</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17.06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11</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2" w:type="pct"/>
            <w:vAlign w:val="center"/>
          </w:tcPr>
          <w:p>
            <w:pPr>
              <w:spacing w:line="240" w:lineRule="auto"/>
              <w:ind w:firstLine="0" w:firstLineChars="0"/>
              <w:contextualSpacing/>
              <w:jc w:val="center"/>
              <w:rPr>
                <w:sz w:val="21"/>
                <w:szCs w:val="21"/>
              </w:rPr>
            </w:pPr>
            <w:r>
              <w:rPr>
                <w:sz w:val="21"/>
                <w:szCs w:val="21"/>
              </w:rPr>
              <w:t>12</w:t>
            </w:r>
          </w:p>
        </w:tc>
        <w:tc>
          <w:tcPr>
            <w:tcW w:w="1101" w:type="pct"/>
            <w:vAlign w:val="center"/>
          </w:tcPr>
          <w:p>
            <w:pPr>
              <w:spacing w:line="240" w:lineRule="auto"/>
              <w:ind w:firstLine="0" w:firstLineChars="0"/>
              <w:contextualSpacing/>
              <w:jc w:val="center"/>
              <w:rPr>
                <w:sz w:val="21"/>
                <w:szCs w:val="21"/>
              </w:rPr>
            </w:pPr>
            <w:r>
              <w:rPr>
                <w:sz w:val="21"/>
                <w:szCs w:val="21"/>
              </w:rPr>
              <w:t>0.092</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17.05 </w:t>
            </w:r>
          </w:p>
        </w:tc>
        <w:tc>
          <w:tcPr>
            <w:tcW w:w="1056" w:type="pct"/>
            <w:vAlign w:val="center"/>
          </w:tcPr>
          <w:p>
            <w:pPr>
              <w:spacing w:line="240" w:lineRule="auto"/>
              <w:ind w:firstLine="0" w:firstLineChars="0"/>
              <w:contextualSpacing/>
              <w:jc w:val="center"/>
              <w:rPr>
                <w:sz w:val="21"/>
                <w:szCs w:val="21"/>
              </w:rPr>
            </w:pPr>
            <w:r>
              <w:rPr>
                <w:rFonts w:eastAsia="等线"/>
                <w:sz w:val="21"/>
                <w:szCs w:val="21"/>
              </w:rPr>
              <w:t xml:space="preserve">0.680 </w:t>
            </w:r>
          </w:p>
        </w:tc>
        <w:tc>
          <w:tcPr>
            <w:tcW w:w="1055" w:type="pct"/>
            <w:vAlign w:val="center"/>
          </w:tcPr>
          <w:p>
            <w:pPr>
              <w:spacing w:line="240" w:lineRule="auto"/>
              <w:ind w:firstLine="0" w:firstLineChars="0"/>
              <w:contextualSpacing/>
              <w:jc w:val="center"/>
              <w:rPr>
                <w:sz w:val="21"/>
                <w:szCs w:val="21"/>
              </w:rPr>
            </w:pPr>
            <w:r>
              <w:rPr>
                <w:rFonts w:eastAsia="等线"/>
                <w:sz w:val="21"/>
                <w:szCs w:val="21"/>
              </w:rPr>
              <w:t xml:space="preserve">0.121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33" w:type="pct"/>
            <w:gridSpan w:val="2"/>
            <w:vAlign w:val="center"/>
          </w:tcPr>
          <w:p>
            <w:pPr>
              <w:spacing w:line="240" w:lineRule="auto"/>
              <w:ind w:firstLine="0" w:firstLineChars="0"/>
              <w:contextualSpacing/>
              <w:jc w:val="center"/>
              <w:rPr>
                <w:sz w:val="21"/>
                <w:szCs w:val="21"/>
              </w:rPr>
            </w:pPr>
            <w:r>
              <w:rPr>
                <w:sz w:val="21"/>
                <w:szCs w:val="21"/>
              </w:rPr>
              <w:t>《地表水环境质量标准》Ⅲ类</w:t>
            </w:r>
          </w:p>
        </w:tc>
        <w:tc>
          <w:tcPr>
            <w:tcW w:w="1056" w:type="pct"/>
            <w:vAlign w:val="center"/>
          </w:tcPr>
          <w:p>
            <w:pPr>
              <w:spacing w:line="240" w:lineRule="auto"/>
              <w:ind w:firstLine="0" w:firstLineChars="0"/>
              <w:contextualSpacing/>
              <w:jc w:val="center"/>
              <w:rPr>
                <w:sz w:val="21"/>
                <w:szCs w:val="21"/>
              </w:rPr>
            </w:pPr>
            <w:r>
              <w:rPr>
                <w:sz w:val="21"/>
                <w:szCs w:val="21"/>
              </w:rPr>
              <w:t>20</w:t>
            </w:r>
          </w:p>
        </w:tc>
        <w:tc>
          <w:tcPr>
            <w:tcW w:w="1056" w:type="pct"/>
            <w:vAlign w:val="center"/>
          </w:tcPr>
          <w:p>
            <w:pPr>
              <w:spacing w:line="240" w:lineRule="auto"/>
              <w:ind w:firstLine="0" w:firstLineChars="0"/>
              <w:contextualSpacing/>
              <w:jc w:val="center"/>
              <w:rPr>
                <w:sz w:val="21"/>
                <w:szCs w:val="21"/>
              </w:rPr>
            </w:pPr>
            <w:r>
              <w:rPr>
                <w:sz w:val="21"/>
                <w:szCs w:val="21"/>
              </w:rPr>
              <w:t>1.0</w:t>
            </w:r>
          </w:p>
        </w:tc>
        <w:tc>
          <w:tcPr>
            <w:tcW w:w="1055" w:type="pct"/>
            <w:vAlign w:val="center"/>
          </w:tcPr>
          <w:p>
            <w:pPr>
              <w:spacing w:line="240" w:lineRule="auto"/>
              <w:ind w:firstLine="0" w:firstLineChars="0"/>
              <w:contextualSpacing/>
              <w:jc w:val="center"/>
              <w:rPr>
                <w:sz w:val="21"/>
                <w:szCs w:val="21"/>
              </w:rPr>
            </w:pPr>
            <w:r>
              <w:rPr>
                <w:sz w:val="21"/>
                <w:szCs w:val="21"/>
              </w:rPr>
              <w:t>0.2</w:t>
            </w:r>
          </w:p>
        </w:tc>
      </w:tr>
    </w:tbl>
    <w:p>
      <w:pPr>
        <w:ind w:firstLine="474"/>
        <w:contextualSpacing/>
      </w:pPr>
      <w:r>
        <w:rPr>
          <w:spacing w:val="-3"/>
        </w:rPr>
        <w:t>丰水年</w:t>
      </w:r>
      <w:r>
        <w:rPr>
          <w:kern w:val="0"/>
        </w:rPr>
        <w:t>条件</w:t>
      </w:r>
      <w:r>
        <w:rPr>
          <w:spacing w:val="-3"/>
        </w:rPr>
        <w:t>下，建库后，坝下减水河段</w:t>
      </w:r>
      <w:r>
        <w:rPr>
          <w:rFonts w:hint="eastAsia"/>
          <w:spacing w:val="-3"/>
        </w:rPr>
        <w:t>末端断面</w:t>
      </w:r>
      <w:r>
        <w:rPr>
          <w:spacing w:val="-3"/>
        </w:rPr>
        <w:t>COD浓度在10.52～19.74mg/L；氨氮浓度在0.137～0.953mg/L；总磷浓度在0.037～0.203mg/L。</w:t>
      </w:r>
      <w:r>
        <w:rPr>
          <w:rFonts w:hint="eastAsia"/>
          <w:spacing w:val="-3"/>
        </w:rPr>
        <w:t>可以看到，</w:t>
      </w:r>
      <w:r>
        <w:rPr>
          <w:spacing w:val="-3"/>
        </w:rPr>
        <w:t>建库后，</w:t>
      </w:r>
      <w:r>
        <w:rPr>
          <w:rFonts w:hint="eastAsia"/>
          <w:spacing w:val="-3"/>
        </w:rPr>
        <w:t>除9月总磷指标略有超标之外，</w:t>
      </w:r>
      <w:r>
        <w:rPr>
          <w:spacing w:val="-3"/>
        </w:rPr>
        <w:t>断面</w:t>
      </w:r>
      <w:r>
        <w:rPr>
          <w:rFonts w:hint="eastAsia"/>
          <w:spacing w:val="-3"/>
        </w:rPr>
        <w:t>总体</w:t>
      </w:r>
      <w:r>
        <w:rPr>
          <w:spacing w:val="-3"/>
        </w:rPr>
        <w:t>水质可</w:t>
      </w:r>
      <w:r>
        <w:rPr>
          <w:rFonts w:hint="eastAsia"/>
          <w:spacing w:val="-3"/>
        </w:rPr>
        <w:t>满足</w:t>
      </w:r>
      <w:r>
        <w:rPr>
          <w:spacing w:val="-3"/>
        </w:rPr>
        <w:t>《地表水环境质量标准》（GB3838-2002）</w:t>
      </w:r>
      <w:r>
        <w:t>Ⅲ类</w:t>
      </w:r>
      <w:r>
        <w:rPr>
          <w:spacing w:val="-3"/>
        </w:rPr>
        <w:t>标准要求。</w:t>
      </w:r>
      <w:r>
        <w:rPr>
          <w:rFonts w:hint="eastAsia"/>
          <w:spacing w:val="-3"/>
        </w:rPr>
        <w:t>同时，由于丰水代表年5、6、7、8等4个月下泄流量较大，水质较好，下游减水河段的水质也较好，这与河道内水质主要取决于上游来水水质的规律相符合。</w:t>
      </w:r>
    </w:p>
    <w:p>
      <w:pPr>
        <w:ind w:firstLine="474"/>
        <w:contextualSpacing/>
      </w:pPr>
      <w:r>
        <w:rPr>
          <w:spacing w:val="-3"/>
        </w:rPr>
        <w:t>平水年条件下，建库后，坝下减水河段</w:t>
      </w:r>
      <w:r>
        <w:rPr>
          <w:rFonts w:hint="eastAsia"/>
          <w:spacing w:val="-3"/>
        </w:rPr>
        <w:t>末端断面</w:t>
      </w:r>
      <w:r>
        <w:rPr>
          <w:spacing w:val="-3"/>
        </w:rPr>
        <w:t>COD浓度在17.05～19.77mg/L；氨氮浓度在0.680</w:t>
      </w:r>
      <w:r>
        <w:rPr>
          <w:rFonts w:hint="eastAsia"/>
          <w:spacing w:val="-3"/>
        </w:rPr>
        <w:t>~</w:t>
      </w:r>
      <w:r>
        <w:rPr>
          <w:spacing w:val="-3"/>
        </w:rPr>
        <w:t>0.953mg/L；总磷浓度在0.121～0.204mg/L。</w:t>
      </w:r>
      <w:r>
        <w:rPr>
          <w:rFonts w:hint="eastAsia"/>
          <w:spacing w:val="-3"/>
        </w:rPr>
        <w:t>可以看到，</w:t>
      </w:r>
      <w:r>
        <w:rPr>
          <w:spacing w:val="-3"/>
        </w:rPr>
        <w:t>建库后，</w:t>
      </w:r>
      <w:r>
        <w:rPr>
          <w:rFonts w:hint="eastAsia"/>
          <w:spacing w:val="-3"/>
        </w:rPr>
        <w:t>除7~9月总磷指标略有超标之外，</w:t>
      </w:r>
      <w:r>
        <w:rPr>
          <w:spacing w:val="-3"/>
        </w:rPr>
        <w:t>断面</w:t>
      </w:r>
      <w:r>
        <w:rPr>
          <w:rFonts w:hint="eastAsia"/>
          <w:spacing w:val="-3"/>
        </w:rPr>
        <w:t>总体</w:t>
      </w:r>
      <w:r>
        <w:rPr>
          <w:spacing w:val="-3"/>
        </w:rPr>
        <w:t>水质可达到《地表水环境质量标准》（GB3838-2002）</w:t>
      </w:r>
      <w:r>
        <w:t>Ⅲ类</w:t>
      </w:r>
      <w:r>
        <w:rPr>
          <w:spacing w:val="-3"/>
        </w:rPr>
        <w:t>标准要求。</w:t>
      </w:r>
      <w:r>
        <w:rPr>
          <w:rFonts w:hint="eastAsia"/>
          <w:spacing w:val="-3"/>
        </w:rPr>
        <w:t>平水代表年，寒溪寺水库下游下泄流量维持在生态流量水平，使得汛期减水河段水质预测值较枯水期差，与丰水年情况相同，预计在设计水平年，减水河段水质可以满足</w:t>
      </w:r>
      <w:r>
        <w:rPr>
          <w:spacing w:val="-3"/>
        </w:rPr>
        <w:t>《地表水环境质量标准》（GB3838-2002）</w:t>
      </w:r>
      <w:r>
        <w:t>Ⅲ类</w:t>
      </w:r>
      <w:r>
        <w:rPr>
          <w:spacing w:val="-3"/>
        </w:rPr>
        <w:t>标准要求。</w:t>
      </w:r>
    </w:p>
    <w:p>
      <w:pPr>
        <w:ind w:firstLine="474"/>
        <w:contextualSpacing/>
      </w:pPr>
      <w:r>
        <w:rPr>
          <w:spacing w:val="-3"/>
        </w:rPr>
        <w:t>枯水年条件下，建库后，坝下减水河段</w:t>
      </w:r>
      <w:r>
        <w:rPr>
          <w:rFonts w:hint="eastAsia"/>
          <w:spacing w:val="-3"/>
        </w:rPr>
        <w:t>回水末端断面</w:t>
      </w:r>
      <w:r>
        <w:rPr>
          <w:spacing w:val="-3"/>
        </w:rPr>
        <w:t>COD浓度在17.05～19.76mg/L；氨氮浓度在0.680</w:t>
      </w:r>
      <w:r>
        <w:rPr>
          <w:rFonts w:hint="eastAsia"/>
          <w:spacing w:val="-3"/>
        </w:rPr>
        <w:t>~</w:t>
      </w:r>
      <w:r>
        <w:rPr>
          <w:spacing w:val="-3"/>
        </w:rPr>
        <w:t>0.954mg/L；总磷浓度在0.121～0.204mg/L。</w:t>
      </w:r>
      <w:r>
        <w:rPr>
          <w:rFonts w:hint="eastAsia"/>
          <w:spacing w:val="-3"/>
        </w:rPr>
        <w:t>可以看到，</w:t>
      </w:r>
      <w:r>
        <w:rPr>
          <w:spacing w:val="-3"/>
        </w:rPr>
        <w:t>建库后，</w:t>
      </w:r>
      <w:r>
        <w:rPr>
          <w:rFonts w:hint="eastAsia"/>
          <w:spacing w:val="-3"/>
        </w:rPr>
        <w:t>除7~9月总磷指标略有超标之外，</w:t>
      </w:r>
      <w:r>
        <w:rPr>
          <w:spacing w:val="-3"/>
        </w:rPr>
        <w:t>断面</w:t>
      </w:r>
      <w:r>
        <w:rPr>
          <w:rFonts w:hint="eastAsia"/>
          <w:spacing w:val="-3"/>
        </w:rPr>
        <w:t>总体</w:t>
      </w:r>
      <w:r>
        <w:rPr>
          <w:spacing w:val="-3"/>
        </w:rPr>
        <w:t>水质可达到《地表水环境质量标准》（GB3838-2002）</w:t>
      </w:r>
      <w:r>
        <w:t>Ⅲ类</w:t>
      </w:r>
      <w:r>
        <w:rPr>
          <w:spacing w:val="-3"/>
        </w:rPr>
        <w:t>标准要求。</w:t>
      </w:r>
      <w:r>
        <w:rPr>
          <w:rFonts w:hint="eastAsia"/>
          <w:spacing w:val="-3"/>
        </w:rPr>
        <w:t>寒溪寺水库建成运行后，枯水代表年水质预计也可以满足</w:t>
      </w:r>
      <w:r>
        <w:rPr>
          <w:spacing w:val="-3"/>
        </w:rPr>
        <w:t>《地表水环境质量标准》（GB3838-2002）</w:t>
      </w:r>
      <w:r>
        <w:t>Ⅲ类</w:t>
      </w:r>
      <w:r>
        <w:rPr>
          <w:spacing w:val="-3"/>
        </w:rPr>
        <w:t>标准要求。</w:t>
      </w:r>
    </w:p>
    <w:p>
      <w:pPr>
        <w:ind w:firstLine="480"/>
        <w:contextualSpacing/>
      </w:pPr>
      <w:r>
        <w:t>（2）下游河道纳污能力计算</w:t>
      </w:r>
    </w:p>
    <w:p>
      <w:pPr>
        <w:ind w:firstLine="480"/>
        <w:contextualSpacing/>
      </w:pPr>
      <w:r>
        <w:t>寒溪寺水库坝下5km处为</w:t>
      </w:r>
      <w:r>
        <w:rPr>
          <w:rFonts w:hint="eastAsia"/>
        </w:rPr>
        <w:t>寒溪寺水库</w:t>
      </w:r>
      <w:r>
        <w:t>库尾，本次纳污能力计算考虑将寒溪寺水库坝址~</w:t>
      </w:r>
      <w:r>
        <w:rPr>
          <w:rFonts w:hint="eastAsia"/>
        </w:rPr>
        <w:t>寒溪寺水库</w:t>
      </w:r>
      <w:r>
        <w:t>库尾的5km</w:t>
      </w:r>
      <w:r>
        <w:rPr>
          <w:rFonts w:hint="eastAsia"/>
        </w:rPr>
        <w:t>蔡家河</w:t>
      </w:r>
      <w:r>
        <w:t>河段作为计算单元。本段河道大部分为窄而长的河流，可只考虑断面平均浓度，不考虑浓度的横向分布，纳污能力计算采用《水域纳污能力计算规程》（GB25173-2010）推荐的一维计算模型计算，其公式为：</w:t>
      </w:r>
    </w:p>
    <w:p>
      <w:pPr>
        <w:autoSpaceDE w:val="0"/>
        <w:autoSpaceDN w:val="0"/>
        <w:spacing w:line="460" w:lineRule="exact"/>
        <w:ind w:firstLine="520"/>
        <w:contextualSpacing/>
        <w:jc w:val="center"/>
        <w:rPr>
          <w:spacing w:val="20"/>
          <w:lang w:val="fr-FR"/>
        </w:rPr>
      </w:pPr>
      <w:r>
        <w:rPr>
          <w:spacing w:val="20"/>
          <w:lang w:val="fr-FR"/>
        </w:rPr>
        <w:t>M=（C</w:t>
      </w:r>
      <w:r>
        <w:rPr>
          <w:spacing w:val="20"/>
          <w:vertAlign w:val="subscript"/>
          <w:lang w:val="fr-FR"/>
        </w:rPr>
        <w:t>S</w:t>
      </w:r>
      <w:r>
        <w:rPr>
          <w:spacing w:val="20"/>
          <w:lang w:val="fr-FR"/>
        </w:rPr>
        <w:t>-C</w:t>
      </w:r>
      <w:r>
        <w:rPr>
          <w:spacing w:val="20"/>
          <w:vertAlign w:val="subscript"/>
          <w:lang w:val="fr-FR"/>
        </w:rPr>
        <w:t>X</w:t>
      </w:r>
      <w:r>
        <w:rPr>
          <w:spacing w:val="20"/>
          <w:lang w:val="fr-FR"/>
        </w:rPr>
        <w:t>）×（Q+Q</w:t>
      </w:r>
      <w:r>
        <w:rPr>
          <w:spacing w:val="20"/>
          <w:vertAlign w:val="subscript"/>
          <w:lang w:val="fr-FR"/>
        </w:rPr>
        <w:t>P</w:t>
      </w:r>
      <w:r>
        <w:rPr>
          <w:spacing w:val="20"/>
          <w:lang w:val="fr-FR"/>
        </w:rPr>
        <w:t>）</w:t>
      </w:r>
    </w:p>
    <w:p>
      <w:pPr>
        <w:spacing w:line="460" w:lineRule="exact"/>
        <w:ind w:firstLine="480"/>
        <w:contextualSpacing/>
        <w:rPr>
          <w:lang w:val="fr-FR"/>
        </w:rPr>
      </w:pPr>
      <w:r>
        <w:t>式中</w:t>
      </w:r>
      <w:r>
        <w:rPr>
          <w:lang w:val="fr-FR"/>
        </w:rPr>
        <w:t>：</w:t>
      </w:r>
    </w:p>
    <w:p>
      <w:pPr>
        <w:spacing w:line="460" w:lineRule="exact"/>
        <w:ind w:firstLine="480"/>
        <w:contextualSpacing/>
      </w:pPr>
      <w:r>
        <w:t>M—水域纳污能力，t/a；</w:t>
      </w:r>
    </w:p>
    <w:p>
      <w:pPr>
        <w:spacing w:line="460" w:lineRule="exact"/>
        <w:ind w:firstLine="480"/>
        <w:contextualSpacing/>
      </w:pPr>
      <w:r>
        <w:t>C</w:t>
      </w:r>
      <w:r>
        <w:rPr>
          <w:vertAlign w:val="subscript"/>
        </w:rPr>
        <w:t>S</w:t>
      </w:r>
      <w:r>
        <w:t>—水质目标浓度值，mg/L，计算河段地表水环境执行《地表水环境质量标准》（GB3838-2002）Ⅲ类水质标准；</w:t>
      </w:r>
    </w:p>
    <w:p>
      <w:pPr>
        <w:spacing w:line="460" w:lineRule="exact"/>
        <w:ind w:firstLine="480"/>
        <w:contextualSpacing/>
      </w:pPr>
      <w:r>
        <w:t>C</w:t>
      </w:r>
      <w:r>
        <w:rPr>
          <w:vertAlign w:val="subscript"/>
        </w:rPr>
        <w:t>X</w:t>
      </w:r>
      <w:r>
        <w:t>—下断面污染物浓度值，mg/L，建库前采用实测水质，建库后采用断面水质预测计算值；</w:t>
      </w:r>
    </w:p>
    <w:p>
      <w:pPr>
        <w:spacing w:line="460" w:lineRule="exact"/>
        <w:ind w:firstLine="480"/>
        <w:contextualSpacing/>
      </w:pPr>
      <w:r>
        <w:t>Q—入流流量，m</w:t>
      </w:r>
      <w:r>
        <w:rPr>
          <w:sz w:val="21"/>
          <w:vertAlign w:val="superscript"/>
        </w:rPr>
        <w:t>3</w:t>
      </w:r>
      <w:r>
        <w:t>/s，建库前采用90%保证率最枯月平均流量，建库后采用断面枯水年月平均预测最小流量；</w:t>
      </w:r>
    </w:p>
    <w:p>
      <w:pPr>
        <w:spacing w:line="460" w:lineRule="exact"/>
        <w:ind w:firstLine="480"/>
        <w:contextualSpacing/>
      </w:pPr>
      <w:r>
        <w:t>Q</w:t>
      </w:r>
      <w:r>
        <w:rPr>
          <w:vertAlign w:val="subscript"/>
        </w:rPr>
        <w:t>P</w:t>
      </w:r>
      <w:r>
        <w:t>—废污水排放流量，m</w:t>
      </w:r>
      <w:r>
        <w:rPr>
          <w:sz w:val="21"/>
          <w:vertAlign w:val="superscript"/>
        </w:rPr>
        <w:t>3</w:t>
      </w:r>
      <w:r>
        <w:t>/s，建库前后采用不同水平年的排污量。</w:t>
      </w:r>
    </w:p>
    <w:p>
      <w:pPr>
        <w:spacing w:line="460" w:lineRule="exact"/>
        <w:ind w:firstLine="480"/>
        <w:contextualSpacing/>
      </w:pPr>
      <w:r>
        <w:t>计算因子选择水质控制指标COD和氨氮，并考虑本流域水环境实际情况，增加总磷指标，纳污能力计算结果见表5.2.2-21。</w:t>
      </w:r>
    </w:p>
    <w:p>
      <w:pPr>
        <w:pStyle w:val="110"/>
        <w:spacing w:line="360" w:lineRule="auto"/>
        <w:contextualSpacing/>
        <w:rPr>
          <w:rFonts w:eastAsia="宋体"/>
          <w:sz w:val="21"/>
          <w:szCs w:val="21"/>
          <w:u w:val="none"/>
        </w:rPr>
      </w:pPr>
      <w:r>
        <w:rPr>
          <w:rFonts w:eastAsia="宋体"/>
          <w:sz w:val="21"/>
          <w:szCs w:val="21"/>
          <w:u w:val="none"/>
        </w:rPr>
        <w:t>表5.2.2-21建库前后寒溪寺水库坝址下游河段纳污能力</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9"/>
        <w:gridCol w:w="844"/>
        <w:gridCol w:w="695"/>
        <w:gridCol w:w="1077"/>
        <w:gridCol w:w="966"/>
        <w:gridCol w:w="1077"/>
        <w:gridCol w:w="1077"/>
        <w:gridCol w:w="660"/>
        <w:gridCol w:w="1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restart"/>
            <w:vAlign w:val="center"/>
          </w:tcPr>
          <w:p>
            <w:pPr>
              <w:spacing w:line="240" w:lineRule="auto"/>
              <w:ind w:firstLine="0" w:firstLineChars="0"/>
              <w:contextualSpacing/>
              <w:jc w:val="center"/>
              <w:rPr>
                <w:sz w:val="18"/>
                <w:szCs w:val="18"/>
              </w:rPr>
            </w:pPr>
            <w:r>
              <w:rPr>
                <w:kern w:val="0"/>
                <w:sz w:val="18"/>
                <w:szCs w:val="18"/>
              </w:rPr>
              <w:t>计算河段位置</w:t>
            </w:r>
          </w:p>
        </w:tc>
        <w:tc>
          <w:tcPr>
            <w:tcW w:w="495" w:type="pct"/>
            <w:vMerge w:val="restart"/>
            <w:vAlign w:val="center"/>
          </w:tcPr>
          <w:p>
            <w:pPr>
              <w:spacing w:line="240" w:lineRule="auto"/>
              <w:ind w:firstLine="0" w:firstLineChars="0"/>
              <w:contextualSpacing/>
              <w:jc w:val="center"/>
              <w:rPr>
                <w:kern w:val="0"/>
                <w:sz w:val="18"/>
                <w:szCs w:val="18"/>
              </w:rPr>
            </w:pPr>
            <w:r>
              <w:rPr>
                <w:kern w:val="0"/>
                <w:sz w:val="18"/>
                <w:szCs w:val="18"/>
              </w:rPr>
              <w:t>河段长度</w:t>
            </w:r>
          </w:p>
          <w:p>
            <w:pPr>
              <w:spacing w:line="240" w:lineRule="auto"/>
              <w:ind w:firstLine="0" w:firstLineChars="0"/>
              <w:contextualSpacing/>
              <w:jc w:val="center"/>
              <w:rPr>
                <w:sz w:val="18"/>
                <w:szCs w:val="18"/>
              </w:rPr>
            </w:pPr>
            <w:r>
              <w:rPr>
                <w:kern w:val="0"/>
                <w:sz w:val="18"/>
                <w:szCs w:val="18"/>
              </w:rPr>
              <w:t>（km）</w:t>
            </w:r>
          </w:p>
        </w:tc>
        <w:tc>
          <w:tcPr>
            <w:tcW w:w="408" w:type="pct"/>
            <w:vMerge w:val="restart"/>
            <w:vAlign w:val="center"/>
          </w:tcPr>
          <w:p>
            <w:pPr>
              <w:spacing w:line="240" w:lineRule="auto"/>
              <w:ind w:firstLine="0" w:firstLineChars="0"/>
              <w:contextualSpacing/>
              <w:jc w:val="center"/>
              <w:rPr>
                <w:sz w:val="18"/>
                <w:szCs w:val="18"/>
              </w:rPr>
            </w:pPr>
            <w:r>
              <w:rPr>
                <w:kern w:val="0"/>
                <w:sz w:val="18"/>
                <w:szCs w:val="18"/>
              </w:rPr>
              <w:t>计算指标</w:t>
            </w:r>
          </w:p>
        </w:tc>
        <w:tc>
          <w:tcPr>
            <w:tcW w:w="632" w:type="pct"/>
            <w:vMerge w:val="restart"/>
            <w:vAlign w:val="center"/>
          </w:tcPr>
          <w:p>
            <w:pPr>
              <w:spacing w:line="240" w:lineRule="auto"/>
              <w:ind w:firstLine="0" w:firstLineChars="0"/>
              <w:contextualSpacing/>
              <w:jc w:val="center"/>
              <w:rPr>
                <w:kern w:val="0"/>
                <w:sz w:val="18"/>
                <w:szCs w:val="18"/>
              </w:rPr>
            </w:pPr>
            <w:r>
              <w:rPr>
                <w:kern w:val="0"/>
                <w:sz w:val="18"/>
                <w:szCs w:val="18"/>
              </w:rPr>
              <w:t>C</w:t>
            </w:r>
            <w:r>
              <w:rPr>
                <w:kern w:val="0"/>
                <w:sz w:val="18"/>
                <w:szCs w:val="18"/>
                <w:vertAlign w:val="subscript"/>
              </w:rPr>
              <w:t>X</w:t>
            </w:r>
          </w:p>
          <w:p>
            <w:pPr>
              <w:spacing w:line="240" w:lineRule="auto"/>
              <w:ind w:firstLine="0" w:firstLineChars="0"/>
              <w:contextualSpacing/>
              <w:jc w:val="center"/>
              <w:rPr>
                <w:sz w:val="18"/>
                <w:szCs w:val="18"/>
              </w:rPr>
            </w:pPr>
            <w:r>
              <w:rPr>
                <w:kern w:val="0"/>
                <w:sz w:val="18"/>
                <w:szCs w:val="18"/>
              </w:rPr>
              <w:t>（mg/L）</w:t>
            </w:r>
          </w:p>
        </w:tc>
        <w:tc>
          <w:tcPr>
            <w:tcW w:w="567" w:type="pct"/>
            <w:vMerge w:val="restart"/>
            <w:vAlign w:val="center"/>
          </w:tcPr>
          <w:p>
            <w:pPr>
              <w:spacing w:line="240" w:lineRule="auto"/>
              <w:ind w:firstLine="0" w:firstLineChars="0"/>
              <w:contextualSpacing/>
              <w:jc w:val="center"/>
              <w:rPr>
                <w:kern w:val="0"/>
                <w:sz w:val="18"/>
                <w:szCs w:val="18"/>
              </w:rPr>
            </w:pPr>
            <w:r>
              <w:rPr>
                <w:kern w:val="0"/>
                <w:sz w:val="18"/>
                <w:szCs w:val="18"/>
              </w:rPr>
              <w:t>C</w:t>
            </w:r>
            <w:r>
              <w:rPr>
                <w:kern w:val="0"/>
                <w:sz w:val="18"/>
                <w:szCs w:val="18"/>
                <w:vertAlign w:val="subscript"/>
              </w:rPr>
              <w:t>S</w:t>
            </w:r>
          </w:p>
          <w:p>
            <w:pPr>
              <w:spacing w:line="240" w:lineRule="auto"/>
              <w:ind w:firstLine="0" w:firstLineChars="0"/>
              <w:contextualSpacing/>
              <w:jc w:val="center"/>
              <w:rPr>
                <w:sz w:val="18"/>
                <w:szCs w:val="18"/>
              </w:rPr>
            </w:pPr>
            <w:r>
              <w:rPr>
                <w:kern w:val="0"/>
                <w:sz w:val="18"/>
                <w:szCs w:val="18"/>
              </w:rPr>
              <w:t>（mg/L）</w:t>
            </w:r>
          </w:p>
        </w:tc>
        <w:tc>
          <w:tcPr>
            <w:tcW w:w="632" w:type="pct"/>
            <w:vMerge w:val="restart"/>
            <w:vAlign w:val="center"/>
          </w:tcPr>
          <w:p>
            <w:pPr>
              <w:spacing w:line="240" w:lineRule="auto"/>
              <w:ind w:firstLine="0" w:firstLineChars="0"/>
              <w:contextualSpacing/>
              <w:jc w:val="center"/>
              <w:rPr>
                <w:kern w:val="0"/>
                <w:sz w:val="18"/>
                <w:szCs w:val="18"/>
              </w:rPr>
            </w:pPr>
            <w:r>
              <w:rPr>
                <w:kern w:val="0"/>
                <w:sz w:val="18"/>
                <w:szCs w:val="18"/>
              </w:rPr>
              <w:t>Q</w:t>
            </w:r>
          </w:p>
          <w:p>
            <w:pPr>
              <w:spacing w:line="240" w:lineRule="auto"/>
              <w:ind w:firstLine="0" w:firstLineChars="0"/>
              <w:contextualSpacing/>
              <w:jc w:val="center"/>
              <w:rPr>
                <w:sz w:val="18"/>
                <w:szCs w:val="18"/>
              </w:rPr>
            </w:pPr>
            <w:r>
              <w:rPr>
                <w:kern w:val="0"/>
                <w:sz w:val="18"/>
                <w:szCs w:val="18"/>
              </w:rPr>
              <w:t>（m</w:t>
            </w:r>
            <w:r>
              <w:rPr>
                <w:kern w:val="0"/>
                <w:sz w:val="18"/>
                <w:szCs w:val="18"/>
                <w:vertAlign w:val="superscript"/>
              </w:rPr>
              <w:t>3</w:t>
            </w:r>
            <w:r>
              <w:rPr>
                <w:kern w:val="0"/>
                <w:sz w:val="18"/>
                <w:szCs w:val="18"/>
              </w:rPr>
              <w:t>/s）</w:t>
            </w:r>
          </w:p>
        </w:tc>
        <w:tc>
          <w:tcPr>
            <w:tcW w:w="632" w:type="pct"/>
            <w:vMerge w:val="restart"/>
            <w:vAlign w:val="center"/>
          </w:tcPr>
          <w:p>
            <w:pPr>
              <w:spacing w:line="240" w:lineRule="auto"/>
              <w:ind w:firstLine="0" w:firstLineChars="0"/>
              <w:contextualSpacing/>
              <w:jc w:val="center"/>
              <w:rPr>
                <w:kern w:val="0"/>
                <w:sz w:val="18"/>
                <w:szCs w:val="18"/>
              </w:rPr>
            </w:pPr>
            <w:r>
              <w:rPr>
                <w:kern w:val="0"/>
                <w:sz w:val="18"/>
                <w:szCs w:val="18"/>
              </w:rPr>
              <w:t>Q</w:t>
            </w:r>
            <w:r>
              <w:rPr>
                <w:kern w:val="0"/>
                <w:sz w:val="18"/>
                <w:szCs w:val="18"/>
                <w:vertAlign w:val="subscript"/>
              </w:rPr>
              <w:t>p</w:t>
            </w:r>
          </w:p>
          <w:p>
            <w:pPr>
              <w:spacing w:line="240" w:lineRule="auto"/>
              <w:ind w:firstLine="0" w:firstLineChars="0"/>
              <w:contextualSpacing/>
              <w:jc w:val="center"/>
              <w:rPr>
                <w:sz w:val="18"/>
                <w:szCs w:val="18"/>
              </w:rPr>
            </w:pPr>
            <w:r>
              <w:rPr>
                <w:kern w:val="0"/>
                <w:sz w:val="18"/>
                <w:szCs w:val="18"/>
              </w:rPr>
              <w:t>（m</w:t>
            </w:r>
            <w:r>
              <w:rPr>
                <w:kern w:val="0"/>
                <w:sz w:val="18"/>
                <w:szCs w:val="18"/>
                <w:vertAlign w:val="superscript"/>
              </w:rPr>
              <w:t>3</w:t>
            </w:r>
            <w:r>
              <w:rPr>
                <w:kern w:val="0"/>
                <w:sz w:val="18"/>
                <w:szCs w:val="18"/>
              </w:rPr>
              <w:t>/s）</w:t>
            </w:r>
          </w:p>
        </w:tc>
        <w:tc>
          <w:tcPr>
            <w:tcW w:w="989" w:type="pct"/>
            <w:gridSpan w:val="2"/>
            <w:vAlign w:val="center"/>
          </w:tcPr>
          <w:p>
            <w:pPr>
              <w:spacing w:line="240" w:lineRule="auto"/>
              <w:ind w:firstLine="0" w:firstLineChars="0"/>
              <w:contextualSpacing/>
              <w:jc w:val="center"/>
              <w:rPr>
                <w:sz w:val="18"/>
                <w:szCs w:val="18"/>
              </w:rPr>
            </w:pPr>
            <w:r>
              <w:rPr>
                <w:kern w:val="0"/>
                <w:sz w:val="18"/>
                <w:szCs w:val="18"/>
              </w:rPr>
              <w:t>纳污能力M（t/a）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continue"/>
            <w:vAlign w:val="center"/>
          </w:tcPr>
          <w:p>
            <w:pPr>
              <w:spacing w:line="240" w:lineRule="auto"/>
              <w:ind w:firstLine="0" w:firstLineChars="0"/>
              <w:contextualSpacing/>
              <w:rPr>
                <w:sz w:val="18"/>
                <w:szCs w:val="18"/>
              </w:rPr>
            </w:pPr>
          </w:p>
        </w:tc>
        <w:tc>
          <w:tcPr>
            <w:tcW w:w="495" w:type="pct"/>
            <w:vMerge w:val="continue"/>
            <w:vAlign w:val="center"/>
          </w:tcPr>
          <w:p>
            <w:pPr>
              <w:spacing w:line="240" w:lineRule="auto"/>
              <w:ind w:firstLine="0" w:firstLineChars="0"/>
              <w:contextualSpacing/>
              <w:rPr>
                <w:sz w:val="18"/>
                <w:szCs w:val="18"/>
              </w:rPr>
            </w:pPr>
          </w:p>
        </w:tc>
        <w:tc>
          <w:tcPr>
            <w:tcW w:w="408" w:type="pct"/>
            <w:vMerge w:val="continue"/>
            <w:vAlign w:val="center"/>
          </w:tcPr>
          <w:p>
            <w:pPr>
              <w:spacing w:line="240" w:lineRule="auto"/>
              <w:ind w:firstLine="0" w:firstLineChars="0"/>
              <w:contextualSpacing/>
              <w:rPr>
                <w:sz w:val="18"/>
                <w:szCs w:val="18"/>
              </w:rPr>
            </w:pPr>
          </w:p>
        </w:tc>
        <w:tc>
          <w:tcPr>
            <w:tcW w:w="632" w:type="pct"/>
            <w:vMerge w:val="continue"/>
            <w:vAlign w:val="center"/>
          </w:tcPr>
          <w:p>
            <w:pPr>
              <w:spacing w:line="240" w:lineRule="auto"/>
              <w:ind w:firstLine="0" w:firstLineChars="0"/>
              <w:contextualSpacing/>
              <w:rPr>
                <w:sz w:val="18"/>
                <w:szCs w:val="18"/>
              </w:rPr>
            </w:pPr>
          </w:p>
        </w:tc>
        <w:tc>
          <w:tcPr>
            <w:tcW w:w="567" w:type="pct"/>
            <w:vMerge w:val="continue"/>
            <w:vAlign w:val="center"/>
          </w:tcPr>
          <w:p>
            <w:pPr>
              <w:spacing w:line="240" w:lineRule="auto"/>
              <w:ind w:firstLine="0" w:firstLineChars="0"/>
              <w:contextualSpacing/>
              <w:rPr>
                <w:sz w:val="18"/>
                <w:szCs w:val="18"/>
              </w:rPr>
            </w:pPr>
          </w:p>
        </w:tc>
        <w:tc>
          <w:tcPr>
            <w:tcW w:w="632" w:type="pct"/>
            <w:vMerge w:val="continue"/>
            <w:vAlign w:val="center"/>
          </w:tcPr>
          <w:p>
            <w:pPr>
              <w:spacing w:line="240" w:lineRule="auto"/>
              <w:ind w:firstLine="0" w:firstLineChars="0"/>
              <w:contextualSpacing/>
              <w:jc w:val="center"/>
              <w:rPr>
                <w:sz w:val="18"/>
                <w:szCs w:val="18"/>
              </w:rPr>
            </w:pPr>
          </w:p>
        </w:tc>
        <w:tc>
          <w:tcPr>
            <w:tcW w:w="632" w:type="pct"/>
            <w:vMerge w:val="continue"/>
            <w:vAlign w:val="center"/>
          </w:tcPr>
          <w:p>
            <w:pPr>
              <w:spacing w:line="240" w:lineRule="auto"/>
              <w:ind w:firstLine="0" w:firstLineChars="0"/>
              <w:contextualSpacing/>
              <w:jc w:val="center"/>
              <w:rPr>
                <w:sz w:val="18"/>
                <w:szCs w:val="18"/>
              </w:rPr>
            </w:pPr>
          </w:p>
        </w:tc>
        <w:tc>
          <w:tcPr>
            <w:tcW w:w="387" w:type="pct"/>
            <w:vAlign w:val="center"/>
          </w:tcPr>
          <w:p>
            <w:pPr>
              <w:spacing w:line="240" w:lineRule="auto"/>
              <w:ind w:firstLine="0" w:firstLineChars="0"/>
              <w:contextualSpacing/>
              <w:jc w:val="center"/>
              <w:rPr>
                <w:sz w:val="18"/>
                <w:szCs w:val="18"/>
              </w:rPr>
            </w:pPr>
            <w:r>
              <w:rPr>
                <w:kern w:val="0"/>
                <w:sz w:val="18"/>
                <w:szCs w:val="18"/>
              </w:rPr>
              <w:t>建库前</w:t>
            </w:r>
          </w:p>
        </w:tc>
        <w:tc>
          <w:tcPr>
            <w:tcW w:w="602" w:type="pct"/>
            <w:vAlign w:val="center"/>
          </w:tcPr>
          <w:p>
            <w:pPr>
              <w:spacing w:line="240" w:lineRule="auto"/>
              <w:ind w:firstLine="0" w:firstLineChars="0"/>
              <w:contextualSpacing/>
              <w:jc w:val="center"/>
              <w:rPr>
                <w:sz w:val="18"/>
                <w:szCs w:val="18"/>
              </w:rPr>
            </w:pPr>
            <w:r>
              <w:rPr>
                <w:kern w:val="0"/>
                <w:sz w:val="18"/>
                <w:szCs w:val="18"/>
              </w:rPr>
              <w:t>建库后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restart"/>
            <w:vAlign w:val="center"/>
          </w:tcPr>
          <w:p>
            <w:pPr>
              <w:spacing w:line="240" w:lineRule="auto"/>
              <w:ind w:firstLine="0" w:firstLineChars="0"/>
              <w:contextualSpacing/>
              <w:jc w:val="center"/>
              <w:rPr>
                <w:sz w:val="18"/>
                <w:szCs w:val="18"/>
              </w:rPr>
            </w:pPr>
            <w:r>
              <w:rPr>
                <w:kern w:val="0"/>
                <w:sz w:val="18"/>
                <w:szCs w:val="18"/>
              </w:rPr>
              <w:t>寒溪寺水库坝址~</w:t>
            </w:r>
            <w:r>
              <w:rPr>
                <w:rFonts w:hint="eastAsia"/>
                <w:kern w:val="0"/>
                <w:sz w:val="18"/>
                <w:szCs w:val="18"/>
              </w:rPr>
              <w:t>寒溪寺水库</w:t>
            </w:r>
            <w:r>
              <w:rPr>
                <w:kern w:val="0"/>
                <w:sz w:val="18"/>
                <w:szCs w:val="18"/>
              </w:rPr>
              <w:t>坝前</w:t>
            </w:r>
          </w:p>
        </w:tc>
        <w:tc>
          <w:tcPr>
            <w:tcW w:w="495" w:type="pct"/>
            <w:vMerge w:val="restart"/>
            <w:vAlign w:val="center"/>
          </w:tcPr>
          <w:p>
            <w:pPr>
              <w:spacing w:line="240" w:lineRule="auto"/>
              <w:ind w:firstLine="0" w:firstLineChars="0"/>
              <w:contextualSpacing/>
              <w:jc w:val="center"/>
              <w:rPr>
                <w:sz w:val="18"/>
                <w:szCs w:val="18"/>
              </w:rPr>
            </w:pPr>
            <w:r>
              <w:rPr>
                <w:kern w:val="0"/>
                <w:sz w:val="18"/>
                <w:szCs w:val="18"/>
              </w:rPr>
              <w:t>5.0</w:t>
            </w:r>
          </w:p>
        </w:tc>
        <w:tc>
          <w:tcPr>
            <w:tcW w:w="408" w:type="pct"/>
            <w:vAlign w:val="center"/>
          </w:tcPr>
          <w:p>
            <w:pPr>
              <w:spacing w:line="240" w:lineRule="auto"/>
              <w:ind w:firstLine="0" w:firstLineChars="0"/>
              <w:contextualSpacing/>
              <w:jc w:val="center"/>
              <w:rPr>
                <w:sz w:val="18"/>
                <w:szCs w:val="18"/>
              </w:rPr>
            </w:pPr>
            <w:r>
              <w:rPr>
                <w:kern w:val="0"/>
                <w:sz w:val="18"/>
                <w:szCs w:val="18"/>
              </w:rPr>
              <w:t>COD</w:t>
            </w:r>
          </w:p>
        </w:tc>
        <w:tc>
          <w:tcPr>
            <w:tcW w:w="632" w:type="pct"/>
            <w:vAlign w:val="center"/>
          </w:tcPr>
          <w:p>
            <w:pPr>
              <w:spacing w:line="240" w:lineRule="auto"/>
              <w:ind w:firstLine="0" w:firstLineChars="0"/>
              <w:contextualSpacing/>
              <w:jc w:val="center"/>
              <w:rPr>
                <w:sz w:val="18"/>
                <w:szCs w:val="18"/>
              </w:rPr>
            </w:pPr>
            <w:r>
              <w:rPr>
                <w:kern w:val="0"/>
                <w:sz w:val="18"/>
                <w:szCs w:val="18"/>
              </w:rPr>
              <w:t>10/15.43</w:t>
            </w:r>
          </w:p>
        </w:tc>
        <w:tc>
          <w:tcPr>
            <w:tcW w:w="567" w:type="pct"/>
            <w:vAlign w:val="center"/>
          </w:tcPr>
          <w:p>
            <w:pPr>
              <w:spacing w:line="240" w:lineRule="auto"/>
              <w:ind w:firstLine="0" w:firstLineChars="0"/>
              <w:contextualSpacing/>
              <w:jc w:val="center"/>
              <w:rPr>
                <w:sz w:val="18"/>
                <w:szCs w:val="18"/>
              </w:rPr>
            </w:pPr>
            <w:r>
              <w:rPr>
                <w:kern w:val="0"/>
                <w:sz w:val="18"/>
                <w:szCs w:val="18"/>
              </w:rPr>
              <w:t>20</w:t>
            </w:r>
          </w:p>
        </w:tc>
        <w:tc>
          <w:tcPr>
            <w:tcW w:w="632" w:type="pct"/>
            <w:vMerge w:val="restart"/>
            <w:vAlign w:val="center"/>
          </w:tcPr>
          <w:p>
            <w:pPr>
              <w:spacing w:line="240" w:lineRule="auto"/>
              <w:ind w:firstLine="0" w:firstLineChars="0"/>
              <w:contextualSpacing/>
              <w:jc w:val="center"/>
              <w:rPr>
                <w:sz w:val="18"/>
                <w:szCs w:val="18"/>
              </w:rPr>
            </w:pPr>
            <w:r>
              <w:rPr>
                <w:kern w:val="0"/>
                <w:sz w:val="18"/>
                <w:szCs w:val="18"/>
              </w:rPr>
              <w:t>0.068/0.092</w:t>
            </w:r>
          </w:p>
        </w:tc>
        <w:tc>
          <w:tcPr>
            <w:tcW w:w="632" w:type="pct"/>
            <w:vMerge w:val="restart"/>
            <w:vAlign w:val="center"/>
          </w:tcPr>
          <w:p>
            <w:pPr>
              <w:spacing w:line="240" w:lineRule="auto"/>
              <w:ind w:firstLine="0" w:firstLineChars="0"/>
              <w:contextualSpacing/>
              <w:jc w:val="center"/>
              <w:rPr>
                <w:sz w:val="18"/>
                <w:szCs w:val="18"/>
              </w:rPr>
            </w:pPr>
            <w:r>
              <w:rPr>
                <w:kern w:val="0"/>
                <w:sz w:val="18"/>
                <w:szCs w:val="18"/>
              </w:rPr>
              <w:t>0.009/0.012</w:t>
            </w:r>
          </w:p>
        </w:tc>
        <w:tc>
          <w:tcPr>
            <w:tcW w:w="387" w:type="pct"/>
            <w:vAlign w:val="center"/>
          </w:tcPr>
          <w:p>
            <w:pPr>
              <w:spacing w:line="240" w:lineRule="auto"/>
              <w:ind w:firstLine="0" w:firstLineChars="0"/>
              <w:contextualSpacing/>
              <w:jc w:val="center"/>
              <w:rPr>
                <w:sz w:val="18"/>
                <w:szCs w:val="18"/>
              </w:rPr>
            </w:pPr>
            <w:r>
              <w:rPr>
                <w:sz w:val="18"/>
                <w:szCs w:val="18"/>
              </w:rPr>
              <w:t>82.86</w:t>
            </w:r>
          </w:p>
        </w:tc>
        <w:tc>
          <w:tcPr>
            <w:tcW w:w="602" w:type="pct"/>
            <w:vAlign w:val="center"/>
          </w:tcPr>
          <w:p>
            <w:pPr>
              <w:spacing w:line="240" w:lineRule="auto"/>
              <w:ind w:firstLine="0" w:firstLineChars="0"/>
              <w:contextualSpacing/>
              <w:jc w:val="center"/>
              <w:rPr>
                <w:sz w:val="18"/>
                <w:szCs w:val="18"/>
              </w:rPr>
            </w:pPr>
            <w:r>
              <w:rPr>
                <w:kern w:val="0"/>
                <w:sz w:val="18"/>
                <w:szCs w:val="18"/>
              </w:rPr>
              <w:t>43.94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continue"/>
            <w:vAlign w:val="center"/>
          </w:tcPr>
          <w:p>
            <w:pPr>
              <w:spacing w:line="240" w:lineRule="auto"/>
              <w:ind w:firstLine="0" w:firstLineChars="0"/>
              <w:contextualSpacing/>
              <w:jc w:val="center"/>
              <w:rPr>
                <w:sz w:val="18"/>
                <w:szCs w:val="18"/>
              </w:rPr>
            </w:pPr>
          </w:p>
        </w:tc>
        <w:tc>
          <w:tcPr>
            <w:tcW w:w="495" w:type="pct"/>
            <w:vMerge w:val="continue"/>
            <w:vAlign w:val="center"/>
          </w:tcPr>
          <w:p>
            <w:pPr>
              <w:spacing w:line="240" w:lineRule="auto"/>
              <w:ind w:firstLine="0" w:firstLineChars="0"/>
              <w:contextualSpacing/>
              <w:jc w:val="center"/>
              <w:rPr>
                <w:sz w:val="18"/>
                <w:szCs w:val="18"/>
              </w:rPr>
            </w:pPr>
          </w:p>
        </w:tc>
        <w:tc>
          <w:tcPr>
            <w:tcW w:w="408" w:type="pct"/>
            <w:vAlign w:val="center"/>
          </w:tcPr>
          <w:p>
            <w:pPr>
              <w:spacing w:line="240" w:lineRule="auto"/>
              <w:ind w:firstLine="0" w:firstLineChars="0"/>
              <w:contextualSpacing/>
              <w:jc w:val="center"/>
              <w:rPr>
                <w:sz w:val="18"/>
                <w:szCs w:val="18"/>
              </w:rPr>
            </w:pPr>
            <w:r>
              <w:rPr>
                <w:kern w:val="0"/>
                <w:sz w:val="18"/>
                <w:szCs w:val="18"/>
              </w:rPr>
              <w:t>氨氮</w:t>
            </w:r>
          </w:p>
        </w:tc>
        <w:tc>
          <w:tcPr>
            <w:tcW w:w="632" w:type="pct"/>
            <w:vAlign w:val="center"/>
          </w:tcPr>
          <w:p>
            <w:pPr>
              <w:spacing w:line="240" w:lineRule="auto"/>
              <w:ind w:firstLine="0" w:firstLineChars="0"/>
              <w:contextualSpacing/>
              <w:jc w:val="center"/>
              <w:rPr>
                <w:sz w:val="18"/>
                <w:szCs w:val="18"/>
              </w:rPr>
            </w:pPr>
            <w:r>
              <w:rPr>
                <w:kern w:val="0"/>
                <w:sz w:val="18"/>
                <w:szCs w:val="18"/>
              </w:rPr>
              <w:t>0.169/0.581</w:t>
            </w:r>
          </w:p>
        </w:tc>
        <w:tc>
          <w:tcPr>
            <w:tcW w:w="567" w:type="pct"/>
            <w:vAlign w:val="center"/>
          </w:tcPr>
          <w:p>
            <w:pPr>
              <w:spacing w:line="240" w:lineRule="auto"/>
              <w:ind w:firstLine="0" w:firstLineChars="0"/>
              <w:contextualSpacing/>
              <w:jc w:val="center"/>
              <w:rPr>
                <w:sz w:val="18"/>
                <w:szCs w:val="18"/>
              </w:rPr>
            </w:pPr>
            <w:r>
              <w:rPr>
                <w:kern w:val="0"/>
                <w:sz w:val="18"/>
                <w:szCs w:val="18"/>
              </w:rPr>
              <w:t>1</w:t>
            </w:r>
          </w:p>
        </w:tc>
        <w:tc>
          <w:tcPr>
            <w:tcW w:w="632" w:type="pct"/>
            <w:vMerge w:val="continue"/>
            <w:vAlign w:val="center"/>
          </w:tcPr>
          <w:p>
            <w:pPr>
              <w:spacing w:line="240" w:lineRule="auto"/>
              <w:ind w:firstLine="0" w:firstLineChars="0"/>
              <w:contextualSpacing/>
              <w:jc w:val="center"/>
              <w:rPr>
                <w:sz w:val="18"/>
                <w:szCs w:val="18"/>
              </w:rPr>
            </w:pPr>
          </w:p>
        </w:tc>
        <w:tc>
          <w:tcPr>
            <w:tcW w:w="632" w:type="pct"/>
            <w:vMerge w:val="continue"/>
            <w:vAlign w:val="center"/>
          </w:tcPr>
          <w:p>
            <w:pPr>
              <w:spacing w:line="240" w:lineRule="auto"/>
              <w:ind w:firstLine="0" w:firstLineChars="0"/>
              <w:contextualSpacing/>
              <w:jc w:val="center"/>
              <w:rPr>
                <w:sz w:val="18"/>
                <w:szCs w:val="18"/>
              </w:rPr>
            </w:pPr>
          </w:p>
        </w:tc>
        <w:tc>
          <w:tcPr>
            <w:tcW w:w="387" w:type="pct"/>
            <w:vAlign w:val="center"/>
          </w:tcPr>
          <w:p>
            <w:pPr>
              <w:spacing w:line="240" w:lineRule="auto"/>
              <w:ind w:firstLine="0" w:firstLineChars="0"/>
              <w:contextualSpacing/>
              <w:jc w:val="center"/>
              <w:rPr>
                <w:sz w:val="18"/>
                <w:szCs w:val="18"/>
              </w:rPr>
            </w:pPr>
            <w:r>
              <w:rPr>
                <w:sz w:val="18"/>
                <w:szCs w:val="18"/>
              </w:rPr>
              <w:t>7.97</w:t>
            </w:r>
          </w:p>
        </w:tc>
        <w:tc>
          <w:tcPr>
            <w:tcW w:w="602" w:type="pct"/>
            <w:vAlign w:val="center"/>
          </w:tcPr>
          <w:p>
            <w:pPr>
              <w:spacing w:line="240" w:lineRule="auto"/>
              <w:ind w:firstLine="0" w:firstLineChars="0"/>
              <w:contextualSpacing/>
              <w:jc w:val="center"/>
              <w:rPr>
                <w:sz w:val="18"/>
                <w:szCs w:val="18"/>
              </w:rPr>
            </w:pPr>
            <w:r>
              <w:rPr>
                <w:kern w:val="0"/>
                <w:sz w:val="18"/>
                <w:szCs w:val="18"/>
              </w:rPr>
              <w:t>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continue"/>
            <w:vAlign w:val="center"/>
          </w:tcPr>
          <w:p>
            <w:pPr>
              <w:spacing w:line="240" w:lineRule="auto"/>
              <w:ind w:firstLine="0" w:firstLineChars="0"/>
              <w:contextualSpacing/>
              <w:jc w:val="center"/>
              <w:rPr>
                <w:sz w:val="18"/>
                <w:szCs w:val="18"/>
              </w:rPr>
            </w:pPr>
          </w:p>
        </w:tc>
        <w:tc>
          <w:tcPr>
            <w:tcW w:w="495" w:type="pct"/>
            <w:vMerge w:val="continue"/>
            <w:vAlign w:val="center"/>
          </w:tcPr>
          <w:p>
            <w:pPr>
              <w:spacing w:line="240" w:lineRule="auto"/>
              <w:ind w:firstLine="0" w:firstLineChars="0"/>
              <w:contextualSpacing/>
              <w:jc w:val="center"/>
              <w:rPr>
                <w:sz w:val="18"/>
                <w:szCs w:val="18"/>
              </w:rPr>
            </w:pPr>
          </w:p>
        </w:tc>
        <w:tc>
          <w:tcPr>
            <w:tcW w:w="408" w:type="pct"/>
            <w:vAlign w:val="center"/>
          </w:tcPr>
          <w:p>
            <w:pPr>
              <w:spacing w:line="240" w:lineRule="auto"/>
              <w:ind w:firstLine="0" w:firstLineChars="0"/>
              <w:contextualSpacing/>
              <w:jc w:val="center"/>
              <w:rPr>
                <w:sz w:val="18"/>
                <w:szCs w:val="18"/>
              </w:rPr>
            </w:pPr>
            <w:r>
              <w:rPr>
                <w:kern w:val="0"/>
                <w:sz w:val="18"/>
                <w:szCs w:val="18"/>
              </w:rPr>
              <w:t>总磷</w:t>
            </w:r>
          </w:p>
        </w:tc>
        <w:tc>
          <w:tcPr>
            <w:tcW w:w="632" w:type="pct"/>
            <w:vAlign w:val="center"/>
          </w:tcPr>
          <w:p>
            <w:pPr>
              <w:spacing w:line="240" w:lineRule="auto"/>
              <w:ind w:firstLine="0" w:firstLineChars="0"/>
              <w:contextualSpacing/>
              <w:jc w:val="center"/>
              <w:rPr>
                <w:sz w:val="18"/>
                <w:szCs w:val="18"/>
              </w:rPr>
            </w:pPr>
            <w:r>
              <w:rPr>
                <w:kern w:val="0"/>
                <w:sz w:val="18"/>
                <w:szCs w:val="18"/>
              </w:rPr>
              <w:t>0.05/0.09</w:t>
            </w:r>
          </w:p>
        </w:tc>
        <w:tc>
          <w:tcPr>
            <w:tcW w:w="567" w:type="pct"/>
            <w:vAlign w:val="center"/>
          </w:tcPr>
          <w:p>
            <w:pPr>
              <w:spacing w:line="240" w:lineRule="auto"/>
              <w:ind w:firstLine="0" w:firstLineChars="0"/>
              <w:contextualSpacing/>
              <w:jc w:val="center"/>
              <w:rPr>
                <w:sz w:val="18"/>
                <w:szCs w:val="18"/>
              </w:rPr>
            </w:pPr>
            <w:r>
              <w:rPr>
                <w:kern w:val="0"/>
                <w:sz w:val="18"/>
                <w:szCs w:val="18"/>
              </w:rPr>
              <w:t>0.2</w:t>
            </w:r>
          </w:p>
        </w:tc>
        <w:tc>
          <w:tcPr>
            <w:tcW w:w="632" w:type="pct"/>
            <w:vMerge w:val="continue"/>
            <w:vAlign w:val="center"/>
          </w:tcPr>
          <w:p>
            <w:pPr>
              <w:spacing w:line="240" w:lineRule="auto"/>
              <w:ind w:firstLine="0" w:firstLineChars="0"/>
              <w:contextualSpacing/>
              <w:jc w:val="center"/>
              <w:rPr>
                <w:sz w:val="18"/>
                <w:szCs w:val="18"/>
              </w:rPr>
            </w:pPr>
          </w:p>
        </w:tc>
        <w:tc>
          <w:tcPr>
            <w:tcW w:w="632" w:type="pct"/>
            <w:vMerge w:val="continue"/>
            <w:vAlign w:val="center"/>
          </w:tcPr>
          <w:p>
            <w:pPr>
              <w:spacing w:line="240" w:lineRule="auto"/>
              <w:ind w:firstLine="0" w:firstLineChars="0"/>
              <w:contextualSpacing/>
              <w:jc w:val="center"/>
              <w:rPr>
                <w:sz w:val="18"/>
                <w:szCs w:val="18"/>
              </w:rPr>
            </w:pPr>
          </w:p>
        </w:tc>
        <w:tc>
          <w:tcPr>
            <w:tcW w:w="387" w:type="pct"/>
            <w:vAlign w:val="center"/>
          </w:tcPr>
          <w:p>
            <w:pPr>
              <w:spacing w:line="240" w:lineRule="auto"/>
              <w:ind w:firstLine="0" w:firstLineChars="0"/>
              <w:contextualSpacing/>
              <w:jc w:val="center"/>
              <w:rPr>
                <w:sz w:val="18"/>
                <w:szCs w:val="18"/>
              </w:rPr>
            </w:pPr>
            <w:r>
              <w:rPr>
                <w:sz w:val="18"/>
                <w:szCs w:val="18"/>
              </w:rPr>
              <w:t>1.56</w:t>
            </w:r>
          </w:p>
        </w:tc>
        <w:tc>
          <w:tcPr>
            <w:tcW w:w="602" w:type="pct"/>
            <w:vAlign w:val="center"/>
          </w:tcPr>
          <w:p>
            <w:pPr>
              <w:spacing w:line="240" w:lineRule="auto"/>
              <w:ind w:firstLine="0" w:firstLineChars="0"/>
              <w:contextualSpacing/>
              <w:jc w:val="center"/>
              <w:rPr>
                <w:sz w:val="18"/>
                <w:szCs w:val="18"/>
              </w:rPr>
            </w:pPr>
            <w:r>
              <w:rPr>
                <w:kern w:val="0"/>
                <w:sz w:val="18"/>
                <w:szCs w:val="18"/>
              </w:rPr>
              <w:t>0.87</w:t>
            </w:r>
          </w:p>
        </w:tc>
      </w:tr>
    </w:tbl>
    <w:p>
      <w:pPr>
        <w:spacing w:line="460" w:lineRule="exact"/>
        <w:ind w:firstLine="480"/>
        <w:contextualSpacing/>
      </w:pPr>
      <w:r>
        <w:t>根据表中计算结果，现状水平年坝址下游蔡家河河段水体COD的纳污能力为82.86t/a，氨氮的纳污能力为7.97t/a，总磷的纳污能力为1.56t/a；寒溪寺水库建库后，下游蔡家河河段COD的纳污能力为43.94t/a，较建库前减少幅度47%；氨氮的纳污能力为4.04t/a，较建库前减少幅度49%；总磷的纳污能力为0.87t/a，较建库前减少幅度44%。寒溪寺水库建成运行后，水库坝址至</w:t>
      </w:r>
      <w:r>
        <w:rPr>
          <w:rFonts w:hint="eastAsia"/>
        </w:rPr>
        <w:t>寒溪寺水库</w:t>
      </w:r>
      <w:r>
        <w:t>库尾河段的纳污能力有所降低，但仍有一定的纳污能力。</w:t>
      </w:r>
    </w:p>
    <w:p>
      <w:pPr>
        <w:ind w:firstLine="0" w:firstLineChars="0"/>
        <w:contextualSpacing/>
        <w:outlineLvl w:val="3"/>
        <w:rPr>
          <w:b/>
          <w:bCs/>
        </w:rPr>
      </w:pPr>
      <w:r>
        <w:rPr>
          <w:b/>
          <w:bCs/>
        </w:rPr>
        <w:t>5.2.2.3水库管理区水环境影响分析</w:t>
      </w:r>
    </w:p>
    <w:p>
      <w:pPr>
        <w:spacing w:line="460" w:lineRule="exact"/>
        <w:ind w:firstLine="480"/>
        <w:contextualSpacing/>
      </w:pPr>
      <w:r>
        <w:rPr>
          <w:kern w:val="10"/>
        </w:rPr>
        <w:t>水库管理生活区主要污染源为管理人员产生的生活污水、生活垃圾等。寒溪寺水库运行期水库管理所人员27人，管理人员生活污水量产生量按120L/人·d考虑，运行期全部管理人员生活污水产生量为3.24m</w:t>
      </w:r>
      <w:r>
        <w:rPr>
          <w:kern w:val="10"/>
          <w:vertAlign w:val="superscript"/>
        </w:rPr>
        <w:t>3</w:t>
      </w:r>
      <w:r>
        <w:rPr>
          <w:kern w:val="10"/>
        </w:rPr>
        <w:t>/d。参照城市生活污水指标，主要污染物BOD</w:t>
      </w:r>
      <w:r>
        <w:rPr>
          <w:kern w:val="10"/>
          <w:vertAlign w:val="subscript"/>
        </w:rPr>
        <w:t>5</w:t>
      </w:r>
      <w:r>
        <w:rPr>
          <w:kern w:val="10"/>
        </w:rPr>
        <w:t>浓度值150mg/L，COD浓度值250mg/L，</w:t>
      </w:r>
      <w:r>
        <w:t>NH</w:t>
      </w:r>
      <w:r>
        <w:rPr>
          <w:vertAlign w:val="subscript"/>
        </w:rPr>
        <w:t>3</w:t>
      </w:r>
      <w:r>
        <w:t>-N浓度值20mg/L，TP浓度值4.5mg/L。则</w:t>
      </w:r>
      <w:r>
        <w:rPr>
          <w:kern w:val="10"/>
        </w:rPr>
        <w:t>BOD</w:t>
      </w:r>
      <w:r>
        <w:rPr>
          <w:kern w:val="10"/>
          <w:vertAlign w:val="subscript"/>
        </w:rPr>
        <w:t>5</w:t>
      </w:r>
      <w:r>
        <w:rPr>
          <w:kern w:val="10"/>
        </w:rPr>
        <w:t>产生量0.49kg/d，COD产生量0.81kg/d，</w:t>
      </w:r>
      <w:r>
        <w:t>NH</w:t>
      </w:r>
      <w:r>
        <w:rPr>
          <w:vertAlign w:val="subscript"/>
        </w:rPr>
        <w:t>3</w:t>
      </w:r>
      <w:r>
        <w:t>-N</w:t>
      </w:r>
      <w:r>
        <w:rPr>
          <w:kern w:val="10"/>
        </w:rPr>
        <w:t>产生量0.065kg/d</w:t>
      </w:r>
      <w:r>
        <w:t>，TP</w:t>
      </w:r>
      <w:r>
        <w:rPr>
          <w:kern w:val="10"/>
        </w:rPr>
        <w:t>产生量0.014kg/d。管理区人员生活污水通过一体化设备处理后回用或达标排放，对周边水体的影响较小。</w:t>
      </w:r>
    </w:p>
    <w:p>
      <w:pPr>
        <w:pStyle w:val="5"/>
        <w:ind w:firstLine="0" w:firstLineChars="0"/>
        <w:contextualSpacing/>
        <w:rPr>
          <w:rFonts w:ascii="Times New Roman" w:hAnsi="Times New Roman"/>
        </w:rPr>
      </w:pPr>
      <w:r>
        <w:rPr>
          <w:rFonts w:ascii="Times New Roman" w:hAnsi="Times New Roman"/>
        </w:rPr>
        <w:t>5.2.3地下水环境影响</w:t>
      </w:r>
      <w:bookmarkEnd w:id="483"/>
      <w:bookmarkEnd w:id="484"/>
      <w:bookmarkEnd w:id="485"/>
      <w:bookmarkEnd w:id="486"/>
      <w:bookmarkEnd w:id="487"/>
    </w:p>
    <w:p>
      <w:pPr>
        <w:ind w:firstLine="0" w:firstLineChars="0"/>
        <w:contextualSpacing/>
        <w:outlineLvl w:val="3"/>
        <w:rPr>
          <w:bCs/>
        </w:rPr>
      </w:pPr>
      <w:bookmarkStart w:id="753" w:name="_Toc32138"/>
      <w:bookmarkStart w:id="754" w:name="_Toc8300"/>
      <w:bookmarkStart w:id="755" w:name="_Toc27924"/>
      <w:r>
        <w:rPr>
          <w:b/>
          <w:bCs/>
        </w:rPr>
        <w:t>5.2.3.1施工期</w:t>
      </w:r>
      <w:bookmarkEnd w:id="753"/>
      <w:bookmarkEnd w:id="754"/>
      <w:bookmarkEnd w:id="755"/>
      <w:r>
        <w:rPr>
          <w:b/>
          <w:bCs/>
        </w:rPr>
        <w:t>地下水影响</w:t>
      </w:r>
    </w:p>
    <w:p>
      <w:pPr>
        <w:ind w:firstLine="480"/>
        <w:contextualSpacing/>
      </w:pPr>
      <w:r>
        <w:t>根据本工程建设特点，工程施工对地下水环境的影响主要表现在隧洞工程开挖。隧洞工程开挖主要影响地下水水质和地下水疏排。寒溪寺水库隧洞工程主要有灌溉取水隧洞和导流放空隧洞。</w:t>
      </w:r>
    </w:p>
    <w:p>
      <w:pPr>
        <w:ind w:firstLine="480"/>
        <w:contextualSpacing/>
      </w:pPr>
      <w:r>
        <w:t>施工期地下水水质影响针对施工区域及废水排放区而言，由于环境污染和地下水水动力化学形成条件改变，使隧道施工废水排放区地下水中的某些化学、微生物成分含量不断增加，以致超出规定使用标准，使水质恶化。隧洞施工废水中污染物主要来源为：爆破材料产生的污染、机械设备产生的污染、注浆材料和支护过程的污染。</w:t>
      </w:r>
    </w:p>
    <w:p>
      <w:pPr>
        <w:ind w:firstLine="480"/>
        <w:contextualSpacing/>
      </w:pPr>
      <w:r>
        <w:t>（1）爆破材料产生的污染。隧道开挖常用的爆破材料为铰梯炸药和乳化硝按炸药。爆炸后产生主要物质为N</w:t>
      </w:r>
      <w:r>
        <w:rPr>
          <w:vertAlign w:val="subscript"/>
        </w:rPr>
        <w:t>2</w:t>
      </w:r>
      <w:r>
        <w:t>、NO</w:t>
      </w:r>
      <w:r>
        <w:rPr>
          <w:vertAlign w:val="subscript"/>
        </w:rPr>
        <w:t>2</w:t>
      </w:r>
      <w:r>
        <w:t>、NH</w:t>
      </w:r>
      <w:r>
        <w:rPr>
          <w:vertAlign w:val="subscript"/>
        </w:rPr>
        <w:t>3</w:t>
      </w:r>
      <w:r>
        <w:t>和钠盐，其水溶态为NH</w:t>
      </w:r>
      <w:r>
        <w:rPr>
          <w:vertAlign w:val="subscript"/>
        </w:rPr>
        <w:t>4</w:t>
      </w:r>
      <w:r>
        <w:rPr>
          <w:vertAlign w:val="superscript"/>
        </w:rPr>
        <w:t>+</w:t>
      </w:r>
      <w:r>
        <w:t>、NO</w:t>
      </w:r>
      <w:r>
        <w:rPr>
          <w:vertAlign w:val="subscript"/>
        </w:rPr>
        <w:t>3</w:t>
      </w:r>
      <w:r>
        <w:rPr>
          <w:vertAlign w:val="superscript"/>
        </w:rPr>
        <w:t>-</w:t>
      </w:r>
      <w:r>
        <w:t>、Na</w:t>
      </w:r>
      <w:r>
        <w:rPr>
          <w:vertAlign w:val="superscript"/>
        </w:rPr>
        <w:t>+</w:t>
      </w:r>
      <w:r>
        <w:t>，乳化硝铰炸药还可能含有一些脂类物质。此外，乳化炸药中的乳化剂为一些石油类物质，随涌水流入地表以后下渗也可能造成地下水体的污染。</w:t>
      </w:r>
    </w:p>
    <w:p>
      <w:pPr>
        <w:ind w:firstLine="480"/>
        <w:contextualSpacing/>
      </w:pPr>
      <w:r>
        <w:t>（2）机械设备产生的污染。施工过程中使用的开挖设备、钻孔设备、运渣机械、喷锚注浆机械等均会不同程度地产生油污，这些油污随着隧道废水混入地表水体中，下渗造成地下水中石油类物质浓度偏高。</w:t>
      </w:r>
    </w:p>
    <w:p>
      <w:pPr>
        <w:ind w:firstLine="480"/>
        <w:contextualSpacing/>
      </w:pPr>
      <w:r>
        <w:t>（3）注浆材料和支护过程的污染。注浆材料主要是水泥水玻璃溶液。当喷射混凝土以及模筑时，流失的注浆材料（包括水泥砂浆、混凝土等）等液态物质，成为隧道污染物的一个来源。注浆材料中所含的化学物质随着隧道排水流入地表，下渗致使地下水体pH、SS浓度升高，并可能改变水理化成分，造成地下水不同程度的污染。</w:t>
      </w:r>
    </w:p>
    <w:p>
      <w:pPr>
        <w:ind w:firstLine="480"/>
        <w:contextualSpacing/>
      </w:pPr>
      <w:r>
        <w:t>（4）施工人员生活污水、垃圾及排泄物等含动植物油脂、洗涤剂等多种有机物以及氮、磷等无机污染物，在降雨的条件下，这些污染物及一些病毒、细菌在雨水的淋滤作用下通过岩石裂隙等通道进入地下水体。生活废弃物中富含的有机物和盐类，在微生物的作用下，分解成有机氮—氨氮—亚硝酸盐氮—硝酸盐氮，是造成有机物污染的主要途径。</w:t>
      </w:r>
    </w:p>
    <w:p>
      <w:pPr>
        <w:ind w:firstLine="480"/>
        <w:contextualSpacing/>
      </w:pPr>
      <w:r>
        <w:t>为避免上述施工过程排水随地表径流下渗对地下水质造成污染，施工期间需采取相应的防治措施。</w:t>
      </w:r>
    </w:p>
    <w:p>
      <w:pPr>
        <w:ind w:firstLine="0" w:firstLineChars="0"/>
        <w:contextualSpacing/>
        <w:outlineLvl w:val="3"/>
        <w:rPr>
          <w:bCs/>
        </w:rPr>
      </w:pPr>
      <w:bookmarkStart w:id="756" w:name="_Toc32638"/>
      <w:bookmarkStart w:id="757" w:name="_Toc14057"/>
      <w:bookmarkStart w:id="758" w:name="_Toc6600"/>
      <w:r>
        <w:rPr>
          <w:b/>
          <w:bCs/>
        </w:rPr>
        <w:t>5.2.3.2营运对地下水环境影响</w:t>
      </w:r>
      <w:bookmarkEnd w:id="756"/>
      <w:bookmarkEnd w:id="757"/>
      <w:bookmarkEnd w:id="758"/>
    </w:p>
    <w:p>
      <w:pPr>
        <w:ind w:firstLine="480"/>
        <w:contextualSpacing/>
      </w:pPr>
      <w:r>
        <w:t>（1）水库浸没影响分析</w:t>
      </w:r>
    </w:p>
    <w:p>
      <w:pPr>
        <w:ind w:firstLine="480"/>
        <w:contextualSpacing/>
      </w:pPr>
      <w:r>
        <w:t>寒溪寺库区地下水类型以孔隙水和基岩裂隙水为主，地下水均接受大气降水补给，向河道排泄。水库蓄水后，水位抬高，水面面积增大，若水库发生渗漏，将使地下水位升高，导致次生盐渍化、砂土液化等问题。</w:t>
      </w:r>
    </w:p>
    <w:p>
      <w:pPr>
        <w:ind w:firstLine="480"/>
        <w:contextualSpacing/>
      </w:pPr>
      <w:r>
        <w:t>水库回水范围内两岸坡度较缓，基岩埋藏浅或裸露。库周无重要矿产资源、无大型居民点及大片农田。无水库浸没问题。</w:t>
      </w:r>
    </w:p>
    <w:p>
      <w:pPr>
        <w:ind w:firstLine="480"/>
        <w:contextualSpacing/>
      </w:pPr>
      <w:r>
        <w:t>（2）渗流对地下水影响分析</w:t>
      </w:r>
    </w:p>
    <w:p>
      <w:pPr>
        <w:pStyle w:val="65"/>
        <w:ind w:firstLine="480"/>
        <w:contextualSpacing/>
      </w:pPr>
      <w:r>
        <w:t>位于四川盆地西南部，区内地形北部突起为山地、四周低缓为丘陵。山顶高程一般在600～720m，最高高程位于越溪和东兴场间，为865.8m，山势巍峨、谷深坡陡、切割深度达300m以上。左岸地形坡度为3～15°斜坡，右岸地形坡度为5～18°缓坡。左、右坝肩基岩为砂岩、砂质泥岩，部分基岩裸露，有少量崩坡积、残坡积物，两岸山体高程从上游～下游逐渐降低，右岸低于左岸，右岸山体较单薄，存在向低邻谷渗漏的可能。该坝址河床坝基、坝肩均存在透水岩层，强风化、强卸荷带岩体完整性较差，属中～强透水层；弱风化及新鲜岩体构造裂隙仍较发育，一般属弱</w:t>
      </w:r>
      <w:r>
        <w:rPr>
          <w:rStyle w:val="87"/>
          <w:rFonts w:eastAsia="宋体"/>
        </w:rPr>
        <w:t>～中等</w:t>
      </w:r>
      <w:r>
        <w:t>透水层，岩体q＞5Lu透水带厚度为20～40m。故坝基存在渗漏和绕坝渗漏问题，需进行帷幕防渗处理，防渗处理按透水率q≤5Lu控制，防渗帷幕深度宜深入相对不透水层（q≤5Lu）以下5～10m，水平方向至相对隔水层或至地下水位高于设计正常蓄水位处一定深度。右坝肩防渗帷幕应与右岸单薄分水岭的防渗帷幕相接。</w:t>
      </w:r>
    </w:p>
    <w:p>
      <w:pPr>
        <w:ind w:firstLine="480"/>
        <w:contextualSpacing/>
      </w:pPr>
      <w:r>
        <w:t>综合上述分析，在采取相应的防渗措施后寒溪寺水库发生永久性渗漏的可能性较小，对坝下游地下水位的影响有限。</w:t>
      </w:r>
    </w:p>
    <w:p>
      <w:pPr>
        <w:ind w:firstLine="480"/>
        <w:contextualSpacing/>
      </w:pPr>
      <w:r>
        <w:t>（3）水库蓄水对地下水资源的影响</w:t>
      </w:r>
    </w:p>
    <w:p>
      <w:pPr>
        <w:ind w:firstLine="480"/>
        <w:contextualSpacing/>
      </w:pPr>
      <w:r>
        <w:t>寒溪寺水库蓄水过程中，地下水资源量将随水位抬高不断增加，至正常蓄水位线后，库水对地下水的补给达到最大。运行期，地下水资源量将随库水位不断变化，正常蓄水位时最大，死水位时最小。</w:t>
      </w:r>
    </w:p>
    <w:p>
      <w:pPr>
        <w:ind w:firstLine="480"/>
        <w:contextualSpacing/>
      </w:pPr>
      <w:r>
        <w:t>（4）对灌区地下水的影响</w:t>
      </w:r>
    </w:p>
    <w:p>
      <w:pPr>
        <w:ind w:firstLine="480"/>
        <w:contextualSpacing/>
      </w:pPr>
      <w:r>
        <w:t>对于灌区而言，地下水位将一定程度地受灌溉影响。灌溉后地下水位上升，</w:t>
      </w:r>
    </w:p>
    <w:p>
      <w:pPr>
        <w:ind w:firstLine="0" w:firstLineChars="0"/>
        <w:contextualSpacing/>
      </w:pPr>
      <w:r>
        <w:t>停灌后下降；灌水量多，则上升幅度高；灌水量少，则上升幅度低。而灌区内</w:t>
      </w:r>
    </w:p>
    <w:p>
      <w:pPr>
        <w:ind w:firstLine="0" w:firstLineChars="0"/>
        <w:contextualSpacing/>
      </w:pPr>
      <w:r>
        <w:t>排水对灌溉起到反调节作用，如排水及时，灌溉时间短，地下水位的上升幅度</w:t>
      </w:r>
    </w:p>
    <w:p>
      <w:pPr>
        <w:ind w:firstLine="0" w:firstLineChars="0"/>
        <w:contextualSpacing/>
      </w:pPr>
      <w:r>
        <w:t>较小。由于寒溪寺水库灌区总体存在一定地形高差，一般情况下，由于灌溉时间</w:t>
      </w:r>
    </w:p>
    <w:p>
      <w:pPr>
        <w:ind w:firstLine="0" w:firstLineChars="0"/>
        <w:contextualSpacing/>
      </w:pPr>
      <w:r>
        <w:t>短、排水快，工程运行对灌区地下水位影响不大。</w:t>
      </w:r>
    </w:p>
    <w:p>
      <w:pPr>
        <w:ind w:firstLine="480"/>
        <w:contextualSpacing/>
      </w:pPr>
      <w:r>
        <w:t>运行期灌区的地下水水质主要受以下几方面影响，包括灌溉水质、农药化</w:t>
      </w:r>
    </w:p>
    <w:p>
      <w:pPr>
        <w:ind w:firstLine="0" w:firstLineChars="0"/>
        <w:contextualSpacing/>
      </w:pPr>
      <w:r>
        <w:t>肥的施用和土壤中污染物的含量等，随着灌溉条件的改善，区内化肥、农药的</w:t>
      </w:r>
    </w:p>
    <w:p>
      <w:pPr>
        <w:ind w:firstLine="0" w:firstLineChars="0"/>
        <w:contextualSpacing/>
      </w:pPr>
      <w:r>
        <w:t>施用水平将呈上升趋势。</w:t>
      </w:r>
    </w:p>
    <w:p>
      <w:pPr>
        <w:ind w:firstLine="480"/>
        <w:contextualSpacing/>
      </w:pPr>
      <w:r>
        <w:t>通常农田灌溉在土壤中的浸润深度约0.6m，因此，最有可能受影响的地下</w:t>
      </w:r>
    </w:p>
    <w:p>
      <w:pPr>
        <w:ind w:firstLine="0" w:firstLineChars="0"/>
        <w:contextualSpacing/>
      </w:pPr>
      <w:r>
        <w:t>水类型为松散堆积层孔隙潜水。且由于灌区高差大，支沟较多，灌溉退水、排水条件良好，在采取科学施用化肥和农药的基础上，不会对地下水水质造成较大影响。此外，根据实地走访，灌区乡镇或居民点采掘地下水的深度一般在15m以上，因此农村地区以饮用为目的的地下水源没有受灌溉污染的可能。</w:t>
      </w:r>
    </w:p>
    <w:p>
      <w:pPr>
        <w:ind w:firstLine="0" w:firstLineChars="0"/>
        <w:contextualSpacing/>
        <w:outlineLvl w:val="3"/>
        <w:rPr>
          <w:bCs/>
        </w:rPr>
      </w:pPr>
      <w:bookmarkStart w:id="759" w:name="_Toc13515"/>
      <w:bookmarkStart w:id="760" w:name="_Toc28935"/>
      <w:bookmarkStart w:id="761" w:name="_Toc9314"/>
      <w:r>
        <w:rPr>
          <w:b/>
          <w:bCs/>
        </w:rPr>
        <w:t>5.2.3.3输水线路工程对沿线地下水的影响</w:t>
      </w:r>
      <w:bookmarkEnd w:id="759"/>
      <w:bookmarkEnd w:id="760"/>
      <w:bookmarkEnd w:id="761"/>
    </w:p>
    <w:p>
      <w:pPr>
        <w:pStyle w:val="65"/>
        <w:ind w:firstLine="482"/>
        <w:contextualSpacing/>
        <w:rPr>
          <w:b/>
          <w:bCs/>
        </w:rPr>
      </w:pPr>
      <w:r>
        <w:rPr>
          <w:b/>
          <w:bCs/>
        </w:rPr>
        <w:t>1进水口工程对地下水的影响</w:t>
      </w:r>
    </w:p>
    <w:p>
      <w:pPr>
        <w:pStyle w:val="65"/>
        <w:ind w:firstLine="480"/>
        <w:contextualSpacing/>
      </w:pPr>
      <w:r>
        <w:t>坝址区地下水基本类型主要为第四系松散覆盖层中的孔隙潜水、基岩裂隙水。孔隙潜水主要赋存于冲积、洪积堆积物中，由上游河水和大气降水等补给，向下游排泄。基岩裂隙水主要分布于砂岩中，主要受大气降水补给，向沟谷及其支流排泄。</w:t>
      </w:r>
    </w:p>
    <w:p>
      <w:pPr>
        <w:ind w:firstLine="480"/>
        <w:contextualSpacing/>
      </w:pPr>
      <w:r>
        <w:t>右岸局部基岩出露，受断层影响，岩体完整性较差，坝基岩体渗透性为弱透水，渗漏问题存在，建议设置防渗帷幕，帷幕深度应深入相对隔水层以下5m～10m，并向两岸适当延伸。</w:t>
      </w:r>
    </w:p>
    <w:p>
      <w:pPr>
        <w:ind w:firstLine="482"/>
        <w:contextualSpacing/>
        <w:rPr>
          <w:b/>
          <w:bCs/>
        </w:rPr>
      </w:pPr>
      <w:r>
        <w:rPr>
          <w:b/>
          <w:bCs/>
        </w:rPr>
        <w:t>2引水隧洞对沿线地下水的影响</w:t>
      </w:r>
    </w:p>
    <w:p>
      <w:pPr>
        <w:ind w:firstLine="480"/>
        <w:contextualSpacing/>
      </w:pPr>
      <w:r>
        <w:t>输水线路沿线地下水可分为松散岩类孔隙水、碳酸盐岩类岩溶水、基岩裂隙水三种类型。孔隙水主要赋存于第四系冲洪积和坡积层中。碳酸盐岩类岩溶水主要赋存于寒武系地层中。基岩裂隙水主要赋存于沿线各构造裂隙中。从地下水的富水性来看，输水隧洞跨越的构造带裂隙水相对较为丰富，部分断层及其影响带内裂隙较为发育，地下水相对富集，形成富水区。在隧洞开挖并穿越这些断层带时，洞内可能出现较大的渗水量，从而对地下水构成一定的影响，待隧洞施工完成并衬砌后，对地下水影响较小。</w:t>
      </w:r>
    </w:p>
    <w:p>
      <w:pPr>
        <w:pStyle w:val="5"/>
        <w:ind w:firstLine="0" w:firstLineChars="0"/>
        <w:contextualSpacing/>
        <w:rPr>
          <w:rFonts w:ascii="Times New Roman" w:hAnsi="Times New Roman"/>
        </w:rPr>
      </w:pPr>
      <w:r>
        <w:rPr>
          <w:rFonts w:ascii="Times New Roman" w:hAnsi="Times New Roman"/>
        </w:rPr>
        <w:t>5.2.5水温影响分析</w:t>
      </w:r>
    </w:p>
    <w:p>
      <w:pPr>
        <w:ind w:firstLine="480"/>
        <w:contextualSpacing/>
        <w:rPr>
          <w:lang w:bidi="en-US"/>
        </w:rPr>
      </w:pPr>
      <w:r>
        <w:rPr>
          <w:lang w:bidi="en-US"/>
        </w:rPr>
        <w:t>水库水温是否分层及分层强度，与水库所处地理位置、径流特性、水深、气候条件、库容、面积等有关。经验公式考虑了水库库容、径流对水温结构的影响，能一定程度对水温结构做简单判断，但往往存在一定的失真，而且不能获得水温的时空变化过程。除经验公式法外，数学模型法是目前研究水库水温结构的主要手段和方法，水库水温数学模型基于热量平衡原理建立起来的，在理论上比较严密，综合考虑了气象、水文、地形等因素的影响，更能较好地反映水库水温状况。</w:t>
      </w:r>
    </w:p>
    <w:p>
      <w:pPr>
        <w:ind w:firstLine="480"/>
        <w:contextualSpacing/>
      </w:pPr>
      <w:r>
        <w:rPr>
          <w:lang w:bidi="en-US"/>
        </w:rPr>
        <w:t>根据导则推荐，水库垂向水温数学模拟方法包括水库垂向一维水温数学模型、立面二维水库水温模型、三维模型等，其中河道分层或过渡型水库水温宜采用立面二维数值模型计算。</w:t>
      </w:r>
      <w:r>
        <w:t>该模型在水库水温预测中较为成熟。根据寒溪寺水库的水温结构初步判别，拟采用</w:t>
      </w:r>
      <w:r>
        <w:rPr>
          <w:lang w:bidi="en-US"/>
        </w:rPr>
        <w:t>立面二维水库水温模型对库区和下泄水温进行预测，采用纵向一维河道水温模型对坝下游河道水温进行预测。</w:t>
      </w:r>
    </w:p>
    <w:p>
      <w:pPr>
        <w:ind w:firstLine="0" w:firstLineChars="0"/>
        <w:contextualSpacing/>
        <w:outlineLvl w:val="3"/>
        <w:rPr>
          <w:b/>
          <w:bCs/>
        </w:rPr>
      </w:pPr>
      <w:r>
        <w:rPr>
          <w:b/>
          <w:bCs/>
        </w:rPr>
        <w:t>5.2.5.1预测模型</w:t>
      </w:r>
    </w:p>
    <w:p>
      <w:pPr>
        <w:ind w:firstLine="480"/>
        <w:contextualSpacing/>
      </w:pPr>
      <w:r>
        <w:t>（1）立面二维水温数学模型</w:t>
      </w:r>
    </w:p>
    <w:p>
      <w:pPr>
        <w:ind w:firstLine="480"/>
        <w:contextualSpacing/>
      </w:pPr>
      <w:r>
        <w:t>立面二维水温数学模型主要方程如下：</w:t>
      </w:r>
    </w:p>
    <w:p>
      <w:pPr>
        <w:ind w:firstLine="480"/>
        <w:contextualSpacing/>
      </w:pPr>
      <w:r>
        <w:t>连续方程：</w:t>
      </w:r>
    </w:p>
    <w:p>
      <w:pPr>
        <w:pStyle w:val="83"/>
        <w:adjustRightInd/>
        <w:snapToGrid/>
        <w:ind w:firstLine="560"/>
        <w:contextualSpacing/>
        <w:jc w:val="center"/>
        <w:rPr>
          <w:rFonts w:cs="Times New Roman"/>
        </w:rPr>
      </w:pPr>
      <w:r>
        <w:rPr>
          <w:rFonts w:cs="Times New Roman"/>
          <w:position w:val="-24"/>
        </w:rPr>
        <w:object>
          <v:shape id="_x0000_i1044" o:spt="75" type="#_x0000_t75" style="height:28.8pt;width:85.75pt;" o:ole="t" filled="f" o:preferrelative="t" stroked="f" coordsize="21600,21600">
            <v:path/>
            <v:fill on="f" focussize="0,0"/>
            <v:stroke on="f" joinstyle="miter"/>
            <v:imagedata r:id="rId95" o:title=""/>
            <o:lock v:ext="edit" aspectratio="t"/>
            <w10:wrap type="none"/>
            <w10:anchorlock/>
          </v:shape>
          <o:OLEObject Type="Embed" ProgID="Equation.DSMT4" ShapeID="_x0000_i1044" DrawAspect="Content" ObjectID="_1468075743" r:id="rId94">
            <o:LockedField>false</o:LockedField>
          </o:OLEObject>
        </w:object>
      </w:r>
    </w:p>
    <w:p>
      <w:pPr>
        <w:ind w:firstLine="480"/>
        <w:contextualSpacing/>
      </w:pPr>
      <w:r>
        <w:t>动量方程：</w:t>
      </w:r>
    </w:p>
    <w:p>
      <w:pPr>
        <w:ind w:firstLine="480"/>
        <w:contextualSpacing/>
      </w:pPr>
      <w:r>
        <w:t>x向：</w:t>
      </w:r>
    </w:p>
    <w:p>
      <w:pPr>
        <w:pStyle w:val="83"/>
        <w:adjustRightInd/>
        <w:snapToGrid/>
        <w:ind w:firstLine="560"/>
        <w:contextualSpacing/>
        <w:rPr>
          <w:rFonts w:cs="Times New Roman"/>
        </w:rPr>
      </w:pPr>
      <w:r>
        <w:rPr>
          <w:rFonts w:cs="Times New Roman"/>
        </w:rPr>
        <w:tab/>
      </w:r>
      <w:r>
        <w:rPr>
          <w:rFonts w:cs="Times New Roman"/>
        </w:rPr>
        <w:object>
          <v:shape id="_x0000_i1045" o:spt="75" type="#_x0000_t75" style="height:71.35pt;width:354.75pt;" o:ole="t" filled="f" o:preferrelative="t" stroked="f" coordsize="21600,21600">
            <v:path/>
            <v:fill on="f" focussize="0,0"/>
            <v:stroke on="f" joinstyle="miter"/>
            <v:imagedata r:id="rId97" o:title=""/>
            <o:lock v:ext="edit" aspectratio="t"/>
            <w10:wrap type="none"/>
            <w10:anchorlock/>
          </v:shape>
          <o:OLEObject Type="Embed" ProgID="Equation.3" ShapeID="_x0000_i1045" DrawAspect="Content" ObjectID="_1468075744" r:id="rId96">
            <o:LockedField>false</o:LockedField>
          </o:OLEObject>
        </w:object>
      </w:r>
    </w:p>
    <w:p>
      <w:pPr>
        <w:ind w:firstLine="472"/>
        <w:contextualSpacing/>
        <w:rPr>
          <w:spacing w:val="-4"/>
        </w:rPr>
      </w:pPr>
      <w:r>
        <w:rPr>
          <w:spacing w:val="-4"/>
        </w:rPr>
        <w:t>模型认为在纵向尺度远大于垂向尺度的情况下，垂向流速远小于纵向流速，假定垂向流速对时间和空间的偏导数和湍流剪应力偏导数均为小量，在忽略时变加速度项、位变加速项和湍流剪应力项后，将z方向动量方程简化为静水压力方程，这种假定对于有明显垂向加速度的流动不适用，如强降温导致的垂向对流等模拟不准确。</w:t>
      </w:r>
    </w:p>
    <w:p>
      <w:pPr>
        <w:ind w:firstLine="480"/>
        <w:contextualSpacing/>
      </w:pPr>
      <w:r>
        <w:t>z向：</w:t>
      </w:r>
    </w:p>
    <w:p>
      <w:pPr>
        <w:pStyle w:val="83"/>
        <w:adjustRightInd/>
        <w:snapToGrid/>
        <w:ind w:firstLine="560"/>
        <w:contextualSpacing/>
        <w:jc w:val="center"/>
        <w:rPr>
          <w:rFonts w:cs="Times New Roman"/>
        </w:rPr>
      </w:pPr>
      <w:r>
        <w:rPr>
          <w:rFonts w:cs="Times New Roman"/>
        </w:rPr>
        <w:object>
          <v:shape id="_x0000_i1046" o:spt="75" type="#_x0000_t75" style="height:30.1pt;width:92.3pt;" o:ole="t" filled="f" o:preferrelative="t" stroked="f" coordsize="21600,21600">
            <v:path/>
            <v:fill on="f" focussize="0,0"/>
            <v:stroke on="f" joinstyle="miter"/>
            <v:imagedata r:id="rId99" o:title=""/>
            <o:lock v:ext="edit" aspectratio="t"/>
            <w10:wrap type="none"/>
            <w10:anchorlock/>
          </v:shape>
          <o:OLEObject Type="Embed" ProgID="Equation.DSMT4" ShapeID="_x0000_i1046" DrawAspect="Content" ObjectID="_1468075745" r:id="rId98">
            <o:LockedField>false</o:LockedField>
          </o:OLEObject>
        </w:object>
      </w:r>
    </w:p>
    <w:p>
      <w:pPr>
        <w:ind w:firstLine="480"/>
        <w:contextualSpacing/>
      </w:pPr>
      <w:r>
        <w:t>状态方程：</w:t>
      </w:r>
    </w:p>
    <w:p>
      <w:pPr>
        <w:pStyle w:val="83"/>
        <w:adjustRightInd/>
        <w:snapToGrid/>
        <w:ind w:firstLine="560"/>
        <w:contextualSpacing/>
        <w:jc w:val="center"/>
        <w:rPr>
          <w:rFonts w:cs="Times New Roman"/>
        </w:rPr>
      </w:pPr>
      <w:r>
        <w:rPr>
          <w:rFonts w:cs="Times New Roman"/>
        </w:rPr>
        <w:object>
          <v:shape id="_x0000_i1047" o:spt="75" type="#_x0000_t75" style="height:20.3pt;width:102.1pt;" o:ole="t" filled="f" o:preferrelative="t" stroked="f" coordsize="21600,21600">
            <v:path/>
            <v:fill on="f" focussize="0,0"/>
            <v:stroke on="f" joinstyle="miter"/>
            <v:imagedata r:id="rId101" o:title=""/>
            <o:lock v:ext="edit" aspectratio="t"/>
            <w10:wrap type="none"/>
            <w10:anchorlock/>
          </v:shape>
          <o:OLEObject Type="Embed" ProgID="Equation.DSMT4" ShapeID="_x0000_i1047" DrawAspect="Content" ObjectID="_1468075746" r:id="rId100">
            <o:LockedField>false</o:LockedField>
          </o:OLEObject>
        </w:object>
      </w:r>
    </w:p>
    <w:p>
      <w:pPr>
        <w:ind w:firstLine="480"/>
        <w:contextualSpacing/>
      </w:pPr>
      <w:r>
        <w:t>自由水面方程：</w:t>
      </w:r>
    </w:p>
    <w:p>
      <w:pPr>
        <w:pStyle w:val="83"/>
        <w:adjustRightInd/>
        <w:snapToGrid/>
        <w:ind w:firstLine="560"/>
        <w:contextualSpacing/>
        <w:jc w:val="center"/>
        <w:rPr>
          <w:rFonts w:cs="Times New Roman"/>
        </w:rPr>
      </w:pPr>
      <w:r>
        <w:rPr>
          <w:rFonts w:cs="Times New Roman"/>
        </w:rPr>
        <w:object>
          <v:shape id="_x0000_i1048" o:spt="75" type="#_x0000_t75" style="height:28.8pt;width:144pt;" o:ole="t" filled="f" o:preferrelative="t" stroked="f" coordsize="21600,21600">
            <v:path/>
            <v:fill on="f" focussize="0,0"/>
            <v:stroke on="f" joinstyle="miter"/>
            <v:imagedata r:id="rId103" o:title=""/>
            <o:lock v:ext="edit" aspectratio="t"/>
            <w10:wrap type="none"/>
            <w10:anchorlock/>
          </v:shape>
          <o:OLEObject Type="Embed" ProgID="Equation.DSMT4" ShapeID="_x0000_i1048" DrawAspect="Content" ObjectID="_1468075747" r:id="rId102">
            <o:LockedField>false</o:LockedField>
          </o:OLEObject>
        </w:object>
      </w:r>
    </w:p>
    <w:p>
      <w:pPr>
        <w:ind w:firstLine="480"/>
        <w:contextualSpacing/>
      </w:pPr>
      <w:r>
        <w:t>热输运方程：</w:t>
      </w:r>
    </w:p>
    <w:p>
      <w:pPr>
        <w:pStyle w:val="83"/>
        <w:adjustRightInd/>
        <w:snapToGrid/>
        <w:contextualSpacing/>
        <w:jc w:val="center"/>
        <w:rPr>
          <w:rFonts w:cs="Times New Roman"/>
        </w:rPr>
      </w:pPr>
      <w:r>
        <w:rPr>
          <w:rFonts w:cs="Times New Roman"/>
        </w:rPr>
        <w:object>
          <v:shape id="_x0000_i1049" o:spt="75" type="#_x0000_t75" style="height:49.75pt;width:321.4pt;" o:ole="t" filled="f" o:preferrelative="t" stroked="f" coordsize="21600,21600">
            <v:path/>
            <v:fill on="f" focussize="0,0"/>
            <v:stroke on="f" joinstyle="miter"/>
            <v:imagedata r:id="rId105" o:title=""/>
            <o:lock v:ext="edit" aspectratio="t"/>
            <w10:wrap type="none"/>
            <w10:anchorlock/>
          </v:shape>
          <o:OLEObject Type="Embed" ProgID="Equation.3" ShapeID="_x0000_i1049" DrawAspect="Content" ObjectID="_1468075748" r:id="rId104">
            <o:LockedField>false</o:LockedField>
          </o:OLEObject>
        </w:object>
      </w:r>
    </w:p>
    <w:p>
      <w:pPr>
        <w:ind w:firstLine="480"/>
        <w:contextualSpacing/>
      </w:pPr>
      <w:r>
        <w:t>式中，</w:t>
      </w:r>
      <w:r>
        <w:rPr>
          <w:i/>
        </w:rPr>
        <w:t>B</w:t>
      </w:r>
      <w:r>
        <w:t>为水体宽度，m；</w:t>
      </w:r>
      <w:r>
        <w:rPr>
          <w:i/>
        </w:rPr>
        <w:t>u</w:t>
      </w:r>
      <w:r>
        <w:t>为纵向流速，m/s；</w:t>
      </w:r>
      <w:r>
        <w:rPr>
          <w:i/>
        </w:rPr>
        <w:t>w</w:t>
      </w:r>
      <w:r>
        <w:t>为垂向流速，m/s；</w:t>
      </w:r>
      <w:r>
        <w:rPr>
          <w:i/>
        </w:rPr>
        <w:t>q</w:t>
      </w:r>
      <w:r>
        <w:t>为侧向单位体积净入库流量，1/s；</w:t>
      </w:r>
      <w:r>
        <w:rPr>
          <w:i/>
        </w:rPr>
        <w:t>η</w:t>
      </w:r>
      <w:r>
        <w:t>为水位，m；</w:t>
      </w:r>
      <w:r>
        <w:rPr>
          <w:i/>
        </w:rPr>
        <w:t>α</w:t>
      </w:r>
      <w:r>
        <w:t>为河道倾角，rad；</w:t>
      </w:r>
      <w:r>
        <w:rPr>
          <w:i/>
        </w:rPr>
        <w:t>ρ</w:t>
      </w:r>
      <w:r>
        <w:t>为水体密度，kg/m</w:t>
      </w:r>
      <w:r>
        <w:rPr>
          <w:vertAlign w:val="superscript"/>
        </w:rPr>
        <w:t>3</w:t>
      </w:r>
      <w:r>
        <w:t>；</w:t>
      </w:r>
      <w:r>
        <w:rPr>
          <w:position w:val="-12"/>
        </w:rPr>
        <w:object>
          <v:shape id="_x0000_i1050" o:spt="75" type="#_x0000_t75" style="height:20.3pt;width:15.7pt;" o:ole="t" filled="f" o:preferrelative="t" stroked="f" coordsize="21600,21600">
            <v:path/>
            <v:fill on="f" focussize="0,0"/>
            <v:stroke on="f" joinstyle="miter"/>
            <v:imagedata r:id="rId107" o:title=""/>
            <o:lock v:ext="edit" aspectratio="t"/>
            <w10:wrap type="none"/>
            <w10:anchorlock/>
          </v:shape>
          <o:OLEObject Type="Embed" ProgID="Equation.3" ShapeID="_x0000_i1050" DrawAspect="Content" ObjectID="_1468075749" r:id="rId106">
            <o:LockedField>false</o:LockedField>
          </o:OLEObject>
        </w:object>
      </w:r>
      <w:r>
        <w:t>为控制体在</w:t>
      </w:r>
      <w:r>
        <w:rPr>
          <w:position w:val="-6"/>
        </w:rPr>
        <w:object>
          <v:shape id="_x0000_i1051" o:spt="75" type="#_x0000_t75" style="height:12.45pt;width:7.85pt;" o:ole="t" filled="f" o:preferrelative="t" stroked="f" coordsize="21600,21600">
            <v:path/>
            <v:fill on="f" focussize="0,0"/>
            <v:stroke on="f" joinstyle="miter"/>
            <v:imagedata r:id="rId109" o:title=""/>
            <o:lock v:ext="edit" aspectratio="t"/>
            <w10:wrap type="none"/>
            <w10:anchorlock/>
          </v:shape>
          <o:OLEObject Type="Embed" ProgID="Equation.3" ShapeID="_x0000_i1051" DrawAspect="Content" ObjectID="_1468075750" r:id="rId108">
            <o:LockedField>false</o:LockedField>
          </o:OLEObject>
        </w:object>
      </w:r>
      <w:r>
        <w:t>面</w:t>
      </w:r>
      <w:r>
        <w:rPr>
          <w:position w:val="-6"/>
        </w:rPr>
        <w:object>
          <v:shape id="_x0000_i1052" o:spt="75" type="#_x0000_t75" style="height:12.45pt;width:7.85pt;" o:ole="t" filled="f" o:preferrelative="t" stroked="f" coordsize="21600,21600">
            <v:path/>
            <v:fill on="f" focussize="0,0"/>
            <v:stroke on="f" joinstyle="miter"/>
            <v:imagedata r:id="rId109" o:title=""/>
            <o:lock v:ext="edit" aspectratio="t"/>
            <w10:wrap type="none"/>
            <w10:anchorlock/>
          </v:shape>
          <o:OLEObject Type="Embed" ProgID="Equation.3" ShapeID="_x0000_i1052" DrawAspect="Content" ObjectID="_1468075751" r:id="rId110">
            <o:LockedField>false</o:LockedField>
          </o:OLEObject>
        </w:object>
      </w:r>
      <w:r>
        <w:t>向的湍流剪应力，N/m</w:t>
      </w:r>
      <w:r>
        <w:rPr>
          <w:vertAlign w:val="superscript"/>
        </w:rPr>
        <w:t>2</w:t>
      </w:r>
      <w:r>
        <w:t>；</w:t>
      </w:r>
      <w:r>
        <w:rPr>
          <w:position w:val="-12"/>
        </w:rPr>
        <w:object>
          <v:shape id="_x0000_i1053" o:spt="75" type="#_x0000_t75" style="height:20.3pt;width:15.7pt;" o:ole="t" filled="f" o:preferrelative="t" stroked="f" coordsize="21600,21600">
            <v:path/>
            <v:fill on="f" focussize="0,0"/>
            <v:stroke on="f" joinstyle="miter"/>
            <v:imagedata r:id="rId112" o:title=""/>
            <o:lock v:ext="edit" aspectratio="t"/>
            <w10:wrap type="none"/>
            <w10:anchorlock/>
          </v:shape>
          <o:OLEObject Type="Embed" ProgID="Equation.3" ShapeID="_x0000_i1053" DrawAspect="Content" ObjectID="_1468075752" r:id="rId111">
            <o:LockedField>false</o:LockedField>
          </o:OLEObject>
        </w:object>
      </w:r>
      <w:r>
        <w:t>为控制体在</w:t>
      </w:r>
      <w:r>
        <w:rPr>
          <w:position w:val="-4"/>
        </w:rPr>
        <w:object>
          <v:shape id="_x0000_i1054" o:spt="75" type="#_x0000_t75" style="height:7.85pt;width:7.85pt;" o:ole="t" filled="f" o:preferrelative="t" stroked="f" coordsize="21600,21600">
            <v:path/>
            <v:fill on="f" focussize="0,0"/>
            <v:stroke on="f" joinstyle="miter"/>
            <v:imagedata r:id="rId114" o:title=""/>
            <o:lock v:ext="edit" aspectratio="t"/>
            <w10:wrap type="none"/>
            <w10:anchorlock/>
          </v:shape>
          <o:OLEObject Type="Embed" ProgID="Equation.3" ShapeID="_x0000_i1054" DrawAspect="Content" ObjectID="_1468075753" r:id="rId113">
            <o:LockedField>false</o:LockedField>
          </o:OLEObject>
        </w:object>
      </w:r>
      <w:r>
        <w:t>面</w:t>
      </w:r>
      <w:r>
        <w:rPr>
          <w:position w:val="-6"/>
        </w:rPr>
        <w:object>
          <v:shape id="_x0000_i1055" o:spt="75" type="#_x0000_t75" style="height:12.45pt;width:7.85pt;" o:ole="t" filled="f" o:preferrelative="t" stroked="f" coordsize="21600,21600">
            <v:path/>
            <v:fill on="f" focussize="0,0"/>
            <v:stroke on="f" joinstyle="miter"/>
            <v:imagedata r:id="rId109" o:title=""/>
            <o:lock v:ext="edit" aspectratio="t"/>
            <w10:wrap type="none"/>
            <w10:anchorlock/>
          </v:shape>
          <o:OLEObject Type="Embed" ProgID="Equation.3" ShapeID="_x0000_i1055" DrawAspect="Content" ObjectID="_1468075754" r:id="rId115">
            <o:LockedField>false</o:LockedField>
          </o:OLEObject>
        </w:object>
      </w:r>
      <w:r>
        <w:t>向的湍流剪应力，N/m</w:t>
      </w:r>
      <w:r>
        <w:rPr>
          <w:vertAlign w:val="superscript"/>
        </w:rPr>
        <w:t>2</w:t>
      </w:r>
      <w:r>
        <w:t>；</w:t>
      </w:r>
      <w:r>
        <w:rPr>
          <w:i/>
        </w:rPr>
        <w:t>u</w:t>
      </w:r>
      <w:r>
        <w:rPr>
          <w:i/>
          <w:vertAlign w:val="subscript"/>
        </w:rPr>
        <w:t>x</w:t>
      </w:r>
      <w:r>
        <w:t>为支流流速的</w:t>
      </w:r>
      <w:r>
        <w:rPr>
          <w:i/>
        </w:rPr>
        <w:t>x</w:t>
      </w:r>
      <w:r>
        <w:t>分量；</w:t>
      </w:r>
      <w:r>
        <w:rPr>
          <w:i/>
        </w:rPr>
        <w:t>f（T</w:t>
      </w:r>
      <w:r>
        <w:rPr>
          <w:i/>
          <w:vertAlign w:val="subscript"/>
        </w:rPr>
        <w:t>w</w:t>
      </w:r>
      <w:r>
        <w:rPr>
          <w:i/>
        </w:rPr>
        <w:t>，Φ</w:t>
      </w:r>
      <w:r>
        <w:rPr>
          <w:i/>
          <w:vertAlign w:val="subscript"/>
        </w:rPr>
        <w:t>TDS</w:t>
      </w:r>
      <w:r>
        <w:rPr>
          <w:i/>
        </w:rPr>
        <w:t>，Φ</w:t>
      </w:r>
      <w:r>
        <w:rPr>
          <w:i/>
          <w:vertAlign w:val="subscript"/>
        </w:rPr>
        <w:t>SS</w:t>
      </w:r>
      <w:r>
        <w:rPr>
          <w:i/>
        </w:rPr>
        <w:t>）</w:t>
      </w:r>
      <w:r>
        <w:t>为密度函数，为水温、盐度、悬浮物浓度的函数。</w:t>
      </w:r>
      <w:r>
        <w:rPr>
          <w:i/>
        </w:rPr>
        <w:t>B</w:t>
      </w:r>
      <w:r>
        <w:rPr>
          <w:i/>
          <w:vertAlign w:val="subscript"/>
        </w:rPr>
        <w:t>η</w:t>
      </w:r>
      <w:r>
        <w:t>为水面宽度，m；</w:t>
      </w:r>
      <w:r>
        <w:rPr>
          <w:i/>
        </w:rPr>
        <w:t>D</w:t>
      </w:r>
      <w:r>
        <w:rPr>
          <w:i/>
          <w:vertAlign w:val="subscript"/>
        </w:rPr>
        <w:t>x</w:t>
      </w:r>
      <w:r>
        <w:t>为纵向离散系数，m</w:t>
      </w:r>
      <w:r>
        <w:rPr>
          <w:vertAlign w:val="superscript"/>
        </w:rPr>
        <w:t>2</w:t>
      </w:r>
      <w:r>
        <w:t>/s；</w:t>
      </w:r>
      <w:r>
        <w:rPr>
          <w:i/>
        </w:rPr>
        <w:t>D</w:t>
      </w:r>
      <w:r>
        <w:rPr>
          <w:i/>
          <w:vertAlign w:val="subscript"/>
        </w:rPr>
        <w:t>z</w:t>
      </w:r>
      <w:r>
        <w:t>为垂向离散系数，m</w:t>
      </w:r>
      <w:r>
        <w:rPr>
          <w:vertAlign w:val="superscript"/>
        </w:rPr>
        <w:t>2</w:t>
      </w:r>
      <w:r>
        <w:t>/s；</w:t>
      </w:r>
      <w:r>
        <w:rPr>
          <w:i/>
        </w:rPr>
        <w:t>q</w:t>
      </w:r>
      <w:r>
        <w:rPr>
          <w:i/>
          <w:vertAlign w:val="subscript"/>
        </w:rPr>
        <w:t>Φ</w:t>
      </w:r>
      <w:r>
        <w:t>为单元控制体侧向热量（水质）出入流的速率，J/m</w:t>
      </w:r>
      <w:r>
        <w:rPr>
          <w:vertAlign w:val="superscript"/>
        </w:rPr>
        <w:t>3</w:t>
      </w:r>
      <w:r>
        <w:t>/s（mg/L/s）；S</w:t>
      </w:r>
      <w:r>
        <w:rPr>
          <w:vertAlign w:val="subscript"/>
        </w:rPr>
        <w:t>Φ</w:t>
      </w:r>
      <w:r>
        <w:t>为源汇项，J/m</w:t>
      </w:r>
      <w:r>
        <w:rPr>
          <w:vertAlign w:val="superscript"/>
        </w:rPr>
        <w:t>3</w:t>
      </w:r>
      <w:r>
        <w:t>/s（mg/L/s）。</w:t>
      </w:r>
    </w:p>
    <w:p>
      <w:pPr>
        <w:ind w:firstLine="480"/>
        <w:contextualSpacing/>
      </w:pPr>
      <w:r>
        <w:t>热输运方程源项中考虑了水面热交换和河床热交换两部分。</w:t>
      </w:r>
    </w:p>
    <w:p>
      <w:pPr>
        <w:ind w:firstLine="480"/>
        <w:contextualSpacing/>
      </w:pPr>
      <w:r>
        <w:t>1）水面热交换</w:t>
      </w:r>
    </w:p>
    <w:p>
      <w:pPr>
        <w:ind w:firstLine="480"/>
        <w:contextualSpacing/>
      </w:pPr>
      <w:r>
        <w:t>水面热交换主要由辐射、蒸发和传导三部分组成，由下式表达：</w:t>
      </w:r>
    </w:p>
    <w:p>
      <w:pPr>
        <w:pStyle w:val="83"/>
        <w:adjustRightInd/>
        <w:snapToGrid/>
        <w:contextualSpacing/>
        <w:jc w:val="center"/>
        <w:rPr>
          <w:rFonts w:cs="Times New Roman"/>
          <w:i/>
        </w:rPr>
      </w:pPr>
      <w:r>
        <w:rPr>
          <w:rFonts w:cs="Times New Roman"/>
        </w:rPr>
        <w:object>
          <v:shape id="_x0000_i1056" o:spt="75" type="#_x0000_t75" style="height:20.3pt;width:215.35pt;" o:ole="t" filled="f" o:preferrelative="t" stroked="f" coordsize="21600,21600">
            <v:path/>
            <v:fill on="f" focussize="0,0"/>
            <v:stroke on="f" joinstyle="miter"/>
            <v:imagedata r:id="rId117" o:title=""/>
            <o:lock v:ext="edit" aspectratio="t"/>
            <w10:wrap type="none"/>
            <w10:anchorlock/>
          </v:shape>
          <o:OLEObject Type="Embed" ProgID="Equation.DSMT4" ShapeID="_x0000_i1056" DrawAspect="Content" ObjectID="_1468075755" r:id="rId116">
            <o:LockedField>false</o:LockedField>
          </o:OLEObject>
        </w:object>
      </w:r>
    </w:p>
    <w:p>
      <w:pPr>
        <w:ind w:firstLine="468"/>
        <w:contextualSpacing/>
        <w:rPr>
          <w:spacing w:val="-6"/>
        </w:rPr>
      </w:pPr>
      <w:r>
        <w:rPr>
          <w:spacing w:val="-6"/>
        </w:rPr>
        <w:t>式中，</w:t>
      </w:r>
      <w:r>
        <w:rPr>
          <w:i/>
          <w:spacing w:val="-6"/>
        </w:rPr>
        <w:t>H</w:t>
      </w:r>
      <w:r>
        <w:rPr>
          <w:i/>
          <w:spacing w:val="-6"/>
          <w:vertAlign w:val="subscript"/>
        </w:rPr>
        <w:t>n</w:t>
      </w:r>
      <w:r>
        <w:rPr>
          <w:spacing w:val="-6"/>
        </w:rPr>
        <w:t>为通过水体表面的热交换净热量，W/m</w:t>
      </w:r>
      <w:r>
        <w:rPr>
          <w:spacing w:val="-6"/>
          <w:vertAlign w:val="superscript"/>
        </w:rPr>
        <w:t>2</w:t>
      </w:r>
      <w:r>
        <w:rPr>
          <w:spacing w:val="-6"/>
        </w:rPr>
        <w:t>；</w:t>
      </w:r>
      <w:r>
        <w:rPr>
          <w:i/>
          <w:spacing w:val="-6"/>
        </w:rPr>
        <w:t>H</w:t>
      </w:r>
      <w:r>
        <w:rPr>
          <w:i/>
          <w:spacing w:val="-6"/>
          <w:vertAlign w:val="subscript"/>
        </w:rPr>
        <w:t>s</w:t>
      </w:r>
      <w:r>
        <w:rPr>
          <w:spacing w:val="-6"/>
        </w:rPr>
        <w:t>为太阳短波辐射，W/m</w:t>
      </w:r>
      <w:r>
        <w:rPr>
          <w:spacing w:val="-6"/>
          <w:vertAlign w:val="superscript"/>
        </w:rPr>
        <w:t>2</w:t>
      </w:r>
      <w:r>
        <w:rPr>
          <w:spacing w:val="-6"/>
        </w:rPr>
        <w:t>；</w:t>
      </w:r>
      <w:r>
        <w:rPr>
          <w:i/>
          <w:spacing w:val="-6"/>
        </w:rPr>
        <w:t>H</w:t>
      </w:r>
      <w:r>
        <w:rPr>
          <w:i/>
          <w:spacing w:val="-6"/>
          <w:vertAlign w:val="subscript"/>
        </w:rPr>
        <w:t>a</w:t>
      </w:r>
      <w:r>
        <w:rPr>
          <w:spacing w:val="-6"/>
        </w:rPr>
        <w:t>为大气长波辐射，W/m</w:t>
      </w:r>
      <w:r>
        <w:rPr>
          <w:spacing w:val="-6"/>
          <w:vertAlign w:val="superscript"/>
        </w:rPr>
        <w:t>2</w:t>
      </w:r>
      <w:r>
        <w:rPr>
          <w:spacing w:val="-6"/>
        </w:rPr>
        <w:t>；</w:t>
      </w:r>
      <w:r>
        <w:rPr>
          <w:i/>
          <w:spacing w:val="-6"/>
        </w:rPr>
        <w:t>H</w:t>
      </w:r>
      <w:r>
        <w:rPr>
          <w:i/>
          <w:spacing w:val="-6"/>
          <w:vertAlign w:val="subscript"/>
        </w:rPr>
        <w:t>e</w:t>
      </w:r>
      <w:r>
        <w:rPr>
          <w:spacing w:val="-6"/>
        </w:rPr>
        <w:t>为蒸发热损失，W/m</w:t>
      </w:r>
      <w:r>
        <w:rPr>
          <w:spacing w:val="-6"/>
          <w:vertAlign w:val="superscript"/>
        </w:rPr>
        <w:t>2</w:t>
      </w:r>
      <w:r>
        <w:rPr>
          <w:spacing w:val="-6"/>
        </w:rPr>
        <w:t>；</w:t>
      </w:r>
      <w:r>
        <w:rPr>
          <w:i/>
          <w:spacing w:val="-6"/>
        </w:rPr>
        <w:t>H</w:t>
      </w:r>
      <w:r>
        <w:rPr>
          <w:i/>
          <w:spacing w:val="-6"/>
          <w:vertAlign w:val="subscript"/>
        </w:rPr>
        <w:t>c</w:t>
      </w:r>
      <w:r>
        <w:rPr>
          <w:spacing w:val="-6"/>
        </w:rPr>
        <w:t>为热传导通量，W/m</w:t>
      </w:r>
      <w:r>
        <w:rPr>
          <w:spacing w:val="-6"/>
          <w:vertAlign w:val="superscript"/>
        </w:rPr>
        <w:t>2</w:t>
      </w:r>
      <w:r>
        <w:rPr>
          <w:spacing w:val="-6"/>
        </w:rPr>
        <w:t>；</w:t>
      </w:r>
      <w:r>
        <w:rPr>
          <w:i/>
          <w:spacing w:val="-6"/>
        </w:rPr>
        <w:t>H</w:t>
      </w:r>
      <w:r>
        <w:rPr>
          <w:i/>
          <w:spacing w:val="-6"/>
          <w:vertAlign w:val="subscript"/>
        </w:rPr>
        <w:t>sr</w:t>
      </w:r>
      <w:r>
        <w:rPr>
          <w:spacing w:val="-6"/>
        </w:rPr>
        <w:t>为反射的太阳短波辐射，W/m</w:t>
      </w:r>
      <w:r>
        <w:rPr>
          <w:spacing w:val="-6"/>
          <w:vertAlign w:val="superscript"/>
        </w:rPr>
        <w:t>2</w:t>
      </w:r>
      <w:r>
        <w:rPr>
          <w:spacing w:val="-6"/>
        </w:rPr>
        <w:t>；</w:t>
      </w:r>
      <w:r>
        <w:rPr>
          <w:i/>
          <w:spacing w:val="-6"/>
        </w:rPr>
        <w:t>H</w:t>
      </w:r>
      <w:r>
        <w:rPr>
          <w:i/>
          <w:spacing w:val="-6"/>
          <w:vertAlign w:val="subscript"/>
        </w:rPr>
        <w:t>ar</w:t>
      </w:r>
      <w:r>
        <w:rPr>
          <w:spacing w:val="-6"/>
        </w:rPr>
        <w:t>为反射的大气长波辐射，W/m</w:t>
      </w:r>
      <w:r>
        <w:rPr>
          <w:spacing w:val="-6"/>
          <w:vertAlign w:val="superscript"/>
        </w:rPr>
        <w:t>2</w:t>
      </w:r>
      <w:r>
        <w:rPr>
          <w:spacing w:val="-6"/>
        </w:rPr>
        <w:t>；</w:t>
      </w:r>
      <w:r>
        <w:rPr>
          <w:i/>
          <w:spacing w:val="-6"/>
        </w:rPr>
        <w:t>H</w:t>
      </w:r>
      <w:r>
        <w:rPr>
          <w:i/>
          <w:spacing w:val="-6"/>
          <w:vertAlign w:val="subscript"/>
        </w:rPr>
        <w:t>br</w:t>
      </w:r>
      <w:r>
        <w:rPr>
          <w:spacing w:val="-6"/>
        </w:rPr>
        <w:t>为水面长波辐射，W/m</w:t>
      </w:r>
      <w:r>
        <w:rPr>
          <w:spacing w:val="-6"/>
          <w:vertAlign w:val="superscript"/>
        </w:rPr>
        <w:t>2</w:t>
      </w:r>
      <w:r>
        <w:rPr>
          <w:spacing w:val="-6"/>
        </w:rPr>
        <w:t>。</w:t>
      </w:r>
    </w:p>
    <w:p>
      <w:pPr>
        <w:ind w:firstLine="480" w:firstLineChars="0"/>
        <w:contextualSpacing/>
        <w:rPr>
          <w:vertAlign w:val="subscript"/>
        </w:rPr>
      </w:pPr>
      <w:r>
        <w:rPr>
          <w:rFonts w:hint="eastAsia" w:ascii="宋体" w:hAnsi="宋体" w:cs="宋体"/>
        </w:rPr>
        <w:t>①</w:t>
      </w:r>
      <w:r>
        <w:t>太阳短波辐射</w:t>
      </w:r>
      <w:r>
        <w:rPr>
          <w:i/>
        </w:rPr>
        <w:t>H</w:t>
      </w:r>
      <w:r>
        <w:rPr>
          <w:i/>
          <w:vertAlign w:val="subscript"/>
        </w:rPr>
        <w:t>sr</w:t>
      </w:r>
    </w:p>
    <w:p>
      <w:pPr>
        <w:pStyle w:val="83"/>
        <w:adjustRightInd/>
        <w:snapToGrid/>
        <w:contextualSpacing/>
        <w:jc w:val="center"/>
        <w:rPr>
          <w:rFonts w:cs="Times New Roman"/>
        </w:rPr>
      </w:pPr>
      <w:r>
        <w:rPr>
          <w:rFonts w:cs="Times New Roman"/>
          <w:position w:val="-12"/>
        </w:rPr>
        <w:object>
          <v:shape id="_x0000_i1057" o:spt="75" type="#_x0000_t75" style="height:20.3pt;width:120.45pt;" o:ole="t" filled="f" o:preferrelative="t" stroked="f" coordsize="21600,21600">
            <v:path/>
            <v:fill on="f" focussize="0,0"/>
            <v:stroke on="f" joinstyle="miter"/>
            <v:imagedata r:id="rId119" o:title=""/>
            <o:lock v:ext="edit" aspectratio="t"/>
            <w10:wrap type="none"/>
            <w10:anchorlock/>
          </v:shape>
          <o:OLEObject Type="Embed" ProgID="Equation.3" ShapeID="_x0000_i1057" DrawAspect="Content" ObjectID="_1468075756" r:id="rId118">
            <o:LockedField>false</o:LockedField>
          </o:OLEObject>
        </w:object>
      </w:r>
    </w:p>
    <w:p>
      <w:pPr>
        <w:ind w:firstLine="480"/>
        <w:contextualSpacing/>
      </w:pPr>
      <w:r>
        <w:t>式中，</w:t>
      </w:r>
      <w:r>
        <w:rPr>
          <w:position w:val="-10"/>
        </w:rPr>
        <w:object>
          <v:shape id="_x0000_i1058" o:spt="75" type="#_x0000_t75" style="height:11.8pt;width:7.85pt;" o:ole="t" filled="f" o:preferrelative="t" stroked="f" coordsize="21600,21600">
            <v:path/>
            <v:fill on="f" focussize="0,0"/>
            <v:stroke on="f" joinstyle="miter"/>
            <v:imagedata r:id="rId121" o:title=""/>
            <o:lock v:ext="edit" aspectratio="t"/>
            <w10:wrap type="none"/>
            <w10:anchorlock/>
          </v:shape>
          <o:OLEObject Type="Embed" ProgID="Equation.DSMT4" ShapeID="_x0000_i1058" DrawAspect="Content" ObjectID="_1468075757" r:id="rId120">
            <o:LockedField>false</o:LockedField>
          </o:OLEObject>
        </w:object>
      </w:r>
      <w:r>
        <w:t>是水面反射率，取0.03；</w:t>
      </w:r>
      <w:r>
        <w:rPr>
          <w:i/>
        </w:rPr>
        <w:t>C</w:t>
      </w:r>
      <w:r>
        <w:t>是云层覆盖率。进入水体中的太阳辐射按比尔定律（Beer’s Law）衰减：</w:t>
      </w:r>
    </w:p>
    <w:p>
      <w:pPr>
        <w:pStyle w:val="83"/>
        <w:adjustRightInd/>
        <w:snapToGrid/>
        <w:contextualSpacing/>
        <w:jc w:val="center"/>
        <w:rPr>
          <w:rFonts w:cs="Times New Roman"/>
        </w:rPr>
      </w:pPr>
      <w:r>
        <w:rPr>
          <w:rFonts w:cs="Times New Roman"/>
        </w:rPr>
        <w:object>
          <v:shape id="_x0000_i1059" o:spt="75" type="#_x0000_t75" style="height:20.3pt;width:148.6pt;" o:ole="t" filled="f" o:preferrelative="t" stroked="f" coordsize="21600,21600">
            <v:path/>
            <v:fill on="f" focussize="0,0"/>
            <v:stroke on="f" joinstyle="miter"/>
            <v:imagedata r:id="rId123" o:title=""/>
            <o:lock v:ext="edit" aspectratio="t"/>
            <w10:wrap type="none"/>
            <w10:anchorlock/>
          </v:shape>
          <o:OLEObject Type="Embed" ProgID="Equation.3" ShapeID="_x0000_i1059" DrawAspect="Content" ObjectID="_1468075758" r:id="rId122">
            <o:LockedField>false</o:LockedField>
          </o:OLEObject>
        </w:object>
      </w:r>
    </w:p>
    <w:p>
      <w:pPr>
        <w:ind w:firstLine="480"/>
        <w:contextualSpacing/>
      </w:pPr>
      <w:r>
        <w:t>式中，</w:t>
      </w:r>
      <w:r>
        <w:rPr>
          <w:i/>
        </w:rPr>
        <w:t>H</w:t>
      </w:r>
      <w:r>
        <w:rPr>
          <w:i/>
          <w:vertAlign w:val="subscript"/>
        </w:rPr>
        <w:t>s</w:t>
      </w:r>
      <w:r>
        <w:t>（z）为穿过水深</w:t>
      </w:r>
      <w:r>
        <w:rPr>
          <w:i/>
        </w:rPr>
        <w:t>z</w:t>
      </w:r>
      <w:r>
        <w:t>平面的太阳辐射，W/m</w:t>
      </w:r>
      <w:r>
        <w:rPr>
          <w:vertAlign w:val="superscript"/>
        </w:rPr>
        <w:t>2</w:t>
      </w:r>
      <w:r>
        <w:t>；BETA为水面太阳辐射吸收系数；EXH20为纯水中太阳辐射衰减系数，1/m；</w:t>
      </w:r>
      <w:r>
        <w:rPr>
          <w:i/>
        </w:rPr>
        <w:t>H</w:t>
      </w:r>
      <w:r>
        <w:rPr>
          <w:vertAlign w:val="subscript"/>
        </w:rPr>
        <w:t>s</w:t>
      </w:r>
      <w:r>
        <w:t>为水面的太阳短波辐射，W/m</w:t>
      </w:r>
      <w:r>
        <w:rPr>
          <w:vertAlign w:val="superscript"/>
        </w:rPr>
        <w:t>2</w:t>
      </w:r>
      <w:r>
        <w:t>。</w:t>
      </w:r>
    </w:p>
    <w:p>
      <w:pPr>
        <w:ind w:firstLine="480" w:firstLineChars="0"/>
        <w:contextualSpacing/>
        <w:rPr>
          <w:vertAlign w:val="subscript"/>
        </w:rPr>
      </w:pPr>
      <w:r>
        <w:rPr>
          <w:rFonts w:hint="eastAsia" w:ascii="宋体" w:hAnsi="宋体" w:cs="宋体"/>
        </w:rPr>
        <w:t>②</w:t>
      </w:r>
      <w:r>
        <w:t>大气长波辐射</w:t>
      </w:r>
      <w:r>
        <w:rPr>
          <w:i/>
        </w:rPr>
        <w:t>H</w:t>
      </w:r>
      <w:r>
        <w:rPr>
          <w:i/>
          <w:vertAlign w:val="subscript"/>
        </w:rPr>
        <w:t>a</w:t>
      </w:r>
    </w:p>
    <w:p>
      <w:pPr>
        <w:ind w:firstLine="480"/>
        <w:contextualSpacing/>
      </w:pPr>
      <w:r>
        <w:t>大气所吸收的太阳能以长波形式向地面发射，其长波辐射强度取决于气温和云量，可用</w:t>
      </w:r>
      <w:r>
        <w:rPr>
          <w:i/>
        </w:rPr>
        <w:t>Stefan-Boltzman</w:t>
      </w:r>
      <w:r>
        <w:t>定律计算</w:t>
      </w:r>
    </w:p>
    <w:p>
      <w:pPr>
        <w:pStyle w:val="83"/>
        <w:adjustRightInd/>
        <w:snapToGrid/>
        <w:contextualSpacing/>
        <w:jc w:val="center"/>
        <w:rPr>
          <w:rFonts w:cs="Times New Roman"/>
        </w:rPr>
      </w:pPr>
      <w:r>
        <w:rPr>
          <w:rFonts w:cs="Times New Roman"/>
          <w:position w:val="-14"/>
        </w:rPr>
        <w:object>
          <v:shape id="_x0000_i1060" o:spt="75" type="#_x0000_t75" style="height:22.25pt;width:151.85pt;" o:ole="t" filled="f" o:preferrelative="t" stroked="f" coordsize="21600,21600">
            <v:path/>
            <v:fill on="f" focussize="0,0"/>
            <v:stroke on="f" joinstyle="miter"/>
            <v:imagedata r:id="rId125" o:title=""/>
            <o:lock v:ext="edit" aspectratio="t"/>
            <w10:wrap type="none"/>
            <w10:anchorlock/>
          </v:shape>
          <o:OLEObject Type="Embed" ProgID="Equation.DSMT4" ShapeID="_x0000_i1060" DrawAspect="Content" ObjectID="_1468075759" r:id="rId124">
            <o:LockedField>false</o:LockedField>
          </o:OLEObject>
        </w:object>
      </w:r>
    </w:p>
    <w:p>
      <w:pPr>
        <w:ind w:firstLine="480"/>
        <w:contextualSpacing/>
      </w:pPr>
      <w:r>
        <w:t>式中，</w:t>
      </w:r>
      <w:r>
        <w:rPr>
          <w:position w:val="-12"/>
        </w:rPr>
        <w:object>
          <v:shape id="_x0000_i1061" o:spt="75" type="#_x0000_t75" style="height:20.3pt;width:12.45pt;" o:ole="t" filled="f" o:preferrelative="t" stroked="f" coordsize="21600,21600">
            <v:path/>
            <v:fill on="f" focussize="0,0"/>
            <v:stroke on="f" joinstyle="miter"/>
            <v:imagedata r:id="rId127" o:title=""/>
            <o:lock v:ext="edit" aspectratio="t"/>
            <w10:wrap type="none"/>
            <w10:anchorlock/>
          </v:shape>
          <o:OLEObject Type="Embed" ProgID="Equation.DSMT4" ShapeID="_x0000_i1061" DrawAspect="Content" ObjectID="_1468075760" r:id="rId126">
            <o:LockedField>false</o:LockedField>
          </o:OLEObject>
        </w:object>
      </w:r>
      <w:r>
        <w:t>（℃）是水面上2m处的气温；</w:t>
      </w:r>
      <w:r>
        <w:rPr>
          <w:position w:val="-12"/>
        </w:rPr>
        <w:object>
          <v:shape id="_x0000_i1062" o:spt="75" type="#_x0000_t75" style="height:20.3pt;width:12.45pt;" o:ole="t" filled="f" o:preferrelative="t" stroked="f" coordsize="21600,21600">
            <v:path/>
            <v:fill on="f" focussize="0,0"/>
            <v:stroke on="f" joinstyle="miter"/>
            <v:imagedata r:id="rId129" o:title=""/>
            <o:lock v:ext="edit" aspectratio="t"/>
            <w10:wrap type="none"/>
            <w10:anchorlock/>
          </v:shape>
          <o:OLEObject Type="Embed" ProgID="Equation.DSMT4" ShapeID="_x0000_i1062" DrawAspect="Content" ObjectID="_1468075761" r:id="rId128">
            <o:LockedField>false</o:LockedField>
          </o:OLEObject>
        </w:object>
      </w:r>
      <w:r>
        <w:t>是长波反射率，取0.03；</w:t>
      </w:r>
      <w:r>
        <w:rPr>
          <w:position w:val="-6"/>
        </w:rPr>
        <w:object>
          <v:shape id="_x0000_i1063" o:spt="75" type="#_x0000_t75" style="height:11.8pt;width:11.8pt;" o:ole="t" filled="f" o:preferrelative="t" stroked="f" coordsize="21600,21600">
            <v:path/>
            <v:fill on="f" focussize="0,0"/>
            <v:stroke on="f" joinstyle="miter"/>
            <v:imagedata r:id="rId131" o:title=""/>
            <o:lock v:ext="edit" aspectratio="t"/>
            <w10:wrap type="none"/>
            <w10:anchorlock/>
          </v:shape>
          <o:OLEObject Type="Embed" ProgID="Equation.3" ShapeID="_x0000_i1063" DrawAspect="Content" ObjectID="_1468075762" r:id="rId130">
            <o:LockedField>false</o:LockedField>
          </o:OLEObject>
        </w:object>
      </w:r>
      <w:r>
        <w:t>是</w:t>
      </w:r>
      <w:r>
        <w:rPr>
          <w:i/>
        </w:rPr>
        <w:t>Stefan-Boltzman</w:t>
      </w:r>
      <w:r>
        <w:t>常数，为5.67×10</w:t>
      </w:r>
      <w:r>
        <w:rPr>
          <w:vertAlign w:val="superscript"/>
        </w:rPr>
        <w:t xml:space="preserve">-8 </w:t>
      </w:r>
      <w:r>
        <w:t>W/m</w:t>
      </w:r>
      <w:r>
        <w:rPr>
          <w:vertAlign w:val="superscript"/>
        </w:rPr>
        <w:t>2</w:t>
      </w:r>
      <w:r>
        <w:t>·K</w:t>
      </w:r>
      <w:r>
        <w:rPr>
          <w:vertAlign w:val="superscript"/>
        </w:rPr>
        <w:t>4</w:t>
      </w:r>
      <w:r>
        <w:t>；</w:t>
      </w:r>
      <w:r>
        <w:rPr>
          <w:position w:val="-12"/>
        </w:rPr>
        <w:object>
          <v:shape id="_x0000_i1064" o:spt="75" type="#_x0000_t75" style="height:20.3pt;width:12.45pt;" o:ole="t" filled="f" o:preferrelative="t" stroked="f" coordsize="21600,21600">
            <v:path/>
            <v:fill on="f" focussize="0,0"/>
            <v:stroke on="f" joinstyle="miter"/>
            <v:imagedata r:id="rId133" o:title=""/>
            <o:lock v:ext="edit" aspectratio="t"/>
            <w10:wrap type="none"/>
            <w10:anchorlock/>
          </v:shape>
          <o:OLEObject Type="Embed" ProgID="Equation.DSMT4" ShapeID="_x0000_i1064" DrawAspect="Content" ObjectID="_1468075763" r:id="rId132">
            <o:LockedField>false</o:LockedField>
          </o:OLEObject>
        </w:object>
      </w:r>
      <w:r>
        <w:t>为大气发射率，晴天的大气发射率</w:t>
      </w:r>
      <w:r>
        <w:rPr>
          <w:position w:val="-12"/>
        </w:rPr>
        <w:object>
          <v:shape id="_x0000_i1065" o:spt="75" type="#_x0000_t75" style="height:20.3pt;width:15.7pt;" o:ole="t" filled="f" o:preferrelative="t" stroked="f" coordsize="21600,21600">
            <v:path/>
            <v:fill on="f" focussize="0,0"/>
            <v:stroke on="f" joinstyle="miter"/>
            <v:imagedata r:id="rId135" o:title=""/>
            <o:lock v:ext="edit" aspectratio="t"/>
            <w10:wrap type="none"/>
            <w10:anchorlock/>
          </v:shape>
          <o:OLEObject Type="Embed" ProgID="Equation.DSMT4" ShapeID="_x0000_i1065" DrawAspect="Content" ObjectID="_1468075764" r:id="rId134">
            <o:LockedField>false</o:LockedField>
          </o:OLEObject>
        </w:object>
      </w:r>
      <w:r>
        <w:t>可用Idso及Jackson公式计算得到，</w:t>
      </w:r>
    </w:p>
    <w:p>
      <w:pPr>
        <w:pStyle w:val="83"/>
        <w:adjustRightInd/>
        <w:snapToGrid/>
        <w:contextualSpacing/>
        <w:jc w:val="center"/>
        <w:rPr>
          <w:rFonts w:cs="Times New Roman"/>
        </w:rPr>
      </w:pPr>
      <w:r>
        <w:rPr>
          <w:rFonts w:cs="Times New Roman"/>
          <w:position w:val="-16"/>
        </w:rPr>
        <w:object>
          <v:shape id="_x0000_i1066" o:spt="75" type="#_x0000_t75" style="height:22.25pt;width:174.1pt;" o:ole="t" filled="f" o:preferrelative="t" stroked="f" coordsize="21600,21600">
            <v:path/>
            <v:fill on="f" focussize="0,0"/>
            <v:stroke on="f" joinstyle="miter"/>
            <v:imagedata r:id="rId137" o:title=""/>
            <o:lock v:ext="edit" aspectratio="t"/>
            <w10:wrap type="none"/>
            <w10:anchorlock/>
          </v:shape>
          <o:OLEObject Type="Embed" ProgID="Equation.DSMT4" ShapeID="_x0000_i1066" DrawAspect="Content" ObjectID="_1468075765" r:id="rId136">
            <o:LockedField>false</o:LockedField>
          </o:OLEObject>
        </w:object>
      </w:r>
    </w:p>
    <w:p>
      <w:pPr>
        <w:ind w:firstLine="480"/>
        <w:contextualSpacing/>
      </w:pPr>
      <w:r>
        <w:t>在多云天气可用Bolz公式修正为：</w:t>
      </w:r>
    </w:p>
    <w:p>
      <w:pPr>
        <w:pStyle w:val="83"/>
        <w:adjustRightInd/>
        <w:snapToGrid/>
        <w:contextualSpacing/>
        <w:jc w:val="center"/>
        <w:rPr>
          <w:rFonts w:cs="Times New Roman"/>
        </w:rPr>
      </w:pPr>
      <w:r>
        <w:rPr>
          <w:rFonts w:cs="Times New Roman"/>
          <w:position w:val="-16"/>
        </w:rPr>
        <w:object>
          <v:shape id="_x0000_i1067" o:spt="75" type="#_x0000_t75" style="height:22.25pt;width:117.8pt;" o:ole="t" filled="f" o:preferrelative="t" stroked="f" coordsize="21600,21600">
            <v:path/>
            <v:fill on="f" focussize="0,0"/>
            <v:stroke on="f" joinstyle="miter"/>
            <v:imagedata r:id="rId139" o:title=""/>
            <o:lock v:ext="edit" aspectratio="t"/>
            <w10:wrap type="none"/>
            <w10:anchorlock/>
          </v:shape>
          <o:OLEObject Type="Embed" ProgID="Equation.DSMT4" ShapeID="_x0000_i1067" DrawAspect="Content" ObjectID="_1468075766" r:id="rId138">
            <o:LockedField>false</o:LockedField>
          </o:OLEObject>
        </w:object>
      </w:r>
    </w:p>
    <w:p>
      <w:pPr>
        <w:ind w:firstLine="480"/>
        <w:contextualSpacing/>
      </w:pPr>
      <w:r>
        <w:t>式中参数</w:t>
      </w:r>
      <w:r>
        <w:rPr>
          <w:position w:val="-12"/>
        </w:rPr>
        <w:object>
          <v:shape id="_x0000_i1068" o:spt="75" type="#_x0000_t75" style="height:20.3pt;width:15.7pt;" o:ole="t" filled="f" o:preferrelative="t" stroked="f" coordsize="21600,21600">
            <v:path/>
            <v:fill on="f" focussize="0,0"/>
            <v:stroke on="f" joinstyle="miter"/>
            <v:imagedata r:id="rId141" o:title=""/>
            <o:lock v:ext="edit" aspectratio="t"/>
            <w10:wrap type="none"/>
            <w10:anchorlock/>
          </v:shape>
          <o:OLEObject Type="Embed" ProgID="Equation.DSMT4" ShapeID="_x0000_i1068" DrawAspect="Content" ObjectID="_1468075767" r:id="rId140">
            <o:LockedField>false</o:LockedField>
          </o:OLEObject>
        </w:object>
      </w:r>
      <w:r>
        <w:t>与云层高度有关，美国田纳西工程管理局推荐其平均值为0.17。</w:t>
      </w:r>
    </w:p>
    <w:p>
      <w:pPr>
        <w:ind w:firstLine="480" w:firstLineChars="0"/>
        <w:contextualSpacing/>
        <w:rPr>
          <w:i/>
          <w:vertAlign w:val="subscript"/>
        </w:rPr>
      </w:pPr>
      <w:r>
        <w:rPr>
          <w:rFonts w:hint="eastAsia" w:ascii="宋体" w:hAnsi="宋体" w:cs="宋体"/>
        </w:rPr>
        <w:t>③</w:t>
      </w:r>
      <w:r>
        <w:t>大气长波返回辐射</w:t>
      </w:r>
      <w:r>
        <w:rPr>
          <w:i/>
        </w:rPr>
        <w:t>H</w:t>
      </w:r>
      <w:r>
        <w:rPr>
          <w:i/>
          <w:vertAlign w:val="subscript"/>
        </w:rPr>
        <w:t>ar</w:t>
      </w:r>
    </w:p>
    <w:p>
      <w:pPr>
        <w:ind w:firstLine="480"/>
        <w:contextualSpacing/>
      </w:pPr>
      <w:r>
        <w:t>大气长波返回辐射可用</w:t>
      </w:r>
      <w:r>
        <w:rPr>
          <w:i/>
        </w:rPr>
        <w:t>Stefan-Boltzman</w:t>
      </w:r>
      <w:r>
        <w:t>定律计算：</w:t>
      </w:r>
    </w:p>
    <w:p>
      <w:pPr>
        <w:pStyle w:val="83"/>
        <w:adjustRightInd/>
        <w:snapToGrid/>
        <w:contextualSpacing/>
        <w:jc w:val="center"/>
        <w:rPr>
          <w:rFonts w:cs="Times New Roman"/>
        </w:rPr>
      </w:pPr>
      <w:r>
        <w:rPr>
          <w:rFonts w:cs="Times New Roman"/>
          <w:position w:val="-12"/>
        </w:rPr>
        <w:object>
          <v:shape id="_x0000_i1069" o:spt="75" type="#_x0000_t75" style="height:20.3pt;width:125pt;" o:ole="t" filled="f" o:preferrelative="t" stroked="f" coordsize="21600,21600">
            <v:path/>
            <v:fill on="f" focussize="0,0"/>
            <v:stroke on="f" joinstyle="miter"/>
            <v:imagedata r:id="rId143" o:title=""/>
            <o:lock v:ext="edit" aspectratio="t"/>
            <w10:wrap type="none"/>
            <w10:anchorlock/>
          </v:shape>
          <o:OLEObject Type="Embed" ProgID="Equation.3" ShapeID="_x0000_i1069" DrawAspect="Content" ObjectID="_1468075768" r:id="rId142">
            <o:LockedField>false</o:LockedField>
          </o:OLEObject>
        </w:object>
      </w:r>
    </w:p>
    <w:p>
      <w:pPr>
        <w:ind w:firstLine="480"/>
        <w:contextualSpacing/>
      </w:pPr>
      <w:r>
        <w:t>式中，</w:t>
      </w:r>
      <w:r>
        <w:rPr>
          <w:i/>
        </w:rPr>
        <w:t>T</w:t>
      </w:r>
      <w:r>
        <w:rPr>
          <w:i/>
          <w:vertAlign w:val="subscript"/>
        </w:rPr>
        <w:t>a</w:t>
      </w:r>
      <w:r>
        <w:t>〔℃〕是水面气温；</w:t>
      </w:r>
      <w:r>
        <w:rPr>
          <w:position w:val="-12"/>
        </w:rPr>
        <w:object>
          <v:shape id="_x0000_i1070" o:spt="75" type="#_x0000_t75" style="height:20.3pt;width:11.8pt;" o:ole="t" filled="f" o:preferrelative="t" stroked="f" coordsize="21600,21600">
            <v:path/>
            <v:fill on="f" focussize="0,0"/>
            <v:stroke on="f" joinstyle="miter"/>
            <v:imagedata r:id="rId145" o:title=""/>
            <o:lock v:ext="edit" aspectratio="t"/>
            <w10:wrap type="none"/>
            <w10:anchorlock/>
          </v:shape>
          <o:OLEObject Type="Embed" ProgID="Equation.3" ShapeID="_x0000_i1070" DrawAspect="Content" ObjectID="_1468075769" r:id="rId144">
            <o:LockedField>false</o:LockedField>
          </o:OLEObject>
        </w:object>
      </w:r>
      <w:r>
        <w:t>是长波反射率，取0.03；</w:t>
      </w:r>
      <w:r>
        <w:rPr>
          <w:position w:val="-6"/>
        </w:rPr>
        <w:object>
          <v:shape id="_x0000_i1071" o:spt="75" type="#_x0000_t75" style="height:11.8pt;width:11.8pt;" o:ole="t" filled="f" o:preferrelative="t" stroked="f" coordsize="21600,21600">
            <v:path/>
            <v:fill on="f" focussize="0,0"/>
            <v:stroke on="f" joinstyle="miter"/>
            <v:imagedata r:id="rId131" o:title=""/>
            <o:lock v:ext="edit" aspectratio="t"/>
            <w10:wrap type="none"/>
            <w10:anchorlock/>
          </v:shape>
          <o:OLEObject Type="Embed" ProgID="Equation.3" ShapeID="_x0000_i1071" DrawAspect="Content" ObjectID="_1468075770" r:id="rId146">
            <o:LockedField>false</o:LockedField>
          </o:OLEObject>
        </w:object>
      </w:r>
      <w:r>
        <w:t>是</w:t>
      </w:r>
      <w:r>
        <w:rPr>
          <w:i/>
        </w:rPr>
        <w:t>Stefan-Boltzman</w:t>
      </w:r>
      <w:r>
        <w:t>常数，为5.67×10</w:t>
      </w:r>
      <w:r>
        <w:rPr>
          <w:vertAlign w:val="superscript"/>
        </w:rPr>
        <w:t>-8</w:t>
      </w:r>
      <w:r>
        <w:t>W/m</w:t>
      </w:r>
      <w:r>
        <w:rPr>
          <w:vertAlign w:val="superscript"/>
        </w:rPr>
        <w:t>2</w:t>
      </w:r>
      <w:r>
        <w:t>·K</w:t>
      </w:r>
      <w:r>
        <w:rPr>
          <w:vertAlign w:val="superscript"/>
        </w:rPr>
        <w:t>4</w:t>
      </w:r>
      <w:r>
        <w:t>；</w:t>
      </w:r>
      <w:r>
        <w:rPr>
          <w:position w:val="-12"/>
        </w:rPr>
        <w:object>
          <v:shape id="_x0000_i1072" o:spt="75" type="#_x0000_t75" style="height:20.3pt;width:11.8pt;" o:ole="t" filled="f" o:preferrelative="t" stroked="f" coordsize="21600,21600">
            <v:path/>
            <v:fill on="f" focussize="0,0"/>
            <v:stroke on="f" joinstyle="miter"/>
            <v:imagedata r:id="rId148" o:title=""/>
            <o:lock v:ext="edit" aspectratio="t"/>
            <w10:wrap type="none"/>
            <w10:anchorlock/>
          </v:shape>
          <o:OLEObject Type="Embed" ProgID="Equation.3" ShapeID="_x0000_i1072" DrawAspect="Content" ObjectID="_1468075771" r:id="rId147">
            <o:LockedField>false</o:LockedField>
          </o:OLEObject>
        </w:object>
      </w:r>
      <w:r>
        <w:t>为大气发射率，晴天情况下可用Idso及Jackson公式计算：</w:t>
      </w:r>
    </w:p>
    <w:p>
      <w:pPr>
        <w:pStyle w:val="83"/>
        <w:adjustRightInd/>
        <w:snapToGrid/>
        <w:contextualSpacing/>
        <w:jc w:val="center"/>
        <w:rPr>
          <w:rFonts w:cs="Times New Roman"/>
        </w:rPr>
      </w:pPr>
      <w:r>
        <w:rPr>
          <w:rFonts w:cs="Times New Roman"/>
          <w:position w:val="-12"/>
        </w:rPr>
        <w:object>
          <v:shape id="_x0000_i1073" o:spt="75" type="#_x0000_t75" style="height:20.3pt;width:159.7pt;" o:ole="t" filled="f" o:preferrelative="t" stroked="f" coordsize="21600,21600">
            <v:path/>
            <v:fill on="f" focussize="0,0"/>
            <v:stroke on="f" joinstyle="miter"/>
            <v:imagedata r:id="rId150" o:title=""/>
            <o:lock v:ext="edit" aspectratio="t"/>
            <w10:wrap type="none"/>
            <w10:anchorlock/>
          </v:shape>
          <o:OLEObject Type="Embed" ProgID="Equation.3" ShapeID="_x0000_i1073" DrawAspect="Content" ObjectID="_1468075772" r:id="rId149">
            <o:LockedField>false</o:LockedField>
          </o:OLEObject>
        </w:object>
      </w:r>
    </w:p>
    <w:p>
      <w:pPr>
        <w:ind w:firstLine="480"/>
        <w:contextualSpacing/>
      </w:pPr>
      <w:r>
        <w:t>在多云天气可用Bolz公式修正为：</w:t>
      </w:r>
    </w:p>
    <w:p>
      <w:pPr>
        <w:pStyle w:val="83"/>
        <w:adjustRightInd/>
        <w:snapToGrid/>
        <w:contextualSpacing/>
        <w:jc w:val="center"/>
        <w:rPr>
          <w:rFonts w:cs="Times New Roman"/>
        </w:rPr>
      </w:pPr>
      <w:r>
        <w:rPr>
          <w:rFonts w:cs="Times New Roman"/>
          <w:position w:val="-12"/>
        </w:rPr>
        <w:object>
          <v:shape id="_x0000_i1074" o:spt="75" type="#_x0000_t75" style="height:20.3pt;width:91pt;" o:ole="t" filled="f" o:preferrelative="t" stroked="f" coordsize="21600,21600">
            <v:path/>
            <v:fill on="f" focussize="0,0"/>
            <v:stroke on="f" joinstyle="miter"/>
            <v:imagedata r:id="rId152" o:title=""/>
            <o:lock v:ext="edit" aspectratio="t"/>
            <w10:wrap type="none"/>
            <w10:anchorlock/>
          </v:shape>
          <o:OLEObject Type="Embed" ProgID="Equation.3" ShapeID="_x0000_i1074" DrawAspect="Content" ObjectID="_1468075773" r:id="rId151">
            <o:LockedField>false</o:LockedField>
          </o:OLEObject>
        </w:object>
      </w:r>
    </w:p>
    <w:p>
      <w:pPr>
        <w:ind w:firstLine="480"/>
        <w:contextualSpacing/>
      </w:pPr>
      <w:r>
        <w:t>式中</w:t>
      </w:r>
      <w:r>
        <w:rPr>
          <w:i/>
          <w:iCs/>
        </w:rPr>
        <w:t>K</w:t>
      </w:r>
      <w:r>
        <w:t>取为0.17。</w:t>
      </w:r>
    </w:p>
    <w:p>
      <w:pPr>
        <w:ind w:firstLine="480" w:firstLineChars="0"/>
        <w:contextualSpacing/>
        <w:rPr>
          <w:i/>
          <w:vertAlign w:val="subscript"/>
        </w:rPr>
      </w:pPr>
      <w:r>
        <w:rPr>
          <w:rFonts w:hint="eastAsia" w:ascii="宋体" w:hAnsi="宋体" w:cs="宋体"/>
        </w:rPr>
        <w:t>④</w:t>
      </w:r>
      <w:r>
        <w:t>蒸发热损失</w:t>
      </w:r>
      <w:r>
        <w:rPr>
          <w:i/>
        </w:rPr>
        <w:t>H</w:t>
      </w:r>
      <w:r>
        <w:rPr>
          <w:i/>
          <w:vertAlign w:val="subscript"/>
        </w:rPr>
        <w:t>e</w:t>
      </w:r>
    </w:p>
    <w:p>
      <w:pPr>
        <w:ind w:firstLine="480"/>
        <w:contextualSpacing/>
      </w:pPr>
      <w:r>
        <w:t>水的蒸发过程需要吸收热量，蒸发热损失表达式为：</w:t>
      </w:r>
    </w:p>
    <w:p>
      <w:pPr>
        <w:pStyle w:val="83"/>
        <w:adjustRightInd/>
        <w:snapToGrid/>
        <w:contextualSpacing/>
        <w:jc w:val="center"/>
        <w:rPr>
          <w:rFonts w:cs="Times New Roman"/>
        </w:rPr>
      </w:pPr>
      <w:r>
        <w:rPr>
          <w:rFonts w:cs="Times New Roman"/>
          <w:position w:val="-12"/>
        </w:rPr>
        <w:object>
          <v:shape id="_x0000_i1075" o:spt="75" type="#_x0000_t75" style="height:20.3pt;width:94.25pt;" o:ole="t" filled="f" o:preferrelative="t" stroked="f" coordsize="21600,21600">
            <v:path/>
            <v:fill on="f" focussize="0,0"/>
            <v:stroke on="f" joinstyle="miter"/>
            <v:imagedata r:id="rId154" o:title=""/>
            <o:lock v:ext="edit" aspectratio="t"/>
            <w10:wrap type="none"/>
            <w10:anchorlock/>
          </v:shape>
          <o:OLEObject Type="Embed" ProgID="Equation.3" ShapeID="_x0000_i1075" DrawAspect="Content" ObjectID="_1468075774" r:id="rId153">
            <o:LockedField>false</o:LockedField>
          </o:OLEObject>
        </w:object>
      </w:r>
    </w:p>
    <w:p>
      <w:pPr>
        <w:ind w:firstLine="480"/>
        <w:contextualSpacing/>
      </w:pPr>
      <w:r>
        <w:t>其中</w:t>
      </w:r>
      <w:r>
        <w:rPr>
          <w:position w:val="-10"/>
        </w:rPr>
        <w:object>
          <v:shape id="_x0000_i1076" o:spt="75" type="#_x0000_t75" style="height:15.7pt;width:28.8pt;" o:ole="t" filled="f" o:preferrelative="t" stroked="f" coordsize="21600,21600">
            <v:path/>
            <v:fill on="f" focussize="0,0"/>
            <v:stroke on="f" joinstyle="miter"/>
            <v:imagedata r:id="rId156" o:title=""/>
            <o:lock v:ext="edit" aspectratio="t"/>
            <w10:wrap type="none"/>
            <w10:anchorlock/>
          </v:shape>
          <o:OLEObject Type="Embed" ProgID="Equation.DSMT4" ShapeID="_x0000_i1076" DrawAspect="Content" ObjectID="_1468075775" r:id="rId155">
            <o:LockedField>false</o:LockedField>
          </o:OLEObject>
        </w:object>
      </w:r>
      <w:r>
        <w:t>为风函数：</w:t>
      </w:r>
    </w:p>
    <w:p>
      <w:pPr>
        <w:pStyle w:val="83"/>
        <w:adjustRightInd/>
        <w:snapToGrid/>
        <w:contextualSpacing/>
        <w:jc w:val="center"/>
        <w:rPr>
          <w:rFonts w:cs="Times New Roman"/>
        </w:rPr>
      </w:pPr>
      <w:r>
        <w:rPr>
          <w:rFonts w:cs="Times New Roman"/>
          <w:position w:val="-14"/>
        </w:rPr>
        <w:object>
          <v:shape id="_x0000_i1077" o:spt="75" type="#_x0000_t75" style="height:20.3pt;width:106.7pt;" o:ole="t" filled="f" o:preferrelative="t" stroked="f" coordsize="21600,21600">
            <v:path/>
            <v:fill on="f" focussize="0,0"/>
            <v:stroke on="f" joinstyle="miter"/>
            <v:imagedata r:id="rId158" o:title=""/>
            <o:lock v:ext="edit" aspectratio="t"/>
            <w10:wrap type="none"/>
            <w10:anchorlock/>
          </v:shape>
          <o:OLEObject Type="Embed" ProgID="Equation.DSMT4" ShapeID="_x0000_i1077" DrawAspect="Content" ObjectID="_1468075776" r:id="rId157">
            <o:LockedField>false</o:LockedField>
          </o:OLEObject>
        </w:object>
      </w:r>
    </w:p>
    <w:p>
      <w:pPr>
        <w:ind w:firstLine="480"/>
        <w:contextualSpacing/>
      </w:pPr>
      <w:r>
        <w:t>式中，</w:t>
      </w:r>
      <w:r>
        <w:rPr>
          <w:i/>
        </w:rPr>
        <w:t>W</w:t>
      </w:r>
      <w:r>
        <w:t>为地面2m高处的风速，m/s；</w:t>
      </w:r>
      <w:r>
        <w:rPr>
          <w:i/>
        </w:rPr>
        <w:t>e</w:t>
      </w:r>
      <w:r>
        <w:rPr>
          <w:i/>
          <w:vertAlign w:val="subscript"/>
        </w:rPr>
        <w:t>s</w:t>
      </w:r>
      <w:r>
        <w:t>为水面饱和蒸发压力，mmHg；</w:t>
      </w:r>
      <w:r>
        <w:rPr>
          <w:i/>
        </w:rPr>
        <w:t>e</w:t>
      </w:r>
      <w:r>
        <w:rPr>
          <w:i/>
          <w:vertAlign w:val="subscript"/>
        </w:rPr>
        <w:t>a</w:t>
      </w:r>
      <w:r>
        <w:t>为大气蒸气压，mmHg。</w:t>
      </w:r>
    </w:p>
    <w:p>
      <w:pPr>
        <w:ind w:firstLine="480" w:firstLineChars="0"/>
        <w:contextualSpacing/>
        <w:rPr>
          <w:i/>
          <w:vertAlign w:val="subscript"/>
        </w:rPr>
      </w:pPr>
      <w:r>
        <w:rPr>
          <w:rFonts w:hint="eastAsia" w:ascii="宋体" w:hAnsi="宋体" w:cs="宋体"/>
        </w:rPr>
        <w:t>⑤</w:t>
      </w:r>
      <w:r>
        <w:t>热传导通量</w:t>
      </w:r>
      <w:r>
        <w:rPr>
          <w:i/>
        </w:rPr>
        <w:t>H</w:t>
      </w:r>
      <w:r>
        <w:rPr>
          <w:i/>
          <w:vertAlign w:val="subscript"/>
        </w:rPr>
        <w:t>c</w:t>
      </w:r>
    </w:p>
    <w:p>
      <w:pPr>
        <w:pStyle w:val="83"/>
        <w:adjustRightInd/>
        <w:snapToGrid/>
        <w:contextualSpacing/>
        <w:jc w:val="center"/>
        <w:rPr>
          <w:rFonts w:cs="Times New Roman"/>
        </w:rPr>
      </w:pPr>
      <w:r>
        <w:rPr>
          <w:rFonts w:cs="Times New Roman"/>
          <w:position w:val="-14"/>
        </w:rPr>
        <w:object>
          <v:shape id="_x0000_i1078" o:spt="75" type="#_x0000_t75" style="height:20.3pt;width:115.2pt;" o:ole="t" filled="f" o:preferrelative="t" stroked="f" coordsize="21600,21600">
            <v:path/>
            <v:fill on="f" focussize="0,0"/>
            <v:stroke on="f" joinstyle="miter"/>
            <v:imagedata r:id="rId160" o:title=""/>
            <o:lock v:ext="edit" aspectratio="t"/>
            <w10:wrap type="none"/>
            <w10:anchorlock/>
          </v:shape>
          <o:OLEObject Type="Embed" ProgID="Equation.DSMT4" ShapeID="_x0000_i1078" DrawAspect="Content" ObjectID="_1468075777" r:id="rId159">
            <o:LockedField>false</o:LockedField>
          </o:OLEObject>
        </w:object>
      </w:r>
    </w:p>
    <w:p>
      <w:pPr>
        <w:ind w:firstLine="480"/>
        <w:contextualSpacing/>
      </w:pPr>
      <w:r>
        <w:t>式中，</w:t>
      </w:r>
      <w:r>
        <w:rPr>
          <w:i/>
        </w:rPr>
        <w:t>C</w:t>
      </w:r>
      <w:r>
        <w:rPr>
          <w:i/>
          <w:vertAlign w:val="subscript"/>
        </w:rPr>
        <w:t>c</w:t>
      </w:r>
      <w:r>
        <w:t>为Bowen常数，取为0.47mmHg/℃。</w:t>
      </w:r>
    </w:p>
    <w:p>
      <w:pPr>
        <w:ind w:firstLine="480"/>
        <w:contextualSpacing/>
      </w:pPr>
      <w:r>
        <w:t>2）河床热交换</w:t>
      </w:r>
    </w:p>
    <w:p>
      <w:pPr>
        <w:ind w:firstLine="480"/>
        <w:contextualSpacing/>
      </w:pPr>
      <w:r>
        <w:t>相对于水面热交换，河床热交换比较小，许多模型不考虑河床热交换。调查表明，要精确模拟水库下层滞水带水温必须要考虑河床热交换。河床热交换公式和水面热交换公式类似：</w:t>
      </w:r>
    </w:p>
    <w:p>
      <w:pPr>
        <w:pStyle w:val="83"/>
        <w:adjustRightInd/>
        <w:snapToGrid/>
        <w:contextualSpacing/>
        <w:jc w:val="center"/>
        <w:rPr>
          <w:rFonts w:cs="Times New Roman"/>
        </w:rPr>
      </w:pPr>
      <w:r>
        <w:rPr>
          <w:rFonts w:cs="Times New Roman"/>
          <w:position w:val="-12"/>
        </w:rPr>
        <w:object>
          <v:shape id="_x0000_i1079" o:spt="75" type="#_x0000_t75" style="height:20.3pt;width:100.8pt;" o:ole="t" filled="f" o:preferrelative="t" stroked="f" coordsize="21600,21600">
            <v:path/>
            <v:fill on="f" focussize="0,0"/>
            <v:stroke on="f" joinstyle="miter"/>
            <v:imagedata r:id="rId162" o:title=""/>
            <o:lock v:ext="edit" aspectratio="t"/>
            <w10:wrap type="none"/>
            <w10:anchorlock/>
          </v:shape>
          <o:OLEObject Type="Embed" ProgID="Equation.3" ShapeID="_x0000_i1079" DrawAspect="Content" ObjectID="_1468075778" r:id="rId161">
            <o:LockedField>false</o:LockedField>
          </o:OLEObject>
        </w:object>
      </w:r>
    </w:p>
    <w:p>
      <w:pPr>
        <w:ind w:firstLine="480"/>
        <w:contextualSpacing/>
      </w:pPr>
      <w:r>
        <w:t>式中：</w:t>
      </w:r>
      <w:r>
        <w:rPr>
          <w:i/>
        </w:rPr>
        <w:t>H</w:t>
      </w:r>
      <w:r>
        <w:rPr>
          <w:i/>
          <w:vertAlign w:val="subscript"/>
        </w:rPr>
        <w:t>bw</w:t>
      </w:r>
      <w:r>
        <w:t>为河床和水体之间的热交换通量，W/m</w:t>
      </w:r>
      <w:r>
        <w:rPr>
          <w:vertAlign w:val="superscript"/>
        </w:rPr>
        <w:t>2</w:t>
      </w:r>
      <w:r>
        <w:t>；</w:t>
      </w:r>
      <w:r>
        <w:rPr>
          <w:i/>
        </w:rPr>
        <w:t>K</w:t>
      </w:r>
      <w:r>
        <w:rPr>
          <w:i/>
          <w:vertAlign w:val="subscript"/>
        </w:rPr>
        <w:t>bw</w:t>
      </w:r>
      <w:r>
        <w:t>为热交换系数，Wm</w:t>
      </w:r>
      <w:r>
        <w:rPr>
          <w:i/>
          <w:vertAlign w:val="superscript"/>
        </w:rPr>
        <w:t>-2</w:t>
      </w:r>
      <w:r>
        <w:t>℃</w:t>
      </w:r>
      <w:r>
        <w:rPr>
          <w:vertAlign w:val="superscript"/>
        </w:rPr>
        <w:t>-1</w:t>
      </w:r>
      <w:r>
        <w:t>，取0.3Wm</w:t>
      </w:r>
      <w:r>
        <w:rPr>
          <w:i/>
          <w:vertAlign w:val="superscript"/>
        </w:rPr>
        <w:t>-2</w:t>
      </w:r>
      <w:r>
        <w:t>℃</w:t>
      </w:r>
      <w:r>
        <w:rPr>
          <w:vertAlign w:val="superscript"/>
        </w:rPr>
        <w:t>-1</w:t>
      </w:r>
      <w:r>
        <w:t>；</w:t>
      </w:r>
      <w:r>
        <w:rPr>
          <w:i/>
        </w:rPr>
        <w:t>T</w:t>
      </w:r>
      <w:r>
        <w:rPr>
          <w:i/>
          <w:vertAlign w:val="subscript"/>
        </w:rPr>
        <w:t>w</w:t>
      </w:r>
      <w:r>
        <w:t>为水温，℃；</w:t>
      </w:r>
      <w:r>
        <w:rPr>
          <w:i/>
        </w:rPr>
        <w:t>T</w:t>
      </w:r>
      <w:r>
        <w:rPr>
          <w:i/>
          <w:vertAlign w:val="subscript"/>
        </w:rPr>
        <w:t>b</w:t>
      </w:r>
      <w:r>
        <w:t>为泥沙温度，℃，一般取年平均气温。</w:t>
      </w:r>
    </w:p>
    <w:p>
      <w:pPr>
        <w:ind w:firstLine="480"/>
        <w:contextualSpacing/>
      </w:pPr>
      <w:r>
        <w:t>3）下泄水温</w:t>
      </w:r>
    </w:p>
    <w:p>
      <w:pPr>
        <w:ind w:firstLine="480"/>
        <w:contextualSpacing/>
      </w:pPr>
      <w:r>
        <w:t>下泄水温为出水口高程对应单元网格的流量加权平均水温，具体为：</w:t>
      </w:r>
    </w:p>
    <w:p>
      <w:pPr>
        <w:pStyle w:val="83"/>
        <w:adjustRightInd/>
        <w:snapToGrid/>
        <w:contextualSpacing/>
        <w:jc w:val="center"/>
        <w:rPr>
          <w:rFonts w:cs="Times New Roman"/>
        </w:rPr>
      </w:pPr>
      <w:r>
        <w:rPr>
          <w:rFonts w:cs="Times New Roman"/>
          <w:position w:val="-32"/>
        </w:rPr>
        <w:object>
          <v:shape id="_x0000_i1080" o:spt="75" type="#_x0000_t75" style="height:37.95pt;width:60.2pt;" o:ole="t" filled="f" o:preferrelative="t" stroked="f" coordsize="21600,21600">
            <v:path/>
            <v:fill on="f" focussize="0,0"/>
            <v:stroke on="f" joinstyle="miter"/>
            <v:imagedata r:id="rId164" o:title=""/>
            <o:lock v:ext="edit" aspectratio="t"/>
            <w10:wrap type="none"/>
            <w10:anchorlock/>
          </v:shape>
          <o:OLEObject Type="Embed" ProgID="Equation.DSMT4" ShapeID="_x0000_i1080" DrawAspect="Content" ObjectID="_1468075779" r:id="rId163">
            <o:LockedField>false</o:LockedField>
          </o:OLEObject>
        </w:object>
      </w:r>
    </w:p>
    <w:p>
      <w:pPr>
        <w:ind w:firstLine="480"/>
        <w:contextualSpacing/>
      </w:pPr>
      <w:r>
        <w:t>式中：</w:t>
      </w:r>
      <w:r>
        <w:rPr>
          <w:position w:val="-12"/>
        </w:rPr>
        <w:object>
          <v:shape id="_x0000_i1081" o:spt="75" type="#_x0000_t75" style="height:19pt;width:12.45pt;" o:ole="t" filled="f" o:preferrelative="t" stroked="f" coordsize="21600,21600">
            <v:path/>
            <v:fill on="f" focussize="0,0"/>
            <v:stroke on="f" joinstyle="miter"/>
            <v:imagedata r:id="rId166" o:title=""/>
            <o:lock v:ext="edit" aspectratio="t"/>
            <w10:wrap type="none"/>
            <w10:anchorlock/>
          </v:shape>
          <o:OLEObject Type="Embed" ProgID="Equation.DSMT4" ShapeID="_x0000_i1081" DrawAspect="Content" ObjectID="_1468075780" r:id="rId165">
            <o:LockedField>false</o:LockedField>
          </o:OLEObject>
        </w:object>
      </w:r>
      <w:r>
        <w:t>为第出水口高程范围内对应的第i个网格单元的流量，m</w:t>
      </w:r>
      <w:r>
        <w:rPr>
          <w:vertAlign w:val="superscript"/>
        </w:rPr>
        <w:t>3</w:t>
      </w:r>
      <w:r>
        <w:t>/s；</w:t>
      </w:r>
      <w:r>
        <w:rPr>
          <w:position w:val="-12"/>
        </w:rPr>
        <w:object>
          <v:shape id="_x0000_i1082" o:spt="75" type="#_x0000_t75" style="height:19pt;width:11.8pt;" o:ole="t" filled="f" o:preferrelative="t" stroked="f" coordsize="21600,21600">
            <v:path/>
            <v:fill on="f" focussize="0,0"/>
            <v:stroke on="f" joinstyle="miter"/>
            <v:imagedata r:id="rId168" o:title=""/>
            <o:lock v:ext="edit" aspectratio="t"/>
            <w10:wrap type="none"/>
            <w10:anchorlock/>
          </v:shape>
          <o:OLEObject Type="Embed" ProgID="Equation.DSMT4" ShapeID="_x0000_i1082" DrawAspect="Content" ObjectID="_1468075781" r:id="rId167">
            <o:LockedField>false</o:LockedField>
          </o:OLEObject>
        </w:object>
      </w:r>
      <w:r>
        <w:t>为第i个网格单元的水温，℃；</w:t>
      </w:r>
      <w:r>
        <w:rPr>
          <w:i/>
        </w:rPr>
        <w:t>T</w:t>
      </w:r>
      <w:r>
        <w:rPr>
          <w:i/>
          <w:vertAlign w:val="subscript"/>
        </w:rPr>
        <w:t>o</w:t>
      </w:r>
      <w:r>
        <w:t>为下泄水温，℃。</w:t>
      </w:r>
    </w:p>
    <w:p>
      <w:pPr>
        <w:ind w:firstLine="480"/>
        <w:contextualSpacing/>
      </w:pPr>
      <w:r>
        <w:t>（2）纵向一维水温数学模型</w:t>
      </w:r>
    </w:p>
    <w:p>
      <w:pPr>
        <w:ind w:firstLine="480"/>
        <w:contextualSpacing/>
      </w:pPr>
      <w:r>
        <w:t>纵向一维河道水温模型由河道水面线计算方程和一维温度对流扩散方程组成。河道水面曲线的计算采用逐段试算法。</w:t>
      </w:r>
    </w:p>
    <w:p>
      <w:pPr>
        <w:ind w:firstLine="480"/>
        <w:contextualSpacing/>
      </w:pPr>
      <w:r>
        <w:t>（1） 水面线计算公式</w:t>
      </w:r>
    </w:p>
    <w:p>
      <w:pPr>
        <w:ind w:firstLine="480"/>
        <w:contextualSpacing/>
        <w:rPr>
          <w:szCs w:val="20"/>
        </w:rPr>
      </w:pPr>
      <w:r>
        <w:rPr>
          <w:position w:val="-32"/>
          <w:szCs w:val="20"/>
        </w:rPr>
        <w:object>
          <v:shape id="_x0000_i1083" o:spt="75" type="#_x0000_t75" style="height:37.3pt;width:246.75pt;" o:ole="t" filled="f" o:preferrelative="t" stroked="f" coordsize="21600,21600">
            <v:path/>
            <v:fill on="f" focussize="0,0"/>
            <v:stroke on="f" joinstyle="miter"/>
            <v:imagedata r:id="rId170" o:title=""/>
            <o:lock v:ext="edit" aspectratio="t"/>
            <w10:wrap type="none"/>
            <w10:anchorlock/>
          </v:shape>
          <o:OLEObject Type="Embed" ProgID="Equation.3" ShapeID="_x0000_i1083" DrawAspect="Content" ObjectID="_1468075782" r:id="rId169">
            <o:LockedField>false</o:LockedField>
          </o:OLEObject>
        </w:object>
      </w:r>
    </w:p>
    <w:p>
      <w:pPr>
        <w:ind w:firstLine="480"/>
        <w:contextualSpacing/>
        <w:rPr>
          <w:szCs w:val="20"/>
        </w:rPr>
      </w:pPr>
      <w:r>
        <w:rPr>
          <w:position w:val="-24"/>
          <w:szCs w:val="20"/>
        </w:rPr>
        <w:object>
          <v:shape id="_x0000_i1084" o:spt="75" type="#_x0000_t75" style="height:30.75pt;width:66.75pt;" o:ole="t" filled="f" o:preferrelative="t" stroked="f" coordsize="21600,21600">
            <v:path/>
            <v:fill on="f" focussize="0,0"/>
            <v:stroke on="f" joinstyle="miter"/>
            <v:imagedata r:id="rId172" o:title=""/>
            <o:lock v:ext="edit" aspectratio="t"/>
            <w10:wrap type="none"/>
            <w10:anchorlock/>
          </v:shape>
          <o:OLEObject Type="Embed" ProgID="Equation.3" ShapeID="_x0000_i1084" DrawAspect="Content" ObjectID="_1468075783" r:id="rId171">
            <o:LockedField>false</o:LockedField>
          </o:OLEObject>
        </w:object>
      </w:r>
    </w:p>
    <w:p>
      <w:pPr>
        <w:ind w:firstLine="480"/>
        <w:contextualSpacing/>
      </w:pPr>
      <w:r>
        <w:t>式中，</w:t>
      </w:r>
      <w:r>
        <w:rPr>
          <w:i/>
        </w:rPr>
        <w:t>Z</w:t>
      </w:r>
      <w:r>
        <w:rPr>
          <w:vertAlign w:val="subscript"/>
        </w:rPr>
        <w:t>i</w:t>
      </w:r>
      <w:r>
        <w:t>、</w:t>
      </w:r>
      <w:r>
        <w:rPr>
          <w:i/>
        </w:rPr>
        <w:t>Z</w:t>
      </w:r>
      <w:r>
        <w:rPr>
          <w:vertAlign w:val="subscript"/>
        </w:rPr>
        <w:t>i+1</w:t>
      </w:r>
      <w:r>
        <w:t>分别为流段上游、下游水位（m）；</w:t>
      </w:r>
      <w:r>
        <w:rPr>
          <w:i/>
        </w:rPr>
        <w:t>Q</w:t>
      </w:r>
      <w:r>
        <w:t>为流量（m</w:t>
      </w:r>
      <w:r>
        <w:rPr>
          <w:vertAlign w:val="superscript"/>
        </w:rPr>
        <w:t>3</w:t>
      </w:r>
      <w:r>
        <w:t>/s ）；</w:t>
      </w:r>
      <w:r>
        <w:rPr>
          <w:i/>
        </w:rPr>
        <w:t>A</w:t>
      </w:r>
      <w:r>
        <w:t>为过水断面面积（m</w:t>
      </w:r>
      <w:r>
        <w:rPr>
          <w:vertAlign w:val="superscript"/>
        </w:rPr>
        <w:t>2</w:t>
      </w:r>
      <w:r>
        <w:t>）；</w:t>
      </w:r>
      <w:r>
        <w:rPr>
          <w:i/>
        </w:rPr>
        <w:t>K</w:t>
      </w:r>
      <w:r>
        <w:t>为断面平均流量模数；</w:t>
      </w:r>
      <w:r>
        <w:rPr>
          <w:i/>
        </w:rPr>
        <w:t>n</w:t>
      </w:r>
      <w:r>
        <w:t>为糙率；</w:t>
      </w:r>
      <w:r>
        <w:rPr>
          <w:i/>
        </w:rPr>
        <w:t>R</w:t>
      </w:r>
      <w:r>
        <w:t>为水力半径（m）；若已知下游断面的水位</w:t>
      </w:r>
      <w:r>
        <w:rPr>
          <w:i/>
        </w:rPr>
        <w:t>Z</w:t>
      </w:r>
      <w:r>
        <w:rPr>
          <w:vertAlign w:val="subscript"/>
        </w:rPr>
        <w:t>i+1</w:t>
      </w:r>
      <w:r>
        <w:t>，通过迭代可求出上游水位</w:t>
      </w:r>
      <w:r>
        <w:rPr>
          <w:i/>
        </w:rPr>
        <w:t>Z</w:t>
      </w:r>
      <w:r>
        <w:rPr>
          <w:vertAlign w:val="subscript"/>
        </w:rPr>
        <w:t>i</w:t>
      </w:r>
      <w:r>
        <w:t>。</w:t>
      </w:r>
    </w:p>
    <w:p>
      <w:pPr>
        <w:ind w:firstLine="480"/>
        <w:contextualSpacing/>
      </w:pPr>
      <w:r>
        <w:t>（2） 纵向一维温度方程</w:t>
      </w:r>
    </w:p>
    <w:p>
      <w:pPr>
        <w:spacing w:line="240" w:lineRule="auto"/>
        <w:ind w:firstLine="480"/>
        <w:contextualSpacing/>
        <w:jc w:val="center"/>
        <w:rPr>
          <w:szCs w:val="20"/>
        </w:rPr>
      </w:pPr>
      <w:r>
        <w:rPr>
          <w:position w:val="-32"/>
          <w:szCs w:val="20"/>
        </w:rPr>
        <w:object>
          <v:shape id="_x0000_i1085" o:spt="75" type="#_x0000_t75" style="height:41.25pt;width:162.35pt;" o:ole="t" filled="f" o:preferrelative="t" stroked="f" coordsize="21600,21600">
            <v:path/>
            <v:fill on="f" focussize="0,0"/>
            <v:stroke on="f" joinstyle="miter"/>
            <v:imagedata r:id="rId174" o:title=""/>
            <o:lock v:ext="edit" aspectratio="t"/>
            <w10:wrap type="none"/>
            <w10:anchorlock/>
          </v:shape>
          <o:OLEObject Type="Embed" ProgID="Equation.DSMT4" ShapeID="_x0000_i1085" DrawAspect="Content" ObjectID="_1468075784" r:id="rId173">
            <o:LockedField>false</o:LockedField>
          </o:OLEObject>
        </w:object>
      </w:r>
    </w:p>
    <w:p>
      <w:pPr>
        <w:spacing w:line="240" w:lineRule="auto"/>
        <w:ind w:firstLine="480"/>
        <w:contextualSpacing/>
      </w:pPr>
      <w:r>
        <w:t>式中：</w:t>
      </w:r>
      <w:r>
        <w:rPr>
          <w:i/>
        </w:rPr>
        <w:t>D</w:t>
      </w:r>
      <w:r>
        <w:rPr>
          <w:vertAlign w:val="subscript"/>
        </w:rPr>
        <w:t>L</w:t>
      </w:r>
      <w:r>
        <w:t>为纵向弥散系数（m</w:t>
      </w:r>
      <w:r>
        <w:rPr>
          <w:vertAlign w:val="superscript"/>
        </w:rPr>
        <w:t>2</w:t>
      </w:r>
      <w:r>
        <w:t>/s），</w:t>
      </w:r>
      <w:r>
        <w:rPr>
          <w:position w:val="-6"/>
        </w:rPr>
        <w:object>
          <v:shape id="_x0000_i1086" o:spt="75" type="#_x0000_t75" style="height:11.8pt;width:11.8pt;" o:ole="t" filled="f" o:preferrelative="t" stroked="f" coordsize="21600,21600">
            <v:path/>
            <v:fill on="f" focussize="0,0"/>
            <v:stroke on="f" joinstyle="miter"/>
            <v:imagedata r:id="rId176" o:title=""/>
            <o:lock v:ext="edit" aspectratio="t"/>
            <w10:wrap type="none"/>
            <w10:anchorlock/>
          </v:shape>
          <o:OLEObject Type="Embed" ProgID="Equation.3" ShapeID="_x0000_i1086" DrawAspect="Content" ObjectID="_1468075785" r:id="rId175">
            <o:LockedField>false</o:LockedField>
          </o:OLEObject>
        </w:object>
      </w:r>
      <w:r>
        <w:t>为水的密度（kg/m</w:t>
      </w:r>
      <w:r>
        <w:rPr>
          <w:vertAlign w:val="superscript"/>
        </w:rPr>
        <w:t>3</w:t>
      </w:r>
      <w:r>
        <w:t>），</w:t>
      </w:r>
      <w:r>
        <w:rPr>
          <w:i/>
        </w:rPr>
        <w:t>C</w:t>
      </w:r>
      <w:r>
        <w:rPr>
          <w:i/>
          <w:vertAlign w:val="subscript"/>
        </w:rPr>
        <w:t>p</w:t>
      </w:r>
      <w:r>
        <w:t>为水的比热（cal/（kg·℃）），</w:t>
      </w:r>
      <w:r>
        <w:rPr>
          <w:i/>
        </w:rPr>
        <w:t>B</w:t>
      </w:r>
      <w:r>
        <w:t>为河面宽度（m），</w:t>
      </w:r>
      <w:r>
        <w:rPr>
          <w:position w:val="-12"/>
        </w:rPr>
        <w:object>
          <v:shape id="_x0000_i1087" o:spt="75" type="#_x0000_t75" style="height:19pt;width:15.05pt;" o:ole="t" filled="f" o:preferrelative="t" stroked="f" coordsize="21600,21600">
            <v:path/>
            <v:fill on="f" focussize="0,0"/>
            <v:stroke on="f" joinstyle="miter"/>
            <v:imagedata r:id="rId178" o:title=""/>
            <o:lock v:ext="edit" aspectratio="t"/>
            <w10:wrap type="none"/>
            <w10:anchorlock/>
          </v:shape>
          <o:OLEObject Type="Embed" ProgID="Equation.DSMT4" ShapeID="_x0000_i1087" DrawAspect="Content" ObjectID="_1468075786" r:id="rId177">
            <o:LockedField>false</o:LockedField>
          </o:OLEObject>
        </w:object>
      </w:r>
      <w:r>
        <w:t>为水体与大气之间的热交换通量（W/m</w:t>
      </w:r>
      <w:r>
        <w:rPr>
          <w:vertAlign w:val="superscript"/>
        </w:rPr>
        <w:t>2</w:t>
      </w:r>
      <w:r>
        <w:t>）。其中</w:t>
      </w:r>
      <w:r>
        <w:rPr>
          <w:position w:val="-24"/>
        </w:rPr>
        <w:object>
          <v:shape id="_x0000_i1088" o:spt="75" type="#_x0000_t75" style="height:34.05pt;width:37.95pt;" o:ole="t" filled="f" o:preferrelative="t" stroked="f" coordsize="21600,21600">
            <v:path/>
            <v:fill on="f" focussize="0,0"/>
            <v:stroke on="f" joinstyle="miter"/>
            <v:imagedata r:id="rId180" o:title=""/>
            <o:lock v:ext="edit" aspectratio="t"/>
            <w10:wrap type="none"/>
            <w10:anchorlock/>
          </v:shape>
          <o:OLEObject Type="Embed" ProgID="Equation.DSMT4" ShapeID="_x0000_i1088" DrawAspect="Content" ObjectID="_1468075787" r:id="rId179">
            <o:LockedField>false</o:LockedField>
          </o:OLEObject>
        </w:object>
      </w:r>
      <w:r>
        <w:t>为移流产生的热变化率，</w:t>
      </w:r>
      <w:r>
        <w:rPr>
          <w:position w:val="-28"/>
        </w:rPr>
        <w:object>
          <v:shape id="_x0000_i1089" o:spt="75" type="#_x0000_t75" style="height:34.05pt;width:67.4pt;" o:ole="t" filled="f" o:preferrelative="t" stroked="f" coordsize="21600,21600">
            <v:path/>
            <v:fill on="f" focussize="0,0"/>
            <v:stroke on="f" joinstyle="miter"/>
            <v:imagedata r:id="rId182" o:title=""/>
            <o:lock v:ext="edit" aspectratio="t"/>
            <w10:wrap type="none"/>
            <w10:anchorlock/>
          </v:shape>
          <o:OLEObject Type="Embed" ProgID="Equation.DSMT4" ShapeID="_x0000_i1089" DrawAspect="Content" ObjectID="_1468075788" r:id="rId181">
            <o:LockedField>false</o:LockedField>
          </o:OLEObject>
        </w:object>
      </w:r>
      <w:r>
        <w:t>为离散产生的热变化率，</w:t>
      </w:r>
      <w:r>
        <w:rPr>
          <w:position w:val="-32"/>
        </w:rPr>
        <w:object>
          <v:shape id="_x0000_i1090" o:spt="75" type="#_x0000_t75" style="height:37.95pt;width:30.1pt;" o:ole="t" filled="f" o:preferrelative="t" stroked="f" coordsize="21600,21600">
            <v:path/>
            <v:fill on="f" focussize="0,0"/>
            <v:stroke on="f" joinstyle="miter"/>
            <v:imagedata r:id="rId184" o:title=""/>
            <o:lock v:ext="edit" aspectratio="t"/>
            <w10:wrap type="none"/>
            <w10:anchorlock/>
          </v:shape>
          <o:OLEObject Type="Embed" ProgID="Equation.DSMT4" ShapeID="_x0000_i1090" DrawAspect="Content" ObjectID="_1468075789" r:id="rId183">
            <o:LockedField>false</o:LockedField>
          </o:OLEObject>
        </w:object>
      </w:r>
      <w:r>
        <w:t>为表面热交换率，其它符号意义同前。</w:t>
      </w:r>
    </w:p>
    <w:p>
      <w:pPr>
        <w:spacing w:line="240" w:lineRule="auto"/>
        <w:ind w:firstLine="480"/>
        <w:contextualSpacing/>
      </w:pPr>
      <w:r>
        <w:t>（3）纵向弥散系数</w:t>
      </w:r>
      <w:r>
        <w:rPr>
          <w:position w:val="-6"/>
        </w:rPr>
        <w:object>
          <v:shape id="_x0000_i1091" o:spt="75" type="#_x0000_t75" style="height:15.05pt;width:15.05pt;" o:ole="t" filled="f" o:preferrelative="t" stroked="f" coordsize="21600,21600">
            <v:path/>
            <v:fill on="f" focussize="0,0"/>
            <v:stroke on="f" joinstyle="miter"/>
            <v:imagedata r:id="rId186" o:title=""/>
            <o:lock v:ext="edit" aspectratio="t"/>
            <w10:wrap type="none"/>
            <w10:anchorlock/>
          </v:shape>
          <o:OLEObject Type="Embed" ProgID="Equation.3" ShapeID="_x0000_i1091" DrawAspect="Content" ObjectID="_1468075790" r:id="rId185">
            <o:LockedField>false</o:LockedField>
          </o:OLEObject>
        </w:object>
      </w:r>
    </w:p>
    <w:p>
      <w:pPr>
        <w:spacing w:line="240" w:lineRule="auto"/>
        <w:ind w:firstLine="480"/>
        <w:contextualSpacing/>
        <w:jc w:val="center"/>
        <w:rPr>
          <w:szCs w:val="20"/>
        </w:rPr>
      </w:pPr>
      <w:r>
        <w:rPr>
          <w:position w:val="-24"/>
          <w:szCs w:val="20"/>
        </w:rPr>
        <w:object>
          <v:shape id="_x0000_i1092" o:spt="75" type="#_x0000_t75" style="height:34.05pt;width:79.85pt;" o:ole="t" filled="f" o:preferrelative="t" stroked="f" coordsize="21600,21600">
            <v:path/>
            <v:fill on="f" focussize="0,0"/>
            <v:stroke on="f" joinstyle="miter"/>
            <v:imagedata r:id="rId188" o:title=""/>
            <o:lock v:ext="edit" aspectratio="t"/>
            <w10:wrap type="none"/>
            <w10:anchorlock/>
          </v:shape>
          <o:OLEObject Type="Embed" ProgID="Equation.DSMT4" ShapeID="_x0000_i1092" DrawAspect="Content" ObjectID="_1468075791" r:id="rId187">
            <o:LockedField>false</o:LockedField>
          </o:OLEObject>
        </w:object>
      </w:r>
    </w:p>
    <w:p>
      <w:pPr>
        <w:spacing w:line="240" w:lineRule="auto"/>
        <w:ind w:firstLine="480"/>
        <w:contextualSpacing/>
      </w:pPr>
      <w:r>
        <w:t>式中：</w:t>
      </w:r>
      <w:r>
        <w:rPr>
          <w:position w:val="-6"/>
        </w:rPr>
        <w:object>
          <v:shape id="_x0000_i1093" o:spt="75" type="#_x0000_t75" style="height:12.45pt;width:11.8pt;" o:ole="t" filled="f" o:preferrelative="t" stroked="f" coordsize="21600,21600">
            <v:path/>
            <v:fill on="f" focussize="0,0"/>
            <v:stroke on="f" joinstyle="miter"/>
            <v:imagedata r:id="rId190" o:title=""/>
            <o:lock v:ext="edit" aspectratio="t"/>
            <w10:wrap type="none"/>
            <w10:anchorlock/>
          </v:shape>
          <o:OLEObject Type="Embed" ProgID="Equation.DSMT4" ShapeID="_x0000_i1093" DrawAspect="Content" ObjectID="_1468075792" r:id="rId189">
            <o:LockedField>false</o:LockedField>
          </o:OLEObject>
        </w:object>
      </w:r>
      <w:r>
        <w:t>为断面平均流速（m/s），</w:t>
      </w:r>
      <w:r>
        <w:rPr>
          <w:i/>
        </w:rPr>
        <w:t>b</w:t>
      </w:r>
      <w:r>
        <w:t>为河宽（m），</w:t>
      </w:r>
      <w:r>
        <w:rPr>
          <w:i/>
        </w:rPr>
        <w:t>h</w:t>
      </w:r>
      <w:r>
        <w:t>为平均水深（m），</w:t>
      </w:r>
      <w:r>
        <w:rPr>
          <w:position w:val="-12"/>
        </w:rPr>
        <w:object>
          <v:shape id="_x0000_i1094" o:spt="75" type="#_x0000_t75" style="height:19pt;width:12.45pt;" o:ole="t" filled="f" o:preferrelative="t" stroked="f" coordsize="21600,21600">
            <v:path/>
            <v:fill on="f" focussize="0,0"/>
            <v:stroke on="f" joinstyle="miter"/>
            <v:imagedata r:id="rId192" o:title=""/>
            <o:lock v:ext="edit" aspectratio="t"/>
            <w10:wrap type="none"/>
            <w10:anchorlock/>
          </v:shape>
          <o:OLEObject Type="Embed" ProgID="Equation.DSMT4" ShapeID="_x0000_i1094" DrawAspect="Content" ObjectID="_1468075793" r:id="rId191">
            <o:LockedField>false</o:LockedField>
          </o:OLEObject>
        </w:object>
      </w:r>
      <w:r>
        <w:t>为摩阻流速（m/s），</w:t>
      </w:r>
      <w:r>
        <w:rPr>
          <w:position w:val="-6"/>
        </w:rPr>
        <w:object>
          <v:shape id="_x0000_i1095" o:spt="75" type="#_x0000_t75" style="height:19pt;width:48.45pt;" o:ole="t" filled="f" o:preferrelative="t" stroked="f" coordsize="21600,21600">
            <v:path/>
            <v:fill on="f" focussize="0,0"/>
            <v:stroke on="f" joinstyle="miter"/>
            <v:imagedata r:id="rId194" o:title=""/>
            <o:lock v:ext="edit" aspectratio="t"/>
            <w10:wrap type="none"/>
            <w10:anchorlock/>
          </v:shape>
          <o:OLEObject Type="Embed" ProgID="Equation.3" ShapeID="_x0000_i1095" DrawAspect="Content" ObjectID="_1468075794" r:id="rId193">
            <o:LockedField>false</o:LockedField>
          </o:OLEObject>
        </w:object>
      </w:r>
      <w:r>
        <w:t>，其中</w:t>
      </w:r>
      <w:r>
        <w:rPr>
          <w:position w:val="-6"/>
        </w:rPr>
        <w:object>
          <v:shape id="_x0000_i1096" o:spt="75" type="#_x0000_t75" style="height:11.8pt;width:7.85pt;" o:ole="t" filled="f" o:preferrelative="t" stroked="f" coordsize="21600,21600">
            <v:path/>
            <v:fill on="f" focussize="0,0"/>
            <v:stroke on="f" joinstyle="miter"/>
            <v:imagedata r:id="rId196" o:title=""/>
            <o:lock v:ext="edit" aspectratio="t"/>
            <w10:wrap type="none"/>
            <w10:anchorlock/>
          </v:shape>
          <o:OLEObject Type="Embed" ProgID="Equation.3" ShapeID="_x0000_i1096" DrawAspect="Content" ObjectID="_1468075795" r:id="rId195">
            <o:LockedField>false</o:LockedField>
          </o:OLEObject>
        </w:object>
      </w:r>
      <w:r>
        <w:t>为重力加速度，</w:t>
      </w:r>
      <w:r>
        <w:rPr>
          <w:position w:val="-6"/>
        </w:rPr>
        <w:object>
          <v:shape id="_x0000_i1097" o:spt="75" type="#_x0000_t75" style="height:11.8pt;width:11.8pt;" o:ole="t" filled="f" o:preferrelative="t" stroked="f" coordsize="21600,21600">
            <v:path/>
            <v:fill on="f" focussize="0,0"/>
            <v:stroke on="f" joinstyle="miter"/>
            <v:imagedata r:id="rId198" o:title=""/>
            <o:lock v:ext="edit" aspectratio="t"/>
            <w10:wrap type="none"/>
            <w10:anchorlock/>
          </v:shape>
          <o:OLEObject Type="Embed" ProgID="Equation.3" ShapeID="_x0000_i1097" DrawAspect="Content" ObjectID="_1468075796" r:id="rId197">
            <o:LockedField>false</o:LockedField>
          </o:OLEObject>
        </w:object>
      </w:r>
      <w:r>
        <w:t>为水力半径，</w:t>
      </w:r>
      <w:r>
        <w:rPr>
          <w:position w:val="-6"/>
        </w:rPr>
        <w:object>
          <v:shape id="_x0000_i1098" o:spt="75" type="#_x0000_t75" style="height:11.8pt;width:7.85pt;" o:ole="t" filled="f" o:preferrelative="t" stroked="f" coordsize="21600,21600">
            <v:path/>
            <v:fill on="f" focussize="0,0"/>
            <v:stroke on="f" joinstyle="miter"/>
            <v:imagedata r:id="rId200" o:title=""/>
            <o:lock v:ext="edit" aspectratio="t"/>
            <w10:wrap type="none"/>
            <w10:anchorlock/>
          </v:shape>
          <o:OLEObject Type="Embed" ProgID="Equation.3" ShapeID="_x0000_i1098" DrawAspect="Content" ObjectID="_1468075797" r:id="rId199">
            <o:LockedField>false</o:LockedField>
          </o:OLEObject>
        </w:object>
      </w:r>
      <w:r>
        <w:t>为水力坡降。</w:t>
      </w:r>
    </w:p>
    <w:p>
      <w:pPr>
        <w:ind w:firstLine="0" w:firstLineChars="0"/>
        <w:contextualSpacing/>
        <w:outlineLvl w:val="3"/>
        <w:rPr>
          <w:b/>
          <w:bCs/>
        </w:rPr>
      </w:pPr>
      <w:r>
        <w:rPr>
          <w:b/>
          <w:bCs/>
        </w:rPr>
        <w:t>5.2.5.2预测工况</w:t>
      </w:r>
    </w:p>
    <w:p>
      <w:pPr>
        <w:ind w:firstLine="480"/>
        <w:contextualSpacing/>
      </w:pPr>
      <w:r>
        <w:t>根据寒溪寺水库调度运行特性，水温预测共设置3种工况，分别为丰水年（P=10%）、平水年（P=50%）、枯水年（P=95%），入流水温采用同气候区河流水气温关系推求成果。</w:t>
      </w:r>
    </w:p>
    <w:p>
      <w:pPr>
        <w:ind w:firstLine="0" w:firstLineChars="0"/>
        <w:contextualSpacing/>
        <w:outlineLvl w:val="3"/>
        <w:rPr>
          <w:b/>
          <w:bCs/>
        </w:rPr>
      </w:pPr>
      <w:r>
        <w:rPr>
          <w:b/>
          <w:bCs/>
        </w:rPr>
        <w:t>5.2.5.3边界条件</w:t>
      </w:r>
    </w:p>
    <w:p>
      <w:pPr>
        <w:ind w:firstLine="480"/>
        <w:contextualSpacing/>
      </w:pPr>
      <w:r>
        <w:t>本项目附近河流无长期水温观测成果，现阶段收集到与本工程气候特征、海拔高度基本相近的升钟水库所在嘉陵江支流西河流域开封水文站多年平均水温监测成果，升钟水库距离寒溪寺水库直线距离约250km，均位于四川盆地，同属长江流域，因此其水气温相关关系可近似用于本工程天然水温推求。</w:t>
      </w:r>
    </w:p>
    <w:p>
      <w:pPr>
        <w:ind w:firstLine="480"/>
        <w:contextualSpacing/>
      </w:pPr>
      <w:r>
        <w:t>升钟水库开封水文站水温与附近海拔高度相仿的南部县气象站多年平均气温关系如如下表所示。</w:t>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表5.2.5-3  开封水文站多年平均水温与南部县气象站多年平均气温</w:t>
      </w:r>
    </w:p>
    <w:tbl>
      <w:tblPr>
        <w:tblStyle w:val="38"/>
        <w:tblW w:w="5000" w:type="pct"/>
        <w:tblInd w:w="0" w:type="dxa"/>
        <w:tblLayout w:type="autofit"/>
        <w:tblCellMar>
          <w:top w:w="0" w:type="dxa"/>
          <w:left w:w="108" w:type="dxa"/>
          <w:bottom w:w="0" w:type="dxa"/>
          <w:right w:w="108" w:type="dxa"/>
        </w:tblCellMar>
      </w:tblPr>
      <w:tblGrid>
        <w:gridCol w:w="1043"/>
        <w:gridCol w:w="602"/>
        <w:gridCol w:w="603"/>
        <w:gridCol w:w="603"/>
        <w:gridCol w:w="603"/>
        <w:gridCol w:w="603"/>
        <w:gridCol w:w="603"/>
        <w:gridCol w:w="603"/>
        <w:gridCol w:w="603"/>
        <w:gridCol w:w="604"/>
        <w:gridCol w:w="684"/>
        <w:gridCol w:w="684"/>
        <w:gridCol w:w="684"/>
      </w:tblGrid>
      <w:tr>
        <w:trPr>
          <w:trHeight w:val="300" w:hRule="atLeast"/>
        </w:trPr>
        <w:tc>
          <w:tcPr>
            <w:tcW w:w="612"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353"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3月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4月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5月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6月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7月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8月</w:t>
            </w:r>
          </w:p>
        </w:tc>
        <w:tc>
          <w:tcPr>
            <w:tcW w:w="354"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9月</w:t>
            </w:r>
          </w:p>
        </w:tc>
        <w:tc>
          <w:tcPr>
            <w:tcW w:w="401"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10月</w:t>
            </w:r>
          </w:p>
        </w:tc>
        <w:tc>
          <w:tcPr>
            <w:tcW w:w="401"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11月</w:t>
            </w:r>
          </w:p>
        </w:tc>
        <w:tc>
          <w:tcPr>
            <w:tcW w:w="401"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12月</w:t>
            </w:r>
          </w:p>
        </w:tc>
      </w:tr>
      <w:tr>
        <w:tblPrEx>
          <w:tblCellMar>
            <w:top w:w="0" w:type="dxa"/>
            <w:left w:w="108" w:type="dxa"/>
            <w:bottom w:w="0" w:type="dxa"/>
            <w:right w:w="108" w:type="dxa"/>
          </w:tblCellMar>
        </w:tblPrEx>
        <w:trPr>
          <w:trHeight w:val="300" w:hRule="atLeast"/>
        </w:trPr>
        <w:tc>
          <w:tcPr>
            <w:tcW w:w="612" w:type="pc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气温</w:t>
            </w:r>
          </w:p>
        </w:tc>
        <w:tc>
          <w:tcPr>
            <w:tcW w:w="353"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5.8</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9.4</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12.4</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17.6</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21.2</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24.6</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26.8</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27.2</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23.3</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18</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12.9</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7.8</w:t>
            </w:r>
          </w:p>
        </w:tc>
      </w:tr>
      <w:tr>
        <w:tblPrEx>
          <w:tblCellMar>
            <w:top w:w="0" w:type="dxa"/>
            <w:left w:w="108" w:type="dxa"/>
            <w:bottom w:w="0" w:type="dxa"/>
            <w:right w:w="108" w:type="dxa"/>
          </w:tblCellMar>
        </w:tblPrEx>
        <w:trPr>
          <w:trHeight w:val="300" w:hRule="atLeast"/>
        </w:trPr>
        <w:tc>
          <w:tcPr>
            <w:tcW w:w="612" w:type="pc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水温</w:t>
            </w:r>
          </w:p>
        </w:tc>
        <w:tc>
          <w:tcPr>
            <w:tcW w:w="353"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5.7</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9.1</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16.8</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20.9</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24.7</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26.8</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27.7</w:t>
            </w:r>
          </w:p>
        </w:tc>
        <w:tc>
          <w:tcPr>
            <w:tcW w:w="35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22.8</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18.2</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13.8</w:t>
            </w:r>
          </w:p>
        </w:tc>
        <w:tc>
          <w:tcPr>
            <w:tcW w:w="401"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7.2</w:t>
            </w:r>
          </w:p>
        </w:tc>
      </w:tr>
    </w:tbl>
    <w:p>
      <w:pPr>
        <w:ind w:firstLine="480"/>
        <w:contextualSpacing/>
      </w:pPr>
      <w:r>
        <w:t>根据上述水气温相关关系，采用</w:t>
      </w:r>
      <w:r>
        <w:rPr>
          <w:rFonts w:hint="eastAsia"/>
        </w:rPr>
        <w:t>巴中</w:t>
      </w:r>
      <w:r>
        <w:t>气象站多年平均气温推求得到寒溪寺水库坝址天然水温过程，由于寒溪寺水库正常蓄水位下回水长度</w:t>
      </w:r>
      <w:r>
        <w:rPr>
          <w:rFonts w:hint="eastAsia"/>
        </w:rPr>
        <w:t>很短</w:t>
      </w:r>
      <w:r>
        <w:t>，因此入库水温以及长征渠补水水温亦采用坝址天然水温。</w:t>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表5.2.5-4  寒溪寺坝址天然水温推求成果</w:t>
      </w:r>
    </w:p>
    <w:tbl>
      <w:tblPr>
        <w:tblStyle w:val="38"/>
        <w:tblW w:w="5000" w:type="pct"/>
        <w:jc w:val="center"/>
        <w:tblLayout w:type="fixed"/>
        <w:tblCellMar>
          <w:top w:w="0" w:type="dxa"/>
          <w:left w:w="28" w:type="dxa"/>
          <w:bottom w:w="0" w:type="dxa"/>
          <w:right w:w="28" w:type="dxa"/>
        </w:tblCellMar>
      </w:tblPr>
      <w:tblGrid>
        <w:gridCol w:w="594"/>
        <w:gridCol w:w="426"/>
        <w:gridCol w:w="525"/>
        <w:gridCol w:w="701"/>
        <w:gridCol w:w="701"/>
        <w:gridCol w:w="701"/>
        <w:gridCol w:w="701"/>
        <w:gridCol w:w="701"/>
        <w:gridCol w:w="701"/>
        <w:gridCol w:w="701"/>
        <w:gridCol w:w="701"/>
        <w:gridCol w:w="701"/>
        <w:gridCol w:w="508"/>
      </w:tblGrid>
      <w:tr>
        <w:tblPrEx>
          <w:tblCellMar>
            <w:top w:w="0" w:type="dxa"/>
            <w:left w:w="28" w:type="dxa"/>
            <w:bottom w:w="0" w:type="dxa"/>
            <w:right w:w="28" w:type="dxa"/>
          </w:tblCellMar>
        </w:tblPrEx>
        <w:trPr>
          <w:jc w:val="center"/>
        </w:trPr>
        <w:tc>
          <w:tcPr>
            <w:tcW w:w="356" w:type="pct"/>
            <w:tcBorders>
              <w:top w:val="single" w:color="auto" w:sz="4" w:space="0"/>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项目</w:t>
            </w:r>
          </w:p>
        </w:tc>
        <w:tc>
          <w:tcPr>
            <w:tcW w:w="255"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1月</w:t>
            </w:r>
          </w:p>
        </w:tc>
        <w:tc>
          <w:tcPr>
            <w:tcW w:w="314"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2月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3月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4月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5月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6月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7月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8月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9月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10月</w:t>
            </w:r>
          </w:p>
        </w:tc>
        <w:tc>
          <w:tcPr>
            <w:tcW w:w="41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11月</w:t>
            </w:r>
          </w:p>
        </w:tc>
        <w:tc>
          <w:tcPr>
            <w:tcW w:w="309" w:type="pct"/>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12月</w:t>
            </w:r>
          </w:p>
        </w:tc>
      </w:tr>
      <w:tr>
        <w:tblPrEx>
          <w:tblCellMar>
            <w:top w:w="0" w:type="dxa"/>
            <w:left w:w="28" w:type="dxa"/>
            <w:bottom w:w="0" w:type="dxa"/>
            <w:right w:w="28" w:type="dxa"/>
          </w:tblCellMar>
        </w:tblPrEx>
        <w:trPr>
          <w:jc w:val="center"/>
        </w:trPr>
        <w:tc>
          <w:tcPr>
            <w:tcW w:w="35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气温</w:t>
            </w:r>
          </w:p>
        </w:tc>
        <w:tc>
          <w:tcPr>
            <w:tcW w:w="255"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7.6</w:t>
            </w:r>
          </w:p>
        </w:tc>
        <w:tc>
          <w:tcPr>
            <w:tcW w:w="31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9.8</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13.7</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18.7</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22.8</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24.7</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26.9</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26.7</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23.0</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18.3</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14.1</w:t>
            </w:r>
          </w:p>
        </w:tc>
        <w:tc>
          <w:tcPr>
            <w:tcW w:w="30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9.0</w:t>
            </w:r>
          </w:p>
        </w:tc>
      </w:tr>
      <w:tr>
        <w:tblPrEx>
          <w:tblCellMar>
            <w:top w:w="0" w:type="dxa"/>
            <w:left w:w="28" w:type="dxa"/>
            <w:bottom w:w="0" w:type="dxa"/>
            <w:right w:w="28" w:type="dxa"/>
          </w:tblCellMar>
        </w:tblPrEx>
        <w:trPr>
          <w:jc w:val="center"/>
        </w:trPr>
        <w:tc>
          <w:tcPr>
            <w:tcW w:w="35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天然</w:t>
            </w:r>
          </w:p>
          <w:p>
            <w:pPr>
              <w:widowControl/>
              <w:spacing w:line="240" w:lineRule="auto"/>
              <w:ind w:firstLine="0" w:firstLineChars="0"/>
              <w:contextualSpacing/>
              <w:jc w:val="center"/>
              <w:rPr>
                <w:kern w:val="0"/>
                <w:sz w:val="21"/>
                <w:szCs w:val="21"/>
              </w:rPr>
            </w:pPr>
            <w:r>
              <w:rPr>
                <w:kern w:val="0"/>
                <w:sz w:val="21"/>
                <w:szCs w:val="21"/>
              </w:rPr>
              <w:t>水温</w:t>
            </w:r>
          </w:p>
        </w:tc>
        <w:tc>
          <w:tcPr>
            <w:tcW w:w="255"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7.5</w:t>
            </w:r>
          </w:p>
        </w:tc>
        <w:tc>
          <w:tcPr>
            <w:tcW w:w="314"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9.5</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11.0</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17.9</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22.5</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24.8</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26.9</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27.2</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22.5</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18.5</w:t>
            </w:r>
          </w:p>
        </w:tc>
        <w:tc>
          <w:tcPr>
            <w:tcW w:w="41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15.1</w:t>
            </w:r>
          </w:p>
        </w:tc>
        <w:tc>
          <w:tcPr>
            <w:tcW w:w="309" w:type="pct"/>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8.3</w:t>
            </w:r>
          </w:p>
        </w:tc>
      </w:tr>
    </w:tbl>
    <w:p>
      <w:pPr>
        <w:ind w:firstLine="0" w:firstLineChars="0"/>
        <w:contextualSpacing/>
        <w:outlineLvl w:val="3"/>
        <w:rPr>
          <w:b/>
          <w:bCs/>
        </w:rPr>
      </w:pPr>
      <w:r>
        <w:rPr>
          <w:b/>
          <w:bCs/>
        </w:rPr>
        <w:t>5.2.5.4库区水温预测及分析</w:t>
      </w:r>
    </w:p>
    <w:p>
      <w:pPr>
        <w:ind w:firstLine="480"/>
        <w:contextualSpacing/>
        <w:rPr>
          <w:lang w:bidi="en-US"/>
        </w:rPr>
      </w:pPr>
      <w:r>
        <w:rPr>
          <w:lang w:bidi="en-US"/>
        </w:rPr>
        <w:t>1）平水年水温预测</w:t>
      </w:r>
    </w:p>
    <w:p>
      <w:pPr>
        <w:ind w:firstLine="480"/>
        <w:contextualSpacing/>
        <w:rPr>
          <w:lang w:bidi="en-US"/>
        </w:rPr>
      </w:pPr>
      <w:r>
        <w:rPr>
          <w:lang w:bidi="en-US"/>
        </w:rPr>
        <w:t>寒溪寺水库平水年各月15日库区二维水温预测结果见图</w:t>
      </w:r>
      <w:r>
        <w:t>5.2.5-</w:t>
      </w:r>
      <w:r>
        <w:rPr>
          <w:lang w:bidi="en-US"/>
        </w:rPr>
        <w:t>1，各月15日坝前垂向水温分布见图</w:t>
      </w:r>
      <w:r>
        <w:t>5.2.5</w:t>
      </w:r>
      <w:r>
        <w:rPr>
          <w:b/>
        </w:rPr>
        <w:t>-</w:t>
      </w:r>
      <w:r>
        <w:rPr>
          <w:lang w:bidi="en-US"/>
        </w:rPr>
        <w:t>2，各月15日坝前库表、库底水温及其温差见表5.2.5-8。</w:t>
      </w:r>
    </w:p>
    <w:p>
      <w:pPr>
        <w:spacing w:line="240" w:lineRule="auto"/>
        <w:ind w:firstLine="0" w:firstLineChars="0"/>
        <w:contextualSpacing/>
      </w:pPr>
      <w:r>
        <w:drawing>
          <wp:inline distT="0" distB="0" distL="0" distR="0">
            <wp:extent cx="5276215" cy="1744345"/>
            <wp:effectExtent l="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201"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1805"/>
            <wp:effectExtent l="0" t="0" r="0" b="0"/>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noChangeArrowheads="1"/>
                    </pic:cNvPicPr>
                  </pic:nvPicPr>
                  <pic:blipFill>
                    <a:blip r:embed="rId202" cstate="print">
                      <a:extLst>
                        <a:ext uri="{28A0092B-C50C-407E-A947-70E740481C1C}">
                          <a14:useLocalDpi xmlns:a14="http://schemas.microsoft.com/office/drawing/2010/main" val="0"/>
                        </a:ext>
                      </a:extLst>
                    </a:blip>
                    <a:srcRect t="7198" b="2399"/>
                    <a:stretch>
                      <a:fillRect/>
                    </a:stretch>
                  </pic:blipFill>
                  <pic:spPr>
                    <a:xfrm>
                      <a:off x="0" y="0"/>
                      <a:ext cx="5276215" cy="174180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noChangeArrowheads="1"/>
                    </pic:cNvPicPr>
                  </pic:nvPicPr>
                  <pic:blipFill>
                    <a:blip r:embed="rId203"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204"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noChangeArrowheads="1"/>
                    </pic:cNvPicPr>
                  </pic:nvPicPr>
                  <pic:blipFill>
                    <a:blip r:embed="rId205"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noChangeArrowheads="1"/>
                    </pic:cNvPicPr>
                  </pic:nvPicPr>
                  <pic:blipFill>
                    <a:blip r:embed="rId206"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noChangeArrowheads="1"/>
                    </pic:cNvPicPr>
                  </pic:nvPicPr>
                  <pic:blipFill>
                    <a:blip r:embed="rId207"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noChangeArrowheads="1"/>
                    </pic:cNvPicPr>
                  </pic:nvPicPr>
                  <pic:blipFill>
                    <a:blip r:embed="rId208"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noChangeArrowheads="1"/>
                    </pic:cNvPicPr>
                  </pic:nvPicPr>
                  <pic:blipFill>
                    <a:blip r:embed="rId209"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noChangeArrowheads="1"/>
                    </pic:cNvPicPr>
                  </pic:nvPicPr>
                  <pic:blipFill>
                    <a:blip r:embed="rId210"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spacing w:line="240" w:lineRule="auto"/>
        <w:ind w:firstLine="0" w:firstLineChars="0"/>
        <w:contextualSpacing/>
      </w:pPr>
      <w:r>
        <w:drawing>
          <wp:inline distT="0" distB="0" distL="0" distR="0">
            <wp:extent cx="5276215" cy="1744345"/>
            <wp:effectExtent l="0" t="0" r="0" b="0"/>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noChangeArrowheads="1"/>
                    </pic:cNvPicPr>
                  </pic:nvPicPr>
                  <pic:blipFill>
                    <a:blip r:embed="rId211" cstate="print">
                      <a:extLst>
                        <a:ext uri="{28A0092B-C50C-407E-A947-70E740481C1C}">
                          <a14:useLocalDpi xmlns:a14="http://schemas.microsoft.com/office/drawing/2010/main" val="0"/>
                        </a:ext>
                      </a:extLst>
                    </a:blip>
                    <a:srcRect t="7195" b="2399"/>
                    <a:stretch>
                      <a:fillRect/>
                    </a:stretch>
                  </pic:blipFill>
                  <pic:spPr>
                    <a:xfrm>
                      <a:off x="0" y="0"/>
                      <a:ext cx="5276215" cy="1744345"/>
                    </a:xfrm>
                    <a:prstGeom prst="rect">
                      <a:avLst/>
                    </a:prstGeom>
                    <a:noFill/>
                    <a:ln>
                      <a:noFill/>
                    </a:ln>
                  </pic:spPr>
                </pic:pic>
              </a:graphicData>
            </a:graphic>
          </wp:inline>
        </w:drawing>
      </w:r>
    </w:p>
    <w:p>
      <w:pPr>
        <w:ind w:firstLine="0" w:firstLineChars="0"/>
        <w:contextualSpacing/>
      </w:pPr>
      <w:r>
        <w:drawing>
          <wp:inline distT="0" distB="0" distL="0" distR="0">
            <wp:extent cx="5276215" cy="1720215"/>
            <wp:effectExtent l="0" t="0" r="0" b="0"/>
            <wp:docPr id="1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
                    <pic:cNvPicPr>
                      <a:picLocks noChangeAspect="1" noChangeArrowheads="1"/>
                    </pic:cNvPicPr>
                  </pic:nvPicPr>
                  <pic:blipFill>
                    <a:blip r:embed="rId212" cstate="print">
                      <a:extLst>
                        <a:ext uri="{28A0092B-C50C-407E-A947-70E740481C1C}">
                          <a14:useLocalDpi xmlns:a14="http://schemas.microsoft.com/office/drawing/2010/main" val="0"/>
                        </a:ext>
                      </a:extLst>
                    </a:blip>
                    <a:srcRect t="7195" b="3596"/>
                    <a:stretch>
                      <a:fillRect/>
                    </a:stretch>
                  </pic:blipFill>
                  <pic:spPr>
                    <a:xfrm>
                      <a:off x="0" y="0"/>
                      <a:ext cx="5276215" cy="1720215"/>
                    </a:xfrm>
                    <a:prstGeom prst="rect">
                      <a:avLst/>
                    </a:prstGeom>
                    <a:noFill/>
                    <a:ln>
                      <a:noFill/>
                    </a:ln>
                  </pic:spPr>
                </pic:pic>
              </a:graphicData>
            </a:graphic>
          </wp:inline>
        </w:drawing>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图5.2.5-1  无长征渠补水平水年库区水温二维分布</w:t>
      </w:r>
    </w:p>
    <w:p>
      <w:pPr>
        <w:ind w:firstLine="0" w:firstLineChars="0"/>
        <w:contextualSpacing/>
        <w:jc w:val="center"/>
      </w:pPr>
      <w:r>
        <w:rPr>
          <w:b/>
          <w:sz w:val="21"/>
          <w:szCs w:val="21"/>
        </w:rPr>
        <w:drawing>
          <wp:inline distT="0" distB="0" distL="0" distR="0">
            <wp:extent cx="3948430" cy="2687320"/>
            <wp:effectExtent l="0" t="0" r="0" b="0"/>
            <wp:docPr id="1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
                    <pic:cNvPicPr>
                      <a:picLocks noChangeAspect="1" noChangeArrowheads="1"/>
                    </pic:cNvPicPr>
                  </pic:nvPicPr>
                  <pic:blipFill>
                    <a:blip r:embed="rId213" cstate="print">
                      <a:extLst>
                        <a:ext uri="{28A0092B-C50C-407E-A947-70E740481C1C}">
                          <a14:useLocalDpi xmlns:a14="http://schemas.microsoft.com/office/drawing/2010/main" val="0"/>
                        </a:ext>
                      </a:extLst>
                    </a:blip>
                    <a:srcRect t="980" b="4895"/>
                    <a:stretch>
                      <a:fillRect/>
                    </a:stretch>
                  </pic:blipFill>
                  <pic:spPr>
                    <a:xfrm>
                      <a:off x="0" y="0"/>
                      <a:ext cx="3948430" cy="2687320"/>
                    </a:xfrm>
                    <a:prstGeom prst="rect">
                      <a:avLst/>
                    </a:prstGeom>
                    <a:noFill/>
                    <a:ln>
                      <a:noFill/>
                    </a:ln>
                  </pic:spPr>
                </pic:pic>
              </a:graphicData>
            </a:graphic>
          </wp:inline>
        </w:drawing>
      </w:r>
    </w:p>
    <w:p>
      <w:pPr>
        <w:pStyle w:val="121"/>
        <w:ind w:firstLine="422"/>
        <w:contextualSpacing/>
        <w:rPr>
          <w:rFonts w:ascii="Times New Roman" w:hAnsi="Times New Roman" w:eastAsia="宋体" w:cs="Times New Roman"/>
        </w:rPr>
      </w:pPr>
      <w:r>
        <w:rPr>
          <w:rFonts w:ascii="Times New Roman" w:hAnsi="Times New Roman" w:eastAsia="宋体" w:cs="Times New Roman"/>
          <w:b/>
          <w:sz w:val="21"/>
          <w:szCs w:val="21"/>
        </w:rPr>
        <w:t>图5.2.5-2  无长征渠补水平水年坝前垂向水温分布</w:t>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表5.2.5-8  平水年库表、库底水温及其温差  单位：℃</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1"/>
        <w:gridCol w:w="482"/>
        <w:gridCol w:w="624"/>
        <w:gridCol w:w="624"/>
        <w:gridCol w:w="624"/>
        <w:gridCol w:w="624"/>
        <w:gridCol w:w="624"/>
        <w:gridCol w:w="624"/>
        <w:gridCol w:w="624"/>
        <w:gridCol w:w="624"/>
        <w:gridCol w:w="624"/>
        <w:gridCol w:w="624"/>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0" w:type="pct"/>
            <w:noWrap/>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288" w:type="pct"/>
            <w:noWrap/>
            <w:vAlign w:val="center"/>
          </w:tcPr>
          <w:p>
            <w:pPr>
              <w:widowControl/>
              <w:spacing w:line="240" w:lineRule="auto"/>
              <w:ind w:firstLine="0" w:firstLineChars="0"/>
              <w:contextualSpacing/>
              <w:jc w:val="center"/>
              <w:rPr>
                <w:kern w:val="0"/>
                <w:sz w:val="21"/>
                <w:szCs w:val="21"/>
              </w:rPr>
            </w:pPr>
            <w:r>
              <w:rPr>
                <w:kern w:val="0"/>
                <w:sz w:val="21"/>
                <w:szCs w:val="21"/>
              </w:rPr>
              <w:t>1月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2月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3月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4月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5月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6月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7月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8月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9月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10月</w:t>
            </w:r>
          </w:p>
        </w:tc>
        <w:tc>
          <w:tcPr>
            <w:tcW w:w="373" w:type="pct"/>
            <w:noWrap/>
            <w:vAlign w:val="center"/>
          </w:tcPr>
          <w:p>
            <w:pPr>
              <w:widowControl/>
              <w:spacing w:line="240" w:lineRule="auto"/>
              <w:ind w:firstLine="0" w:firstLineChars="0"/>
              <w:contextualSpacing/>
              <w:jc w:val="center"/>
              <w:rPr>
                <w:kern w:val="0"/>
                <w:sz w:val="21"/>
                <w:szCs w:val="21"/>
              </w:rPr>
            </w:pPr>
            <w:r>
              <w:rPr>
                <w:kern w:val="0"/>
                <w:sz w:val="21"/>
                <w:szCs w:val="21"/>
              </w:rPr>
              <w:t>11月</w:t>
            </w:r>
          </w:p>
        </w:tc>
        <w:tc>
          <w:tcPr>
            <w:tcW w:w="370" w:type="pct"/>
            <w:noWrap/>
            <w:vAlign w:val="center"/>
          </w:tcPr>
          <w:p>
            <w:pPr>
              <w:widowControl/>
              <w:spacing w:line="240" w:lineRule="auto"/>
              <w:ind w:firstLine="0" w:firstLineChars="0"/>
              <w:contextualSpacing/>
              <w:jc w:val="center"/>
              <w:rPr>
                <w:kern w:val="0"/>
                <w:sz w:val="21"/>
                <w:szCs w:val="21"/>
              </w:rPr>
            </w:pPr>
            <w:r>
              <w:rPr>
                <w:kern w:val="0"/>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0" w:type="pct"/>
            <w:noWrap/>
            <w:vAlign w:val="center"/>
          </w:tcPr>
          <w:p>
            <w:pPr>
              <w:widowControl/>
              <w:spacing w:line="240" w:lineRule="auto"/>
              <w:ind w:firstLine="0" w:firstLineChars="0"/>
              <w:contextualSpacing/>
              <w:jc w:val="center"/>
              <w:rPr>
                <w:kern w:val="0"/>
                <w:sz w:val="21"/>
                <w:szCs w:val="21"/>
              </w:rPr>
            </w:pPr>
            <w:r>
              <w:rPr>
                <w:kern w:val="0"/>
                <w:sz w:val="21"/>
                <w:szCs w:val="21"/>
              </w:rPr>
              <w:t>库表水温</w:t>
            </w:r>
          </w:p>
        </w:tc>
        <w:tc>
          <w:tcPr>
            <w:tcW w:w="288" w:type="pct"/>
            <w:noWrap/>
            <w:vAlign w:val="center"/>
          </w:tcPr>
          <w:p>
            <w:pPr>
              <w:widowControl/>
              <w:spacing w:line="240" w:lineRule="auto"/>
              <w:ind w:firstLine="0" w:firstLineChars="0"/>
              <w:contextualSpacing/>
              <w:jc w:val="center"/>
              <w:rPr>
                <w:kern w:val="0"/>
                <w:sz w:val="21"/>
                <w:szCs w:val="21"/>
              </w:rPr>
            </w:pPr>
            <w:r>
              <w:rPr>
                <w:kern w:val="0"/>
                <w:sz w:val="20"/>
                <w:szCs w:val="20"/>
              </w:rPr>
              <w:t>9.2</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8.3</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12.3</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18.1</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22.8</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26.0</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28.9</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29.0</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27.1</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22.9</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18.6</w:t>
            </w:r>
          </w:p>
        </w:tc>
        <w:tc>
          <w:tcPr>
            <w:tcW w:w="370" w:type="pct"/>
            <w:noWrap/>
            <w:vAlign w:val="center"/>
          </w:tcPr>
          <w:p>
            <w:pPr>
              <w:widowControl/>
              <w:spacing w:line="240" w:lineRule="auto"/>
              <w:ind w:firstLine="0" w:firstLineChars="0"/>
              <w:contextualSpacing/>
              <w:jc w:val="center"/>
              <w:rPr>
                <w:kern w:val="0"/>
                <w:sz w:val="21"/>
                <w:szCs w:val="21"/>
              </w:rPr>
            </w:pPr>
            <w:r>
              <w:rPr>
                <w:kern w:val="0"/>
                <w:sz w:val="20"/>
                <w:szCs w:val="2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0" w:type="pct"/>
            <w:noWrap/>
            <w:vAlign w:val="center"/>
          </w:tcPr>
          <w:p>
            <w:pPr>
              <w:widowControl/>
              <w:spacing w:line="240" w:lineRule="auto"/>
              <w:ind w:firstLine="0" w:firstLineChars="0"/>
              <w:contextualSpacing/>
              <w:jc w:val="center"/>
              <w:rPr>
                <w:kern w:val="0"/>
                <w:sz w:val="21"/>
                <w:szCs w:val="21"/>
              </w:rPr>
            </w:pPr>
            <w:r>
              <w:rPr>
                <w:kern w:val="0"/>
                <w:sz w:val="21"/>
                <w:szCs w:val="21"/>
              </w:rPr>
              <w:t>库底水温</w:t>
            </w:r>
          </w:p>
        </w:tc>
        <w:tc>
          <w:tcPr>
            <w:tcW w:w="288" w:type="pct"/>
            <w:noWrap/>
            <w:vAlign w:val="center"/>
          </w:tcPr>
          <w:p>
            <w:pPr>
              <w:widowControl/>
              <w:spacing w:line="240" w:lineRule="auto"/>
              <w:ind w:firstLine="0" w:firstLineChars="0"/>
              <w:contextualSpacing/>
              <w:jc w:val="center"/>
              <w:rPr>
                <w:kern w:val="0"/>
                <w:sz w:val="21"/>
                <w:szCs w:val="21"/>
              </w:rPr>
            </w:pPr>
            <w:r>
              <w:rPr>
                <w:kern w:val="0"/>
                <w:sz w:val="20"/>
                <w:szCs w:val="20"/>
              </w:rPr>
              <w:t>9.2</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8.0</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8.2</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8.6</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9.3</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11.3</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14.1</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17.0</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19.4</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21.2</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18.5</w:t>
            </w:r>
          </w:p>
        </w:tc>
        <w:tc>
          <w:tcPr>
            <w:tcW w:w="370" w:type="pct"/>
            <w:noWrap/>
            <w:vAlign w:val="center"/>
          </w:tcPr>
          <w:p>
            <w:pPr>
              <w:widowControl/>
              <w:spacing w:line="240" w:lineRule="auto"/>
              <w:ind w:firstLine="0" w:firstLineChars="0"/>
              <w:contextualSpacing/>
              <w:jc w:val="center"/>
              <w:rPr>
                <w:kern w:val="0"/>
                <w:sz w:val="21"/>
                <w:szCs w:val="21"/>
              </w:rPr>
            </w:pPr>
            <w:r>
              <w:rPr>
                <w:kern w:val="0"/>
                <w:sz w:val="20"/>
                <w:szCs w:val="20"/>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0" w:type="pct"/>
            <w:noWrap/>
            <w:vAlign w:val="center"/>
          </w:tcPr>
          <w:p>
            <w:pPr>
              <w:widowControl/>
              <w:spacing w:line="240" w:lineRule="auto"/>
              <w:ind w:firstLine="0" w:firstLineChars="0"/>
              <w:contextualSpacing/>
              <w:jc w:val="center"/>
              <w:rPr>
                <w:kern w:val="0"/>
                <w:sz w:val="21"/>
                <w:szCs w:val="21"/>
              </w:rPr>
            </w:pPr>
            <w:r>
              <w:rPr>
                <w:kern w:val="0"/>
                <w:sz w:val="21"/>
                <w:szCs w:val="21"/>
              </w:rPr>
              <w:t>最大温差</w:t>
            </w:r>
          </w:p>
        </w:tc>
        <w:tc>
          <w:tcPr>
            <w:tcW w:w="288" w:type="pct"/>
            <w:noWrap/>
            <w:vAlign w:val="center"/>
          </w:tcPr>
          <w:p>
            <w:pPr>
              <w:widowControl/>
              <w:spacing w:line="240" w:lineRule="auto"/>
              <w:ind w:firstLine="0" w:firstLineChars="0"/>
              <w:contextualSpacing/>
              <w:jc w:val="center"/>
              <w:rPr>
                <w:kern w:val="0"/>
                <w:sz w:val="21"/>
                <w:szCs w:val="21"/>
              </w:rPr>
            </w:pPr>
            <w:r>
              <w:rPr>
                <w:kern w:val="0"/>
                <w:sz w:val="20"/>
                <w:szCs w:val="20"/>
              </w:rPr>
              <w:t>0.1</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0.3</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4.0</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9.5</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13.5</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14.7</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14.7</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12.1</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7.6</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1.8</w:t>
            </w:r>
          </w:p>
        </w:tc>
        <w:tc>
          <w:tcPr>
            <w:tcW w:w="373" w:type="pct"/>
            <w:noWrap/>
            <w:vAlign w:val="center"/>
          </w:tcPr>
          <w:p>
            <w:pPr>
              <w:widowControl/>
              <w:spacing w:line="240" w:lineRule="auto"/>
              <w:ind w:firstLine="0" w:firstLineChars="0"/>
              <w:contextualSpacing/>
              <w:jc w:val="center"/>
              <w:rPr>
                <w:kern w:val="0"/>
                <w:sz w:val="21"/>
                <w:szCs w:val="21"/>
              </w:rPr>
            </w:pPr>
            <w:r>
              <w:rPr>
                <w:kern w:val="0"/>
                <w:sz w:val="20"/>
                <w:szCs w:val="20"/>
              </w:rPr>
              <w:t>0.1</w:t>
            </w:r>
          </w:p>
        </w:tc>
        <w:tc>
          <w:tcPr>
            <w:tcW w:w="370" w:type="pct"/>
            <w:noWrap/>
            <w:vAlign w:val="center"/>
          </w:tcPr>
          <w:p>
            <w:pPr>
              <w:widowControl/>
              <w:spacing w:line="240" w:lineRule="auto"/>
              <w:ind w:firstLine="0" w:firstLineChars="0"/>
              <w:contextualSpacing/>
              <w:jc w:val="center"/>
              <w:rPr>
                <w:kern w:val="0"/>
                <w:sz w:val="21"/>
                <w:szCs w:val="21"/>
              </w:rPr>
            </w:pPr>
            <w:r>
              <w:rPr>
                <w:kern w:val="0"/>
                <w:sz w:val="20"/>
                <w:szCs w:val="20"/>
              </w:rPr>
              <w:t>0.1</w:t>
            </w:r>
          </w:p>
        </w:tc>
      </w:tr>
    </w:tbl>
    <w:p>
      <w:pPr>
        <w:ind w:firstLine="480"/>
        <w:contextualSpacing/>
        <w:rPr>
          <w:lang w:bidi="en-US"/>
        </w:rPr>
      </w:pPr>
      <w:r>
        <w:rPr>
          <w:lang w:bidi="en-US"/>
        </w:rPr>
        <w:t>总体来看，寒溪寺水库平水年库区水温在3～9月分层较强，其余月份分层较弱，基本为垂向同温状态，库表水温8.3℃～29.0℃，库底水温8.0℃～21.2℃，垂向温差0.1℃～14.7℃。</w:t>
      </w:r>
    </w:p>
    <w:p>
      <w:pPr>
        <w:ind w:firstLine="480"/>
        <w:contextualSpacing/>
        <w:rPr>
          <w:lang w:bidi="en-US"/>
        </w:rPr>
      </w:pPr>
      <w:r>
        <w:rPr>
          <w:lang w:bidi="en-US"/>
        </w:rPr>
        <w:t>1月气温、太阳辐射均为全年最低，来流水温比库区水温低约0.7℃，但入库流量较小，进入库区后与库区水体迅速混合均匀，对库区水温影响较小，库区水温在来流和气象的共同作用下，保持同温状态，坝前平均水温约9.2℃。</w:t>
      </w:r>
    </w:p>
    <w:p>
      <w:pPr>
        <w:ind w:firstLine="480"/>
        <w:contextualSpacing/>
        <w:rPr>
          <w:lang w:bidi="en-US"/>
        </w:rPr>
      </w:pPr>
      <w:r>
        <w:rPr>
          <w:lang w:bidi="en-US"/>
        </w:rPr>
        <w:t>2月入库流量仍然较小，月均入库水温9.5℃，在低温来流水及气象的影响下，库表库底水温均有所下降，但全库区近乎为同温状态。</w:t>
      </w:r>
    </w:p>
    <w:p>
      <w:pPr>
        <w:ind w:firstLine="480"/>
        <w:contextualSpacing/>
        <w:rPr>
          <w:lang w:bidi="en-US"/>
        </w:rPr>
      </w:pPr>
      <w:r>
        <w:rPr>
          <w:lang w:bidi="en-US"/>
        </w:rPr>
        <w:t>3月开始进入升温期，入流水温、气温均有所升高，表层水温受气象影响升高明显，库表水温12.3℃，受2月持续低温入流的影响，库底水温则出现一定的延迟，库底水温8.2℃，水温在垂向上逐渐有所分层，坝前垂向温差为4.1℃。</w:t>
      </w:r>
    </w:p>
    <w:p>
      <w:pPr>
        <w:pStyle w:val="123"/>
        <w:ind w:firstLine="480"/>
        <w:contextualSpacing/>
        <w:rPr>
          <w:lang w:bidi="en-US"/>
        </w:rPr>
      </w:pPr>
      <w:r>
        <w:rPr>
          <w:lang w:bidi="en-US"/>
        </w:rPr>
        <w:t>4月受气象条件和来流水温影响库区水温上升较快，库表温度达18.1℃。由于入出库流量的加大，增强了库区底部的掺混，整体上库区垂向热量传递增大，中上层水体水温增温较快，库底为约10m的低温层，水温较低且稳定，平均水温约9.0℃。</w:t>
      </w:r>
    </w:p>
    <w:p>
      <w:pPr>
        <w:ind w:firstLine="480"/>
        <w:contextualSpacing/>
        <w:rPr>
          <w:lang w:bidi="en-US"/>
        </w:rPr>
      </w:pPr>
      <w:r>
        <w:rPr>
          <w:lang w:bidi="en-US"/>
        </w:rPr>
        <w:t>5月~8月，来流水温和气温、太阳辐射等大幅提升，库区水温也大幅提高。5~6月入库流量较大，库区保持较低水位运行，受气温和太阳辐射升高影响，库表水温也不断攀升，由5月的22.8℃升至8月的29.0℃。5月、6月坝前垂向温差分别达到13.5℃、14.7℃。7月的气温和太阳辐射均为全年最高，但入出库流量较6月大幅减小，表底温差仍保持在14.7℃左右，为全年最大。8月的气温、太阳辐射仍然保持较高水平，入出库流量较7月大幅度降低，库区流速相对减缓，热量易于蓄集，使该月表层水温达到全年最高的29.0℃，库底水温也上升明显，较7月升高2.9℃，坝前垂向平均温度为26.2℃。</w:t>
      </w:r>
    </w:p>
    <w:p>
      <w:pPr>
        <w:ind w:firstLine="480"/>
        <w:contextualSpacing/>
        <w:rPr>
          <w:lang w:bidi="en-US"/>
        </w:rPr>
      </w:pPr>
      <w:r>
        <w:rPr>
          <w:lang w:bidi="en-US"/>
        </w:rPr>
        <w:t>9月库区水温分层仍然十分明显，但表层水温较8月有所下降，而垂向热传导使得库底水温有所升高，坝前垂向平均水温25.7℃，为全年最高。10月气温、太阳辐射的下降，使得库表水温也有所下降，垂向温差不断缩小。但出库流量较小，库区流速较小，垂向热传导作用使得中下层水体水温不断升高，坝前水温逐渐趋向于同温，垂向平均水温约22.7℃。</w:t>
      </w:r>
    </w:p>
    <w:p>
      <w:pPr>
        <w:ind w:firstLine="480"/>
        <w:contextualSpacing/>
        <w:rPr>
          <w:highlight w:val="yellow"/>
        </w:rPr>
      </w:pPr>
      <w:r>
        <w:rPr>
          <w:lang w:bidi="en-US"/>
        </w:rPr>
        <w:t>11～12月水库仍保持较高水位运行，蓄热作用明显，气温及太阳辐射的降低使得库表水温不断降低，温差缩小，垂向趋于同温，11月、12月坝前垂向平均水温分别为18.5℃、13.5℃。</w:t>
      </w:r>
    </w:p>
    <w:p>
      <w:pPr>
        <w:ind w:firstLine="480"/>
        <w:contextualSpacing/>
        <w:rPr>
          <w:lang w:bidi="en-US"/>
        </w:rPr>
      </w:pPr>
      <w:r>
        <w:rPr>
          <w:lang w:bidi="en-US"/>
        </w:rPr>
        <w:t>2）丰水年、枯水年水温预测</w:t>
      </w:r>
    </w:p>
    <w:p>
      <w:pPr>
        <w:ind w:firstLine="480"/>
        <w:contextualSpacing/>
        <w:rPr>
          <w:lang w:bidi="en-US"/>
        </w:rPr>
      </w:pPr>
      <w:r>
        <w:t>丰水年及枯水年库区水温及其演变规律基本相似，3</w:t>
      </w:r>
      <w:r>
        <w:rPr>
          <w:lang w:bidi="en-US"/>
        </w:rPr>
        <w:t>～8月水温分层较强，其余月份垂向趋于同温或弱分层</w:t>
      </w:r>
      <w:r>
        <w:t>。丰水年</w:t>
      </w:r>
      <w:r>
        <w:rPr>
          <w:lang w:bidi="en-US"/>
        </w:rPr>
        <w:t>库表水温9.0℃～28.9℃，库底水温9.0℃～19.7℃，垂向温差0.1℃～15.9℃，由于丰水年库区水位较高，因此对水温的调节能力相对较强，坝前年内垂向温差略大于平水年。</w:t>
      </w:r>
      <w:r>
        <w:t>枯水年</w:t>
      </w:r>
      <w:r>
        <w:rPr>
          <w:lang w:bidi="en-US"/>
        </w:rPr>
        <w:t>库表水温8.4℃～29.1℃，库底水温8.2℃～22.6℃，垂向温差0.1℃～14.8℃，枯水年水温基本与平水年相似。</w:t>
      </w:r>
    </w:p>
    <w:p>
      <w:pPr>
        <w:ind w:firstLine="0" w:firstLineChars="0"/>
        <w:contextualSpacing/>
        <w:jc w:val="center"/>
      </w:pPr>
      <w:r>
        <w:drawing>
          <wp:inline distT="0" distB="0" distL="0" distR="0">
            <wp:extent cx="4022725" cy="2686685"/>
            <wp:effectExtent l="0" t="0" r="0" b="0"/>
            <wp:docPr id="1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
                    <pic:cNvPicPr>
                      <a:picLocks noChangeAspect="1" noChangeArrowheads="1"/>
                    </pic:cNvPicPr>
                  </pic:nvPicPr>
                  <pic:blipFill>
                    <a:blip r:embed="rId214" cstate="print">
                      <a:extLst>
                        <a:ext uri="{28A0092B-C50C-407E-A947-70E740481C1C}">
                          <a14:useLocalDpi xmlns:a14="http://schemas.microsoft.com/office/drawing/2010/main" val="0"/>
                        </a:ext>
                      </a:extLst>
                    </a:blip>
                    <a:srcRect t="1999" b="3999"/>
                    <a:stretch>
                      <a:fillRect/>
                    </a:stretch>
                  </pic:blipFill>
                  <pic:spPr>
                    <a:xfrm>
                      <a:off x="0" y="0"/>
                      <a:ext cx="4022725" cy="2686685"/>
                    </a:xfrm>
                    <a:prstGeom prst="rect">
                      <a:avLst/>
                    </a:prstGeom>
                    <a:noFill/>
                    <a:ln>
                      <a:noFill/>
                    </a:ln>
                  </pic:spPr>
                </pic:pic>
              </a:graphicData>
            </a:graphic>
          </wp:inline>
        </w:drawing>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图5.2.5-3  无长征渠补水丰水年坝前垂向水温分布</w:t>
      </w:r>
    </w:p>
    <w:p>
      <w:pPr>
        <w:ind w:firstLine="0" w:firstLineChars="0"/>
        <w:contextualSpacing/>
        <w:jc w:val="center"/>
      </w:pPr>
      <w:r>
        <w:drawing>
          <wp:inline distT="0" distB="0" distL="0" distR="0">
            <wp:extent cx="4026535" cy="2719070"/>
            <wp:effectExtent l="0" t="0" r="0" b="0"/>
            <wp:docPr id="1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5"/>
                    <pic:cNvPicPr>
                      <a:picLocks noChangeAspect="1" noChangeArrowheads="1"/>
                    </pic:cNvPicPr>
                  </pic:nvPicPr>
                  <pic:blipFill>
                    <a:blip r:embed="rId215" cstate="print">
                      <a:extLst>
                        <a:ext uri="{28A0092B-C50C-407E-A947-70E740481C1C}">
                          <a14:useLocalDpi xmlns:a14="http://schemas.microsoft.com/office/drawing/2010/main" val="0"/>
                        </a:ext>
                      </a:extLst>
                    </a:blip>
                    <a:srcRect t="1999" b="3999"/>
                    <a:stretch>
                      <a:fillRect/>
                    </a:stretch>
                  </pic:blipFill>
                  <pic:spPr>
                    <a:xfrm>
                      <a:off x="0" y="0"/>
                      <a:ext cx="4026535" cy="2719070"/>
                    </a:xfrm>
                    <a:prstGeom prst="rect">
                      <a:avLst/>
                    </a:prstGeom>
                    <a:noFill/>
                    <a:ln>
                      <a:noFill/>
                    </a:ln>
                  </pic:spPr>
                </pic:pic>
              </a:graphicData>
            </a:graphic>
          </wp:inline>
        </w:drawing>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图5.2.5-4  无长征渠补水枯水年坝前垂向水温分布</w:t>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表5.2.5-9  无长征渠补水丰水年库表、库底水温及其温差  单位：℃</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612"/>
        <w:gridCol w:w="615"/>
        <w:gridCol w:w="615"/>
        <w:gridCol w:w="615"/>
        <w:gridCol w:w="615"/>
        <w:gridCol w:w="616"/>
        <w:gridCol w:w="616"/>
        <w:gridCol w:w="616"/>
        <w:gridCol w:w="615"/>
        <w:gridCol w:w="657"/>
        <w:gridCol w:w="65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4" w:type="pct"/>
            <w:noWrap/>
            <w:vAlign w:val="center"/>
          </w:tcPr>
          <w:p>
            <w:pPr>
              <w:widowControl/>
              <w:spacing w:line="240" w:lineRule="auto"/>
              <w:ind w:firstLine="0" w:firstLineChars="0"/>
              <w:contextualSpacing/>
              <w:jc w:val="center"/>
              <w:rPr>
                <w:kern w:val="0"/>
                <w:sz w:val="20"/>
                <w:szCs w:val="20"/>
              </w:rPr>
            </w:pPr>
            <w:r>
              <w:rPr>
                <w:kern w:val="0"/>
                <w:sz w:val="20"/>
                <w:szCs w:val="20"/>
              </w:rPr>
              <w:t>项目</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3月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4月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5月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6月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7月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8月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9月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10月</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11月</w:t>
            </w:r>
          </w:p>
        </w:tc>
        <w:tc>
          <w:tcPr>
            <w:tcW w:w="377" w:type="pct"/>
            <w:noWrap/>
            <w:vAlign w:val="center"/>
          </w:tcPr>
          <w:p>
            <w:pPr>
              <w:widowControl/>
              <w:spacing w:line="240" w:lineRule="auto"/>
              <w:ind w:firstLine="0" w:firstLineChars="0"/>
              <w:contextualSpacing/>
              <w:jc w:val="center"/>
              <w:rPr>
                <w:kern w:val="0"/>
                <w:sz w:val="20"/>
                <w:szCs w:val="20"/>
              </w:rPr>
            </w:pPr>
            <w:r>
              <w:rPr>
                <w:kern w:val="0"/>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4" w:type="pct"/>
            <w:noWrap/>
            <w:vAlign w:val="center"/>
          </w:tcPr>
          <w:p>
            <w:pPr>
              <w:widowControl/>
              <w:spacing w:line="240" w:lineRule="auto"/>
              <w:ind w:firstLine="0" w:firstLineChars="0"/>
              <w:contextualSpacing/>
              <w:jc w:val="center"/>
              <w:rPr>
                <w:kern w:val="0"/>
                <w:sz w:val="20"/>
                <w:szCs w:val="20"/>
              </w:rPr>
            </w:pPr>
            <w:r>
              <w:rPr>
                <w:kern w:val="0"/>
                <w:sz w:val="20"/>
                <w:szCs w:val="20"/>
              </w:rPr>
              <w:t>库表水温</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10.6</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9.0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12.3</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18.0</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22.7</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26.0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28.9</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28.8</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27.0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23.8</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19.6</w:t>
            </w:r>
          </w:p>
        </w:tc>
        <w:tc>
          <w:tcPr>
            <w:tcW w:w="377" w:type="pct"/>
            <w:noWrap/>
            <w:vAlign w:val="center"/>
          </w:tcPr>
          <w:p>
            <w:pPr>
              <w:widowControl/>
              <w:spacing w:line="240" w:lineRule="auto"/>
              <w:ind w:firstLine="0" w:firstLineChars="0"/>
              <w:contextualSpacing/>
              <w:jc w:val="center"/>
              <w:rPr>
                <w:kern w:val="0"/>
                <w:sz w:val="20"/>
                <w:szCs w:val="20"/>
              </w:rPr>
            </w:pPr>
            <w:r>
              <w:rPr>
                <w:kern w:val="0"/>
                <w:sz w:val="20"/>
                <w:szCs w:val="20"/>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4" w:type="pct"/>
            <w:noWrap/>
            <w:vAlign w:val="center"/>
          </w:tcPr>
          <w:p>
            <w:pPr>
              <w:widowControl/>
              <w:spacing w:line="240" w:lineRule="auto"/>
              <w:ind w:firstLine="0" w:firstLineChars="0"/>
              <w:contextualSpacing/>
              <w:jc w:val="center"/>
              <w:rPr>
                <w:kern w:val="0"/>
                <w:sz w:val="20"/>
                <w:szCs w:val="20"/>
              </w:rPr>
            </w:pPr>
            <w:r>
              <w:rPr>
                <w:kern w:val="0"/>
                <w:sz w:val="20"/>
                <w:szCs w:val="20"/>
              </w:rPr>
              <w:t>库底水温</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10.5</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9.0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9.1</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9.2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9.4</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10.0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13.1</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16.6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19.7</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22.0</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19.5</w:t>
            </w:r>
          </w:p>
        </w:tc>
        <w:tc>
          <w:tcPr>
            <w:tcW w:w="377" w:type="pct"/>
            <w:noWrap/>
            <w:vAlign w:val="center"/>
          </w:tcPr>
          <w:p>
            <w:pPr>
              <w:widowControl/>
              <w:spacing w:line="240" w:lineRule="auto"/>
              <w:ind w:firstLine="0" w:firstLineChars="0"/>
              <w:contextualSpacing/>
              <w:jc w:val="center"/>
              <w:rPr>
                <w:kern w:val="0"/>
                <w:sz w:val="20"/>
                <w:szCs w:val="20"/>
              </w:rPr>
            </w:pPr>
            <w:r>
              <w:rPr>
                <w:kern w:val="0"/>
                <w:sz w:val="20"/>
                <w:szCs w:val="20"/>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4" w:type="pct"/>
            <w:noWrap/>
            <w:vAlign w:val="center"/>
          </w:tcPr>
          <w:p>
            <w:pPr>
              <w:widowControl/>
              <w:spacing w:line="240" w:lineRule="auto"/>
              <w:ind w:firstLine="0" w:firstLineChars="0"/>
              <w:contextualSpacing/>
              <w:jc w:val="center"/>
              <w:rPr>
                <w:kern w:val="0"/>
                <w:sz w:val="20"/>
                <w:szCs w:val="20"/>
              </w:rPr>
            </w:pPr>
            <w:r>
              <w:rPr>
                <w:kern w:val="0"/>
                <w:sz w:val="20"/>
                <w:szCs w:val="20"/>
              </w:rPr>
              <w:t>最大温差</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3.3</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8.9</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13.3</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15.9</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15.8</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12.2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7.3</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1.8</w:t>
            </w:r>
          </w:p>
        </w:tc>
        <w:tc>
          <w:tcPr>
            <w:tcW w:w="382"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c>
          <w:tcPr>
            <w:tcW w:w="377"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r>
    </w:tbl>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表5.2.5-10  无长征渠补水枯水年库表库、底水温及其温差  单位：℃</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613"/>
        <w:gridCol w:w="618"/>
        <w:gridCol w:w="615"/>
        <w:gridCol w:w="615"/>
        <w:gridCol w:w="615"/>
        <w:gridCol w:w="615"/>
        <w:gridCol w:w="614"/>
        <w:gridCol w:w="615"/>
        <w:gridCol w:w="615"/>
        <w:gridCol w:w="657"/>
        <w:gridCol w:w="65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0" w:type="pct"/>
            <w:noWrap/>
            <w:vAlign w:val="center"/>
          </w:tcPr>
          <w:p>
            <w:pPr>
              <w:widowControl/>
              <w:spacing w:line="240" w:lineRule="auto"/>
              <w:ind w:firstLine="0" w:firstLineChars="0"/>
              <w:contextualSpacing/>
              <w:jc w:val="center"/>
              <w:rPr>
                <w:kern w:val="0"/>
                <w:sz w:val="20"/>
                <w:szCs w:val="20"/>
              </w:rPr>
            </w:pPr>
            <w:r>
              <w:rPr>
                <w:kern w:val="0"/>
                <w:sz w:val="20"/>
                <w:szCs w:val="20"/>
              </w:rPr>
              <w:t>项目</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1月</w:t>
            </w:r>
          </w:p>
        </w:tc>
        <w:tc>
          <w:tcPr>
            <w:tcW w:w="383" w:type="pct"/>
            <w:noWrap/>
            <w:vAlign w:val="center"/>
          </w:tcPr>
          <w:p>
            <w:pPr>
              <w:widowControl/>
              <w:spacing w:line="240" w:lineRule="auto"/>
              <w:ind w:firstLine="0" w:firstLineChars="0"/>
              <w:contextualSpacing/>
              <w:jc w:val="center"/>
              <w:rPr>
                <w:kern w:val="0"/>
                <w:sz w:val="20"/>
                <w:szCs w:val="20"/>
              </w:rPr>
            </w:pPr>
            <w:r>
              <w:rPr>
                <w:kern w:val="0"/>
                <w:sz w:val="20"/>
                <w:szCs w:val="20"/>
              </w:rPr>
              <w:t>2月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3月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4月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5月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6月</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7月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8月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9月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10月</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11月</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0" w:type="pct"/>
            <w:noWrap/>
            <w:vAlign w:val="center"/>
          </w:tcPr>
          <w:p>
            <w:pPr>
              <w:widowControl/>
              <w:spacing w:line="240" w:lineRule="auto"/>
              <w:ind w:firstLine="0" w:firstLineChars="0"/>
              <w:contextualSpacing/>
              <w:jc w:val="center"/>
              <w:rPr>
                <w:kern w:val="0"/>
                <w:sz w:val="20"/>
                <w:szCs w:val="20"/>
              </w:rPr>
            </w:pPr>
            <w:r>
              <w:rPr>
                <w:kern w:val="0"/>
                <w:sz w:val="20"/>
                <w:szCs w:val="20"/>
              </w:rPr>
              <w:t>库表水温</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9.5</w:t>
            </w:r>
          </w:p>
        </w:tc>
        <w:tc>
          <w:tcPr>
            <w:tcW w:w="383" w:type="pct"/>
            <w:noWrap/>
            <w:vAlign w:val="center"/>
          </w:tcPr>
          <w:p>
            <w:pPr>
              <w:widowControl/>
              <w:spacing w:line="240" w:lineRule="auto"/>
              <w:ind w:firstLine="0" w:firstLineChars="0"/>
              <w:contextualSpacing/>
              <w:jc w:val="center"/>
              <w:rPr>
                <w:kern w:val="0"/>
                <w:sz w:val="20"/>
                <w:szCs w:val="20"/>
              </w:rPr>
            </w:pPr>
            <w:r>
              <w:rPr>
                <w:kern w:val="0"/>
                <w:sz w:val="20"/>
                <w:szCs w:val="20"/>
              </w:rPr>
              <w:t>8.4</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12.4</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18.2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22.7</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26.3</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29.1</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28.8</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26.9</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23.4</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18.8</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0" w:type="pct"/>
            <w:noWrap/>
            <w:vAlign w:val="center"/>
          </w:tcPr>
          <w:p>
            <w:pPr>
              <w:widowControl/>
              <w:spacing w:line="240" w:lineRule="auto"/>
              <w:ind w:firstLine="0" w:firstLineChars="0"/>
              <w:contextualSpacing/>
              <w:jc w:val="center"/>
              <w:rPr>
                <w:kern w:val="0"/>
                <w:sz w:val="20"/>
                <w:szCs w:val="20"/>
              </w:rPr>
            </w:pPr>
            <w:r>
              <w:rPr>
                <w:kern w:val="0"/>
                <w:sz w:val="20"/>
                <w:szCs w:val="20"/>
              </w:rPr>
              <w:t>库底水温</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9.4</w:t>
            </w:r>
          </w:p>
        </w:tc>
        <w:tc>
          <w:tcPr>
            <w:tcW w:w="383" w:type="pct"/>
            <w:noWrap/>
            <w:vAlign w:val="center"/>
          </w:tcPr>
          <w:p>
            <w:pPr>
              <w:widowControl/>
              <w:spacing w:line="240" w:lineRule="auto"/>
              <w:ind w:firstLine="0" w:firstLineChars="0"/>
              <w:contextualSpacing/>
              <w:jc w:val="center"/>
              <w:rPr>
                <w:kern w:val="0"/>
                <w:sz w:val="20"/>
                <w:szCs w:val="20"/>
              </w:rPr>
            </w:pPr>
            <w:r>
              <w:rPr>
                <w:kern w:val="0"/>
                <w:sz w:val="20"/>
                <w:szCs w:val="20"/>
              </w:rPr>
              <w:t>8.2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8.3</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8.6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9.2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11.5</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16.9</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19.9</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21.6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22.6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18.7</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0" w:type="pct"/>
            <w:noWrap/>
            <w:vAlign w:val="center"/>
          </w:tcPr>
          <w:p>
            <w:pPr>
              <w:widowControl/>
              <w:spacing w:line="240" w:lineRule="auto"/>
              <w:ind w:firstLine="0" w:firstLineChars="0"/>
              <w:contextualSpacing/>
              <w:jc w:val="center"/>
              <w:rPr>
                <w:kern w:val="0"/>
                <w:sz w:val="20"/>
                <w:szCs w:val="20"/>
              </w:rPr>
            </w:pPr>
            <w:r>
              <w:rPr>
                <w:kern w:val="0"/>
                <w:sz w:val="20"/>
                <w:szCs w:val="20"/>
              </w:rPr>
              <w:t>最大温差</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c>
          <w:tcPr>
            <w:tcW w:w="383" w:type="pct"/>
            <w:noWrap/>
            <w:vAlign w:val="center"/>
          </w:tcPr>
          <w:p>
            <w:pPr>
              <w:widowControl/>
              <w:spacing w:line="240" w:lineRule="auto"/>
              <w:ind w:firstLine="0" w:firstLineChars="0"/>
              <w:contextualSpacing/>
              <w:jc w:val="center"/>
              <w:rPr>
                <w:kern w:val="0"/>
                <w:sz w:val="20"/>
                <w:szCs w:val="20"/>
              </w:rPr>
            </w:pPr>
            <w:r>
              <w:rPr>
                <w:kern w:val="0"/>
                <w:sz w:val="20"/>
                <w:szCs w:val="20"/>
              </w:rPr>
              <w:t>0.2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4.1</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9.6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13.6</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14.8</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12.2</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8.9</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5.3</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0.7</w:t>
            </w:r>
          </w:p>
        </w:tc>
        <w:tc>
          <w:tcPr>
            <w:tcW w:w="381"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c>
          <w:tcPr>
            <w:tcW w:w="380" w:type="pct"/>
            <w:noWrap/>
            <w:vAlign w:val="center"/>
          </w:tcPr>
          <w:p>
            <w:pPr>
              <w:widowControl/>
              <w:spacing w:line="240" w:lineRule="auto"/>
              <w:ind w:firstLine="0" w:firstLineChars="0"/>
              <w:contextualSpacing/>
              <w:jc w:val="center"/>
              <w:rPr>
                <w:kern w:val="0"/>
                <w:sz w:val="20"/>
                <w:szCs w:val="20"/>
              </w:rPr>
            </w:pPr>
            <w:r>
              <w:rPr>
                <w:kern w:val="0"/>
                <w:sz w:val="20"/>
                <w:szCs w:val="20"/>
              </w:rPr>
              <w:t>0.1</w:t>
            </w:r>
          </w:p>
        </w:tc>
      </w:tr>
    </w:tbl>
    <w:p>
      <w:pPr>
        <w:ind w:firstLine="0" w:firstLineChars="0"/>
        <w:contextualSpacing/>
        <w:outlineLvl w:val="3"/>
        <w:rPr>
          <w:b/>
          <w:bCs/>
        </w:rPr>
      </w:pPr>
      <w:r>
        <w:rPr>
          <w:b/>
          <w:bCs/>
        </w:rPr>
        <w:t>5.2.5.5下泄水温预测及分析</w:t>
      </w:r>
    </w:p>
    <w:p>
      <w:pPr>
        <w:ind w:firstLine="480"/>
        <w:contextualSpacing/>
      </w:pPr>
      <w:r>
        <w:t>（1）放水洞下泄水温</w:t>
      </w:r>
    </w:p>
    <w:p>
      <w:pPr>
        <w:ind w:firstLine="480"/>
        <w:contextualSpacing/>
      </w:pPr>
      <w:r>
        <w:t>本工程放水洞取水主要为保障下游生态流量、灌溉供水、人畜饮水等，表5.2.5-14给出了放水洞各典型年月均下泄水温过程，总体来看，寒溪寺水库的调节能力较强，通过左岸放水洞下泄水体水温2～7月存在不同程度的低温水。</w:t>
      </w:r>
    </w:p>
    <w:p>
      <w:pPr>
        <w:ind w:firstLine="480"/>
        <w:contextualSpacing/>
      </w:pPr>
      <w:r>
        <w:t>4月、5月月均低温水幅度最大，丰水年、平水年、枯水年4月月均低温水幅度分别为8.5℃、8.1℃、8.4℃，5月月均低温水幅度分别为11.5℃、7.0℃8.6℃，其中丰水年由于1</w:t>
      </w:r>
      <w:r>
        <w:rPr>
          <w:lang w:bidi="en-US"/>
        </w:rPr>
        <w:t>～</w:t>
      </w:r>
      <w:r>
        <w:t>4月库区蓄水量较大，而5月、6月供水量相对稳定，因此导致5月、6月低温水相对平水年、枯水年显著。各典型年9月至次年1月则存在不同程度的高温水，丰水年、平水年、枯水年最大月均高温水幅度分别为6.4℃、5.1℃、5.3℃，均出现在12月。</w:t>
      </w:r>
    </w:p>
    <w:p>
      <w:pPr>
        <w:pStyle w:val="121"/>
        <w:spacing w:line="360" w:lineRule="auto"/>
        <w:ind w:firstLine="480"/>
        <w:contextualSpacing/>
        <w:rPr>
          <w:rFonts w:ascii="Times New Roman" w:hAnsi="Times New Roman" w:eastAsia="宋体" w:cs="Times New Roman"/>
          <w:b/>
          <w:sz w:val="21"/>
          <w:szCs w:val="21"/>
        </w:rPr>
      </w:pPr>
      <w:bookmarkStart w:id="762" w:name="_Toc7003"/>
      <w:bookmarkStart w:id="763" w:name="_Toc15841"/>
      <w:bookmarkStart w:id="764" w:name="_Toc6216"/>
      <w:bookmarkStart w:id="765" w:name="_Toc14"/>
      <w:r>
        <w:rPr>
          <w:rFonts w:ascii="Times New Roman" w:hAnsi="Times New Roman" w:eastAsia="宋体" w:cs="Times New Roman"/>
          <w:b/>
          <w:sz w:val="21"/>
          <w:szCs w:val="21"/>
        </w:rPr>
        <w:t>表5.2.5-14  无长征渠补水左岸放水洞各典型年月均下泄水温过程</w:t>
      </w:r>
    </w:p>
    <w:tbl>
      <w:tblPr>
        <w:tblStyle w:val="38"/>
        <w:tblW w:w="5000" w:type="pct"/>
        <w:tblInd w:w="0" w:type="dxa"/>
        <w:tblLayout w:type="autofit"/>
        <w:tblCellMar>
          <w:top w:w="0" w:type="dxa"/>
          <w:left w:w="108" w:type="dxa"/>
          <w:bottom w:w="0" w:type="dxa"/>
          <w:right w:w="108" w:type="dxa"/>
        </w:tblCellMar>
      </w:tblPr>
      <w:tblGrid>
        <w:gridCol w:w="896"/>
        <w:gridCol w:w="1126"/>
        <w:gridCol w:w="1013"/>
        <w:gridCol w:w="1013"/>
        <w:gridCol w:w="1120"/>
        <w:gridCol w:w="1212"/>
        <w:gridCol w:w="1146"/>
        <w:gridCol w:w="996"/>
      </w:tblGrid>
      <w:tr>
        <w:tblPrEx>
          <w:tblCellMar>
            <w:top w:w="0" w:type="dxa"/>
            <w:left w:w="108" w:type="dxa"/>
            <w:bottom w:w="0" w:type="dxa"/>
            <w:right w:w="108" w:type="dxa"/>
          </w:tblCellMar>
        </w:tblPrEx>
        <w:trPr>
          <w:trHeight w:val="20" w:hRule="atLeast"/>
        </w:trPr>
        <w:tc>
          <w:tcPr>
            <w:tcW w:w="526"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月份</w:t>
            </w:r>
          </w:p>
        </w:tc>
        <w:tc>
          <w:tcPr>
            <w:tcW w:w="661"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坝址天然</w:t>
            </w:r>
          </w:p>
          <w:p>
            <w:pPr>
              <w:widowControl/>
              <w:spacing w:line="240" w:lineRule="auto"/>
              <w:ind w:firstLine="0" w:firstLineChars="0"/>
              <w:contextualSpacing/>
              <w:jc w:val="center"/>
              <w:rPr>
                <w:kern w:val="0"/>
                <w:sz w:val="21"/>
                <w:szCs w:val="21"/>
              </w:rPr>
            </w:pPr>
            <w:r>
              <w:rPr>
                <w:kern w:val="0"/>
                <w:sz w:val="21"/>
                <w:szCs w:val="21"/>
              </w:rPr>
              <w:t>水温</w:t>
            </w:r>
          </w:p>
        </w:tc>
        <w:tc>
          <w:tcPr>
            <w:tcW w:w="1845" w:type="pct"/>
            <w:gridSpan w:val="3"/>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下泄水温</w:t>
            </w:r>
          </w:p>
        </w:tc>
        <w:tc>
          <w:tcPr>
            <w:tcW w:w="1967" w:type="pct"/>
            <w:gridSpan w:val="3"/>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与天然水温温差</w:t>
            </w:r>
          </w:p>
        </w:tc>
      </w:tr>
      <w:tr>
        <w:tblPrEx>
          <w:tblCellMar>
            <w:top w:w="0" w:type="dxa"/>
            <w:left w:w="108" w:type="dxa"/>
            <w:bottom w:w="0" w:type="dxa"/>
            <w:right w:w="108" w:type="dxa"/>
          </w:tblCellMar>
        </w:tblPrEx>
        <w:trPr>
          <w:trHeight w:val="20" w:hRule="atLeast"/>
        </w:trPr>
        <w:tc>
          <w:tcPr>
            <w:tcW w:w="5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66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59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59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657"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71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672"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58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枯水年</w:t>
            </w:r>
          </w:p>
        </w:tc>
      </w:tr>
      <w:tr>
        <w:tblPrEx>
          <w:tblCellMar>
            <w:top w:w="0" w:type="dxa"/>
            <w:left w:w="108" w:type="dxa"/>
            <w:bottom w:w="0" w:type="dxa"/>
            <w:right w:w="108" w:type="dxa"/>
          </w:tblCellMar>
        </w:tblPrEx>
        <w:trPr>
          <w:trHeight w:val="20" w:hRule="atLeast"/>
        </w:trPr>
        <w:tc>
          <w:tcPr>
            <w:tcW w:w="5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66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A</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B</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C</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D</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B-A</w:t>
            </w:r>
          </w:p>
        </w:tc>
        <w:tc>
          <w:tcPr>
            <w:tcW w:w="672"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C-A</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D-A</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7.5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10.6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9.3</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9.5</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3.1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2.0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2月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9.5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9.0</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8.1</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8.2</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-1.4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3月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11.0</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8.4</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-2.0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-2.6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-2.6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4月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17.9</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9.8</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9.4</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-8.5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-8.1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-8.4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5月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22.5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11.0</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15.5</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13.9</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-11.5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-7.0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-8.6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6月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24.8</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19.2</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20.7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24.1</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-5.6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-4.1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7月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26.9</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24.1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23.4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25.6</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-2.8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-3.5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8月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27.2</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25.7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26.9</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-0.9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-1.5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9月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22.5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25.9</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26.2</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3.8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3.4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3.7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10月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18.5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23.5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22.5</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23.0</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5.0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4.0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4.5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11月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15.1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19.5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18.4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18.7</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4.4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3.3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3.6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12月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8.3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14.7</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13.4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13.6</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6.4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5.1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5.3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平均</w:t>
            </w:r>
          </w:p>
        </w:tc>
        <w:tc>
          <w:tcPr>
            <w:tcW w:w="66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16.9</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16.7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17.3</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-0.8</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-0.9</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-0.3</w:t>
            </w:r>
          </w:p>
        </w:tc>
      </w:tr>
    </w:tbl>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表5.2.5-15  长征渠补水左岸放水洞各典型年月均下泄水温过程</w:t>
      </w:r>
    </w:p>
    <w:tbl>
      <w:tblPr>
        <w:tblStyle w:val="38"/>
        <w:tblW w:w="5000" w:type="pct"/>
        <w:tblInd w:w="0" w:type="dxa"/>
        <w:tblLayout w:type="autofit"/>
        <w:tblCellMar>
          <w:top w:w="0" w:type="dxa"/>
          <w:left w:w="108" w:type="dxa"/>
          <w:bottom w:w="0" w:type="dxa"/>
          <w:right w:w="108" w:type="dxa"/>
        </w:tblCellMar>
      </w:tblPr>
      <w:tblGrid>
        <w:gridCol w:w="896"/>
        <w:gridCol w:w="1126"/>
        <w:gridCol w:w="1013"/>
        <w:gridCol w:w="1013"/>
        <w:gridCol w:w="1120"/>
        <w:gridCol w:w="1212"/>
        <w:gridCol w:w="1146"/>
        <w:gridCol w:w="996"/>
      </w:tblGrid>
      <w:tr>
        <w:tblPrEx>
          <w:tblCellMar>
            <w:top w:w="0" w:type="dxa"/>
            <w:left w:w="108" w:type="dxa"/>
            <w:bottom w:w="0" w:type="dxa"/>
            <w:right w:w="108" w:type="dxa"/>
          </w:tblCellMar>
        </w:tblPrEx>
        <w:trPr>
          <w:trHeight w:val="20" w:hRule="atLeast"/>
        </w:trPr>
        <w:tc>
          <w:tcPr>
            <w:tcW w:w="526"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月份</w:t>
            </w:r>
          </w:p>
        </w:tc>
        <w:tc>
          <w:tcPr>
            <w:tcW w:w="661"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坝址天然</w:t>
            </w:r>
          </w:p>
          <w:p>
            <w:pPr>
              <w:widowControl/>
              <w:spacing w:line="240" w:lineRule="auto"/>
              <w:ind w:firstLine="0" w:firstLineChars="0"/>
              <w:contextualSpacing/>
              <w:jc w:val="center"/>
              <w:rPr>
                <w:kern w:val="0"/>
                <w:sz w:val="21"/>
                <w:szCs w:val="21"/>
              </w:rPr>
            </w:pPr>
            <w:r>
              <w:rPr>
                <w:kern w:val="0"/>
                <w:sz w:val="21"/>
                <w:szCs w:val="21"/>
              </w:rPr>
              <w:t>水温</w:t>
            </w:r>
          </w:p>
        </w:tc>
        <w:tc>
          <w:tcPr>
            <w:tcW w:w="1845" w:type="pct"/>
            <w:gridSpan w:val="3"/>
            <w:tcBorders>
              <w:top w:val="single" w:color="auto" w:sz="4" w:space="0"/>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下泄水温</w:t>
            </w:r>
          </w:p>
        </w:tc>
        <w:tc>
          <w:tcPr>
            <w:tcW w:w="1967" w:type="pct"/>
            <w:gridSpan w:val="3"/>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与天然水温温差</w:t>
            </w:r>
          </w:p>
        </w:tc>
      </w:tr>
      <w:tr>
        <w:tblPrEx>
          <w:tblCellMar>
            <w:top w:w="0" w:type="dxa"/>
            <w:left w:w="108" w:type="dxa"/>
            <w:bottom w:w="0" w:type="dxa"/>
            <w:right w:w="108" w:type="dxa"/>
          </w:tblCellMar>
        </w:tblPrEx>
        <w:trPr>
          <w:trHeight w:val="20" w:hRule="atLeast"/>
        </w:trPr>
        <w:tc>
          <w:tcPr>
            <w:tcW w:w="5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66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59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59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657"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71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672"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584"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枯水年</w:t>
            </w:r>
          </w:p>
        </w:tc>
      </w:tr>
      <w:tr>
        <w:tblPrEx>
          <w:tblCellMar>
            <w:top w:w="0" w:type="dxa"/>
            <w:left w:w="108" w:type="dxa"/>
            <w:bottom w:w="0" w:type="dxa"/>
            <w:right w:w="108" w:type="dxa"/>
          </w:tblCellMar>
        </w:tblPrEx>
        <w:trPr>
          <w:trHeight w:val="20" w:hRule="atLeast"/>
        </w:trPr>
        <w:tc>
          <w:tcPr>
            <w:tcW w:w="5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kern w:val="0"/>
                <w:sz w:val="21"/>
                <w:szCs w:val="21"/>
              </w:rPr>
            </w:pPr>
          </w:p>
        </w:tc>
        <w:tc>
          <w:tcPr>
            <w:tcW w:w="66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A</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B</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C</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D</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B-A</w:t>
            </w:r>
          </w:p>
        </w:tc>
        <w:tc>
          <w:tcPr>
            <w:tcW w:w="672"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C-A</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D-A</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7.5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10.6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9.2</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9.5</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3.1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2.1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2月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9.5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9.0</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8.1</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8.2</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-1.4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3月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11.0</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8.5</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-2.0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-2.6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-2.6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4月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17.9</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9.4</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-8.5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-8.1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-8.4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5月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22.5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11.5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16.6</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14.7</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-11.0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-5.9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-7.8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6月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24.8</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20.6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22.5</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24.4</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-4.2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-2.3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7月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26.9</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25.5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24.7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26.2</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-1.4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-2.2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8月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27.2</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27.1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26.7</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27.3</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9月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22.5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26.2</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26.3</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3.8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3.7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3.8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10月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18.5</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23.4</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22.4</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22.9</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4.9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3.9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4.4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11月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15.1</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19.3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18.3</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18.6</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4.3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3.2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3.5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12月</w:t>
            </w:r>
          </w:p>
        </w:tc>
        <w:tc>
          <w:tcPr>
            <w:tcW w:w="661" w:type="pct"/>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sz w:val="21"/>
                <w:szCs w:val="21"/>
              </w:rPr>
              <w:t>8.3</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14.6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13.3</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13.7</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6.3 </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5.0 </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 xml:space="preserve">5.4 </w:t>
            </w:r>
          </w:p>
        </w:tc>
      </w:tr>
      <w:tr>
        <w:tblPrEx>
          <w:tblCellMar>
            <w:top w:w="0" w:type="dxa"/>
            <w:left w:w="108" w:type="dxa"/>
            <w:bottom w:w="0" w:type="dxa"/>
            <w:right w:w="108" w:type="dxa"/>
          </w:tblCellMar>
        </w:tblPrEx>
        <w:trPr>
          <w:trHeight w:val="20" w:hRule="atLeast"/>
        </w:trPr>
        <w:tc>
          <w:tcPr>
            <w:tcW w:w="526" w:type="pct"/>
            <w:tcBorders>
              <w:top w:val="nil"/>
              <w:left w:val="single" w:color="auto" w:sz="4" w:space="0"/>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kern w:val="0"/>
                <w:sz w:val="21"/>
                <w:szCs w:val="21"/>
              </w:rPr>
              <w:t>平均</w:t>
            </w:r>
          </w:p>
        </w:tc>
        <w:tc>
          <w:tcPr>
            <w:tcW w:w="66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17.6</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17.2</w:t>
            </w:r>
          </w:p>
        </w:tc>
        <w:tc>
          <w:tcPr>
            <w:tcW w:w="59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17.2</w:t>
            </w:r>
          </w:p>
        </w:tc>
        <w:tc>
          <w:tcPr>
            <w:tcW w:w="657"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17.5</w:t>
            </w:r>
          </w:p>
        </w:tc>
        <w:tc>
          <w:tcPr>
            <w:tcW w:w="711"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-0.4</w:t>
            </w:r>
          </w:p>
        </w:tc>
        <w:tc>
          <w:tcPr>
            <w:tcW w:w="672"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-0.4</w:t>
            </w:r>
          </w:p>
        </w:tc>
        <w:tc>
          <w:tcPr>
            <w:tcW w:w="584" w:type="pct"/>
            <w:tcBorders>
              <w:top w:val="nil"/>
              <w:left w:val="nil"/>
              <w:bottom w:val="single" w:color="auto" w:sz="4" w:space="0"/>
              <w:right w:val="single" w:color="auto" w:sz="4" w:space="0"/>
            </w:tcBorders>
            <w:noWrap/>
            <w:vAlign w:val="bottom"/>
          </w:tcPr>
          <w:p>
            <w:pPr>
              <w:widowControl/>
              <w:spacing w:line="240" w:lineRule="auto"/>
              <w:ind w:firstLine="0" w:firstLineChars="0"/>
              <w:contextualSpacing/>
              <w:jc w:val="center"/>
              <w:rPr>
                <w:kern w:val="0"/>
                <w:sz w:val="21"/>
                <w:szCs w:val="21"/>
              </w:rPr>
            </w:pPr>
            <w:r>
              <w:rPr>
                <w:sz w:val="21"/>
                <w:szCs w:val="21"/>
              </w:rPr>
              <w:t>-0.2</w:t>
            </w:r>
          </w:p>
        </w:tc>
      </w:tr>
    </w:tbl>
    <w:p>
      <w:pPr>
        <w:ind w:firstLine="482" w:firstLineChars="0"/>
        <w:contextualSpacing/>
        <w:outlineLvl w:val="3"/>
        <w:rPr>
          <w:b/>
          <w:bCs/>
        </w:rPr>
      </w:pPr>
      <w:r>
        <w:rPr>
          <w:b/>
          <w:bCs/>
        </w:rPr>
        <w:t>5.2.5.6下游河道水温预测及分析</w:t>
      </w:r>
    </w:p>
    <w:p>
      <w:pPr>
        <w:ind w:firstLine="480"/>
        <w:contextualSpacing/>
      </w:pPr>
      <w:r>
        <w:t>采用纵向一维河道水温模型对坝址下游3.15km减水河道（寒溪寺坝址至化成库尾）水温进行预测。</w:t>
      </w:r>
    </w:p>
    <w:p>
      <w:pPr>
        <w:ind w:firstLine="480"/>
        <w:contextualSpacing/>
      </w:pPr>
      <w:r>
        <w:t>（1）下游河道天然水温及支流水温</w:t>
      </w:r>
    </w:p>
    <w:p>
      <w:pPr>
        <w:ind w:firstLine="480"/>
        <w:contextualSpacing/>
      </w:pPr>
      <w:r>
        <w:t>根据寒溪寺水库坝址天然逐月水温、坝址多年平均逐月流量过程、</w:t>
      </w:r>
      <w:r>
        <w:rPr>
          <w:rFonts w:hint="eastAsia"/>
        </w:rPr>
        <w:t>巴中</w:t>
      </w:r>
      <w:r>
        <w:t>气象站多年平均气象要素，采用纵向一维河道水温模型对下游天然河道水温进行模拟，并假设支流水温与汇入处干流水温相同，得到下游河道天然水温及支流水温如下表所示。</w:t>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表5.2.5-18  下游河道天然水温及支流入汇水温</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9"/>
        <w:gridCol w:w="591"/>
        <w:gridCol w:w="591"/>
        <w:gridCol w:w="591"/>
        <w:gridCol w:w="591"/>
        <w:gridCol w:w="591"/>
        <w:gridCol w:w="591"/>
        <w:gridCol w:w="590"/>
        <w:gridCol w:w="590"/>
        <w:gridCol w:w="590"/>
        <w:gridCol w:w="590"/>
        <w:gridCol w:w="590"/>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675" w:type="pct"/>
            <w:noWrap/>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3月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4月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5月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6月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7月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8月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9月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10月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11月</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675" w:type="pct"/>
            <w:noWrap/>
            <w:vAlign w:val="center"/>
          </w:tcPr>
          <w:p>
            <w:pPr>
              <w:widowControl/>
              <w:spacing w:line="240" w:lineRule="auto"/>
              <w:ind w:firstLine="0" w:firstLineChars="0"/>
              <w:contextualSpacing/>
              <w:jc w:val="center"/>
              <w:rPr>
                <w:kern w:val="0"/>
                <w:sz w:val="21"/>
                <w:szCs w:val="21"/>
              </w:rPr>
            </w:pPr>
            <w:r>
              <w:rPr>
                <w:kern w:val="0"/>
                <w:sz w:val="21"/>
                <w:szCs w:val="21"/>
              </w:rPr>
              <w:t>支流入汇水温</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7.7</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9.7</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11.8</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18.5</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22.9</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25.2</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27.2</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27.4</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22.9</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18.8</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15.1</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675" w:type="pct"/>
            <w:noWrap/>
            <w:vAlign w:val="center"/>
          </w:tcPr>
          <w:p>
            <w:pPr>
              <w:widowControl/>
              <w:spacing w:line="240" w:lineRule="auto"/>
              <w:ind w:firstLine="0" w:firstLineChars="0"/>
              <w:contextualSpacing/>
              <w:jc w:val="center"/>
              <w:rPr>
                <w:kern w:val="0"/>
                <w:sz w:val="21"/>
                <w:szCs w:val="21"/>
              </w:rPr>
            </w:pPr>
            <w:r>
              <w:rPr>
                <w:kern w:val="0"/>
                <w:sz w:val="21"/>
                <w:szCs w:val="21"/>
              </w:rPr>
              <w:t>2.0km处天然水温</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7.6</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9.6</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11.4</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18.1</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22.7</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25.0</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27.0</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27.3</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22.7</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18.6</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15.1</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675" w:type="pct"/>
            <w:noWrap/>
            <w:vAlign w:val="center"/>
          </w:tcPr>
          <w:p>
            <w:pPr>
              <w:widowControl/>
              <w:spacing w:line="240" w:lineRule="auto"/>
              <w:ind w:firstLine="0" w:firstLineChars="0"/>
              <w:contextualSpacing/>
              <w:jc w:val="center"/>
              <w:rPr>
                <w:kern w:val="0"/>
                <w:sz w:val="21"/>
                <w:szCs w:val="21"/>
              </w:rPr>
            </w:pPr>
            <w:r>
              <w:rPr>
                <w:kern w:val="0"/>
                <w:sz w:val="21"/>
                <w:szCs w:val="21"/>
              </w:rPr>
              <w:t>5.0km处天然水温</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7.8</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9.8</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12.3</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18.8</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23.2</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25.4</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27.4</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27.5</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23.2</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19.0</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15.1</w:t>
            </w:r>
          </w:p>
        </w:tc>
        <w:tc>
          <w:tcPr>
            <w:tcW w:w="360" w:type="pct"/>
            <w:noWrap/>
            <w:vAlign w:val="center"/>
          </w:tcPr>
          <w:p>
            <w:pPr>
              <w:widowControl/>
              <w:spacing w:line="240" w:lineRule="auto"/>
              <w:ind w:firstLine="0" w:firstLineChars="0"/>
              <w:contextualSpacing/>
              <w:jc w:val="center"/>
              <w:rPr>
                <w:kern w:val="0"/>
                <w:sz w:val="21"/>
                <w:szCs w:val="21"/>
              </w:rPr>
            </w:pPr>
            <w:r>
              <w:rPr>
                <w:kern w:val="0"/>
                <w:sz w:val="21"/>
                <w:szCs w:val="21"/>
              </w:rPr>
              <w:t>8.8</w:t>
            </w:r>
          </w:p>
        </w:tc>
      </w:tr>
    </w:tbl>
    <w:p>
      <w:pPr>
        <w:ind w:firstLine="480"/>
        <w:contextualSpacing/>
      </w:pPr>
      <w:r>
        <w:t>（2）建库后坝下典型断面水温预测</w:t>
      </w:r>
    </w:p>
    <w:p>
      <w:pPr>
        <w:ind w:firstLine="480"/>
        <w:contextualSpacing/>
      </w:pPr>
      <w:r>
        <w:t>1）坝址下游2km断面</w:t>
      </w:r>
    </w:p>
    <w:p>
      <w:pPr>
        <w:ind w:firstLine="480"/>
        <w:contextualSpacing/>
      </w:pPr>
      <w:r>
        <w:t>由于寒溪寺水库蓄水后，坝下河道流量减小，大多数月份在无弃水情况下仅下放最小生态流量，因此下泄水体在河道沿程气象作用下，水温得到了一定程度的恢复，其中5月由于水气温差较大，低温水恢复最快。无长征渠补水方案下丰水年、平水年、枯水年坝址下游2km断面低温水幅度减小为9.4℃、5.6℃、7.0℃，较坝址下泄水温升高2.3℃、1.6℃、1.8℃，而冬季高温水较坝址下泄最大降低1.5℃（丰水年12月）、0.8℃（平水年11月）、0.8℃（枯水年10-12月）。长征渠补水方案下丰水年、平水年、枯水年坝址下游2km断面低温水幅度减小为9.0℃、4.7℃、6.3℃，较坝址下泄水温升高2.2℃、1.4℃、1.7℃，而冬季高温水较坝址下泄最大降低1.5℃（丰水年12月）、0.8℃（平水年11月）、0.8℃（枯水年11-12月）。</w:t>
      </w:r>
    </w:p>
    <w:p>
      <w:pPr>
        <w:ind w:firstLine="480"/>
        <w:contextualSpacing/>
      </w:pPr>
      <w:r>
        <w:t>2）坝址下游5km断面</w:t>
      </w:r>
    </w:p>
    <w:p>
      <w:pPr>
        <w:ind w:firstLine="480"/>
        <w:contextualSpacing/>
      </w:pPr>
      <w:r>
        <w:t>受沿程河道气象作用以及坝下5km处支流入汇，且该支流入汇流量较坝址下泄生态流量大，因此水温得到进一步的恢复。无长征渠补水方案下丰水年、平水年、枯水年最大低温水幅度降低为1.8℃、1.7℃、1.7℃，低温水的影响进一步减小，较坝址下泄最大升高10.5℃、7.4℃、7.6℃。冬季高温水最大降低5.3℃、3.4℃、3.7℃，水库的影响基本消失，恢复至天然状态。长征渠补水方案下丰水年、平水年、枯水年最大低温水幅度降低为1.7℃、1.7℃、1.8℃，低温水的影响进一步减小，较坝址下泄最大升高10.0℃、7.4℃、7.7℃。冬季高温水最大降低5.2℃、3.4℃、3.7℃，水库的影响基本消失，水温接近天然状态。</w:t>
      </w:r>
    </w:p>
    <w:p>
      <w:pPr>
        <w:ind w:firstLine="480"/>
        <w:contextualSpacing/>
      </w:pPr>
    </w:p>
    <w:p>
      <w:pPr>
        <w:ind w:firstLine="480"/>
        <w:contextualSpacing/>
        <w:sectPr>
          <w:headerReference r:id="rId26" w:type="first"/>
          <w:footerReference r:id="rId29" w:type="first"/>
          <w:footerReference r:id="rId27" w:type="default"/>
          <w:headerReference r:id="rId25" w:type="even"/>
          <w:footerReference r:id="rId28" w:type="even"/>
          <w:pgSz w:w="11906" w:h="16838"/>
          <w:pgMar w:top="1440" w:right="1800" w:bottom="1440" w:left="1800" w:header="851" w:footer="992" w:gutter="0"/>
          <w:cols w:space="720" w:num="1"/>
          <w:docGrid w:type="lines" w:linePitch="312" w:charSpace="0"/>
        </w:sectPr>
      </w:pP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表5.2.5-19  寒溪寺水库典型年坝下2km断面水温预测  单位：℃</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54"/>
        <w:gridCol w:w="865"/>
        <w:gridCol w:w="981"/>
        <w:gridCol w:w="1035"/>
        <w:gridCol w:w="1009"/>
        <w:gridCol w:w="862"/>
        <w:gridCol w:w="941"/>
        <w:gridCol w:w="1080"/>
        <w:gridCol w:w="1009"/>
        <w:gridCol w:w="981"/>
        <w:gridCol w:w="1179"/>
        <w:gridCol w:w="1154"/>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restart"/>
            <w:noWrap/>
            <w:vAlign w:val="center"/>
          </w:tcPr>
          <w:p>
            <w:pPr>
              <w:widowControl/>
              <w:spacing w:line="240" w:lineRule="auto"/>
              <w:ind w:firstLine="0" w:firstLineChars="0"/>
              <w:contextualSpacing/>
              <w:jc w:val="center"/>
              <w:rPr>
                <w:kern w:val="0"/>
                <w:sz w:val="21"/>
                <w:szCs w:val="21"/>
              </w:rPr>
            </w:pPr>
            <w:r>
              <w:rPr>
                <w:kern w:val="0"/>
                <w:sz w:val="21"/>
                <w:szCs w:val="21"/>
              </w:rPr>
              <w:t>月份</w:t>
            </w:r>
          </w:p>
        </w:tc>
        <w:tc>
          <w:tcPr>
            <w:tcW w:w="1058" w:type="pct"/>
            <w:gridSpan w:val="3"/>
            <w:noWrap/>
            <w:vAlign w:val="center"/>
          </w:tcPr>
          <w:p>
            <w:pPr>
              <w:widowControl/>
              <w:spacing w:line="240" w:lineRule="auto"/>
              <w:ind w:firstLine="0" w:firstLineChars="0"/>
              <w:contextualSpacing/>
              <w:jc w:val="center"/>
              <w:rPr>
                <w:kern w:val="0"/>
                <w:sz w:val="21"/>
                <w:szCs w:val="21"/>
              </w:rPr>
            </w:pPr>
            <w:r>
              <w:rPr>
                <w:kern w:val="0"/>
                <w:sz w:val="21"/>
                <w:szCs w:val="21"/>
              </w:rPr>
              <w:t>坝址下泄水温</w:t>
            </w:r>
          </w:p>
        </w:tc>
        <w:tc>
          <w:tcPr>
            <w:tcW w:w="365" w:type="pct"/>
            <w:vMerge w:val="restart"/>
            <w:vAlign w:val="center"/>
          </w:tcPr>
          <w:p>
            <w:pPr>
              <w:widowControl/>
              <w:spacing w:line="240" w:lineRule="auto"/>
              <w:ind w:firstLine="0" w:firstLineChars="0"/>
              <w:contextualSpacing/>
              <w:jc w:val="center"/>
              <w:rPr>
                <w:kern w:val="0"/>
                <w:sz w:val="21"/>
                <w:szCs w:val="21"/>
              </w:rPr>
            </w:pPr>
            <w:r>
              <w:rPr>
                <w:kern w:val="0"/>
                <w:sz w:val="21"/>
                <w:szCs w:val="21"/>
              </w:rPr>
              <w:t>坝下2km天然水温</w:t>
            </w:r>
          </w:p>
        </w:tc>
        <w:tc>
          <w:tcPr>
            <w:tcW w:w="992" w:type="pct"/>
            <w:gridSpan w:val="3"/>
            <w:noWrap/>
            <w:vAlign w:val="bottom"/>
          </w:tcPr>
          <w:p>
            <w:pPr>
              <w:widowControl/>
              <w:spacing w:line="240" w:lineRule="auto"/>
              <w:ind w:firstLine="0" w:firstLineChars="0"/>
              <w:contextualSpacing/>
              <w:jc w:val="center"/>
              <w:rPr>
                <w:kern w:val="0"/>
                <w:sz w:val="21"/>
                <w:szCs w:val="21"/>
              </w:rPr>
            </w:pPr>
            <w:r>
              <w:rPr>
                <w:kern w:val="0"/>
                <w:sz w:val="21"/>
                <w:szCs w:val="21"/>
              </w:rPr>
              <w:t>坝下2km断面水温</w:t>
            </w:r>
          </w:p>
        </w:tc>
        <w:tc>
          <w:tcPr>
            <w:tcW w:w="1083" w:type="pct"/>
            <w:gridSpan w:val="3"/>
            <w:noWrap/>
            <w:vAlign w:val="center"/>
          </w:tcPr>
          <w:p>
            <w:pPr>
              <w:widowControl/>
              <w:spacing w:line="240" w:lineRule="auto"/>
              <w:ind w:firstLine="0" w:firstLineChars="0"/>
              <w:contextualSpacing/>
              <w:jc w:val="center"/>
              <w:rPr>
                <w:kern w:val="0"/>
                <w:sz w:val="21"/>
                <w:szCs w:val="21"/>
              </w:rPr>
            </w:pPr>
            <w:r>
              <w:rPr>
                <w:kern w:val="0"/>
                <w:sz w:val="21"/>
                <w:szCs w:val="21"/>
              </w:rPr>
              <w:t>水温影响</w:t>
            </w:r>
          </w:p>
        </w:tc>
        <w:tc>
          <w:tcPr>
            <w:tcW w:w="1199" w:type="pct"/>
            <w:gridSpan w:val="3"/>
            <w:noWrap/>
            <w:vAlign w:val="bottom"/>
          </w:tcPr>
          <w:p>
            <w:pPr>
              <w:widowControl/>
              <w:spacing w:line="240" w:lineRule="auto"/>
              <w:ind w:firstLine="0" w:firstLineChars="0"/>
              <w:contextualSpacing/>
              <w:jc w:val="center"/>
              <w:rPr>
                <w:kern w:val="0"/>
                <w:sz w:val="21"/>
                <w:szCs w:val="21"/>
              </w:rPr>
            </w:pPr>
            <w:r>
              <w:rPr>
                <w:kern w:val="0"/>
                <w:sz w:val="21"/>
                <w:szCs w:val="21"/>
              </w:rPr>
              <w:t>较下泄增温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pPr>
              <w:widowControl/>
              <w:spacing w:line="240" w:lineRule="auto"/>
              <w:ind w:firstLine="0" w:firstLineChars="0"/>
              <w:contextualSpacing/>
              <w:jc w:val="left"/>
              <w:rPr>
                <w:kern w:val="0"/>
                <w:sz w:val="21"/>
                <w:szCs w:val="21"/>
              </w:rPr>
            </w:pPr>
          </w:p>
        </w:tc>
        <w:tc>
          <w:tcPr>
            <w:tcW w:w="407"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05"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46"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365" w:type="pct"/>
            <w:vMerge w:val="continue"/>
            <w:vAlign w:val="center"/>
          </w:tcPr>
          <w:p>
            <w:pPr>
              <w:widowControl/>
              <w:spacing w:line="240" w:lineRule="auto"/>
              <w:ind w:firstLine="0" w:firstLineChars="0"/>
              <w:contextualSpacing/>
              <w:jc w:val="left"/>
              <w:rPr>
                <w:kern w:val="0"/>
                <w:sz w:val="21"/>
                <w:szCs w:val="21"/>
              </w:rPr>
            </w:pPr>
          </w:p>
        </w:tc>
        <w:tc>
          <w:tcPr>
            <w:tcW w:w="356"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04"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32"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381"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56"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46"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416"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407"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76"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pPr>
              <w:widowControl/>
              <w:spacing w:line="240" w:lineRule="auto"/>
              <w:ind w:firstLine="0" w:firstLineChars="0"/>
              <w:contextualSpacing/>
              <w:jc w:val="left"/>
              <w:rPr>
                <w:kern w:val="0"/>
                <w:sz w:val="21"/>
                <w:szCs w:val="21"/>
              </w:rPr>
            </w:pPr>
          </w:p>
        </w:tc>
        <w:tc>
          <w:tcPr>
            <w:tcW w:w="407" w:type="pct"/>
            <w:noWrap/>
            <w:vAlign w:val="bottom"/>
          </w:tcPr>
          <w:p>
            <w:pPr>
              <w:widowControl/>
              <w:spacing w:line="240" w:lineRule="auto"/>
              <w:ind w:firstLine="0" w:firstLineChars="0"/>
              <w:contextualSpacing/>
              <w:jc w:val="center"/>
              <w:rPr>
                <w:kern w:val="0"/>
                <w:sz w:val="21"/>
                <w:szCs w:val="21"/>
              </w:rPr>
            </w:pPr>
            <w:r>
              <w:rPr>
                <w:kern w:val="0"/>
                <w:sz w:val="21"/>
                <w:szCs w:val="21"/>
              </w:rPr>
              <w:t>A</w:t>
            </w:r>
          </w:p>
        </w:tc>
        <w:tc>
          <w:tcPr>
            <w:tcW w:w="305" w:type="pct"/>
            <w:noWrap/>
            <w:vAlign w:val="bottom"/>
          </w:tcPr>
          <w:p>
            <w:pPr>
              <w:widowControl/>
              <w:spacing w:line="240" w:lineRule="auto"/>
              <w:ind w:firstLine="0" w:firstLineChars="0"/>
              <w:contextualSpacing/>
              <w:jc w:val="center"/>
              <w:rPr>
                <w:kern w:val="0"/>
                <w:sz w:val="21"/>
                <w:szCs w:val="21"/>
              </w:rPr>
            </w:pPr>
            <w:r>
              <w:rPr>
                <w:kern w:val="0"/>
                <w:sz w:val="21"/>
                <w:szCs w:val="21"/>
              </w:rPr>
              <w:t>B</w:t>
            </w:r>
          </w:p>
        </w:tc>
        <w:tc>
          <w:tcPr>
            <w:tcW w:w="346" w:type="pct"/>
            <w:noWrap/>
            <w:vAlign w:val="bottom"/>
          </w:tcPr>
          <w:p>
            <w:pPr>
              <w:widowControl/>
              <w:spacing w:line="240" w:lineRule="auto"/>
              <w:ind w:firstLine="0" w:firstLineChars="0"/>
              <w:contextualSpacing/>
              <w:jc w:val="center"/>
              <w:rPr>
                <w:kern w:val="0"/>
                <w:sz w:val="21"/>
                <w:szCs w:val="21"/>
              </w:rPr>
            </w:pPr>
            <w:r>
              <w:rPr>
                <w:kern w:val="0"/>
                <w:sz w:val="21"/>
                <w:szCs w:val="21"/>
              </w:rPr>
              <w:t>C</w:t>
            </w:r>
          </w:p>
        </w:tc>
        <w:tc>
          <w:tcPr>
            <w:tcW w:w="365" w:type="pct"/>
            <w:noWrap/>
            <w:vAlign w:val="bottom"/>
          </w:tcPr>
          <w:p>
            <w:pPr>
              <w:widowControl/>
              <w:spacing w:line="240" w:lineRule="auto"/>
              <w:ind w:firstLine="0" w:firstLineChars="0"/>
              <w:contextualSpacing/>
              <w:jc w:val="center"/>
              <w:rPr>
                <w:kern w:val="0"/>
                <w:sz w:val="21"/>
                <w:szCs w:val="21"/>
              </w:rPr>
            </w:pPr>
            <w:r>
              <w:rPr>
                <w:kern w:val="0"/>
                <w:sz w:val="21"/>
                <w:szCs w:val="21"/>
              </w:rPr>
              <w:t>D</w:t>
            </w:r>
          </w:p>
        </w:tc>
        <w:tc>
          <w:tcPr>
            <w:tcW w:w="356" w:type="pct"/>
            <w:noWrap/>
            <w:vAlign w:val="bottom"/>
          </w:tcPr>
          <w:p>
            <w:pPr>
              <w:widowControl/>
              <w:spacing w:line="240" w:lineRule="auto"/>
              <w:ind w:firstLine="0" w:firstLineChars="0"/>
              <w:contextualSpacing/>
              <w:jc w:val="center"/>
              <w:rPr>
                <w:kern w:val="0"/>
                <w:sz w:val="21"/>
                <w:szCs w:val="21"/>
              </w:rPr>
            </w:pPr>
            <w:r>
              <w:rPr>
                <w:kern w:val="0"/>
                <w:sz w:val="21"/>
                <w:szCs w:val="21"/>
              </w:rPr>
              <w:t>E</w:t>
            </w:r>
          </w:p>
        </w:tc>
        <w:tc>
          <w:tcPr>
            <w:tcW w:w="304" w:type="pct"/>
            <w:noWrap/>
            <w:vAlign w:val="bottom"/>
          </w:tcPr>
          <w:p>
            <w:pPr>
              <w:widowControl/>
              <w:spacing w:line="240" w:lineRule="auto"/>
              <w:ind w:firstLine="0" w:firstLineChars="0"/>
              <w:contextualSpacing/>
              <w:jc w:val="center"/>
              <w:rPr>
                <w:kern w:val="0"/>
                <w:sz w:val="21"/>
                <w:szCs w:val="21"/>
              </w:rPr>
            </w:pPr>
            <w:r>
              <w:rPr>
                <w:kern w:val="0"/>
                <w:sz w:val="21"/>
                <w:szCs w:val="21"/>
              </w:rPr>
              <w:t>F</w:t>
            </w:r>
          </w:p>
        </w:tc>
        <w:tc>
          <w:tcPr>
            <w:tcW w:w="332" w:type="pct"/>
            <w:noWrap/>
            <w:vAlign w:val="bottom"/>
          </w:tcPr>
          <w:p>
            <w:pPr>
              <w:widowControl/>
              <w:spacing w:line="240" w:lineRule="auto"/>
              <w:ind w:firstLine="0" w:firstLineChars="0"/>
              <w:contextualSpacing/>
              <w:jc w:val="center"/>
              <w:rPr>
                <w:kern w:val="0"/>
                <w:sz w:val="21"/>
                <w:szCs w:val="21"/>
              </w:rPr>
            </w:pPr>
            <w:r>
              <w:rPr>
                <w:kern w:val="0"/>
                <w:sz w:val="21"/>
                <w:szCs w:val="21"/>
              </w:rPr>
              <w:t>G</w:t>
            </w:r>
          </w:p>
        </w:tc>
        <w:tc>
          <w:tcPr>
            <w:tcW w:w="381" w:type="pct"/>
            <w:noWrap/>
            <w:vAlign w:val="bottom"/>
          </w:tcPr>
          <w:p>
            <w:pPr>
              <w:widowControl/>
              <w:spacing w:line="240" w:lineRule="auto"/>
              <w:ind w:firstLine="0" w:firstLineChars="0"/>
              <w:contextualSpacing/>
              <w:jc w:val="center"/>
              <w:rPr>
                <w:kern w:val="0"/>
                <w:sz w:val="21"/>
                <w:szCs w:val="21"/>
              </w:rPr>
            </w:pPr>
            <w:r>
              <w:rPr>
                <w:kern w:val="0"/>
                <w:sz w:val="21"/>
                <w:szCs w:val="21"/>
              </w:rPr>
              <w:t>E-D</w:t>
            </w:r>
          </w:p>
        </w:tc>
        <w:tc>
          <w:tcPr>
            <w:tcW w:w="356" w:type="pct"/>
            <w:vAlign w:val="center"/>
          </w:tcPr>
          <w:p>
            <w:pPr>
              <w:widowControl/>
              <w:spacing w:line="240" w:lineRule="auto"/>
              <w:ind w:firstLine="0" w:firstLineChars="0"/>
              <w:contextualSpacing/>
              <w:jc w:val="center"/>
              <w:rPr>
                <w:kern w:val="0"/>
                <w:sz w:val="21"/>
                <w:szCs w:val="21"/>
              </w:rPr>
            </w:pPr>
            <w:r>
              <w:rPr>
                <w:kern w:val="0"/>
                <w:sz w:val="21"/>
                <w:szCs w:val="21"/>
              </w:rPr>
              <w:t>F-D</w:t>
            </w:r>
          </w:p>
        </w:tc>
        <w:tc>
          <w:tcPr>
            <w:tcW w:w="346" w:type="pct"/>
            <w:noWrap/>
            <w:vAlign w:val="bottom"/>
          </w:tcPr>
          <w:p>
            <w:pPr>
              <w:widowControl/>
              <w:spacing w:line="240" w:lineRule="auto"/>
              <w:ind w:firstLine="0" w:firstLineChars="0"/>
              <w:contextualSpacing/>
              <w:jc w:val="center"/>
              <w:rPr>
                <w:kern w:val="0"/>
                <w:sz w:val="21"/>
                <w:szCs w:val="21"/>
              </w:rPr>
            </w:pPr>
            <w:r>
              <w:rPr>
                <w:kern w:val="0"/>
                <w:sz w:val="21"/>
                <w:szCs w:val="21"/>
              </w:rPr>
              <w:t>G-D</w:t>
            </w:r>
          </w:p>
        </w:tc>
        <w:tc>
          <w:tcPr>
            <w:tcW w:w="416" w:type="pct"/>
            <w:noWrap/>
            <w:vAlign w:val="bottom"/>
          </w:tcPr>
          <w:p>
            <w:pPr>
              <w:widowControl/>
              <w:spacing w:line="240" w:lineRule="auto"/>
              <w:ind w:firstLine="0" w:firstLineChars="0"/>
              <w:contextualSpacing/>
              <w:jc w:val="center"/>
              <w:rPr>
                <w:kern w:val="0"/>
                <w:sz w:val="21"/>
                <w:szCs w:val="21"/>
              </w:rPr>
            </w:pPr>
            <w:r>
              <w:rPr>
                <w:kern w:val="0"/>
                <w:sz w:val="21"/>
                <w:szCs w:val="21"/>
              </w:rPr>
              <w:t>E-A</w:t>
            </w:r>
          </w:p>
        </w:tc>
        <w:tc>
          <w:tcPr>
            <w:tcW w:w="407" w:type="pct"/>
            <w:noWrap/>
            <w:vAlign w:val="bottom"/>
          </w:tcPr>
          <w:p>
            <w:pPr>
              <w:widowControl/>
              <w:spacing w:line="240" w:lineRule="auto"/>
              <w:ind w:firstLine="0" w:firstLineChars="0"/>
              <w:contextualSpacing/>
              <w:jc w:val="center"/>
              <w:rPr>
                <w:kern w:val="0"/>
                <w:sz w:val="21"/>
                <w:szCs w:val="21"/>
              </w:rPr>
            </w:pPr>
            <w:r>
              <w:rPr>
                <w:kern w:val="0"/>
                <w:sz w:val="21"/>
                <w:szCs w:val="21"/>
              </w:rPr>
              <w:t>F-B</w:t>
            </w:r>
          </w:p>
        </w:tc>
        <w:tc>
          <w:tcPr>
            <w:tcW w:w="376" w:type="pct"/>
            <w:noWrap/>
            <w:vAlign w:val="bottom"/>
          </w:tcPr>
          <w:p>
            <w:pPr>
              <w:widowControl/>
              <w:spacing w:line="240" w:lineRule="auto"/>
              <w:ind w:firstLine="0" w:firstLineChars="0"/>
              <w:contextualSpacing/>
              <w:jc w:val="center"/>
              <w:rPr>
                <w:kern w:val="0"/>
                <w:sz w:val="21"/>
                <w:szCs w:val="21"/>
              </w:rPr>
            </w:pPr>
            <w:r>
              <w:rPr>
                <w:kern w:val="0"/>
                <w:sz w:val="21"/>
                <w:szCs w:val="21"/>
              </w:rPr>
              <w:t>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10.6</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9.5</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7.6</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10.1</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8.9</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9.1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2.5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1.4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2月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9.0</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8.1</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8.2</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9.6</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9.0</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8.2</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8.3</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-1.4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3月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8.4</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8.4</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11.4</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9.9</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-2.1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-2.1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0.9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4月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9.8</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9.4</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18.1</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11.0</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11.3</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11.1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-7.2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-6.8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-7.1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1.7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5月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11.0</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15.5</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13.9</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22.7</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13.2</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17.1</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15.7</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-9.4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-5.6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-7.0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2.3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6月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19.2</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20.7</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24.1</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25.0</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20.7</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21.9</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24.6</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-4.2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-3.1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1.5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1.2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7月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24.1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23.4</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25.6</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27.0</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25.3</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24.6</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26.4</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-2.4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1.1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8月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26.3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25.7</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26.9</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27.3</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26.6</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26.2</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27.1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9月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26.3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25.9</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26.2</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22.7</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26.4</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25.6</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25.9</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3.7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3.0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3.2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10月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23.5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22.5</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23.0</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18.6</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22.7</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21.9</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22.3</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4.0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3.2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3.6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-0.9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11月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19.5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18.4</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18.7</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15.1</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18.5</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17.6</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17.8</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3.4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2.5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2.8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12月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14.7</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13.4</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13.6</w:t>
            </w:r>
          </w:p>
        </w:tc>
        <w:tc>
          <w:tcPr>
            <w:tcW w:w="365" w:type="pct"/>
            <w:vAlign w:val="center"/>
          </w:tcPr>
          <w:p>
            <w:pPr>
              <w:widowControl/>
              <w:spacing w:line="240" w:lineRule="auto"/>
              <w:ind w:firstLine="0" w:firstLineChars="0"/>
              <w:contextualSpacing/>
              <w:jc w:val="center"/>
              <w:rPr>
                <w:kern w:val="0"/>
                <w:sz w:val="21"/>
                <w:szCs w:val="21"/>
              </w:rPr>
            </w:pPr>
            <w:r>
              <w:rPr>
                <w:sz w:val="21"/>
                <w:szCs w:val="21"/>
              </w:rPr>
              <w:t>8.5</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13.1</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12.6</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12.8</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4.7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4.2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4.4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-1.5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平均</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16.9</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16.7</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17.3</w:t>
            </w:r>
          </w:p>
        </w:tc>
        <w:tc>
          <w:tcPr>
            <w:tcW w:w="365" w:type="pct"/>
            <w:noWrap/>
            <w:vAlign w:val="bottom"/>
          </w:tcPr>
          <w:p>
            <w:pPr>
              <w:widowControl/>
              <w:spacing w:line="240" w:lineRule="auto"/>
              <w:ind w:firstLine="0" w:firstLineChars="0"/>
              <w:contextualSpacing/>
              <w:jc w:val="center"/>
              <w:rPr>
                <w:kern w:val="0"/>
                <w:sz w:val="21"/>
                <w:szCs w:val="21"/>
              </w:rPr>
            </w:pPr>
            <w:r>
              <w:rPr>
                <w:sz w:val="21"/>
                <w:szCs w:val="21"/>
              </w:rPr>
              <w:t>17.8</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17.2</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17.1</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17.5</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-0.6</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-0.7</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-0.3</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0.3</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0.4</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0.2</w:t>
            </w:r>
          </w:p>
        </w:tc>
      </w:tr>
    </w:tbl>
    <w:p>
      <w:pPr>
        <w:pStyle w:val="121"/>
        <w:spacing w:line="360" w:lineRule="auto"/>
        <w:contextualSpacing/>
        <w:rPr>
          <w:rFonts w:ascii="Times New Roman" w:hAnsi="Times New Roman" w:eastAsia="宋体" w:cs="Times New Roman"/>
          <w:b/>
          <w:sz w:val="21"/>
          <w:szCs w:val="21"/>
        </w:rPr>
      </w:pPr>
    </w:p>
    <w:p>
      <w:pPr>
        <w:widowControl/>
        <w:spacing w:line="240" w:lineRule="auto"/>
        <w:ind w:firstLine="0" w:firstLineChars="0"/>
        <w:contextualSpacing/>
        <w:jc w:val="left"/>
        <w:rPr>
          <w:b/>
          <w:sz w:val="21"/>
          <w:szCs w:val="21"/>
        </w:rPr>
      </w:pPr>
      <w:r>
        <w:rPr>
          <w:b/>
          <w:sz w:val="21"/>
          <w:szCs w:val="21"/>
        </w:rPr>
        <w:br w:type="page"/>
      </w:r>
    </w:p>
    <w:p>
      <w:pPr>
        <w:pStyle w:val="121"/>
        <w:spacing w:line="360" w:lineRule="auto"/>
        <w:contextualSpacing/>
        <w:rPr>
          <w:rFonts w:ascii="Times New Roman" w:hAnsi="Times New Roman" w:eastAsia="宋体" w:cs="Times New Roman"/>
          <w:b/>
          <w:sz w:val="21"/>
          <w:szCs w:val="21"/>
        </w:rPr>
      </w:pPr>
      <w:r>
        <w:rPr>
          <w:rFonts w:ascii="Times New Roman" w:hAnsi="Times New Roman" w:eastAsia="宋体" w:cs="Times New Roman"/>
          <w:b/>
          <w:sz w:val="21"/>
          <w:szCs w:val="21"/>
        </w:rPr>
        <w:t>表5.2.5-21  寒溪寺水库典型年坝下5km断面水温预测  单位：℃</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53"/>
        <w:gridCol w:w="865"/>
        <w:gridCol w:w="865"/>
        <w:gridCol w:w="1296"/>
        <w:gridCol w:w="865"/>
        <w:gridCol w:w="862"/>
        <w:gridCol w:w="941"/>
        <w:gridCol w:w="1080"/>
        <w:gridCol w:w="1009"/>
        <w:gridCol w:w="981"/>
        <w:gridCol w:w="1179"/>
        <w:gridCol w:w="1154"/>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vMerge w:val="restart"/>
            <w:noWrap/>
            <w:vAlign w:val="center"/>
          </w:tcPr>
          <w:p>
            <w:pPr>
              <w:widowControl/>
              <w:spacing w:line="240" w:lineRule="auto"/>
              <w:ind w:firstLine="0" w:firstLineChars="0"/>
              <w:contextualSpacing/>
              <w:jc w:val="center"/>
              <w:rPr>
                <w:kern w:val="0"/>
                <w:sz w:val="21"/>
                <w:szCs w:val="21"/>
              </w:rPr>
            </w:pPr>
            <w:r>
              <w:rPr>
                <w:kern w:val="0"/>
                <w:sz w:val="21"/>
                <w:szCs w:val="21"/>
              </w:rPr>
              <w:t>月份</w:t>
            </w:r>
          </w:p>
        </w:tc>
        <w:tc>
          <w:tcPr>
            <w:tcW w:w="1017" w:type="pct"/>
            <w:gridSpan w:val="3"/>
            <w:noWrap/>
            <w:vAlign w:val="center"/>
          </w:tcPr>
          <w:p>
            <w:pPr>
              <w:widowControl/>
              <w:spacing w:line="240" w:lineRule="auto"/>
              <w:ind w:firstLine="0" w:firstLineChars="0"/>
              <w:contextualSpacing/>
              <w:jc w:val="center"/>
              <w:rPr>
                <w:kern w:val="0"/>
                <w:sz w:val="21"/>
                <w:szCs w:val="21"/>
              </w:rPr>
            </w:pPr>
            <w:r>
              <w:rPr>
                <w:kern w:val="0"/>
                <w:sz w:val="21"/>
                <w:szCs w:val="21"/>
              </w:rPr>
              <w:t>坝址下泄水温</w:t>
            </w:r>
          </w:p>
        </w:tc>
        <w:tc>
          <w:tcPr>
            <w:tcW w:w="457" w:type="pct"/>
            <w:vMerge w:val="restart"/>
            <w:vAlign w:val="center"/>
          </w:tcPr>
          <w:p>
            <w:pPr>
              <w:widowControl/>
              <w:spacing w:line="240" w:lineRule="auto"/>
              <w:ind w:firstLine="0" w:firstLineChars="0"/>
              <w:contextualSpacing/>
              <w:jc w:val="center"/>
              <w:rPr>
                <w:kern w:val="0"/>
                <w:sz w:val="21"/>
                <w:szCs w:val="21"/>
              </w:rPr>
            </w:pPr>
            <w:r>
              <w:rPr>
                <w:kern w:val="0"/>
                <w:sz w:val="21"/>
                <w:szCs w:val="21"/>
              </w:rPr>
              <w:t>坝下8.5km天然水温</w:t>
            </w:r>
          </w:p>
        </w:tc>
        <w:tc>
          <w:tcPr>
            <w:tcW w:w="941" w:type="pct"/>
            <w:gridSpan w:val="3"/>
            <w:noWrap/>
            <w:vAlign w:val="bottom"/>
          </w:tcPr>
          <w:p>
            <w:pPr>
              <w:widowControl/>
              <w:spacing w:line="240" w:lineRule="auto"/>
              <w:ind w:firstLine="0" w:firstLineChars="0"/>
              <w:contextualSpacing/>
              <w:jc w:val="center"/>
              <w:rPr>
                <w:kern w:val="0"/>
                <w:sz w:val="21"/>
                <w:szCs w:val="21"/>
              </w:rPr>
            </w:pPr>
            <w:r>
              <w:rPr>
                <w:kern w:val="0"/>
                <w:sz w:val="21"/>
                <w:szCs w:val="21"/>
              </w:rPr>
              <w:t>坝下8.5km断面水温</w:t>
            </w:r>
          </w:p>
        </w:tc>
        <w:tc>
          <w:tcPr>
            <w:tcW w:w="1083" w:type="pct"/>
            <w:gridSpan w:val="3"/>
            <w:noWrap/>
            <w:vAlign w:val="center"/>
          </w:tcPr>
          <w:p>
            <w:pPr>
              <w:widowControl/>
              <w:spacing w:line="240" w:lineRule="auto"/>
              <w:ind w:firstLine="0" w:firstLineChars="0"/>
              <w:contextualSpacing/>
              <w:jc w:val="center"/>
              <w:rPr>
                <w:kern w:val="0"/>
                <w:sz w:val="21"/>
                <w:szCs w:val="21"/>
              </w:rPr>
            </w:pPr>
            <w:r>
              <w:rPr>
                <w:kern w:val="0"/>
                <w:sz w:val="21"/>
                <w:szCs w:val="21"/>
              </w:rPr>
              <w:t>水温影响</w:t>
            </w:r>
          </w:p>
        </w:tc>
        <w:tc>
          <w:tcPr>
            <w:tcW w:w="1199" w:type="pct"/>
            <w:gridSpan w:val="3"/>
            <w:noWrap/>
            <w:vAlign w:val="bottom"/>
          </w:tcPr>
          <w:p>
            <w:pPr>
              <w:widowControl/>
              <w:spacing w:line="240" w:lineRule="auto"/>
              <w:ind w:firstLine="0" w:firstLineChars="0"/>
              <w:contextualSpacing/>
              <w:jc w:val="center"/>
              <w:rPr>
                <w:kern w:val="0"/>
                <w:sz w:val="21"/>
                <w:szCs w:val="21"/>
              </w:rPr>
            </w:pPr>
            <w:r>
              <w:rPr>
                <w:kern w:val="0"/>
                <w:sz w:val="21"/>
                <w:szCs w:val="21"/>
              </w:rPr>
              <w:t>较下泄增温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03" w:type="pct"/>
            <w:vMerge w:val="continue"/>
            <w:vAlign w:val="center"/>
          </w:tcPr>
          <w:p>
            <w:pPr>
              <w:widowControl/>
              <w:spacing w:line="240" w:lineRule="auto"/>
              <w:ind w:firstLine="0" w:firstLineChars="0"/>
              <w:contextualSpacing/>
              <w:jc w:val="left"/>
              <w:rPr>
                <w:kern w:val="0"/>
                <w:sz w:val="21"/>
                <w:szCs w:val="21"/>
              </w:rPr>
            </w:pPr>
          </w:p>
        </w:tc>
        <w:tc>
          <w:tcPr>
            <w:tcW w:w="407"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05"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05"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457" w:type="pct"/>
            <w:vMerge w:val="continue"/>
            <w:vAlign w:val="center"/>
          </w:tcPr>
          <w:p>
            <w:pPr>
              <w:widowControl/>
              <w:spacing w:line="240" w:lineRule="auto"/>
              <w:ind w:firstLine="0" w:firstLineChars="0"/>
              <w:contextualSpacing/>
              <w:jc w:val="left"/>
              <w:rPr>
                <w:kern w:val="0"/>
                <w:sz w:val="21"/>
                <w:szCs w:val="21"/>
              </w:rPr>
            </w:pPr>
          </w:p>
        </w:tc>
        <w:tc>
          <w:tcPr>
            <w:tcW w:w="305"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04"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32"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381"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356"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46"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c>
          <w:tcPr>
            <w:tcW w:w="416" w:type="pct"/>
            <w:vAlign w:val="center"/>
          </w:tcPr>
          <w:p>
            <w:pPr>
              <w:widowControl/>
              <w:spacing w:line="240" w:lineRule="auto"/>
              <w:ind w:firstLine="0" w:firstLineChars="0"/>
              <w:contextualSpacing/>
              <w:jc w:val="center"/>
              <w:rPr>
                <w:kern w:val="0"/>
                <w:sz w:val="21"/>
                <w:szCs w:val="21"/>
              </w:rPr>
            </w:pPr>
            <w:r>
              <w:rPr>
                <w:kern w:val="0"/>
                <w:sz w:val="21"/>
                <w:szCs w:val="21"/>
              </w:rPr>
              <w:t>丰水年</w:t>
            </w:r>
          </w:p>
        </w:tc>
        <w:tc>
          <w:tcPr>
            <w:tcW w:w="407" w:type="pct"/>
            <w:vAlign w:val="center"/>
          </w:tcPr>
          <w:p>
            <w:pPr>
              <w:widowControl/>
              <w:spacing w:line="240" w:lineRule="auto"/>
              <w:ind w:firstLine="0" w:firstLineChars="0"/>
              <w:contextualSpacing/>
              <w:jc w:val="center"/>
              <w:rPr>
                <w:kern w:val="0"/>
                <w:sz w:val="21"/>
                <w:szCs w:val="21"/>
              </w:rPr>
            </w:pPr>
            <w:r>
              <w:rPr>
                <w:kern w:val="0"/>
                <w:sz w:val="21"/>
                <w:szCs w:val="21"/>
              </w:rPr>
              <w:t>平水年</w:t>
            </w:r>
          </w:p>
        </w:tc>
        <w:tc>
          <w:tcPr>
            <w:tcW w:w="376" w:type="pct"/>
            <w:vAlign w:val="center"/>
          </w:tcPr>
          <w:p>
            <w:pPr>
              <w:widowControl/>
              <w:spacing w:line="240" w:lineRule="auto"/>
              <w:ind w:firstLine="0" w:firstLineChars="0"/>
              <w:contextualSpacing/>
              <w:jc w:val="center"/>
              <w:rPr>
                <w:kern w:val="0"/>
                <w:sz w:val="21"/>
                <w:szCs w:val="21"/>
              </w:rPr>
            </w:pPr>
            <w:r>
              <w:rPr>
                <w:kern w:val="0"/>
                <w:sz w:val="21"/>
                <w:szCs w:val="21"/>
              </w:rPr>
              <w:t>枯水年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vMerge w:val="continue"/>
            <w:vAlign w:val="center"/>
          </w:tcPr>
          <w:p>
            <w:pPr>
              <w:widowControl/>
              <w:spacing w:line="240" w:lineRule="auto"/>
              <w:ind w:firstLine="0" w:firstLineChars="0"/>
              <w:contextualSpacing/>
              <w:jc w:val="left"/>
              <w:rPr>
                <w:kern w:val="0"/>
                <w:sz w:val="21"/>
                <w:szCs w:val="21"/>
              </w:rPr>
            </w:pPr>
          </w:p>
        </w:tc>
        <w:tc>
          <w:tcPr>
            <w:tcW w:w="407" w:type="pct"/>
            <w:noWrap/>
            <w:vAlign w:val="bottom"/>
          </w:tcPr>
          <w:p>
            <w:pPr>
              <w:widowControl/>
              <w:spacing w:line="240" w:lineRule="auto"/>
              <w:ind w:firstLine="0" w:firstLineChars="0"/>
              <w:contextualSpacing/>
              <w:jc w:val="center"/>
              <w:rPr>
                <w:kern w:val="0"/>
                <w:sz w:val="21"/>
                <w:szCs w:val="21"/>
              </w:rPr>
            </w:pPr>
            <w:r>
              <w:rPr>
                <w:kern w:val="0"/>
                <w:sz w:val="21"/>
                <w:szCs w:val="21"/>
              </w:rPr>
              <w:t>A</w:t>
            </w:r>
          </w:p>
        </w:tc>
        <w:tc>
          <w:tcPr>
            <w:tcW w:w="305" w:type="pct"/>
            <w:noWrap/>
            <w:vAlign w:val="bottom"/>
          </w:tcPr>
          <w:p>
            <w:pPr>
              <w:widowControl/>
              <w:spacing w:line="240" w:lineRule="auto"/>
              <w:ind w:firstLine="0" w:firstLineChars="0"/>
              <w:contextualSpacing/>
              <w:jc w:val="center"/>
              <w:rPr>
                <w:kern w:val="0"/>
                <w:sz w:val="21"/>
                <w:szCs w:val="21"/>
              </w:rPr>
            </w:pPr>
            <w:r>
              <w:rPr>
                <w:kern w:val="0"/>
                <w:sz w:val="21"/>
                <w:szCs w:val="21"/>
              </w:rPr>
              <w:t>B</w:t>
            </w:r>
          </w:p>
        </w:tc>
        <w:tc>
          <w:tcPr>
            <w:tcW w:w="305" w:type="pct"/>
            <w:noWrap/>
            <w:vAlign w:val="bottom"/>
          </w:tcPr>
          <w:p>
            <w:pPr>
              <w:widowControl/>
              <w:spacing w:line="240" w:lineRule="auto"/>
              <w:ind w:firstLine="0" w:firstLineChars="0"/>
              <w:contextualSpacing/>
              <w:jc w:val="center"/>
              <w:rPr>
                <w:kern w:val="0"/>
                <w:sz w:val="21"/>
                <w:szCs w:val="21"/>
              </w:rPr>
            </w:pPr>
            <w:r>
              <w:rPr>
                <w:kern w:val="0"/>
                <w:sz w:val="21"/>
                <w:szCs w:val="21"/>
              </w:rPr>
              <w:t>C</w:t>
            </w:r>
          </w:p>
        </w:tc>
        <w:tc>
          <w:tcPr>
            <w:tcW w:w="457" w:type="pct"/>
            <w:noWrap/>
            <w:vAlign w:val="bottom"/>
          </w:tcPr>
          <w:p>
            <w:pPr>
              <w:widowControl/>
              <w:spacing w:line="240" w:lineRule="auto"/>
              <w:ind w:firstLine="0" w:firstLineChars="0"/>
              <w:contextualSpacing/>
              <w:jc w:val="center"/>
              <w:rPr>
                <w:kern w:val="0"/>
                <w:sz w:val="21"/>
                <w:szCs w:val="21"/>
              </w:rPr>
            </w:pPr>
            <w:r>
              <w:rPr>
                <w:kern w:val="0"/>
                <w:sz w:val="21"/>
                <w:szCs w:val="21"/>
              </w:rPr>
              <w:t>D</w:t>
            </w:r>
          </w:p>
        </w:tc>
        <w:tc>
          <w:tcPr>
            <w:tcW w:w="305" w:type="pct"/>
            <w:noWrap/>
            <w:vAlign w:val="bottom"/>
          </w:tcPr>
          <w:p>
            <w:pPr>
              <w:widowControl/>
              <w:spacing w:line="240" w:lineRule="auto"/>
              <w:ind w:firstLine="0" w:firstLineChars="0"/>
              <w:contextualSpacing/>
              <w:jc w:val="center"/>
              <w:rPr>
                <w:kern w:val="0"/>
                <w:sz w:val="21"/>
                <w:szCs w:val="21"/>
              </w:rPr>
            </w:pPr>
            <w:r>
              <w:rPr>
                <w:kern w:val="0"/>
                <w:sz w:val="21"/>
                <w:szCs w:val="21"/>
              </w:rPr>
              <w:t>E</w:t>
            </w:r>
          </w:p>
        </w:tc>
        <w:tc>
          <w:tcPr>
            <w:tcW w:w="304" w:type="pct"/>
            <w:noWrap/>
            <w:vAlign w:val="bottom"/>
          </w:tcPr>
          <w:p>
            <w:pPr>
              <w:widowControl/>
              <w:spacing w:line="240" w:lineRule="auto"/>
              <w:ind w:firstLine="0" w:firstLineChars="0"/>
              <w:contextualSpacing/>
              <w:jc w:val="center"/>
              <w:rPr>
                <w:kern w:val="0"/>
                <w:sz w:val="21"/>
                <w:szCs w:val="21"/>
              </w:rPr>
            </w:pPr>
            <w:r>
              <w:rPr>
                <w:kern w:val="0"/>
                <w:sz w:val="21"/>
                <w:szCs w:val="21"/>
              </w:rPr>
              <w:t>F</w:t>
            </w:r>
          </w:p>
        </w:tc>
        <w:tc>
          <w:tcPr>
            <w:tcW w:w="332" w:type="pct"/>
            <w:noWrap/>
            <w:vAlign w:val="bottom"/>
          </w:tcPr>
          <w:p>
            <w:pPr>
              <w:widowControl/>
              <w:spacing w:line="240" w:lineRule="auto"/>
              <w:ind w:firstLine="0" w:firstLineChars="0"/>
              <w:contextualSpacing/>
              <w:jc w:val="center"/>
              <w:rPr>
                <w:kern w:val="0"/>
                <w:sz w:val="21"/>
                <w:szCs w:val="21"/>
              </w:rPr>
            </w:pPr>
            <w:r>
              <w:rPr>
                <w:kern w:val="0"/>
                <w:sz w:val="21"/>
                <w:szCs w:val="21"/>
              </w:rPr>
              <w:t>G</w:t>
            </w:r>
          </w:p>
        </w:tc>
        <w:tc>
          <w:tcPr>
            <w:tcW w:w="381" w:type="pct"/>
            <w:noWrap/>
            <w:vAlign w:val="bottom"/>
          </w:tcPr>
          <w:p>
            <w:pPr>
              <w:widowControl/>
              <w:spacing w:line="240" w:lineRule="auto"/>
              <w:ind w:firstLine="0" w:firstLineChars="0"/>
              <w:contextualSpacing/>
              <w:jc w:val="center"/>
              <w:rPr>
                <w:kern w:val="0"/>
                <w:sz w:val="21"/>
                <w:szCs w:val="21"/>
              </w:rPr>
            </w:pPr>
            <w:r>
              <w:rPr>
                <w:kern w:val="0"/>
                <w:sz w:val="21"/>
                <w:szCs w:val="21"/>
              </w:rPr>
              <w:t>E-D</w:t>
            </w:r>
          </w:p>
        </w:tc>
        <w:tc>
          <w:tcPr>
            <w:tcW w:w="356" w:type="pct"/>
            <w:vAlign w:val="center"/>
          </w:tcPr>
          <w:p>
            <w:pPr>
              <w:widowControl/>
              <w:spacing w:line="240" w:lineRule="auto"/>
              <w:ind w:firstLine="0" w:firstLineChars="0"/>
              <w:contextualSpacing/>
              <w:jc w:val="center"/>
              <w:rPr>
                <w:kern w:val="0"/>
                <w:sz w:val="21"/>
                <w:szCs w:val="21"/>
              </w:rPr>
            </w:pPr>
            <w:r>
              <w:rPr>
                <w:kern w:val="0"/>
                <w:sz w:val="21"/>
                <w:szCs w:val="21"/>
              </w:rPr>
              <w:t>F-D</w:t>
            </w:r>
          </w:p>
        </w:tc>
        <w:tc>
          <w:tcPr>
            <w:tcW w:w="346" w:type="pct"/>
            <w:noWrap/>
            <w:vAlign w:val="bottom"/>
          </w:tcPr>
          <w:p>
            <w:pPr>
              <w:widowControl/>
              <w:spacing w:line="240" w:lineRule="auto"/>
              <w:ind w:firstLine="0" w:firstLineChars="0"/>
              <w:contextualSpacing/>
              <w:jc w:val="center"/>
              <w:rPr>
                <w:kern w:val="0"/>
                <w:sz w:val="21"/>
                <w:szCs w:val="21"/>
              </w:rPr>
            </w:pPr>
            <w:r>
              <w:rPr>
                <w:kern w:val="0"/>
                <w:sz w:val="21"/>
                <w:szCs w:val="21"/>
              </w:rPr>
              <w:t>G-D</w:t>
            </w:r>
          </w:p>
        </w:tc>
        <w:tc>
          <w:tcPr>
            <w:tcW w:w="416" w:type="pct"/>
            <w:noWrap/>
            <w:vAlign w:val="bottom"/>
          </w:tcPr>
          <w:p>
            <w:pPr>
              <w:widowControl/>
              <w:spacing w:line="240" w:lineRule="auto"/>
              <w:ind w:firstLine="0" w:firstLineChars="0"/>
              <w:contextualSpacing/>
              <w:jc w:val="center"/>
              <w:rPr>
                <w:kern w:val="0"/>
                <w:sz w:val="21"/>
                <w:szCs w:val="21"/>
              </w:rPr>
            </w:pPr>
            <w:r>
              <w:rPr>
                <w:kern w:val="0"/>
                <w:sz w:val="21"/>
                <w:szCs w:val="21"/>
              </w:rPr>
              <w:t>E-A</w:t>
            </w:r>
          </w:p>
        </w:tc>
        <w:tc>
          <w:tcPr>
            <w:tcW w:w="407" w:type="pct"/>
            <w:noWrap/>
            <w:vAlign w:val="bottom"/>
          </w:tcPr>
          <w:p>
            <w:pPr>
              <w:widowControl/>
              <w:spacing w:line="240" w:lineRule="auto"/>
              <w:ind w:firstLine="0" w:firstLineChars="0"/>
              <w:contextualSpacing/>
              <w:jc w:val="center"/>
              <w:rPr>
                <w:kern w:val="0"/>
                <w:sz w:val="21"/>
                <w:szCs w:val="21"/>
              </w:rPr>
            </w:pPr>
            <w:r>
              <w:rPr>
                <w:kern w:val="0"/>
                <w:sz w:val="21"/>
                <w:szCs w:val="21"/>
              </w:rPr>
              <w:t>F-B</w:t>
            </w:r>
          </w:p>
        </w:tc>
        <w:tc>
          <w:tcPr>
            <w:tcW w:w="376" w:type="pct"/>
            <w:noWrap/>
            <w:vAlign w:val="bottom"/>
          </w:tcPr>
          <w:p>
            <w:pPr>
              <w:widowControl/>
              <w:spacing w:line="240" w:lineRule="auto"/>
              <w:ind w:firstLine="0" w:firstLineChars="0"/>
              <w:contextualSpacing/>
              <w:jc w:val="center"/>
              <w:rPr>
                <w:kern w:val="0"/>
                <w:sz w:val="21"/>
                <w:szCs w:val="21"/>
              </w:rPr>
            </w:pPr>
            <w:r>
              <w:rPr>
                <w:kern w:val="0"/>
                <w:sz w:val="21"/>
                <w:szCs w:val="21"/>
              </w:rPr>
              <w:t>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10.6</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9.5</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7.8</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8.2</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7.7</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7.8</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0.0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0.0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-2.4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-1.5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2月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9.0</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8.2</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9.8</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9.0</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8.7</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8.8</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-0.8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-1.0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3月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8.4</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12.3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12.3</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12.1</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12.1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0.0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3.2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3.7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4月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9.3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9.8</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9.4</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18.8</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17.3</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17.1</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17.1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-1.5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-1.7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-1.7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8.0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7.4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5月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11.0</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15.5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13.9</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23.2</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21.4</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22.6</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21.9</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-1.3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10.5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7.0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6月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19.2</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20.7</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24.1</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25.4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25.0</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25.2</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25.7</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5.8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4.6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7月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24.1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23.4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25.6</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27.4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27.5</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27.5</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27.6</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3.3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4.2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8月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26.3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25.7</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26.9</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27.5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27.2</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27.4</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27.4</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-0.3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0.9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1.8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9月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26.3</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25.9</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26.2</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23.2</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25.3</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23.9</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24.2</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2.1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0.7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1.0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-1.0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-2.0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10月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23.5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22.5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23.0</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19.0</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19.9</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19.4</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19.6</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1.0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0.5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-3.6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-3.1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11月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19.5</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18.4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18.7</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15.1</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15.5</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15.2</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15.2</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0.4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0.1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0.2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-4.0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-3.2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12月</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14.7</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13.4</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13.6</w:t>
            </w:r>
          </w:p>
        </w:tc>
        <w:tc>
          <w:tcPr>
            <w:tcW w:w="457" w:type="pct"/>
            <w:vAlign w:val="center"/>
          </w:tcPr>
          <w:p>
            <w:pPr>
              <w:widowControl/>
              <w:spacing w:line="240" w:lineRule="auto"/>
              <w:ind w:firstLine="0" w:firstLineChars="0"/>
              <w:contextualSpacing/>
              <w:jc w:val="center"/>
              <w:rPr>
                <w:kern w:val="0"/>
                <w:sz w:val="21"/>
                <w:szCs w:val="21"/>
              </w:rPr>
            </w:pPr>
            <w:r>
              <w:rPr>
                <w:sz w:val="21"/>
                <w:szCs w:val="21"/>
              </w:rPr>
              <w:t>8.8</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9.4</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10.0</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10.0</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 xml:space="preserve">0.6 </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 xml:space="preserve">1.2 </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 xml:space="preserve">1.2 </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 xml:space="preserve">-5.3 </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 xml:space="preserve">-3.4 </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3" w:type="pct"/>
            <w:noWrap/>
            <w:vAlign w:val="bottom"/>
          </w:tcPr>
          <w:p>
            <w:pPr>
              <w:widowControl/>
              <w:spacing w:line="240" w:lineRule="auto"/>
              <w:ind w:firstLine="0" w:firstLineChars="0"/>
              <w:contextualSpacing/>
              <w:jc w:val="center"/>
              <w:rPr>
                <w:kern w:val="0"/>
                <w:sz w:val="21"/>
                <w:szCs w:val="21"/>
              </w:rPr>
            </w:pPr>
            <w:r>
              <w:rPr>
                <w:kern w:val="0"/>
                <w:sz w:val="21"/>
                <w:szCs w:val="21"/>
              </w:rPr>
              <w:t>平均</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16.9</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16.7</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17.3</w:t>
            </w:r>
          </w:p>
        </w:tc>
        <w:tc>
          <w:tcPr>
            <w:tcW w:w="457" w:type="pct"/>
            <w:noWrap/>
            <w:vAlign w:val="bottom"/>
          </w:tcPr>
          <w:p>
            <w:pPr>
              <w:widowControl/>
              <w:spacing w:line="240" w:lineRule="auto"/>
              <w:ind w:firstLine="0" w:firstLineChars="0"/>
              <w:contextualSpacing/>
              <w:jc w:val="center"/>
              <w:rPr>
                <w:kern w:val="0"/>
                <w:sz w:val="21"/>
                <w:szCs w:val="21"/>
              </w:rPr>
            </w:pPr>
            <w:r>
              <w:rPr>
                <w:sz w:val="21"/>
                <w:szCs w:val="21"/>
              </w:rPr>
              <w:t>18.2</w:t>
            </w:r>
          </w:p>
        </w:tc>
        <w:tc>
          <w:tcPr>
            <w:tcW w:w="305" w:type="pct"/>
            <w:noWrap/>
            <w:vAlign w:val="bottom"/>
          </w:tcPr>
          <w:p>
            <w:pPr>
              <w:widowControl/>
              <w:spacing w:line="240" w:lineRule="auto"/>
              <w:ind w:firstLine="0" w:firstLineChars="0"/>
              <w:contextualSpacing/>
              <w:jc w:val="center"/>
              <w:rPr>
                <w:kern w:val="0"/>
                <w:sz w:val="21"/>
                <w:szCs w:val="21"/>
              </w:rPr>
            </w:pPr>
            <w:r>
              <w:rPr>
                <w:sz w:val="21"/>
                <w:szCs w:val="21"/>
              </w:rPr>
              <w:t>18.2</w:t>
            </w:r>
          </w:p>
        </w:tc>
        <w:tc>
          <w:tcPr>
            <w:tcW w:w="304" w:type="pct"/>
            <w:noWrap/>
            <w:vAlign w:val="bottom"/>
          </w:tcPr>
          <w:p>
            <w:pPr>
              <w:widowControl/>
              <w:spacing w:line="240" w:lineRule="auto"/>
              <w:ind w:firstLine="0" w:firstLineChars="0"/>
              <w:contextualSpacing/>
              <w:jc w:val="center"/>
              <w:rPr>
                <w:kern w:val="0"/>
                <w:sz w:val="21"/>
                <w:szCs w:val="21"/>
              </w:rPr>
            </w:pPr>
            <w:r>
              <w:rPr>
                <w:sz w:val="21"/>
                <w:szCs w:val="21"/>
              </w:rPr>
              <w:t>18.1</w:t>
            </w:r>
          </w:p>
        </w:tc>
        <w:tc>
          <w:tcPr>
            <w:tcW w:w="332" w:type="pct"/>
            <w:noWrap/>
            <w:vAlign w:val="bottom"/>
          </w:tcPr>
          <w:p>
            <w:pPr>
              <w:widowControl/>
              <w:spacing w:line="240" w:lineRule="auto"/>
              <w:ind w:firstLine="0" w:firstLineChars="0"/>
              <w:contextualSpacing/>
              <w:jc w:val="center"/>
              <w:rPr>
                <w:kern w:val="0"/>
                <w:sz w:val="21"/>
                <w:szCs w:val="21"/>
              </w:rPr>
            </w:pPr>
            <w:r>
              <w:rPr>
                <w:sz w:val="21"/>
                <w:szCs w:val="21"/>
              </w:rPr>
              <w:t>18.1</w:t>
            </w:r>
          </w:p>
        </w:tc>
        <w:tc>
          <w:tcPr>
            <w:tcW w:w="381" w:type="pct"/>
            <w:noWrap/>
            <w:vAlign w:val="bottom"/>
          </w:tcPr>
          <w:p>
            <w:pPr>
              <w:widowControl/>
              <w:spacing w:line="240" w:lineRule="auto"/>
              <w:ind w:firstLine="0" w:firstLineChars="0"/>
              <w:contextualSpacing/>
              <w:jc w:val="center"/>
              <w:rPr>
                <w:kern w:val="0"/>
                <w:sz w:val="21"/>
                <w:szCs w:val="21"/>
              </w:rPr>
            </w:pPr>
            <w:r>
              <w:rPr>
                <w:sz w:val="21"/>
                <w:szCs w:val="21"/>
              </w:rPr>
              <w:t>0.0</w:t>
            </w:r>
          </w:p>
        </w:tc>
        <w:tc>
          <w:tcPr>
            <w:tcW w:w="356" w:type="pct"/>
            <w:noWrap/>
            <w:vAlign w:val="bottom"/>
          </w:tcPr>
          <w:p>
            <w:pPr>
              <w:widowControl/>
              <w:spacing w:line="240" w:lineRule="auto"/>
              <w:ind w:firstLine="0" w:firstLineChars="0"/>
              <w:contextualSpacing/>
              <w:jc w:val="center"/>
              <w:rPr>
                <w:kern w:val="0"/>
                <w:sz w:val="21"/>
                <w:szCs w:val="21"/>
              </w:rPr>
            </w:pPr>
            <w:r>
              <w:rPr>
                <w:sz w:val="21"/>
                <w:szCs w:val="21"/>
              </w:rPr>
              <w:t>-0.1</w:t>
            </w:r>
          </w:p>
        </w:tc>
        <w:tc>
          <w:tcPr>
            <w:tcW w:w="346" w:type="pct"/>
            <w:noWrap/>
            <w:vAlign w:val="bottom"/>
          </w:tcPr>
          <w:p>
            <w:pPr>
              <w:widowControl/>
              <w:spacing w:line="240" w:lineRule="auto"/>
              <w:ind w:firstLine="0" w:firstLineChars="0"/>
              <w:contextualSpacing/>
              <w:jc w:val="center"/>
              <w:rPr>
                <w:kern w:val="0"/>
                <w:sz w:val="21"/>
                <w:szCs w:val="21"/>
              </w:rPr>
            </w:pPr>
            <w:r>
              <w:rPr>
                <w:sz w:val="21"/>
                <w:szCs w:val="21"/>
              </w:rPr>
              <w:t>-0.1</w:t>
            </w:r>
          </w:p>
        </w:tc>
        <w:tc>
          <w:tcPr>
            <w:tcW w:w="416" w:type="pct"/>
            <w:noWrap/>
            <w:vAlign w:val="bottom"/>
          </w:tcPr>
          <w:p>
            <w:pPr>
              <w:widowControl/>
              <w:spacing w:line="240" w:lineRule="auto"/>
              <w:ind w:firstLine="0" w:firstLineChars="0"/>
              <w:contextualSpacing/>
              <w:jc w:val="center"/>
              <w:rPr>
                <w:kern w:val="0"/>
                <w:sz w:val="21"/>
                <w:szCs w:val="21"/>
              </w:rPr>
            </w:pPr>
            <w:r>
              <w:rPr>
                <w:sz w:val="21"/>
                <w:szCs w:val="21"/>
              </w:rPr>
              <w:t>1.3</w:t>
            </w:r>
          </w:p>
        </w:tc>
        <w:tc>
          <w:tcPr>
            <w:tcW w:w="407" w:type="pct"/>
            <w:noWrap/>
            <w:vAlign w:val="bottom"/>
          </w:tcPr>
          <w:p>
            <w:pPr>
              <w:widowControl/>
              <w:spacing w:line="240" w:lineRule="auto"/>
              <w:ind w:firstLine="0" w:firstLineChars="0"/>
              <w:contextualSpacing/>
              <w:jc w:val="center"/>
              <w:rPr>
                <w:kern w:val="0"/>
                <w:sz w:val="21"/>
                <w:szCs w:val="21"/>
              </w:rPr>
            </w:pPr>
            <w:r>
              <w:rPr>
                <w:sz w:val="21"/>
                <w:szCs w:val="21"/>
              </w:rPr>
              <w:t>1.3</w:t>
            </w:r>
          </w:p>
        </w:tc>
        <w:tc>
          <w:tcPr>
            <w:tcW w:w="376" w:type="pct"/>
            <w:noWrap/>
            <w:vAlign w:val="bottom"/>
          </w:tcPr>
          <w:p>
            <w:pPr>
              <w:widowControl/>
              <w:spacing w:line="240" w:lineRule="auto"/>
              <w:ind w:firstLine="0" w:firstLineChars="0"/>
              <w:contextualSpacing/>
              <w:jc w:val="center"/>
              <w:rPr>
                <w:kern w:val="0"/>
                <w:sz w:val="21"/>
                <w:szCs w:val="21"/>
              </w:rPr>
            </w:pPr>
            <w:r>
              <w:rPr>
                <w:sz w:val="21"/>
                <w:szCs w:val="21"/>
              </w:rPr>
              <w:t>0.8</w:t>
            </w:r>
          </w:p>
        </w:tc>
      </w:tr>
    </w:tbl>
    <w:p>
      <w:pPr>
        <w:widowControl/>
        <w:spacing w:line="240" w:lineRule="auto"/>
        <w:ind w:firstLine="0" w:firstLineChars="0"/>
        <w:contextualSpacing/>
        <w:jc w:val="left"/>
        <w:rPr>
          <w:b/>
          <w:sz w:val="21"/>
          <w:szCs w:val="21"/>
        </w:rPr>
      </w:pPr>
    </w:p>
    <w:p>
      <w:pPr>
        <w:ind w:firstLine="0" w:firstLineChars="0"/>
        <w:contextualSpacing/>
        <w:jc w:val="center"/>
        <w:sectPr>
          <w:pgSz w:w="16838" w:h="11906" w:orient="landscape"/>
          <w:pgMar w:top="1800" w:right="1440" w:bottom="1800" w:left="1440" w:header="851" w:footer="992" w:gutter="0"/>
          <w:cols w:space="720" w:num="1"/>
          <w:docGrid w:type="lines" w:linePitch="381" w:charSpace="0"/>
        </w:sectPr>
      </w:pPr>
    </w:p>
    <w:p>
      <w:pPr>
        <w:pStyle w:val="4"/>
        <w:ind w:firstLine="0" w:firstLineChars="0"/>
        <w:contextualSpacing/>
      </w:pPr>
      <w:bookmarkStart w:id="766" w:name="_Toc130753436"/>
      <w:r>
        <w:t>5.3生态环境影响评价</w:t>
      </w:r>
      <w:bookmarkEnd w:id="766"/>
    </w:p>
    <w:p>
      <w:pPr>
        <w:pStyle w:val="5"/>
        <w:ind w:firstLine="0" w:firstLineChars="0"/>
        <w:contextualSpacing/>
        <w:rPr>
          <w:rFonts w:ascii="Times New Roman" w:hAnsi="Times New Roman"/>
        </w:rPr>
      </w:pPr>
      <w:r>
        <w:rPr>
          <w:rFonts w:ascii="Times New Roman" w:hAnsi="Times New Roman"/>
        </w:rPr>
        <w:t>5.3.1陆生生态影响</w:t>
      </w:r>
    </w:p>
    <w:p>
      <w:pPr>
        <w:ind w:firstLine="480"/>
        <w:contextualSpacing/>
      </w:pPr>
      <w:r>
        <w:t>本工程建设对当地的生态影响主要表现在水库淹没、施工开挖对当地植被破坏以及工程弃渣新增水土流失对当地生态环境的影响。</w:t>
      </w:r>
    </w:p>
    <w:p>
      <w:pPr>
        <w:ind w:firstLine="0" w:firstLineChars="0"/>
        <w:contextualSpacing/>
        <w:outlineLvl w:val="3"/>
        <w:rPr>
          <w:b/>
          <w:bCs/>
        </w:rPr>
      </w:pPr>
      <w:r>
        <w:rPr>
          <w:b/>
          <w:bCs/>
        </w:rPr>
        <w:t>5.3.1.1对陆生植物的影响</w:t>
      </w:r>
    </w:p>
    <w:p>
      <w:pPr>
        <w:ind w:firstLine="480"/>
        <w:contextualSpacing/>
      </w:pPr>
      <w:r>
        <w:t>（1）对植被的影响</w:t>
      </w:r>
    </w:p>
    <w:p>
      <w:pPr>
        <w:ind w:firstLine="480"/>
        <w:contextualSpacing/>
      </w:pPr>
      <w:r>
        <w:t>寒溪寺水库及灌区建设的影响主要集中在水库淹没及灌区干渠、支渠的修建等永久或临时占地工程，表现为侵占地表植被，其中施工期直接占地和营运期库区淹没将导致大量植株死亡，导致植被类型消失。</w:t>
      </w:r>
    </w:p>
    <w:p>
      <w:pPr>
        <w:pStyle w:val="89"/>
        <w:tabs>
          <w:tab w:val="left" w:pos="3960"/>
        </w:tabs>
        <w:adjustRightInd/>
        <w:snapToGrid/>
        <w:spacing w:before="0" w:line="360" w:lineRule="auto"/>
        <w:ind w:firstLine="0" w:firstLineChars="0"/>
        <w:contextualSpacing/>
        <w:rPr>
          <w:rFonts w:eastAsia="宋体"/>
          <w:b/>
          <w:bCs/>
          <w:szCs w:val="21"/>
        </w:rPr>
      </w:pPr>
      <w:r>
        <w:rPr>
          <w:rFonts w:eastAsia="宋体"/>
          <w:b/>
          <w:bCs/>
          <w:szCs w:val="21"/>
        </w:rPr>
        <w:t>表5.3.1-2  陆生植物多样性和植被影响类型分析表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547"/>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trPr>
        <w:tc>
          <w:tcPr>
            <w:tcW w:w="726" w:type="dxa"/>
            <w:vAlign w:val="center"/>
          </w:tcPr>
          <w:p>
            <w:pPr>
              <w:pStyle w:val="90"/>
              <w:spacing w:line="240" w:lineRule="exact"/>
              <w:ind w:firstLine="0" w:firstLineChars="0"/>
              <w:contextualSpacing/>
              <w:jc w:val="center"/>
              <w:rPr>
                <w:sz w:val="21"/>
                <w:szCs w:val="21"/>
              </w:rPr>
            </w:pPr>
            <w:r>
              <w:rPr>
                <w:sz w:val="21"/>
                <w:szCs w:val="21"/>
              </w:rPr>
              <w:t>影响</w:t>
            </w:r>
          </w:p>
          <w:p>
            <w:pPr>
              <w:pStyle w:val="90"/>
              <w:spacing w:line="240" w:lineRule="exact"/>
              <w:ind w:firstLine="0" w:firstLineChars="0"/>
              <w:contextualSpacing/>
              <w:jc w:val="center"/>
              <w:rPr>
                <w:sz w:val="21"/>
                <w:szCs w:val="21"/>
              </w:rPr>
            </w:pPr>
            <w:r>
              <w:rPr>
                <w:sz w:val="21"/>
                <w:szCs w:val="21"/>
              </w:rPr>
              <w:t>类型</w:t>
            </w:r>
          </w:p>
        </w:tc>
        <w:tc>
          <w:tcPr>
            <w:tcW w:w="3547" w:type="dxa"/>
            <w:vAlign w:val="center"/>
          </w:tcPr>
          <w:p>
            <w:pPr>
              <w:pStyle w:val="90"/>
              <w:spacing w:line="240" w:lineRule="exact"/>
              <w:ind w:firstLine="0" w:firstLineChars="0"/>
              <w:contextualSpacing/>
              <w:jc w:val="center"/>
              <w:rPr>
                <w:sz w:val="21"/>
                <w:szCs w:val="21"/>
              </w:rPr>
            </w:pPr>
            <w:r>
              <w:rPr>
                <w:sz w:val="21"/>
                <w:szCs w:val="21"/>
              </w:rPr>
              <w:t>施工类型</w:t>
            </w:r>
          </w:p>
        </w:tc>
        <w:tc>
          <w:tcPr>
            <w:tcW w:w="4249" w:type="dxa"/>
            <w:vAlign w:val="center"/>
          </w:tcPr>
          <w:p>
            <w:pPr>
              <w:pStyle w:val="90"/>
              <w:spacing w:line="240" w:lineRule="exact"/>
              <w:ind w:firstLine="0" w:firstLineChars="0"/>
              <w:contextualSpacing/>
              <w:jc w:val="center"/>
              <w:rPr>
                <w:sz w:val="21"/>
                <w:szCs w:val="21"/>
              </w:rPr>
            </w:pPr>
            <w:r>
              <w:rPr>
                <w:sz w:val="21"/>
                <w:szCs w:val="21"/>
              </w:rPr>
              <w:t>影响结果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6" w:type="dxa"/>
            <w:vAlign w:val="center"/>
          </w:tcPr>
          <w:p>
            <w:pPr>
              <w:pStyle w:val="90"/>
              <w:spacing w:line="240" w:lineRule="exact"/>
              <w:ind w:firstLine="0" w:firstLineChars="0"/>
              <w:contextualSpacing/>
              <w:jc w:val="center"/>
              <w:rPr>
                <w:sz w:val="21"/>
                <w:szCs w:val="21"/>
              </w:rPr>
            </w:pPr>
            <w:r>
              <w:rPr>
                <w:sz w:val="21"/>
                <w:szCs w:val="21"/>
              </w:rPr>
              <w:t>水库</w:t>
            </w:r>
          </w:p>
          <w:p>
            <w:pPr>
              <w:pStyle w:val="90"/>
              <w:spacing w:line="240" w:lineRule="exact"/>
              <w:ind w:firstLine="0" w:firstLineChars="0"/>
              <w:contextualSpacing/>
              <w:jc w:val="center"/>
              <w:rPr>
                <w:sz w:val="21"/>
                <w:szCs w:val="21"/>
              </w:rPr>
            </w:pPr>
            <w:r>
              <w:rPr>
                <w:sz w:val="21"/>
                <w:szCs w:val="21"/>
              </w:rPr>
              <w:t>淹没</w:t>
            </w:r>
          </w:p>
        </w:tc>
        <w:tc>
          <w:tcPr>
            <w:tcW w:w="3547" w:type="dxa"/>
            <w:vAlign w:val="center"/>
          </w:tcPr>
          <w:p>
            <w:pPr>
              <w:pStyle w:val="90"/>
              <w:spacing w:line="240" w:lineRule="exact"/>
              <w:ind w:firstLine="0" w:firstLineChars="0"/>
              <w:contextualSpacing/>
              <w:jc w:val="center"/>
              <w:rPr>
                <w:sz w:val="21"/>
                <w:szCs w:val="21"/>
              </w:rPr>
            </w:pPr>
            <w:r>
              <w:rPr>
                <w:sz w:val="21"/>
                <w:szCs w:val="21"/>
              </w:rPr>
              <w:t>大坝建成后蓄水</w:t>
            </w:r>
          </w:p>
        </w:tc>
        <w:tc>
          <w:tcPr>
            <w:tcW w:w="4249" w:type="dxa"/>
            <w:vAlign w:val="center"/>
          </w:tcPr>
          <w:p>
            <w:pPr>
              <w:pStyle w:val="90"/>
              <w:spacing w:line="240" w:lineRule="exact"/>
              <w:ind w:firstLine="0" w:firstLineChars="0"/>
              <w:contextualSpacing/>
              <w:jc w:val="center"/>
              <w:rPr>
                <w:sz w:val="21"/>
                <w:szCs w:val="21"/>
              </w:rPr>
            </w:pPr>
            <w:r>
              <w:rPr>
                <w:sz w:val="21"/>
                <w:szCs w:val="21"/>
              </w:rPr>
              <w:t>永久侵占库区原有植被和植物个体，导致其中分布的个体永久消失且无法恢复。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6" w:type="dxa"/>
            <w:vAlign w:val="center"/>
          </w:tcPr>
          <w:p>
            <w:pPr>
              <w:pStyle w:val="90"/>
              <w:spacing w:line="240" w:lineRule="exact"/>
              <w:ind w:firstLine="0" w:firstLineChars="0"/>
              <w:contextualSpacing/>
              <w:jc w:val="center"/>
              <w:rPr>
                <w:sz w:val="21"/>
                <w:szCs w:val="21"/>
              </w:rPr>
            </w:pPr>
            <w:r>
              <w:rPr>
                <w:sz w:val="21"/>
                <w:szCs w:val="21"/>
              </w:rPr>
              <w:t>永久</w:t>
            </w:r>
          </w:p>
          <w:p>
            <w:pPr>
              <w:pStyle w:val="90"/>
              <w:spacing w:line="240" w:lineRule="exact"/>
              <w:ind w:firstLine="0" w:firstLineChars="0"/>
              <w:contextualSpacing/>
              <w:jc w:val="center"/>
              <w:rPr>
                <w:sz w:val="21"/>
                <w:szCs w:val="21"/>
              </w:rPr>
            </w:pPr>
            <w:r>
              <w:rPr>
                <w:sz w:val="21"/>
                <w:szCs w:val="21"/>
              </w:rPr>
              <w:t>占地</w:t>
            </w:r>
          </w:p>
        </w:tc>
        <w:tc>
          <w:tcPr>
            <w:tcW w:w="3547" w:type="dxa"/>
            <w:vAlign w:val="center"/>
          </w:tcPr>
          <w:p>
            <w:pPr>
              <w:pStyle w:val="90"/>
              <w:spacing w:line="240" w:lineRule="exact"/>
              <w:ind w:firstLine="0" w:firstLineChars="0"/>
              <w:contextualSpacing/>
              <w:jc w:val="center"/>
              <w:rPr>
                <w:sz w:val="21"/>
                <w:szCs w:val="21"/>
              </w:rPr>
            </w:pPr>
            <w:r>
              <w:rPr>
                <w:sz w:val="21"/>
                <w:szCs w:val="21"/>
              </w:rPr>
              <w:t>坝址及附属永久建筑物，分散移民安置，引水渠隧洞口，引水支渠</w:t>
            </w:r>
          </w:p>
        </w:tc>
        <w:tc>
          <w:tcPr>
            <w:tcW w:w="4249" w:type="dxa"/>
            <w:vAlign w:val="center"/>
          </w:tcPr>
          <w:p>
            <w:pPr>
              <w:pStyle w:val="90"/>
              <w:spacing w:line="240" w:lineRule="exact"/>
              <w:ind w:firstLine="0" w:firstLineChars="0"/>
              <w:contextualSpacing/>
              <w:jc w:val="center"/>
              <w:rPr>
                <w:sz w:val="21"/>
                <w:szCs w:val="21"/>
              </w:rPr>
            </w:pPr>
            <w:r>
              <w:rPr>
                <w:sz w:val="21"/>
                <w:szCs w:val="21"/>
              </w:rPr>
              <w:t>原有植被被永久侵占，不可恢复；植物物种死亡，不可恢复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6" w:type="dxa"/>
            <w:vAlign w:val="center"/>
          </w:tcPr>
          <w:p>
            <w:pPr>
              <w:pStyle w:val="90"/>
              <w:spacing w:line="240" w:lineRule="exact"/>
              <w:ind w:firstLine="0" w:firstLineChars="0"/>
              <w:contextualSpacing/>
              <w:jc w:val="center"/>
              <w:rPr>
                <w:sz w:val="21"/>
                <w:szCs w:val="21"/>
              </w:rPr>
            </w:pPr>
            <w:r>
              <w:rPr>
                <w:sz w:val="21"/>
                <w:szCs w:val="21"/>
              </w:rPr>
              <w:t>临时</w:t>
            </w:r>
          </w:p>
          <w:p>
            <w:pPr>
              <w:pStyle w:val="90"/>
              <w:spacing w:line="240" w:lineRule="exact"/>
              <w:ind w:firstLine="0" w:firstLineChars="0"/>
              <w:contextualSpacing/>
              <w:jc w:val="center"/>
              <w:rPr>
                <w:sz w:val="21"/>
                <w:szCs w:val="21"/>
              </w:rPr>
            </w:pPr>
            <w:r>
              <w:rPr>
                <w:sz w:val="21"/>
                <w:szCs w:val="21"/>
              </w:rPr>
              <w:t>占地</w:t>
            </w:r>
          </w:p>
        </w:tc>
        <w:tc>
          <w:tcPr>
            <w:tcW w:w="3547" w:type="dxa"/>
            <w:vAlign w:val="center"/>
          </w:tcPr>
          <w:p>
            <w:pPr>
              <w:pStyle w:val="90"/>
              <w:spacing w:line="240" w:lineRule="exact"/>
              <w:ind w:firstLine="0" w:firstLineChars="0"/>
              <w:contextualSpacing/>
              <w:jc w:val="center"/>
              <w:rPr>
                <w:sz w:val="21"/>
                <w:szCs w:val="21"/>
              </w:rPr>
            </w:pPr>
            <w:r>
              <w:rPr>
                <w:sz w:val="21"/>
                <w:szCs w:val="21"/>
              </w:rPr>
              <w:t>临时施工便道，临时施工辅助设施</w:t>
            </w:r>
          </w:p>
        </w:tc>
        <w:tc>
          <w:tcPr>
            <w:tcW w:w="4249" w:type="dxa"/>
            <w:vAlign w:val="center"/>
          </w:tcPr>
          <w:p>
            <w:pPr>
              <w:pStyle w:val="90"/>
              <w:spacing w:line="240" w:lineRule="exact"/>
              <w:ind w:firstLine="0" w:firstLineChars="0"/>
              <w:contextualSpacing/>
              <w:jc w:val="center"/>
              <w:rPr>
                <w:sz w:val="21"/>
                <w:szCs w:val="21"/>
              </w:rPr>
            </w:pPr>
            <w:r>
              <w:rPr>
                <w:sz w:val="21"/>
                <w:szCs w:val="21"/>
              </w:rPr>
              <w:t>原有植被临时侵占，可恢复；植物物种破坏消失，植株数量减少，可缓慢恢复</w:t>
            </w:r>
          </w:p>
        </w:tc>
      </w:tr>
    </w:tbl>
    <w:p>
      <w:pPr>
        <w:pStyle w:val="88"/>
        <w:overflowPunct w:val="0"/>
        <w:topLinePunct/>
        <w:spacing w:line="160" w:lineRule="exact"/>
        <w:ind w:firstLine="420"/>
        <w:contextualSpacing/>
        <w:jc w:val="left"/>
        <w:rPr>
          <w:rFonts w:ascii="Times New Roman" w:hAnsi="Times New Roman"/>
        </w:rPr>
      </w:pPr>
    </w:p>
    <w:p>
      <w:pPr>
        <w:ind w:firstLine="480"/>
        <w:contextualSpacing/>
      </w:pPr>
      <w:r>
        <w:t>工程占地引起植被的生产力的损失（表5.6-3）共约</w:t>
      </w:r>
      <w:r>
        <w:rPr>
          <w:kern w:val="0"/>
          <w:sz w:val="21"/>
          <w:szCs w:val="21"/>
        </w:rPr>
        <w:t>3735.7t/hm</w:t>
      </w:r>
      <w:r>
        <w:rPr>
          <w:kern w:val="0"/>
          <w:sz w:val="21"/>
          <w:szCs w:val="21"/>
          <w:vertAlign w:val="superscript"/>
        </w:rPr>
        <w:t>2</w:t>
      </w:r>
      <w:r>
        <w:rPr>
          <w:kern w:val="0"/>
          <w:sz w:val="21"/>
          <w:szCs w:val="21"/>
        </w:rPr>
        <w:t>·a，约占评价区总生产力的9.09%</w:t>
      </w:r>
      <w:r>
        <w:t>，其中永久占地损失生产力</w:t>
      </w:r>
      <w:r>
        <w:rPr>
          <w:kern w:val="0"/>
        </w:rPr>
        <w:t>3318.4</w:t>
      </w:r>
      <w:r>
        <w:rPr>
          <w:kern w:val="0"/>
          <w:sz w:val="21"/>
          <w:szCs w:val="21"/>
        </w:rPr>
        <w:t>t/hm</w:t>
      </w:r>
      <w:r>
        <w:rPr>
          <w:kern w:val="0"/>
          <w:sz w:val="21"/>
          <w:szCs w:val="21"/>
          <w:vertAlign w:val="superscript"/>
        </w:rPr>
        <w:t>2</w:t>
      </w:r>
      <w:r>
        <w:rPr>
          <w:kern w:val="0"/>
          <w:sz w:val="21"/>
          <w:szCs w:val="21"/>
        </w:rPr>
        <w:t>·a，临时占地</w:t>
      </w:r>
      <w:r>
        <w:t>损失生产力</w:t>
      </w:r>
      <w:r>
        <w:rPr>
          <w:kern w:val="0"/>
        </w:rPr>
        <w:t>417.3</w:t>
      </w:r>
      <w:r>
        <w:rPr>
          <w:kern w:val="0"/>
          <w:sz w:val="21"/>
          <w:szCs w:val="21"/>
        </w:rPr>
        <w:t>t/hm</w:t>
      </w:r>
      <w:r>
        <w:rPr>
          <w:kern w:val="0"/>
          <w:sz w:val="21"/>
          <w:szCs w:val="21"/>
          <w:vertAlign w:val="superscript"/>
        </w:rPr>
        <w:t>2</w:t>
      </w:r>
      <w:r>
        <w:rPr>
          <w:kern w:val="0"/>
          <w:sz w:val="21"/>
          <w:szCs w:val="21"/>
        </w:rPr>
        <w:t>·a。</w:t>
      </w:r>
      <w:r>
        <w:rPr>
          <w:kern w:val="0"/>
        </w:rPr>
        <w:t>通过植被恢复、复垦等措施，工程总体上对区域生产力的影响相对较小。</w:t>
      </w:r>
    </w:p>
    <w:p>
      <w:pPr>
        <w:ind w:firstLine="0" w:firstLineChars="0"/>
        <w:contextualSpacing/>
        <w:jc w:val="center"/>
        <w:rPr>
          <w:b/>
          <w:bCs/>
          <w:sz w:val="21"/>
          <w:szCs w:val="21"/>
        </w:rPr>
      </w:pPr>
      <w:r>
        <w:rPr>
          <w:b/>
          <w:bCs/>
          <w:sz w:val="21"/>
          <w:szCs w:val="21"/>
        </w:rPr>
        <w:t>表5.3.1-3  工程占地对植被生产力的损失</w:t>
      </w:r>
    </w:p>
    <w:tbl>
      <w:tblPr>
        <w:tblStyle w:val="38"/>
        <w:tblW w:w="4900" w:type="pct"/>
        <w:tblInd w:w="0" w:type="dxa"/>
        <w:tblLayout w:type="fixed"/>
        <w:tblCellMar>
          <w:top w:w="15" w:type="dxa"/>
          <w:left w:w="15" w:type="dxa"/>
          <w:bottom w:w="15" w:type="dxa"/>
          <w:right w:w="15" w:type="dxa"/>
        </w:tblCellMar>
      </w:tblPr>
      <w:tblGrid>
        <w:gridCol w:w="347"/>
        <w:gridCol w:w="1531"/>
        <w:gridCol w:w="940"/>
        <w:gridCol w:w="922"/>
        <w:gridCol w:w="664"/>
        <w:gridCol w:w="887"/>
        <w:gridCol w:w="904"/>
        <w:gridCol w:w="992"/>
        <w:gridCol w:w="982"/>
      </w:tblGrid>
      <w:tr>
        <w:tblPrEx>
          <w:tblCellMar>
            <w:top w:w="15" w:type="dxa"/>
            <w:left w:w="15" w:type="dxa"/>
            <w:bottom w:w="15" w:type="dxa"/>
            <w:right w:w="15" w:type="dxa"/>
          </w:tblCellMar>
        </w:tblPrEx>
        <w:trPr>
          <w:trHeight w:val="320" w:hRule="atLeast"/>
        </w:trPr>
        <w:tc>
          <w:tcPr>
            <w:tcW w:w="35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序号</w:t>
            </w:r>
          </w:p>
        </w:tc>
        <w:tc>
          <w:tcPr>
            <w:tcW w:w="157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类型</w:t>
            </w:r>
          </w:p>
        </w:tc>
        <w:tc>
          <w:tcPr>
            <w:tcW w:w="2594"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占地面积（hm2）</w:t>
            </w:r>
          </w:p>
        </w:tc>
        <w:tc>
          <w:tcPr>
            <w:tcW w:w="2857"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损失总生产力</w:t>
            </w:r>
          </w:p>
          <w:p>
            <w:pPr>
              <w:spacing w:line="240" w:lineRule="auto"/>
              <w:ind w:firstLine="0" w:firstLineChars="0"/>
              <w:contextualSpacing/>
              <w:jc w:val="center"/>
              <w:rPr>
                <w:sz w:val="21"/>
                <w:szCs w:val="21"/>
              </w:rPr>
            </w:pPr>
            <w:r>
              <w:rPr>
                <w:sz w:val="21"/>
                <w:szCs w:val="21"/>
              </w:rPr>
              <w:t>（t/hm2·a）</w:t>
            </w:r>
          </w:p>
        </w:tc>
        <w:tc>
          <w:tcPr>
            <w:tcW w:w="1009" w:type="dxa"/>
            <w:tcBorders>
              <w:top w:val="single" w:color="000000" w:sz="4" w:space="0"/>
              <w:left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占评价区</w:t>
            </w:r>
          </w:p>
        </w:tc>
      </w:tr>
      <w:tr>
        <w:tblPrEx>
          <w:tblCellMar>
            <w:top w:w="15" w:type="dxa"/>
            <w:left w:w="15" w:type="dxa"/>
            <w:bottom w:w="15" w:type="dxa"/>
            <w:right w:w="15" w:type="dxa"/>
          </w:tblCellMar>
        </w:tblPrEx>
        <w:trPr>
          <w:trHeight w:val="610" w:hRule="atLeast"/>
        </w:trPr>
        <w:tc>
          <w:tcPr>
            <w:tcW w:w="35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p>
        </w:tc>
        <w:tc>
          <w:tcPr>
            <w:tcW w:w="157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永久占地</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临时占地</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合计</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永久占地</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临时占地</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合计</w:t>
            </w:r>
          </w:p>
        </w:tc>
        <w:tc>
          <w:tcPr>
            <w:tcW w:w="1009" w:type="dxa"/>
            <w:tcBorders>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总生产力%</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柏木林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3.6</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3.6</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51.6</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51.6</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0.13</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马尾松林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0.7</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0.7</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4.8</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4.8</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桉树林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0.9</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0.9</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13.8</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13.8</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0.03</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构树林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2.2</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2.2</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24.5</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24.5</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0.06</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柏木+桤木混交林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0.5</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0.5</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5.6</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5.6</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6</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柏木+慈竹混交林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0.6</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0.6</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6.1</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6.1</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7</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柏木+香椿混交林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0.6</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0.6</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5.0</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5.0</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0.01</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8</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慈竹林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2.0</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2.0</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10.0</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10.0</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0.02</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9</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盐肤木林</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10</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黄荆灌丛</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0.4</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0.4</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11</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多花蔷薇灌丛</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427"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12</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葎草草丛</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456"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13</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芒+白茅草丛</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0.2</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37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14</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艾蒿草丛</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0.1</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0.00</w:t>
            </w:r>
          </w:p>
        </w:tc>
      </w:tr>
      <w:tr>
        <w:tblPrEx>
          <w:tblCellMar>
            <w:top w:w="15" w:type="dxa"/>
            <w:left w:w="15" w:type="dxa"/>
            <w:bottom w:w="15" w:type="dxa"/>
            <w:right w:w="15" w:type="dxa"/>
          </w:tblCellMar>
        </w:tblPrEx>
        <w:trPr>
          <w:trHeight w:val="320"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15</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农田植被</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136.0</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17.76</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153.8</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3196.0</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417.3</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3613.3</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8.79</w:t>
            </w:r>
          </w:p>
        </w:tc>
      </w:tr>
      <w:tr>
        <w:tblPrEx>
          <w:tblCellMar>
            <w:top w:w="15" w:type="dxa"/>
            <w:left w:w="15" w:type="dxa"/>
            <w:bottom w:w="15" w:type="dxa"/>
            <w:right w:w="15" w:type="dxa"/>
          </w:tblCellMar>
        </w:tblPrEx>
        <w:trPr>
          <w:trHeight w:val="587" w:hRule="atLeast"/>
        </w:trPr>
        <w:tc>
          <w:tcPr>
            <w:tcW w:w="35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16</w:t>
            </w:r>
          </w:p>
        </w:tc>
        <w:tc>
          <w:tcPr>
            <w:tcW w:w="157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住宅、交通、水利等</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25.38</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2.08</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27.46</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w:t>
            </w:r>
          </w:p>
        </w:tc>
      </w:tr>
      <w:tr>
        <w:tblPrEx>
          <w:tblCellMar>
            <w:top w:w="15" w:type="dxa"/>
            <w:left w:w="15" w:type="dxa"/>
            <w:bottom w:w="15" w:type="dxa"/>
            <w:right w:w="15" w:type="dxa"/>
          </w:tblCellMar>
        </w:tblPrEx>
        <w:trPr>
          <w:trHeight w:val="191" w:hRule="atLeast"/>
        </w:trPr>
        <w:tc>
          <w:tcPr>
            <w:tcW w:w="1928" w:type="dxa"/>
            <w:gridSpan w:val="2"/>
            <w:tcBorders>
              <w:top w:val="single" w:color="000000" w:sz="4" w:space="0"/>
              <w:left w:val="single" w:color="000000" w:sz="4" w:space="0"/>
              <w:bottom w:val="single" w:color="000000" w:sz="4" w:space="0"/>
            </w:tcBorders>
            <w:vAlign w:val="center"/>
          </w:tcPr>
          <w:p>
            <w:pPr>
              <w:spacing w:line="240" w:lineRule="auto"/>
              <w:ind w:firstLine="0" w:firstLineChars="0"/>
              <w:contextualSpacing/>
              <w:jc w:val="center"/>
              <w:rPr>
                <w:sz w:val="21"/>
                <w:szCs w:val="21"/>
              </w:rPr>
            </w:pPr>
            <w:r>
              <w:rPr>
                <w:sz w:val="21"/>
                <w:szCs w:val="21"/>
              </w:rPr>
              <w:t>合计</w:t>
            </w:r>
          </w:p>
        </w:tc>
        <w:tc>
          <w:tcPr>
            <w:tcW w:w="96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173.14</w:t>
            </w:r>
          </w:p>
        </w:tc>
        <w:tc>
          <w:tcPr>
            <w:tcW w:w="947"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19.84</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192.98</w:t>
            </w:r>
          </w:p>
        </w:tc>
        <w:tc>
          <w:tcPr>
            <w:tcW w:w="911"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3318.4</w:t>
            </w:r>
          </w:p>
        </w:tc>
        <w:tc>
          <w:tcPr>
            <w:tcW w:w="92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417.3</w:t>
            </w:r>
          </w:p>
        </w:tc>
        <w:tc>
          <w:tcPr>
            <w:tcW w:w="101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3735.7</w:t>
            </w:r>
          </w:p>
        </w:tc>
        <w:tc>
          <w:tcPr>
            <w:tcW w:w="10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contextualSpacing/>
              <w:jc w:val="center"/>
              <w:rPr>
                <w:sz w:val="21"/>
                <w:szCs w:val="21"/>
              </w:rPr>
            </w:pPr>
            <w:r>
              <w:rPr>
                <w:sz w:val="21"/>
                <w:szCs w:val="21"/>
              </w:rPr>
              <w:t>9.09</w:t>
            </w:r>
          </w:p>
        </w:tc>
      </w:tr>
    </w:tbl>
    <w:p>
      <w:pPr>
        <w:ind w:firstLine="420"/>
        <w:contextualSpacing/>
        <w:rPr>
          <w:sz w:val="21"/>
          <w:szCs w:val="21"/>
        </w:rPr>
      </w:pPr>
      <w:r>
        <w:rPr>
          <w:sz w:val="21"/>
          <w:szCs w:val="21"/>
        </w:rPr>
        <w:t>备注:各类型占地数据根据工程布置与植被分布图叠加后计算。</w:t>
      </w:r>
    </w:p>
    <w:p>
      <w:pPr>
        <w:pStyle w:val="88"/>
        <w:overflowPunct w:val="0"/>
        <w:topLinePunct/>
        <w:spacing w:line="160" w:lineRule="exact"/>
        <w:ind w:firstLine="420"/>
        <w:contextualSpacing/>
        <w:jc w:val="left"/>
        <w:rPr>
          <w:rFonts w:ascii="Times New Roman" w:hAnsi="Times New Roman"/>
        </w:rPr>
      </w:pPr>
    </w:p>
    <w:p>
      <w:pPr>
        <w:ind w:firstLine="480"/>
        <w:contextualSpacing/>
      </w:pPr>
      <w:r>
        <w:t>综上所述，寒溪寺水库工程建设工程占地及淹没区影响植被均为评价区最常见的植被类型，且影响面积较小，从整个评价区的大尺度上来看，项目建设和运营不会造成评价区主要植被类型的消失，对评价区植被的影响程度较小。</w:t>
      </w:r>
    </w:p>
    <w:p>
      <w:pPr>
        <w:ind w:firstLine="480"/>
        <w:contextualSpacing/>
      </w:pPr>
      <w:r>
        <w:t>（2）对植物的影响</w:t>
      </w:r>
    </w:p>
    <w:p>
      <w:pPr>
        <w:ind w:firstLine="480"/>
        <w:contextualSpacing/>
      </w:pPr>
      <w:r>
        <w:t>1）施工期影响</w:t>
      </w:r>
    </w:p>
    <w:p>
      <w:pPr>
        <w:ind w:firstLine="480"/>
        <w:contextualSpacing/>
        <w:rPr>
          <w:bCs/>
        </w:rPr>
      </w:pPr>
      <w:r>
        <w:rPr>
          <w:bCs/>
        </w:rPr>
        <w:t>寒溪寺水库工程建设施工影响区影响较集中的区域有</w:t>
      </w:r>
      <w:r>
        <w:t>水库淹没区及其影响区，水库枢纽工程区、灌区渠系占地地段、料场、渣场所在地段以及施工便道等。各施工区的直接影响时间和时段不等。产生影响的因数主要有</w:t>
      </w:r>
      <w:r>
        <w:rPr>
          <w:bCs/>
        </w:rPr>
        <w:t>土方明挖、岩石明挖、岩石洞挖、</w:t>
      </w:r>
      <w:r>
        <w:t>土石方填筑、</w:t>
      </w:r>
      <w:r>
        <w:rPr>
          <w:bCs/>
        </w:rPr>
        <w:t>堆渣、渣场占地、</w:t>
      </w:r>
      <w:r>
        <w:t>工程施工各种生产、生活临时建筑物、</w:t>
      </w:r>
      <w:r>
        <w:rPr>
          <w:bCs/>
        </w:rPr>
        <w:t>永久占地</w:t>
      </w:r>
      <w:r>
        <w:t>等所带来的影响。其它如施工过程所产生的粉尘、有害气体、废水、固体废弃物、噪声等对自然生态和动植物都有直接的影响。期间外来施工人员所产生的影响在各施工区也不尽相同，主要集中在坝址枢纽地段，其它施工区人员相对较少。</w:t>
      </w:r>
    </w:p>
    <w:p>
      <w:pPr>
        <w:ind w:firstLine="480"/>
        <w:contextualSpacing/>
        <w:rPr>
          <w:kern w:val="24"/>
        </w:rPr>
      </w:pPr>
      <w:r>
        <w:rPr>
          <w:kern w:val="24"/>
        </w:rPr>
        <w:t>水库坝址施工建设主要影响到栽培植被和禾本、蒿草草丛，以及黄荆灌丛。主要植物种类有白茅、芦苇、盐肤木、黄荆、桑、马桑、芒、三叶鬼针草、艾蒿、蒲公英、皱叶狗尾草及大田作物等。建设施工会对这些植被造成一定程度的破坏，造成一部分植株的死亡；同时因施工段沿河两岸土层较薄，施工会导致表层土壤与浅层岩石剥离，最终将对这些地带的灌丛植被造成破坏；施工中的道路及渠道建设开挖将使道路以下的植被遭到一定程度破坏。</w:t>
      </w:r>
    </w:p>
    <w:p>
      <w:pPr>
        <w:ind w:firstLine="480"/>
        <w:contextualSpacing/>
        <w:rPr>
          <w:kern w:val="24"/>
        </w:rPr>
      </w:pPr>
      <w:r>
        <w:rPr>
          <w:kern w:val="24"/>
        </w:rPr>
        <w:t>本次调查尚未发现工程建设区存在野生保护植物以及名木古树，如果在施工中发现有珍稀保护植物或名木古树，应立即设置保护标志，并通知相关林业管理部门处理，工程建设尽量避开珍稀保护植物和名木古树，实在不能避开的，在林业部门的指导下进行移栽。</w:t>
      </w:r>
    </w:p>
    <w:p>
      <w:pPr>
        <w:ind w:firstLine="480"/>
        <w:contextualSpacing/>
      </w:pPr>
      <w:r>
        <w:t>2）蓄水期影响</w:t>
      </w:r>
    </w:p>
    <w:p>
      <w:pPr>
        <w:ind w:firstLine="480"/>
        <w:contextualSpacing/>
        <w:rPr>
          <w:kern w:val="4"/>
        </w:rPr>
      </w:pPr>
      <w:r>
        <w:rPr>
          <w:kern w:val="4"/>
        </w:rPr>
        <w:t>蓄水过程中，淹没区的植被会被逐渐淹没至水面下，淹没区植被主要以</w:t>
      </w:r>
      <w:r>
        <w:t>栽培植被为主，还有部分河滩地，禾本、蒿草草丛，盐肤木、黄荆灌丛</w:t>
      </w:r>
      <w:r>
        <w:rPr>
          <w:bCs/>
        </w:rPr>
        <w:t>等。</w:t>
      </w:r>
      <w:r>
        <w:t>淹没区常见植物种类有白茅、牛筋草、竹叶茅、蒿类、</w:t>
      </w:r>
      <w:r>
        <w:rPr>
          <w:bCs/>
        </w:rPr>
        <w:t>黄荆</w:t>
      </w:r>
      <w:r>
        <w:t>、</w:t>
      </w:r>
      <w:r>
        <w:rPr>
          <w:kern w:val="0"/>
        </w:rPr>
        <w:t>马桑</w:t>
      </w:r>
      <w:r>
        <w:t>、</w:t>
      </w:r>
      <w:r>
        <w:rPr>
          <w:kern w:val="0"/>
        </w:rPr>
        <w:t>三叶鬼针草</w:t>
      </w:r>
      <w:r>
        <w:t>以及其他大田作物等。</w:t>
      </w:r>
    </w:p>
    <w:p>
      <w:pPr>
        <w:ind w:firstLine="480"/>
        <w:contextualSpacing/>
      </w:pPr>
      <w:r>
        <w:t>3）营运期影响</w:t>
      </w:r>
    </w:p>
    <w:p>
      <w:pPr>
        <w:ind w:firstLine="480"/>
        <w:contextualSpacing/>
      </w:pPr>
      <w:r>
        <w:t>水库建成后，各施工点人员、机械设备均撤除现场，各支洞口封闭，临时道路等废弃。水库除永久占地外，其它区域均将进行植被恢复，对陆生植物的影响将会减弱，部分地区也将恢复到建设前的水平。仅对库区的植物造成较大的影响，淹没范围内的植株将被砍伐，一些原生植物将受淹没而死亡。受淹没范围面积很小，且受淹没的植被均为一般常见种，淹没线以上地带可见到相似的群落，在不同海拔地区均有分布，其受淹没影响的物种适应性强，不存在因局部植被淹没而导致种群消失或灭迹。减水河段由于河流水位的下降，陆地面积增加，有利于河段两侧旱生植物生长，旱生植物数量有所增加。</w:t>
      </w:r>
    </w:p>
    <w:p>
      <w:pPr>
        <w:ind w:firstLine="480"/>
        <w:contextualSpacing/>
      </w:pPr>
      <w:r>
        <w:t>寒溪寺水库闸坝蓄水后，库区水域面积有所增加，热容量将有小幅度增大，年温差有所减少，无霜期也会有一定的延长，这些自然条件的变化所形成的局部小气候将对植被产生影响，有利于植物的生长和扩大其分布。由于湿度增大，热容量增加，植被类型的成分和分布范围可能会有所变化，针叶树种的种类将会增加，其垂直分布范围将会有所扩大。特别是坝蓄水后，随着静水部分增加，水域面积的加大，河岸相应增加，一些耐短期渍水的物种数量将增加。</w:t>
      </w:r>
    </w:p>
    <w:p>
      <w:pPr>
        <w:ind w:firstLine="480"/>
        <w:contextualSpacing/>
      </w:pPr>
      <w:r>
        <w:t>寒溪寺水库减水河段两岸下部主要为农田用地和禾本、蒿草草丛，黄荆灌丛、竹林。影响植物主要种类有白茅、蒿草、马尾松、黄荆等。</w:t>
      </w:r>
    </w:p>
    <w:p>
      <w:pPr>
        <w:ind w:firstLine="480"/>
        <w:contextualSpacing/>
      </w:pPr>
      <w:r>
        <w:t>4）消落带的影响</w:t>
      </w:r>
    </w:p>
    <w:p>
      <w:pPr>
        <w:kinsoku w:val="0"/>
        <w:overflowPunct w:val="0"/>
        <w:ind w:firstLine="480"/>
        <w:contextualSpacing/>
        <w:jc w:val="left"/>
        <w:rPr>
          <w:highlight w:val="yellow"/>
        </w:rPr>
      </w:pPr>
      <w:r>
        <w:t>根据施工布置专题核算结果，建设征地区由水库淹没区、枢纽工程区、渠道工程区等三项组成。土地总面积</w:t>
      </w:r>
      <w:r>
        <w:rPr>
          <w:rFonts w:hint="eastAsia"/>
        </w:rPr>
        <w:t>631.79</w:t>
      </w:r>
      <w:r>
        <w:t>亩，其中水库淹没区及枢纽永久占地区</w:t>
      </w:r>
      <w:r>
        <w:rPr>
          <w:rFonts w:hint="eastAsia"/>
        </w:rPr>
        <w:t>501.34</w:t>
      </w:r>
      <w:r>
        <w:t>亩，临时征用</w:t>
      </w:r>
      <w:r>
        <w:rPr>
          <w:rFonts w:hint="eastAsia"/>
        </w:rPr>
        <w:t>130.45</w:t>
      </w:r>
      <w:r>
        <w:t>亩（</w:t>
      </w:r>
      <w:r>
        <w:rPr>
          <w:rFonts w:hint="eastAsia"/>
        </w:rPr>
        <w:t>巴中市</w:t>
      </w:r>
      <w:r>
        <w:t>）。从坡度分析，15°以下的消落带面积最大，约占消落带总面积的55%，主要集中在支库和坝址附近；15°~25°的消落带面积约占消落带总面积的30%；25°以上的消落带主要集中在库尾，占消落带总面积的15%。</w:t>
      </w:r>
    </w:p>
    <w:p>
      <w:pPr>
        <w:pStyle w:val="2"/>
        <w:kinsoku w:val="0"/>
        <w:overflowPunct w:val="0"/>
        <w:spacing w:before="0"/>
        <w:ind w:left="0" w:firstLine="480"/>
        <w:contextualSpacing/>
        <w:jc w:val="left"/>
        <w:rPr>
          <w:rFonts w:ascii="Times New Roman" w:hAnsi="Times New Roman"/>
        </w:rPr>
      </w:pPr>
      <w:r>
        <w:rPr>
          <w:rFonts w:ascii="Times New Roman" w:hAnsi="Times New Roman"/>
        </w:rPr>
        <w:t>从消落带的分布情况看，由于河道两岸和支流地势不开阔，平缓和开阔的河段不多，因此，出露期不会形成较大面积和成片的消落带。由于在水库调节过程中，时淹时旱的情景反复出现，消落带区域的一些物种因不耐水淹而可能逐步消亡。水库蓄水后，随着水位的上涨，局部小气候将发生变化，有利于库区周边一些湿生植物的生长。湿生植物不能长时间忍受缺水，抗旱能力差，多生长在水边或潮湿的环境中。</w:t>
      </w:r>
    </w:p>
    <w:p>
      <w:pPr>
        <w:ind w:firstLine="480"/>
        <w:contextualSpacing/>
      </w:pPr>
      <w:r>
        <w:t>5）其他影响</w:t>
      </w:r>
    </w:p>
    <w:p>
      <w:pPr>
        <w:ind w:firstLine="480"/>
        <w:contextualSpacing/>
      </w:pPr>
      <w:r>
        <w:rPr>
          <w:rFonts w:hint="eastAsia" w:ascii="宋体" w:hAnsi="宋体" w:cs="宋体"/>
        </w:rPr>
        <w:t>①</w:t>
      </w:r>
      <w:r>
        <w:t>生态入侵的影响</w:t>
      </w:r>
    </w:p>
    <w:p>
      <w:pPr>
        <w:ind w:firstLine="480"/>
        <w:contextualSpacing/>
      </w:pPr>
      <w:r>
        <w:t>寒溪寺水库工程施工、工程绿化、工程人员进出评价范围形成人员车辆交流、工程建筑材料及其车辆的进入，人们将会有意无意的将外来物种带进该区域，由于外来物种可能比当地物种能更好的适应和利用被干扰的环境，进而对本地物种的多样性造成威胁，将导致当地生存的物种数量的减少、树木逐渐的衰退。</w:t>
      </w:r>
    </w:p>
    <w:p>
      <w:pPr>
        <w:ind w:firstLine="480"/>
        <w:contextualSpacing/>
      </w:pPr>
      <w:r>
        <w:t>特别是工程绿化阶段，施工方应采用本土植物用作植被恢复，尽量不用外来物种进行植被恢复。生态入侵属于人为可控，只要严格检查外来人员及车辆，防范外来种的入侵，可大幅减少生态入侵的影响。</w:t>
      </w:r>
    </w:p>
    <w:p>
      <w:pPr>
        <w:ind w:firstLine="480"/>
        <w:contextualSpacing/>
      </w:pPr>
      <w:r>
        <w:t>改善区、受水区、退水区等的生态入侵影响，主要体现在人们在种植生产过程中将外来物种带进该区域，由于外来物种可能比当地物种能更好的适应和利用被干扰的环境，进而对本地物种的多样性造成威胁，将导致当地生存的物种数量的减少、树木逐渐的衰退。植物外来种可降低土壤的营养水平, 这主要是由于竞争, 落叶的营养贫乏或难分解, 积累盐分改变土壤 pH 值等造成的 .外来种可影响土壤的盐分含量, 如盐生植物侵入淡生植物占优势的群落, 积累盐分多于淡生植物, 其残体分解时, 释放出盐类化合物, 土壤盐分增加, 影响其他植物的生存。总体上，灌区改善区和新增灌区是农田植被区域，主要受当地居民的农业生产活动影响，应加强入侵物种的防治宣传，做好防治措施，最大程度降低外来物种入侵影响。</w:t>
      </w:r>
    </w:p>
    <w:p>
      <w:pPr>
        <w:ind w:firstLine="480"/>
        <w:contextualSpacing/>
      </w:pPr>
      <w:r>
        <w:rPr>
          <w:rFonts w:hint="eastAsia" w:ascii="宋体" w:hAnsi="宋体" w:cs="宋体"/>
        </w:rPr>
        <w:t>②</w:t>
      </w:r>
      <w:r>
        <w:t>对珍稀保护植物及古树名木的影响</w:t>
      </w:r>
    </w:p>
    <w:p>
      <w:pPr>
        <w:ind w:firstLine="480"/>
        <w:contextualSpacing/>
      </w:pPr>
      <w:r>
        <w:t>本次调查尚未发现工程建设区存在野生保护植物以及名木古树，如果在施工中发现有珍稀保护植物或名木古树，应立即设置保护标志，并通知相关林业管理部门处理，工程建设尽量避开珍稀保护植物和名木古树，实在不能避开的，在林业部门的指导下进行移栽。</w:t>
      </w:r>
    </w:p>
    <w:p>
      <w:pPr>
        <w:ind w:firstLine="0" w:firstLineChars="0"/>
        <w:contextualSpacing/>
        <w:outlineLvl w:val="3"/>
        <w:rPr>
          <w:b/>
          <w:bCs/>
        </w:rPr>
      </w:pPr>
      <w:r>
        <w:rPr>
          <w:b/>
          <w:bCs/>
        </w:rPr>
        <w:t>5.3.1.2对陆生动物的影响</w:t>
      </w:r>
    </w:p>
    <w:p>
      <w:pPr>
        <w:ind w:firstLine="480"/>
        <w:contextualSpacing/>
        <w:rPr>
          <w:b/>
          <w:bCs/>
        </w:rPr>
      </w:pPr>
      <w:r>
        <w:t>寒溪寺水库工程建设将影响的生境主要包括河流、灌丛、耕地以及少量的林地，于是工程将影响的脊椎动物也就是主要活动于这些生境中的物种。从大的类型来讲，受直接影响的动物主要包括雀形目鸟类、小型兽类、两栖爬行动物和农田、灌丛生境中的物种。</w:t>
      </w:r>
    </w:p>
    <w:p>
      <w:pPr>
        <w:ind w:firstLine="480"/>
        <w:contextualSpacing/>
      </w:pPr>
      <w:r>
        <w:t>（1）施工期影响</w:t>
      </w:r>
    </w:p>
    <w:p>
      <w:pPr>
        <w:ind w:firstLine="480"/>
        <w:contextualSpacing/>
      </w:pPr>
      <w:r>
        <w:t>1）两栖动物</w:t>
      </w:r>
    </w:p>
    <w:p>
      <w:pPr>
        <w:ind w:firstLine="480"/>
        <w:contextualSpacing/>
      </w:pPr>
      <w:r>
        <w:t>由于爬行类数量较少，水库枢纽施工建设对原生活于此的爬行类动物有直接影响，但建设时采用缓慢开工等方式可以促使它们能较早的迁徙到工程区以外的地方，这样建设活动对它们影响可以减少到最小。水库建设对库区周围的两栖动物有着直接的影响，生物多样性会有所减少，此处生活的两栖类主要有中华蟾蜍、沼水蛙和泽陆蛙等。其影响在施工期间主要有两个方面：其一是河岸施工造成两栖类栖息地减少、堆渣造成两栖类直接死亡，繁殖季节更甚；其二，施工造成的污染破坏了两栖类生存环境，使两栖类繁殖受到影响。</w:t>
      </w:r>
    </w:p>
    <w:p>
      <w:pPr>
        <w:ind w:firstLine="480"/>
        <w:contextualSpacing/>
      </w:pPr>
      <w:r>
        <w:t>2）爬行动物</w:t>
      </w:r>
    </w:p>
    <w:p>
      <w:pPr>
        <w:ind w:firstLine="480"/>
        <w:contextualSpacing/>
      </w:pPr>
      <w:r>
        <w:t>施工期中，由于人类活动范围及频率增大，工地、生产生活区、渣料场等的施工，将使灌草丛覆盖度降低，地面的光照度更加充足，干燥度亦增大，蜥蜴类动物种群数量将可能增加。</w:t>
      </w:r>
    </w:p>
    <w:p>
      <w:pPr>
        <w:ind w:firstLine="480"/>
        <w:contextualSpacing/>
      </w:pPr>
      <w:r>
        <w:t>施工过程中出现的垃圾堆等可引来鼠类和蚊蝇，从而引来蛇类和蜥蜴类，这点对爬行动物较为有利，但竣工后将会消失。施工人员如发现蛇类，可能进行捕捉或捕杀，对其生存有一定影响。</w:t>
      </w:r>
    </w:p>
    <w:p>
      <w:pPr>
        <w:ind w:firstLine="480"/>
        <w:contextualSpacing/>
      </w:pPr>
      <w:r>
        <w:t>3）鸟类</w:t>
      </w:r>
    </w:p>
    <w:p>
      <w:pPr>
        <w:ind w:firstLine="480"/>
        <w:contextualSpacing/>
      </w:pPr>
      <w:r>
        <w:t>水库施工区的建设活动对原在于此居留的鸟类有一定干扰，由于建设区域为农田植被，居留于此的多为一些小型雀翅目鸟类，植被的破坏可能对其筑巢、育雏有一定影响，施工的噪声、污染等对它们有一定威胁。但总体来看，首部枢纽的建设活动对鸟类影响不大，主要是由于鸟类具有强的迁移能力，无论对食物的寻觅，饮水的获得，首部工区的建设活动对它们都没有太大的影响。在水库库区内，由于水面面积的增加，亲水种类如赤麻鸭、绿翅鸭等以水域为主要栖息地的鸟类有正面影响，它们的种群数量会增加，还可能会使一些原来不在此栖息的水鸟也会迁徙过来，从而使鸟类种类增加。渠系等建设会对附近的鸟类造成一定的影响，但鸟的活动范围大，替代生境普遍存在，厂房为农田区，鸟类没有栖息于此，仅觅食可能前来，影响甚小。</w:t>
      </w:r>
    </w:p>
    <w:p>
      <w:pPr>
        <w:ind w:firstLine="480"/>
        <w:contextualSpacing/>
      </w:pPr>
      <w:r>
        <w:t>4）兽类</w:t>
      </w:r>
    </w:p>
    <w:p>
      <w:pPr>
        <w:ind w:firstLine="480"/>
        <w:contextualSpacing/>
      </w:pPr>
      <w:r>
        <w:t>水库施工区域活动的动物以小型兽类为主，多是一些小型的啮齿类动物。水库及管线沿线以农业活动为主，区域附近活动的动物也是以一些小型的啮齿类为主的小型兽类。施工建设活动破坏了小型兽类的栖息地，会较大改变小型兽类的分布格局，使建设区域内的小型兽类急剧减少，建设区域外的小型兽类在短时间内会有所增加。如在施工区域人多的地方，可能造成社鼠、小家鼠数量增加。植被破坏区域，社鼠等数量会上升，其他种类数量将下降。但总体上，首部工区的施工活动对大多数哺乳动物没有太大的影响，因为哺乳动物有较强的迁徙能力，环境改变了，它们会迁移到适合它们生活的环境中继续生存、繁衍。</w:t>
      </w:r>
    </w:p>
    <w:p>
      <w:pPr>
        <w:ind w:firstLine="480"/>
        <w:contextualSpacing/>
      </w:pPr>
      <w:r>
        <w:t>（2）蓄水期影响</w:t>
      </w:r>
    </w:p>
    <w:p>
      <w:pPr>
        <w:ind w:firstLine="480"/>
        <w:contextualSpacing/>
      </w:pPr>
      <w:r>
        <w:t>1）两栖动物</w:t>
      </w:r>
    </w:p>
    <w:p>
      <w:pPr>
        <w:ind w:firstLine="480"/>
        <w:contextualSpacing/>
      </w:pPr>
      <w:r>
        <w:t>蓄水将会使两栖动物的部分现有栖息地被逐步淹没和消失，蓄水虽造成水位变化，但对两栖类来说都会随之改变，不会造成较大影响。</w:t>
      </w:r>
    </w:p>
    <w:p>
      <w:pPr>
        <w:ind w:firstLine="480"/>
        <w:contextualSpacing/>
      </w:pPr>
      <w:r>
        <w:t>2）爬行动物</w:t>
      </w:r>
    </w:p>
    <w:p>
      <w:pPr>
        <w:ind w:firstLine="480"/>
        <w:contextualSpacing/>
      </w:pPr>
      <w:r>
        <w:t>蓄水会在现有水库基础上增加淹没范围，侵占爬行动物的部分栖息地，爬行动物随之而离开淹没区，但蓄水对爬行类的日常活动影响很小。</w:t>
      </w:r>
    </w:p>
    <w:p>
      <w:pPr>
        <w:ind w:firstLine="480"/>
        <w:contextualSpacing/>
      </w:pPr>
      <w:r>
        <w:t>3）鸟类</w:t>
      </w:r>
    </w:p>
    <w:p>
      <w:pPr>
        <w:ind w:firstLine="480"/>
        <w:contextualSpacing/>
      </w:pPr>
      <w:r>
        <w:t>库区蓄水，将使水体生态系统面积扩大，深度增加。蓄水时，大多数鸟类可以有足够多的时间逃离淹没区。蓄水期间对鸟类的影响是短暂的，其后对于气候和植物群落的影响将对鸟类的栖息产生长期影响。水库蓄水后将形成更大面积的水面，给许多游禽、涉禽提供了良好的食物来源和繁殖场所，因此水域鸟类多样性和种群数量都可能再次增加。</w:t>
      </w:r>
    </w:p>
    <w:p>
      <w:pPr>
        <w:ind w:firstLine="480"/>
        <w:contextualSpacing/>
      </w:pPr>
      <w:r>
        <w:t>4）兽类</w:t>
      </w:r>
    </w:p>
    <w:p>
      <w:pPr>
        <w:ind w:firstLine="480"/>
        <w:contextualSpacing/>
      </w:pPr>
      <w:r>
        <w:t>淹没区周边也主要是小型鼠类、草兔等常见种类，其活动范围广，蓄水将迫使生活在淹没区域内的啮齿目、兔形目动物迁居它处，但蓄水对它们产生的影响不大。</w:t>
      </w:r>
    </w:p>
    <w:p>
      <w:pPr>
        <w:ind w:firstLine="480"/>
        <w:contextualSpacing/>
      </w:pPr>
      <w:r>
        <w:t>（3）运行期影响</w:t>
      </w:r>
    </w:p>
    <w:p>
      <w:pPr>
        <w:ind w:firstLine="480"/>
        <w:contextualSpacing/>
      </w:pPr>
      <w:r>
        <w:t>1）两栖动物</w:t>
      </w:r>
    </w:p>
    <w:p>
      <w:pPr>
        <w:ind w:firstLine="480"/>
        <w:contextualSpacing/>
      </w:pPr>
      <w:r>
        <w:t>运行期对两栖动物的影响主要在于水库水位的涨落。</w:t>
      </w:r>
    </w:p>
    <w:p>
      <w:pPr>
        <w:ind w:firstLine="480"/>
        <w:contextualSpacing/>
      </w:pPr>
      <w:r>
        <w:t>水库在蓄水和放水灌溉季节一般都会出现水位的变化，而两栖动物对环境变化是十分敏感的。水位涨落对两栖动物的不利影响在于水库正常蓄水位与最低水位之间的变化将影响两栖动物的繁殖。水库水位下降时，处于产卵繁殖期的两栖动物，将随水位的下降向下寻找合适水体抱对、产卵、受精。如果水位频繁变化，将使两栖动物觅食困难，进而影响它们的体质，影响精子和卵子的形成，或产出的卵块或卵带可能因水位下降干涸而死亡。孵出的蝌蚪因来不及随水位下降而搁浅至干死，这些是水位消涨期的重要的不利影响。</w:t>
      </w:r>
    </w:p>
    <w:p>
      <w:pPr>
        <w:ind w:firstLine="480"/>
        <w:contextualSpacing/>
      </w:pPr>
      <w:r>
        <w:t>2）爬行动物</w:t>
      </w:r>
    </w:p>
    <w:p>
      <w:pPr>
        <w:ind w:firstLine="480"/>
        <w:contextualSpacing/>
      </w:pPr>
      <w:r>
        <w:t>蓄水后，库周地区将变得比以前潮湿，有利于库周施工影响区植物物种生长和植被的恢复，给草食昆虫等提供合适的生境生存与繁殖，昆虫增多，可以为蜥蜴类提供丰富的食物，有利于蜥蜴类种群的扩大。蜥蜴类的增多，以及啮齿目、食虫目等小型兽类的短时间的密度的增加，又为蛇类物种的生存、繁殖创造更好的条件，有利于它们数量的增加。</w:t>
      </w:r>
    </w:p>
    <w:p>
      <w:pPr>
        <w:ind w:firstLine="480"/>
        <w:contextualSpacing/>
      </w:pPr>
      <w:r>
        <w:t>运行期间水位的涨落会使该区域植物贫乏，导致爬行动物的食物和隐蔽场所都极少，因此极少有爬行动物到涨落区活动，但对爬行动物种群数量基本不会造成影响。</w:t>
      </w:r>
    </w:p>
    <w:p>
      <w:pPr>
        <w:ind w:firstLine="480"/>
        <w:contextualSpacing/>
      </w:pPr>
      <w:r>
        <w:t>3）鸟类</w:t>
      </w:r>
    </w:p>
    <w:p>
      <w:pPr>
        <w:ind w:firstLine="480"/>
        <w:contextualSpacing/>
      </w:pPr>
      <w:r>
        <w:t>水库运行后，水面的扩大，可能吸引游禽做短暂停留，如小鸊鹈等，水库周边也会吸引白鹭、苍鹭、环颈鸻等喜水鸟类的到来，增加水库周边的鸟类多样性和种群数量。</w:t>
      </w:r>
    </w:p>
    <w:p>
      <w:pPr>
        <w:ind w:firstLine="480"/>
        <w:contextualSpacing/>
      </w:pPr>
      <w:r>
        <w:t>4）兽类</w:t>
      </w:r>
    </w:p>
    <w:p>
      <w:pPr>
        <w:ind w:firstLine="480"/>
        <w:contextualSpacing/>
      </w:pPr>
      <w:r>
        <w:t>水库运行，造成的水位变化很小，对兽类的生存环境影响不明显，对物种的种类和数量影响很小。</w:t>
      </w:r>
    </w:p>
    <w:p>
      <w:pPr>
        <w:ind w:firstLine="480"/>
        <w:contextualSpacing/>
      </w:pPr>
      <w:r>
        <w:t>（4）对珍稀保护动物的影响</w:t>
      </w:r>
    </w:p>
    <w:p>
      <w:pPr>
        <w:ind w:firstLine="480"/>
        <w:contextualSpacing/>
      </w:pPr>
      <w:r>
        <w:t>评价区虽然有1种国家Ⅱ级保护动物，1种省级保护动物，但未出现在工程直接占地区域。工程施工期间增加的、较强的人为干扰可能会促使它们远离这些活动场所，不会对它们的种群或个体造成危害，只是可能发生的偷猎行为将直接危害它们单个个体的生存。保护鸟类物种的活动范围非常广域，迁徙能力很强，迁徙的途径较多。水库施工期，由于施工活动的影响，保护鸟类可能往工程建设区以外的区域迁徙；中国林蛙在本区域分布很少，作为两栖动物，受工程活动影响它们会直接后撤，工程建设对其影响不大；小鸊鷉受工程活动影响它们会远撤，工程建设对其影响不大。</w:t>
      </w:r>
    </w:p>
    <w:p>
      <w:pPr>
        <w:ind w:firstLine="0" w:firstLineChars="0"/>
        <w:contextualSpacing/>
        <w:outlineLvl w:val="3"/>
        <w:rPr>
          <w:b/>
          <w:bCs/>
        </w:rPr>
      </w:pPr>
      <w:r>
        <w:rPr>
          <w:b/>
          <w:bCs/>
        </w:rPr>
        <w:t>5.3.1.3景观生态体系影响</w:t>
      </w:r>
    </w:p>
    <w:p>
      <w:pPr>
        <w:ind w:firstLine="480"/>
        <w:contextualSpacing/>
      </w:pPr>
      <w:r>
        <w:t>（1）对景观结构的影响预测</w:t>
      </w:r>
    </w:p>
    <w:p>
      <w:pPr>
        <w:ind w:firstLine="480"/>
        <w:contextualSpacing/>
      </w:pPr>
      <w:r>
        <w:t>对寒溪寺水库工程建设结束后景观结构的影响仍然从斑块、廊道、基质三个方面进行分析。</w:t>
      </w:r>
    </w:p>
    <w:p>
      <w:pPr>
        <w:ind w:firstLine="480"/>
        <w:contextualSpacing/>
      </w:pPr>
      <w:r>
        <w:t>1）斑块的变化</w:t>
      </w:r>
    </w:p>
    <w:p>
      <w:pPr>
        <w:ind w:firstLine="480"/>
        <w:contextualSpacing/>
      </w:pPr>
      <w:r>
        <w:t>工程建设期间，施工活动将对评价区内的景观斑块进行侵占、分割，被侵占斑块将转化为建设用地斑块，这些斑块的功能变为为水库及其灌区服务，这就切断了同类斑块间的连接性，增加了斑块的破碎化。这些被改变的斑块同时切断与周围斑块结构和功能上的连接，水库扩建工程增加了线路两侧及周边斑块的破碎度。评价区各类景观在项目建成后的斑块数及面积变化见下表：</w:t>
      </w:r>
    </w:p>
    <w:p>
      <w:pPr>
        <w:ind w:firstLine="422"/>
        <w:contextualSpacing/>
        <w:jc w:val="center"/>
        <w:rPr>
          <w:b/>
          <w:bCs/>
          <w:sz w:val="21"/>
          <w:szCs w:val="21"/>
        </w:rPr>
      </w:pPr>
      <w:r>
        <w:rPr>
          <w:b/>
          <w:bCs/>
          <w:sz w:val="21"/>
          <w:szCs w:val="21"/>
        </w:rPr>
        <w:t>表5.3.1-4  建设期库区各景观类型划分一览表</w:t>
      </w:r>
    </w:p>
    <w:tbl>
      <w:tblPr>
        <w:tblStyle w:val="38"/>
        <w:tblW w:w="8319" w:type="dxa"/>
        <w:tblInd w:w="0" w:type="dxa"/>
        <w:tblLayout w:type="fixed"/>
        <w:tblCellMar>
          <w:top w:w="0" w:type="dxa"/>
          <w:left w:w="0" w:type="dxa"/>
          <w:bottom w:w="0" w:type="dxa"/>
          <w:right w:w="0" w:type="dxa"/>
        </w:tblCellMar>
      </w:tblPr>
      <w:tblGrid>
        <w:gridCol w:w="1248"/>
        <w:gridCol w:w="1171"/>
        <w:gridCol w:w="1003"/>
        <w:gridCol w:w="1155"/>
        <w:gridCol w:w="1154"/>
        <w:gridCol w:w="1303"/>
        <w:gridCol w:w="1285"/>
      </w:tblGrid>
      <w:tr>
        <w:tblPrEx>
          <w:tblCellMar>
            <w:top w:w="0" w:type="dxa"/>
            <w:left w:w="0" w:type="dxa"/>
            <w:bottom w:w="0" w:type="dxa"/>
            <w:right w:w="0" w:type="dxa"/>
          </w:tblCellMar>
        </w:tblPrEx>
        <w:trPr>
          <w:trHeight w:val="191"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景观类型</w:t>
            </w:r>
          </w:p>
        </w:tc>
        <w:tc>
          <w:tcPr>
            <w:tcW w:w="117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面积（hm</w:t>
            </w:r>
            <w:r>
              <w:rPr>
                <w:kern w:val="0"/>
                <w:sz w:val="21"/>
                <w:szCs w:val="21"/>
                <w:vertAlign w:val="superscript"/>
              </w:rPr>
              <w:t>2</w:t>
            </w:r>
            <w:r>
              <w:rPr>
                <w:kern w:val="0"/>
                <w:sz w:val="21"/>
                <w:szCs w:val="21"/>
              </w:rPr>
              <w:t>）</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比例（%）</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变化面积（hm</w:t>
            </w:r>
            <w:r>
              <w:rPr>
                <w:kern w:val="0"/>
                <w:sz w:val="21"/>
                <w:szCs w:val="21"/>
                <w:vertAlign w:val="superscript"/>
              </w:rPr>
              <w:t>2</w:t>
            </w:r>
            <w:r>
              <w:rPr>
                <w:kern w:val="0"/>
                <w:sz w:val="21"/>
                <w:szCs w:val="21"/>
              </w:rPr>
              <w:t>）</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right="67" w:rightChars="28" w:firstLine="0" w:firstLineChars="0"/>
              <w:contextualSpacing/>
              <w:jc w:val="center"/>
              <w:textAlignment w:val="center"/>
              <w:rPr>
                <w:sz w:val="21"/>
                <w:szCs w:val="21"/>
              </w:rPr>
            </w:pPr>
            <w:r>
              <w:rPr>
                <w:kern w:val="0"/>
                <w:sz w:val="21"/>
                <w:szCs w:val="21"/>
              </w:rPr>
              <w:t>预测面积（hm</w:t>
            </w:r>
            <w:r>
              <w:rPr>
                <w:kern w:val="0"/>
                <w:sz w:val="21"/>
                <w:szCs w:val="21"/>
                <w:vertAlign w:val="superscript"/>
              </w:rPr>
              <w:t>2</w:t>
            </w:r>
            <w:r>
              <w:rPr>
                <w:kern w:val="0"/>
                <w:sz w:val="21"/>
                <w:szCs w:val="21"/>
              </w:rPr>
              <w:t>）</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sz w:val="21"/>
                <w:szCs w:val="21"/>
              </w:rPr>
            </w:pPr>
            <w:r>
              <w:rPr>
                <w:kern w:val="0"/>
                <w:sz w:val="21"/>
                <w:szCs w:val="21"/>
              </w:rPr>
              <w:t>预测面积比例（%）</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bottom"/>
              <w:rPr>
                <w:kern w:val="0"/>
                <w:sz w:val="21"/>
                <w:szCs w:val="21"/>
              </w:rPr>
            </w:pPr>
            <w:r>
              <w:rPr>
                <w:kern w:val="0"/>
                <w:sz w:val="21"/>
                <w:szCs w:val="21"/>
              </w:rPr>
              <w:t>变动占评价区比例（%）</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针叶林</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73.2</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3.1</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-13.9</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59.3</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2.5</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-0.6</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阔叶林</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78.9</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3.3</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-5.2</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73.7</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3.1</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-0.2</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针阔混交林</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92.3</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3.9</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-17.8</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74.5</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3.1</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-0.7</w:t>
            </w:r>
          </w:p>
        </w:tc>
      </w:tr>
      <w:tr>
        <w:tblPrEx>
          <w:tblCellMar>
            <w:top w:w="0" w:type="dxa"/>
            <w:left w:w="0" w:type="dxa"/>
            <w:bottom w:w="0" w:type="dxa"/>
            <w:right w:w="0" w:type="dxa"/>
          </w:tblCellMar>
        </w:tblPrEx>
        <w:trPr>
          <w:trHeight w:val="9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竹林</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62.3</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2.6</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-11.7</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50.6</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2.1</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-0.5</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灌丛</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114.9</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4.8</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-22.2</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92.7</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3.9</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-0.9</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草丛</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146.1</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6.1</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-4.5</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141.6</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5.9</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-0.2</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农田</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1597.4</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66.9</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-111.4</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1486</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62.2</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-4.7</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水域</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78.9</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3.3</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+190.4</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269.3</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11.3</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8.0</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道路</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68.8</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2.9</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-2.1</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66.7</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2.8</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-0.1</w:t>
            </w:r>
          </w:p>
        </w:tc>
      </w:tr>
      <w:tr>
        <w:tblPrEx>
          <w:tblCellMar>
            <w:top w:w="0" w:type="dxa"/>
            <w:left w:w="0" w:type="dxa"/>
            <w:bottom w:w="0" w:type="dxa"/>
            <w:right w:w="0" w:type="dxa"/>
          </w:tblCellMar>
        </w:tblPrEx>
        <w:trPr>
          <w:trHeight w:val="300" w:hRule="atLeast"/>
        </w:trPr>
        <w:tc>
          <w:tcPr>
            <w:tcW w:w="124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民居</w:t>
            </w:r>
          </w:p>
        </w:tc>
        <w:tc>
          <w:tcPr>
            <w:tcW w:w="117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74.7</w:t>
            </w:r>
          </w:p>
        </w:tc>
        <w:tc>
          <w:tcPr>
            <w:tcW w:w="10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sz w:val="21"/>
                <w:szCs w:val="21"/>
              </w:rPr>
            </w:pPr>
            <w:r>
              <w:rPr>
                <w:kern w:val="0"/>
                <w:sz w:val="21"/>
                <w:szCs w:val="21"/>
              </w:rPr>
              <w:t>3.1</w:t>
            </w:r>
          </w:p>
        </w:tc>
        <w:tc>
          <w:tcPr>
            <w:tcW w:w="115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0" w:firstLineChars="0"/>
              <w:contextualSpacing/>
              <w:jc w:val="center"/>
              <w:textAlignment w:val="center"/>
              <w:rPr>
                <w:kern w:val="0"/>
                <w:sz w:val="21"/>
                <w:szCs w:val="21"/>
              </w:rPr>
            </w:pPr>
            <w:r>
              <w:rPr>
                <w:kern w:val="0"/>
                <w:sz w:val="21"/>
                <w:szCs w:val="21"/>
              </w:rPr>
              <w:t>-1.6</w:t>
            </w:r>
          </w:p>
        </w:tc>
        <w:tc>
          <w:tcPr>
            <w:tcW w:w="11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73.1</w:t>
            </w:r>
          </w:p>
        </w:tc>
        <w:tc>
          <w:tcPr>
            <w:tcW w:w="130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20"/>
              <w:contextualSpacing/>
              <w:jc w:val="center"/>
              <w:textAlignment w:val="center"/>
              <w:rPr>
                <w:sz w:val="21"/>
                <w:szCs w:val="21"/>
              </w:rPr>
            </w:pPr>
            <w:r>
              <w:rPr>
                <w:kern w:val="0"/>
                <w:sz w:val="21"/>
                <w:szCs w:val="21"/>
              </w:rPr>
              <w:t>3.1</w:t>
            </w:r>
          </w:p>
        </w:tc>
        <w:tc>
          <w:tcPr>
            <w:tcW w:w="12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pacing w:line="240" w:lineRule="auto"/>
              <w:ind w:firstLine="480"/>
              <w:contextualSpacing/>
              <w:jc w:val="center"/>
              <w:textAlignment w:val="center"/>
              <w:rPr>
                <w:kern w:val="0"/>
                <w:sz w:val="21"/>
                <w:szCs w:val="21"/>
              </w:rPr>
            </w:pPr>
            <w:r>
              <w:rPr>
                <w:kern w:val="0"/>
              </w:rPr>
              <w:t>-0.1</w:t>
            </w:r>
          </w:p>
        </w:tc>
      </w:tr>
    </w:tbl>
    <w:p>
      <w:pPr>
        <w:pStyle w:val="88"/>
        <w:overflowPunct w:val="0"/>
        <w:topLinePunct/>
        <w:spacing w:line="160" w:lineRule="exact"/>
        <w:ind w:firstLine="420"/>
        <w:contextualSpacing/>
        <w:jc w:val="left"/>
        <w:rPr>
          <w:rFonts w:ascii="Times New Roman" w:hAnsi="Times New Roman"/>
        </w:rPr>
      </w:pPr>
    </w:p>
    <w:p>
      <w:pPr>
        <w:ind w:firstLine="480"/>
        <w:contextualSpacing/>
      </w:pPr>
      <w:r>
        <w:t>从上表可看出：拼块的变化包括拼块类型的变化和拼块数量的变化。在库区，原有分散破碎的景观会形成连通度极高的水域，工程的施工建设会减少栽培植被景观，禾本、蒿草、草丛、盐肤木、黄荆灌丛寒溪寺水库工程重点影响区域包括：水库坝址及淹没区，料场，渣场，干渠开挖区域（包括明渠、暗渠、倒虹管等）等工程的施工建设主要会减少栽培植被景观，禾本、蒿草草丛，盐肤木、黄荆灌丛，及少量的针叶林景观，施工公路的设置会导致建设区到原有公路连接处两侧植被连续性中断，增加所在区域景观破碎度，增加灌区的拼块数量，但与评价区整个景观相比，拼块的影响面积很小，施工占地也较少，因此整体拼块结构不会受太大影响。</w:t>
      </w:r>
    </w:p>
    <w:p>
      <w:pPr>
        <w:ind w:firstLine="480"/>
        <w:contextualSpacing/>
      </w:pPr>
      <w:r>
        <w:t>其次，在工程建设中进行的工程施工将占用一部分土地，对原有的拼块类型进行一定的破坏，致使废弃成裸地。这类被破坏的拼块类型主要是山地草丛拼块、山地灌丛拼块、农田拼块以及沿河的部分河流拼块。施工还将影响到厂址附近的拼块，由于施工的进行和厂房、施工临时的住房都将改变原有的景观拼块类型和结构，并形成一部分人为景观拼块类型。</w:t>
      </w:r>
    </w:p>
    <w:p>
      <w:pPr>
        <w:ind w:firstLine="480"/>
        <w:contextualSpacing/>
      </w:pPr>
      <w:r>
        <w:t>最后一点是引水隧洞的建设对景观格局的影响。引水隧洞虽然藏于山体之中不外露，对景观格局的影响很小，但是建设隧洞时各个出渣口，各个建设节点都是外露的，对景观有一定的影响，但是面积较小，对景观格局的改变影响不大。</w:t>
      </w:r>
    </w:p>
    <w:p>
      <w:pPr>
        <w:ind w:firstLine="480"/>
        <w:contextualSpacing/>
      </w:pPr>
      <w:r>
        <w:t>工程的修建将改变一部分拼块类型，并形成新的人为景观拼块类型。同时由于新建公路的出现和大量施工设施形成过程中，部分原有拼块将被进一步分割，施工地附近拼块将趋于破碎化，同类型拼块间的连通性降低。</w:t>
      </w:r>
    </w:p>
    <w:p>
      <w:pPr>
        <w:ind w:firstLine="480"/>
        <w:contextualSpacing/>
      </w:pPr>
      <w:r>
        <w:t>2）廊道的变化</w:t>
      </w:r>
    </w:p>
    <w:p>
      <w:pPr>
        <w:ind w:firstLine="480"/>
        <w:contextualSpacing/>
      </w:pPr>
      <w:r>
        <w:t>廊道各个类型都将受到施工及工程完成后不同程度的改变。首先河流廊道受到的影响最大。特别是在施工完成、水库开始蓄水之后。坝址上游将形成库区，沿途河流宽度增大，廊道影响的宽度相应增加，对两岸景观动态交流的阻隔作用增大。而坝址下游则水量减少形成减水河段，河流廊道宽度有向线性廊道转化的趋势，随之而来的河流功能萎缩和阻隔作用的减弱，陆地拼块随之向河流延伸。</w:t>
      </w:r>
    </w:p>
    <w:p>
      <w:pPr>
        <w:ind w:firstLine="480"/>
        <w:contextualSpacing/>
      </w:pPr>
      <w:r>
        <w:t>工程施工将新建和拓宽多条施工公路，施工期间车辆过往频繁，公路线型廊道的阻隔作用强化，这些公路廊道的形成和频繁的干扰活动将使当地的景观拼块趋于破碎化，严重破坏当地动物栖息地。但是施工完成后，临时公路将被废弃退化，其干扰能力将会减弱，永久性的公路也会因为车辆过往数量的较少，而对动、植物的干扰减弱。</w:t>
      </w:r>
    </w:p>
    <w:p>
      <w:pPr>
        <w:ind w:firstLine="480"/>
        <w:contextualSpacing/>
      </w:pPr>
      <w:r>
        <w:t>3）基质的变化</w:t>
      </w:r>
    </w:p>
    <w:p>
      <w:pPr>
        <w:ind w:firstLine="480"/>
        <w:contextualSpacing/>
      </w:pPr>
      <w:r>
        <w:t>由于水库工程影响主要集中在工程建设区和淹没区，而工程建设区域不大，淹没区面积相对来说较大，主要影响栽培植被和少量的禾本、蒿草草丛，远离这些地方的景观类型几乎没有变化。对于整个评价区，栽培植被在评价区分布最广，在库区分布最多，本项目对库区的影响面积较大，所以它受到的影响较大，但它在评价区内分布很广，虽然基质的拼块数、连通性、面积等都会有一定的变化，但是不会改变栽培植被作为基质的地位。</w:t>
      </w:r>
    </w:p>
    <w:p>
      <w:pPr>
        <w:ind w:firstLine="480"/>
        <w:contextualSpacing/>
      </w:pPr>
      <w:r>
        <w:t>寒溪寺水库工程运行后，由于工程水土保持措施的实施，植物的恢复对工程区生态系统体系带来良好的影响，另一方面在工程区对施工临时企业、渣场等占地进行复耕措施，对农业生产力的恢复和提高是有利的。</w:t>
      </w:r>
    </w:p>
    <w:p>
      <w:pPr>
        <w:ind w:firstLine="0" w:firstLineChars="0"/>
        <w:contextualSpacing/>
        <w:outlineLvl w:val="3"/>
        <w:rPr>
          <w:b/>
          <w:bCs/>
        </w:rPr>
      </w:pPr>
      <w:r>
        <w:rPr>
          <w:b/>
          <w:bCs/>
        </w:rPr>
        <w:t>5.3.1.4影响分析小结</w:t>
      </w:r>
    </w:p>
    <w:p>
      <w:pPr>
        <w:ind w:firstLine="480"/>
        <w:contextualSpacing/>
      </w:pPr>
      <w:r>
        <w:t>综上所述，寒溪寺水库工程的建设和运营对影响评价区陆生生态有一定的影响，受影响的植物植被均为区域常见种和广布种，且次生性加强，没有珍稀野生保护植物和古树名木受到影响，项目建设和运营不会造成评价区主要植被类型和植物物种的消失，对植物植被的影响程度为小，但要防止工程结束后景观绿化和植被恢复带入外来物种入侵。</w:t>
      </w:r>
    </w:p>
    <w:p>
      <w:pPr>
        <w:ind w:firstLine="480"/>
        <w:contextualSpacing/>
      </w:pPr>
      <w:r>
        <w:t>工程影响的野生动物以雀形目鸟类、小型兽类、两栖爬行动物和农田、灌丛生境中的物种为主，对其栖息地、种群数量和分布虽然会造成占用或惊扰，但不会造成物种灭绝或种群数量大的波动，影响较小；评价区内</w:t>
      </w:r>
      <w:r>
        <w:rPr>
          <w:b/>
          <w:bCs/>
        </w:rPr>
        <w:t>直接占地区域外</w:t>
      </w:r>
      <w:r>
        <w:t>的</w:t>
      </w:r>
      <w:r>
        <w:rPr>
          <w:rFonts w:hint="eastAsia"/>
        </w:rPr>
        <w:t>其他调查区段和有国家Ⅱ级重点保护动物4种，红隼</w:t>
      </w:r>
      <w:r>
        <w:rPr>
          <w:rFonts w:hint="eastAsia"/>
          <w:i/>
          <w:iCs/>
        </w:rPr>
        <w:t>Falco tinnunculus</w:t>
      </w:r>
      <w:r>
        <w:rPr>
          <w:rFonts w:hint="eastAsia"/>
        </w:rPr>
        <w:t>、鸢</w:t>
      </w:r>
      <w:r>
        <w:rPr>
          <w:rFonts w:hint="eastAsia"/>
          <w:i/>
          <w:iCs/>
        </w:rPr>
        <w:t>Milvus migrans</w:t>
      </w:r>
      <w:r>
        <w:rPr>
          <w:rFonts w:hint="eastAsia"/>
        </w:rPr>
        <w:t>、普通鵟</w:t>
      </w:r>
      <w:r>
        <w:rPr>
          <w:rFonts w:hint="eastAsia"/>
          <w:i/>
          <w:iCs/>
        </w:rPr>
        <w:t>Buteo buteo</w:t>
      </w:r>
      <w:r>
        <w:rPr>
          <w:rFonts w:hint="eastAsia"/>
        </w:rPr>
        <w:t>、斑头鸺鹠</w:t>
      </w:r>
      <w:r>
        <w:rPr>
          <w:rFonts w:hint="eastAsia"/>
          <w:i/>
          <w:iCs/>
        </w:rPr>
        <w:t>Glaucidium cuculoides</w:t>
      </w:r>
      <w:r>
        <w:rPr>
          <w:rFonts w:hint="eastAsia"/>
        </w:rPr>
        <w:t>。另有四川省重点保护动物1种，鸟类为小鸊鷉</w:t>
      </w:r>
      <w:r>
        <w:rPr>
          <w:rFonts w:hint="eastAsia"/>
          <w:i/>
          <w:iCs/>
        </w:rPr>
        <w:t>Tahybaptus ruficollis poggei</w:t>
      </w:r>
      <w:r>
        <w:rPr>
          <w:rFonts w:hint="eastAsia"/>
        </w:rPr>
        <w:t>；有中国特有鸟类1种，棕头鸦雀</w:t>
      </w:r>
      <w:r>
        <w:rPr>
          <w:rFonts w:hint="eastAsia"/>
          <w:i/>
          <w:iCs/>
        </w:rPr>
        <w:t>Paradoxornis webbianus</w:t>
      </w:r>
      <w:r>
        <w:rPr>
          <w:rFonts w:hint="eastAsia"/>
        </w:rPr>
        <w:t>。</w:t>
      </w:r>
      <w:r>
        <w:t>施工期对这些保护动物有惊扰的影响，但基本无实质性伤害；运营期库区和灌区水面的扩大，更利于小鸊</w:t>
      </w:r>
      <w:r>
        <w:rPr>
          <w:kern w:val="0"/>
        </w:rPr>
        <w:t>鷉</w:t>
      </w:r>
      <w:r>
        <w:t>等鸟类的活动。</w:t>
      </w:r>
    </w:p>
    <w:p>
      <w:pPr>
        <w:pStyle w:val="5"/>
        <w:ind w:firstLine="0" w:firstLineChars="0"/>
        <w:contextualSpacing/>
        <w:rPr>
          <w:rFonts w:ascii="Times New Roman" w:hAnsi="Times New Roman"/>
        </w:rPr>
      </w:pPr>
      <w:r>
        <w:rPr>
          <w:rFonts w:ascii="Times New Roman" w:hAnsi="Times New Roman"/>
        </w:rPr>
        <w:t>5.3.2水生生态影响</w:t>
      </w:r>
    </w:p>
    <w:p>
      <w:pPr>
        <w:ind w:firstLine="0" w:firstLineChars="0"/>
        <w:contextualSpacing/>
        <w:outlineLvl w:val="3"/>
        <w:rPr>
          <w:b/>
          <w:bCs/>
        </w:rPr>
      </w:pPr>
      <w:r>
        <w:rPr>
          <w:b/>
          <w:bCs/>
        </w:rPr>
        <w:t>5.3.2.1对水生生物生境的影响</w:t>
      </w:r>
    </w:p>
    <w:p>
      <w:pPr>
        <w:autoSpaceDE w:val="0"/>
        <w:autoSpaceDN w:val="0"/>
        <w:ind w:firstLine="480" w:firstLineChars="0"/>
        <w:contextualSpacing/>
        <w:jc w:val="left"/>
      </w:pPr>
      <w:r>
        <w:t>（1）生境片段化</w:t>
      </w:r>
    </w:p>
    <w:p>
      <w:pPr>
        <w:widowControl/>
        <w:ind w:firstLine="480"/>
        <w:contextualSpacing/>
        <w:jc w:val="left"/>
      </w:pPr>
      <w:r>
        <w:rPr>
          <w:kern w:val="0"/>
        </w:rPr>
        <w:t>寒溪寺水库建成后，由于挡水坝的阻隔，挡水坝上下游形成了相对独立的水域，造成河段水生生境的片段化。</w:t>
      </w:r>
    </w:p>
    <w:p>
      <w:pPr>
        <w:autoSpaceDE w:val="0"/>
        <w:autoSpaceDN w:val="0"/>
        <w:ind w:firstLine="480" w:firstLineChars="0"/>
        <w:contextualSpacing/>
        <w:jc w:val="left"/>
      </w:pPr>
      <w:r>
        <w:t>（2）库区河段</w:t>
      </w:r>
    </w:p>
    <w:p>
      <w:pPr>
        <w:autoSpaceDE w:val="0"/>
        <w:autoSpaceDN w:val="0"/>
        <w:ind w:firstLine="480" w:firstLineChars="0"/>
        <w:contextualSpacing/>
        <w:jc w:val="left"/>
      </w:pPr>
      <w:r>
        <w:t>1）水文情势</w:t>
      </w:r>
    </w:p>
    <w:p>
      <w:pPr>
        <w:widowControl/>
        <w:ind w:firstLine="480"/>
        <w:contextualSpacing/>
        <w:jc w:val="left"/>
      </w:pPr>
      <w:r>
        <w:rPr>
          <w:rFonts w:hint="eastAsia"/>
        </w:rPr>
        <w:t>寒溪寺</w:t>
      </w:r>
      <w:r>
        <w:t>主库回水长约</w:t>
      </w:r>
      <w:r>
        <w:rPr>
          <w:rFonts w:hint="eastAsia"/>
        </w:rPr>
        <w:t>1.28</w:t>
      </w:r>
      <w:r>
        <w:t>km。</w:t>
      </w:r>
      <w:r>
        <w:rPr>
          <w:kern w:val="0"/>
        </w:rPr>
        <w:t>原为急流生境的河段将成为缓流库区，水面变宽，流速变缓，水深增加，河流的水动力学形态总体上将发生较大变化。寒溪寺具有不完全年调节性能，兴利调节时水位在</w:t>
      </w:r>
      <w:r>
        <w:rPr>
          <w:rFonts w:hint="eastAsia"/>
          <w:kern w:val="0"/>
        </w:rPr>
        <w:t>669.00</w:t>
      </w:r>
      <w:r>
        <w:rPr>
          <w:kern w:val="0"/>
        </w:rPr>
        <w:t>m（死水位）～</w:t>
      </w:r>
      <w:r>
        <w:rPr>
          <w:rFonts w:hint="eastAsia"/>
          <w:kern w:val="0"/>
        </w:rPr>
        <w:t>695.00</w:t>
      </w:r>
      <w:r>
        <w:rPr>
          <w:kern w:val="0"/>
        </w:rPr>
        <w:t>m之间变动，水位变幅</w:t>
      </w:r>
      <w:r>
        <w:rPr>
          <w:rFonts w:hint="eastAsia"/>
          <w:kern w:val="0"/>
        </w:rPr>
        <w:t>26</w:t>
      </w:r>
      <w:r>
        <w:rPr>
          <w:kern w:val="0"/>
        </w:rPr>
        <w:t>m，水库消落带深0～</w:t>
      </w:r>
      <w:r>
        <w:rPr>
          <w:rFonts w:hint="eastAsia"/>
          <w:kern w:val="0"/>
        </w:rPr>
        <w:t>26</w:t>
      </w:r>
      <w:r>
        <w:rPr>
          <w:kern w:val="0"/>
        </w:rPr>
        <w:t>m。库区河段水位均较原水位有不同程度的抬升，越靠近坝址抬升越明显</w:t>
      </w:r>
    </w:p>
    <w:p>
      <w:pPr>
        <w:autoSpaceDE w:val="0"/>
        <w:autoSpaceDN w:val="0"/>
        <w:ind w:firstLine="480" w:firstLineChars="0"/>
        <w:contextualSpacing/>
        <w:jc w:val="left"/>
      </w:pPr>
      <w:r>
        <w:t>2）泥沙及透明</w:t>
      </w:r>
    </w:p>
    <w:p>
      <w:pPr>
        <w:widowControl/>
        <w:ind w:firstLine="480"/>
        <w:contextualSpacing/>
        <w:jc w:val="left"/>
      </w:pPr>
      <w:r>
        <w:rPr>
          <w:kern w:val="0"/>
        </w:rPr>
        <w:t>现状蔡家河水体透明度较好，成库后库区河段流速减缓，泥沙的沉降作用增强，水体透明度会得到进一步的改善，透明度的增加有利于水生生物特别是浮游生物的生长繁殖。</w:t>
      </w:r>
    </w:p>
    <w:p>
      <w:pPr>
        <w:pStyle w:val="2"/>
        <w:spacing w:before="0"/>
        <w:ind w:left="0" w:firstLine="480"/>
        <w:contextualSpacing/>
        <w:jc w:val="left"/>
        <w:rPr>
          <w:rFonts w:ascii="Times New Roman" w:hAnsi="Times New Roman"/>
        </w:rPr>
      </w:pPr>
      <w:r>
        <w:rPr>
          <w:rFonts w:ascii="Times New Roman" w:hAnsi="Times New Roman"/>
        </w:rPr>
        <w:t>3）水质</w:t>
      </w:r>
    </w:p>
    <w:p>
      <w:pPr>
        <w:widowControl/>
        <w:ind w:firstLine="480"/>
        <w:contextualSpacing/>
        <w:jc w:val="left"/>
      </w:pPr>
      <w:r>
        <w:rPr>
          <w:kern w:val="0"/>
        </w:rPr>
        <w:t>随着水源保护区的划定，设计水平年水库水质能达到Ⅲ类水体要求；根据水库富营养化预测，运行期水库富营养化程度属于中营养程度，加强上游面源污染控制以及水质监测等相应污染防治措施，水库富营养化发生概率较低。</w:t>
      </w:r>
    </w:p>
    <w:p>
      <w:pPr>
        <w:pStyle w:val="2"/>
        <w:spacing w:before="0"/>
        <w:ind w:left="0" w:firstLine="480"/>
        <w:contextualSpacing/>
        <w:jc w:val="left"/>
        <w:rPr>
          <w:rFonts w:ascii="Times New Roman" w:hAnsi="Times New Roman"/>
        </w:rPr>
      </w:pPr>
      <w:r>
        <w:rPr>
          <w:rFonts w:ascii="Times New Roman" w:hAnsi="Times New Roman"/>
        </w:rPr>
        <w:t>4）水温</w:t>
      </w:r>
    </w:p>
    <w:p>
      <w:pPr>
        <w:widowControl/>
        <w:ind w:firstLine="480"/>
        <w:contextualSpacing/>
        <w:jc w:val="left"/>
      </w:pPr>
      <w:r>
        <w:rPr>
          <w:kern w:val="0"/>
        </w:rPr>
        <w:t>原河道水域水深较浅，落差较大，水体基本没有上下分层现象，上下水体水温趋于一致。水库建成蓄水后，库区水流变缓或呈静水状态，水面变宽，水体变深，库区河段的水温会发生变化，水体将出现分层现象，尤其在夏季分层现象较为明显。</w:t>
      </w:r>
    </w:p>
    <w:p>
      <w:pPr>
        <w:pStyle w:val="2"/>
        <w:spacing w:before="0"/>
        <w:ind w:left="0" w:firstLine="480"/>
        <w:contextualSpacing/>
        <w:jc w:val="left"/>
        <w:rPr>
          <w:rFonts w:ascii="Times New Roman" w:hAnsi="Times New Roman"/>
        </w:rPr>
      </w:pPr>
      <w:r>
        <w:rPr>
          <w:rFonts w:ascii="Times New Roman" w:hAnsi="Times New Roman"/>
        </w:rPr>
        <w:t>（3）坝下河段</w:t>
      </w:r>
    </w:p>
    <w:p>
      <w:pPr>
        <w:pStyle w:val="2"/>
        <w:spacing w:before="0"/>
        <w:ind w:left="0" w:firstLine="480"/>
        <w:contextualSpacing/>
        <w:jc w:val="left"/>
        <w:rPr>
          <w:rFonts w:ascii="Times New Roman" w:hAnsi="Times New Roman"/>
        </w:rPr>
      </w:pPr>
      <w:r>
        <w:rPr>
          <w:rFonts w:ascii="Times New Roman" w:hAnsi="Times New Roman"/>
        </w:rPr>
        <w:t>1）水文情势</w:t>
      </w:r>
    </w:p>
    <w:p>
      <w:pPr>
        <w:widowControl/>
        <w:ind w:firstLine="480"/>
        <w:contextualSpacing/>
        <w:jc w:val="left"/>
      </w:pPr>
      <w:r>
        <w:rPr>
          <w:kern w:val="0"/>
        </w:rPr>
        <w:t>水库初期蓄水期间，会导致大坝下游河道流量明显减少，对下游水文情势有一定影响，从而对下游生态环境用水及取用水造成影响。</w:t>
      </w:r>
    </w:p>
    <w:p>
      <w:pPr>
        <w:pStyle w:val="2"/>
        <w:spacing w:before="0"/>
        <w:ind w:left="0" w:firstLine="480"/>
        <w:contextualSpacing/>
        <w:jc w:val="left"/>
        <w:rPr>
          <w:rFonts w:ascii="Times New Roman" w:hAnsi="Times New Roman"/>
        </w:rPr>
      </w:pPr>
      <w:r>
        <w:rPr>
          <w:rFonts w:ascii="Times New Roman" w:hAnsi="Times New Roman"/>
        </w:rPr>
        <w:t>2）水质</w:t>
      </w:r>
    </w:p>
    <w:p>
      <w:pPr>
        <w:widowControl/>
        <w:ind w:firstLine="480"/>
        <w:contextualSpacing/>
        <w:jc w:val="left"/>
        <w:rPr>
          <w:kern w:val="0"/>
        </w:rPr>
      </w:pPr>
      <w:r>
        <w:rPr>
          <w:kern w:val="0"/>
        </w:rPr>
        <w:t>水库初期蓄水，残留在水库正常蓄水位以下库区的人畜粪便、树木、杂草等因浸泡而使其中污染物释放，可能会引起水体中某些污染指标含量升高；水库淹没耕地将使耕地内化肥、农药浸出，发生二次污染，在短时间内影响水库水质，随着时间的推移，此类影响会逐渐消失。因此，在水库蓄水前，须认真做好水库淹没区的卫生清理工作，并加强水质监测工作</w:t>
      </w:r>
    </w:p>
    <w:p>
      <w:pPr>
        <w:pStyle w:val="2"/>
        <w:spacing w:before="0"/>
        <w:ind w:left="0" w:firstLine="480"/>
        <w:contextualSpacing/>
        <w:rPr>
          <w:rFonts w:ascii="Times New Roman" w:hAnsi="Times New Roman"/>
        </w:rPr>
      </w:pPr>
      <w:r>
        <w:rPr>
          <w:rFonts w:ascii="Times New Roman" w:hAnsi="Times New Roman"/>
        </w:rPr>
        <w:t>（4）灌区</w:t>
      </w:r>
    </w:p>
    <w:p>
      <w:pPr>
        <w:ind w:firstLine="480"/>
        <w:contextualSpacing/>
      </w:pPr>
      <w:r>
        <w:t>根据“5.1.4灌区水文情势影响分析”的分析成果</w:t>
      </w:r>
      <w:r>
        <w:rPr>
          <w:kern w:val="0"/>
        </w:rPr>
        <w:t>，寒溪寺水库供水对受水区河道水文情势影响较小。</w:t>
      </w:r>
    </w:p>
    <w:p>
      <w:pPr>
        <w:ind w:firstLine="0" w:firstLineChars="0"/>
        <w:contextualSpacing/>
        <w:outlineLvl w:val="3"/>
        <w:rPr>
          <w:b/>
          <w:bCs/>
        </w:rPr>
      </w:pPr>
      <w:r>
        <w:rPr>
          <w:b/>
          <w:bCs/>
        </w:rPr>
        <w:t>5.3.2.2对水生生物的影响</w:t>
      </w:r>
    </w:p>
    <w:p>
      <w:pPr>
        <w:autoSpaceDE w:val="0"/>
        <w:autoSpaceDN w:val="0"/>
        <w:ind w:firstLine="480" w:firstLineChars="0"/>
        <w:contextualSpacing/>
      </w:pPr>
      <w:r>
        <w:t>（1）施工期的影响</w:t>
      </w:r>
    </w:p>
    <w:p>
      <w:pPr>
        <w:widowControl/>
        <w:autoSpaceDE w:val="0"/>
        <w:autoSpaceDN w:val="0"/>
        <w:ind w:firstLine="480"/>
        <w:contextualSpacing/>
        <w:rPr>
          <w:szCs w:val="20"/>
          <w:lang w:val="zh-CN"/>
        </w:rPr>
      </w:pPr>
      <w:r>
        <w:rPr>
          <w:rFonts w:hint="eastAsia"/>
        </w:rPr>
        <w:t>巴中市</w:t>
      </w:r>
      <w:r>
        <w:t>寒溪寺水库工程施工</w:t>
      </w:r>
      <w:r>
        <w:rPr>
          <w:szCs w:val="20"/>
        </w:rPr>
        <w:t>高峰期产生的生活废水中含有大量悬浮物、</w:t>
      </w:r>
      <w:r>
        <w:t>有机污染物和大肠杆菌等将会导致局部水体中SS、</w:t>
      </w:r>
      <w:r>
        <w:rPr>
          <w:szCs w:val="20"/>
        </w:rPr>
        <w:t>BOD和COD浓度较大。</w:t>
      </w:r>
      <w:r>
        <w:rPr>
          <w:szCs w:val="20"/>
          <w:lang w:val="zh-CN"/>
        </w:rPr>
        <w:t>施工期废水</w:t>
      </w:r>
      <w:r>
        <w:rPr>
          <w:szCs w:val="20"/>
        </w:rPr>
        <w:t>若不经处理直接排放</w:t>
      </w:r>
      <w:r>
        <w:rPr>
          <w:szCs w:val="20"/>
          <w:lang w:val="zh-CN"/>
        </w:rPr>
        <w:t>，将对水体造成一定程度的污染，导致水体中硅藻等喜洁净水体的种群密度和生物量下降，蓝藻门和绿藻门中一些耐污染的种群密度和生物量将增加，同时工程施工引起水体中SS和油污的大量增加，导致水体透明度下降，引起浮游动植物的生物量大幅下降。相反，如果对施工废水和生活污水进行有效处理后达标排放，那么施工期对水域水质的影响较小且为暂时性，藻类植物的生物量和种类变化不大。</w:t>
      </w:r>
    </w:p>
    <w:p>
      <w:pPr>
        <w:pStyle w:val="2"/>
        <w:spacing w:before="0"/>
        <w:ind w:left="0" w:firstLine="480"/>
        <w:contextualSpacing/>
        <w:rPr>
          <w:rFonts w:ascii="Times New Roman" w:hAnsi="Times New Roman"/>
        </w:rPr>
      </w:pPr>
      <w:r>
        <w:rPr>
          <w:rFonts w:ascii="Times New Roman" w:hAnsi="Times New Roman"/>
        </w:rPr>
        <w:t>若不采取有效措施，这将导致枯水季节工程影响河段水体浑浊度进一步增大，部分近岸缓流坑凼可能在局部呈现富营养化，而缓流水滩之砾石也将被灰色污泥覆盖，直接影响浮游动物、底栖动物的生存和繁衍。</w:t>
      </w:r>
      <w:r>
        <w:rPr>
          <w:rFonts w:ascii="Times New Roman" w:hAnsi="Times New Roman"/>
          <w:szCs w:val="20"/>
        </w:rPr>
        <w:t>工程施工期，由于坝址上游河段的水流量基本不受影响，因此，坝址上游的水生维管束植物在施工期基本不受影响。坝址下游，工程施工高峰期产生的生活废水中含有大量悬浮物、有机污染物等将会导致局部水体中SS、BOD和COD浓度较大。施工期废水若不经处理直接排放，将对水体造成一定程度的污染，这对水生维管束植物的生长产生不利影响。</w:t>
      </w:r>
      <w:r>
        <w:rPr>
          <w:rFonts w:ascii="Times New Roman" w:hAnsi="Times New Roman"/>
        </w:rPr>
        <w:t>总体上浮游动植物会更多，底栖动物组成会发生改变。</w:t>
      </w:r>
    </w:p>
    <w:p>
      <w:pPr>
        <w:widowControl/>
        <w:autoSpaceDE w:val="0"/>
        <w:autoSpaceDN w:val="0"/>
        <w:ind w:firstLine="480"/>
        <w:contextualSpacing/>
        <w:jc w:val="left"/>
      </w:pPr>
      <w:r>
        <w:t>（2）运营期的影响</w:t>
      </w:r>
    </w:p>
    <w:p>
      <w:pPr>
        <w:widowControl/>
        <w:autoSpaceDE w:val="0"/>
        <w:autoSpaceDN w:val="0"/>
        <w:ind w:firstLine="480" w:firstLineChars="0"/>
        <w:contextualSpacing/>
        <w:rPr>
          <w:rStyle w:val="91"/>
          <w:color w:val="auto"/>
        </w:rPr>
      </w:pPr>
      <w:r>
        <w:rPr>
          <w:rStyle w:val="91"/>
          <w:color w:val="auto"/>
        </w:rPr>
        <w:t>1）坝址上游淹没区的影响</w:t>
      </w:r>
    </w:p>
    <w:p>
      <w:pPr>
        <w:widowControl/>
        <w:autoSpaceDE w:val="0"/>
        <w:autoSpaceDN w:val="0"/>
        <w:ind w:firstLine="480" w:firstLineChars="0"/>
        <w:contextualSpacing/>
        <w:rPr>
          <w:lang w:val="zh-CN"/>
        </w:rPr>
      </w:pPr>
      <w:r>
        <w:rPr>
          <w:rFonts w:hint="eastAsia"/>
        </w:rPr>
        <w:t>巴中市</w:t>
      </w:r>
      <w:r>
        <w:t>寒溪寺水库工程坝址</w:t>
      </w:r>
      <w:r>
        <w:rPr>
          <w:lang w:val="zh-CN"/>
        </w:rPr>
        <w:t>建成后蓄水区域水流速度减缓，泥沙沉降水体透明度降低，被淹没区域土壤内营养物质渗出，水中有机物质及矿物质增加，这些条件的变化均有利于浮游生物的生长繁殖。预计蓄水区浮游植物生物量会有一定程度的增加，硅藻门种类将会一定程度地降低但仍将是坝上的优势种类。</w:t>
      </w:r>
    </w:p>
    <w:p>
      <w:pPr>
        <w:widowControl/>
        <w:autoSpaceDE w:val="0"/>
        <w:autoSpaceDN w:val="0"/>
        <w:ind w:firstLine="480"/>
        <w:contextualSpacing/>
        <w:rPr>
          <w:lang w:val="zh-CN"/>
        </w:rPr>
      </w:pPr>
      <w:r>
        <w:rPr>
          <w:lang w:val="zh-CN"/>
        </w:rPr>
        <w:t>寒溪寺水库工程坝址建成后，在蓄水区较短水域内原有急流生境丧失，浮游动物的种类组成和种群密度将会受到一定程度的影响，其生存和繁衍将受到影响，导致原有适应于急流浅滩生活的水蚤等将可能稍有减少，在深水区将完全消失，仅在回水区边缘残存。</w:t>
      </w:r>
    </w:p>
    <w:p>
      <w:pPr>
        <w:autoSpaceDE w:val="0"/>
        <w:autoSpaceDN w:val="0"/>
        <w:ind w:firstLine="480"/>
        <w:contextualSpacing/>
        <w:rPr>
          <w:lang w:val="zh-CN"/>
        </w:rPr>
      </w:pPr>
      <w:r>
        <w:rPr>
          <w:lang w:val="zh-CN"/>
        </w:rPr>
        <w:t>水库运营期，坝址上游水位上升，原有河流底部和边缘的水生维管束植物基本无法继续生长。然而，新形成的浅水区面积更大，给水生维管束植物提供了更多的生长空间，有利于水生维管束植物的生长和种群的增长。</w:t>
      </w:r>
    </w:p>
    <w:p>
      <w:pPr>
        <w:widowControl/>
        <w:autoSpaceDE w:val="0"/>
        <w:autoSpaceDN w:val="0"/>
        <w:ind w:firstLine="480" w:firstLineChars="0"/>
        <w:contextualSpacing/>
        <w:rPr>
          <w:rStyle w:val="91"/>
          <w:color w:val="auto"/>
        </w:rPr>
      </w:pPr>
      <w:r>
        <w:rPr>
          <w:rStyle w:val="91"/>
          <w:color w:val="auto"/>
        </w:rPr>
        <w:t>2）坝址下游减水河段的影响</w:t>
      </w:r>
    </w:p>
    <w:p>
      <w:pPr>
        <w:widowControl/>
        <w:autoSpaceDE w:val="0"/>
        <w:autoSpaceDN w:val="0"/>
        <w:ind w:firstLine="480"/>
        <w:contextualSpacing/>
      </w:pPr>
      <w:r>
        <w:t>寒溪寺水库坝址布置于肖兵村蔡家河上游，小地名断桥，下游减水河段长约至</w:t>
      </w:r>
      <w:r>
        <w:rPr>
          <w:rFonts w:hint="eastAsia"/>
        </w:rPr>
        <w:t>寒溪寺水库</w:t>
      </w:r>
      <w:r>
        <w:t>。</w:t>
      </w:r>
    </w:p>
    <w:p>
      <w:pPr>
        <w:widowControl/>
        <w:autoSpaceDE w:val="0"/>
        <w:autoSpaceDN w:val="0"/>
        <w:ind w:firstLine="480"/>
        <w:contextualSpacing/>
      </w:pPr>
      <w:r>
        <w:t>蔡家河干流下游河道两岸综合用水已纳入水库供水范围，较原天然河道变化较大，直接表现在水量锐减和流速变缓等。取水工程建成后藻类植物总生物量将会减小，同时硅藻门等流水种类将可能减少，蓝藻中半气生性种类会一定程度的增加。加之坝址下游支流的汇入，水文情势影响逐渐减弱。浮游藻类的生物量和种群密度不会受到河水减水的影响，其区系组成与种类组成基本不会改变。</w:t>
      </w:r>
    </w:p>
    <w:p>
      <w:pPr>
        <w:widowControl/>
        <w:autoSpaceDE w:val="0"/>
        <w:autoSpaceDN w:val="0"/>
        <w:ind w:firstLine="480"/>
        <w:contextualSpacing/>
      </w:pPr>
      <w:r>
        <w:t>蔡家河在丰水期对取水口下游河段减水的影响较小，但在枯水和平水季节水量将会增大。蔡家河河取水口下游浮游动物的生物量和种群密度主要受到河水流量减少而减少。与此同时，减水河段内水流变缓、水面变浅等因素的变化，将会导致该区域的浮游动物的区系组成发生一定的变化，种类组成趋于简单。</w:t>
      </w:r>
    </w:p>
    <w:p>
      <w:pPr>
        <w:ind w:firstLine="480"/>
        <w:contextualSpacing/>
      </w:pPr>
      <w:r>
        <w:t>减水河段，由于水位下降，原有的水生维管束植物的生长空间将可能缩小。但由于河段原有的小型拦水坝具有一定的蓄水功能，并且水库有基本的下泄生态流量。水生维管束植物的生长空间仅在较小程度上的缩小，其物种数不会减少，种群数量仅在较小范围类减小。</w:t>
      </w:r>
    </w:p>
    <w:p>
      <w:pPr>
        <w:widowControl/>
        <w:autoSpaceDE w:val="0"/>
        <w:autoSpaceDN w:val="0"/>
        <w:ind w:firstLine="480"/>
        <w:contextualSpacing/>
      </w:pPr>
      <w:r>
        <w:t>3）退水区涉及河流</w:t>
      </w:r>
    </w:p>
    <w:p>
      <w:pPr>
        <w:widowControl/>
        <w:autoSpaceDE w:val="0"/>
        <w:autoSpaceDN w:val="0"/>
        <w:ind w:firstLine="480"/>
        <w:contextualSpacing/>
      </w:pPr>
      <w:r>
        <w:t>由于供水和灌溉回归水的汇入，使得河流水量会较天然状况下有所增加，水体营养水平在现有本地营养来源的情况下会有所增加，浮游植物的密度和生物量也会相应增大，水体总生物量会有所增加。但因供水和灌溉区分散、退水不集中、水量也有限，对退水区涉及河流水生生物种类组成影响较小。</w:t>
      </w:r>
    </w:p>
    <w:p>
      <w:pPr>
        <w:ind w:firstLine="0" w:firstLineChars="0"/>
        <w:contextualSpacing/>
        <w:outlineLvl w:val="3"/>
        <w:rPr>
          <w:b/>
          <w:bCs/>
        </w:rPr>
      </w:pPr>
      <w:r>
        <w:rPr>
          <w:b/>
          <w:bCs/>
        </w:rPr>
        <w:t>5.3.2.3对鱼类的影响</w:t>
      </w:r>
    </w:p>
    <w:p>
      <w:pPr>
        <w:widowControl/>
        <w:ind w:firstLine="480"/>
        <w:contextualSpacing/>
        <w:jc w:val="left"/>
      </w:pPr>
      <w:r>
        <w:t>（1）施工对鱼类的影响</w:t>
      </w:r>
    </w:p>
    <w:p>
      <w:pPr>
        <w:widowControl/>
        <w:ind w:firstLine="480"/>
        <w:contextualSpacing/>
        <w:jc w:val="left"/>
        <w:rPr>
          <w:lang w:val="zh-CN"/>
        </w:rPr>
      </w:pPr>
      <w:r>
        <w:rPr>
          <w:kern w:val="0"/>
        </w:rPr>
        <w:t>由于工程施工难免会有弃渣下河，导致的水质破坏，浮游生物、底栖动物等饵料生物量的减少，改变了原有施工范围内鱼类的生存、生长和繁衍条件，鱼类将择水而栖迁到其它地方，施工区域鱼类密度显著降低。本工程施工对鱼类有驱赶作用，会使鱼类远离施工现场，导致工程区局部水域鱼类资源量下降。</w:t>
      </w:r>
    </w:p>
    <w:p>
      <w:pPr>
        <w:widowControl/>
        <w:ind w:firstLine="480"/>
        <w:contextualSpacing/>
        <w:jc w:val="left"/>
      </w:pPr>
      <w:r>
        <w:t>（2）运行对鱼类的影响</w:t>
      </w:r>
    </w:p>
    <w:p>
      <w:pPr>
        <w:ind w:firstLine="480"/>
        <w:contextualSpacing/>
      </w:pPr>
      <w:r>
        <w:rPr>
          <w:kern w:val="0"/>
        </w:rPr>
        <w:t>库区河段</w:t>
      </w:r>
      <w:r>
        <w:t>在鱼类种类组成影响方面，水库建成蓄水后，库区内原有的河流生态系统将变成水库生态系统，该库区中鱼类在种类和数量上，会发生变化，但总趋势仍是以鲤科鱼类为主。从生态类型上分析将仍以喜缓流和静水鱼类占优势，而喜栖于流水和急流的鱼类，有的将迁至库尾，有的将转移到支流的上游，因此其种类和数量会有所下降。</w:t>
      </w:r>
    </w:p>
    <w:p>
      <w:pPr>
        <w:widowControl/>
        <w:ind w:firstLine="480"/>
        <w:contextualSpacing/>
        <w:jc w:val="left"/>
      </w:pPr>
      <w:r>
        <w:rPr>
          <w:kern w:val="0"/>
        </w:rPr>
        <w:t>坝下河段由于流水河段缩短，下泄水温变化、气体过饱和、水流冲刷等因素影响，坝下适宜鱼类生长繁衍的空间萎缩，鱼类资源数量将减少。下泄水温度变化、气体过饱和、水流冲刷等，将造成坝下河段栖息鱼类减少。减水导致栖息地面积减小，对于河道中生活的喜流水性鱼类明显不利。同时，稳定的流量对鱼类繁殖不利；其他综合因素如水生生物，索饵场面积减小，气体过饱和等对鱼类的不利影响。鱼类对气体过饱和的耐受程度与水深密切相关。研究表明，鱼类具有对气体过饱和的探知和躲避能力。自然条件下，鱼类能够通过探知气体过饱和来选择适宜深度生存，从而减少气泡病的发生。同时，本工程库容较大，泄洪的概率比较低，鱼类基本不会受气体过饱和的影响。</w:t>
      </w:r>
    </w:p>
    <w:p>
      <w:pPr>
        <w:ind w:firstLine="480"/>
        <w:contextualSpacing/>
        <w:rPr>
          <w:kern w:val="0"/>
        </w:rPr>
      </w:pPr>
      <w:r>
        <w:rPr>
          <w:kern w:val="0"/>
        </w:rPr>
        <w:t>坝上河段寒溪寺水库工程实施后，蔡家河将被闸坝分别分割成两至三个不连续的生境单元，河流生境破碎化；大坝将破坏河道原急流生态系统的连续性和完整性，导致坝址上、下游水生环境片段化。但是根据调查分析，大坝附近河段主要分布鱼类为鲫鱼、南方鲇、鲤、泥鳅等，无长距离洄游习性，阻隔可能影响不同单元间遗传交流，但它们在在不同的单元可完成生活史。</w:t>
      </w:r>
    </w:p>
    <w:p>
      <w:pPr>
        <w:ind w:firstLine="480"/>
        <w:contextualSpacing/>
      </w:pPr>
      <w:r>
        <w:t>（3）温度对减水河段</w:t>
      </w:r>
      <w:r>
        <w:rPr>
          <w:kern w:val="0"/>
        </w:rPr>
        <w:t>鱼类三场及鱼类性腺发育、繁殖的影响</w:t>
      </w:r>
      <w:r>
        <w:t>的影响</w:t>
      </w:r>
    </w:p>
    <w:p>
      <w:pPr>
        <w:widowControl/>
        <w:ind w:firstLine="480"/>
        <w:contextualSpacing/>
        <w:jc w:val="left"/>
      </w:pPr>
      <w:r>
        <w:t>本工程评价河段内的鱼类资源是以温水性鱼类为主，生长繁殖的适宜水温是15～30℃，超过30℃或低于15℃，鱼的食欲减退，新陈代谢变缓，5℃以下停止进食。根据水温预测结果，在未采取措施之前，寒溪寺水库2~8月下泄水温要低于天然水温。寒溪寺设计使用叠梁门取水用于缓解低温水影响，叠梁门对下泄水温改善较为显著。在使用叠梁门的情况下，寒溪寺水库3～8月下泄水温均有不同程度的升高，月均升高2.1～8.2℃，其中6月水温改善最好，较未采取措施升高8.2℃，下泄水温的提高可在一定程度上减轻对鱼类的影响。同时，水库运行后，坝下河道流量减小，大多数月份仅下放最小生态流量，因此下泄水体在沿程气象作用下，2~8月均得到了较好的恢复。在减水河段处水体水温和外环境气温发生热量交换，温度会逐渐趋向气温，采取分层取水后，生态管放水口下放的生态流量水温不会对大坝下游5km外的鱼类造成明显的不利影响。</w:t>
      </w:r>
    </w:p>
    <w:p>
      <w:pPr>
        <w:pStyle w:val="2"/>
        <w:spacing w:before="0"/>
        <w:ind w:firstLine="480"/>
        <w:contextualSpacing/>
        <w:rPr>
          <w:rFonts w:ascii="Times New Roman" w:hAnsi="Times New Roman"/>
        </w:rPr>
      </w:pPr>
      <w:r>
        <w:rPr>
          <w:rFonts w:ascii="Times New Roman" w:hAnsi="Times New Roman"/>
        </w:rPr>
        <w:t>水温对鱼类</w:t>
      </w:r>
      <w:r>
        <w:rPr>
          <w:rFonts w:ascii="Times New Roman" w:hAnsi="Times New Roman"/>
          <w:kern w:val="0"/>
        </w:rPr>
        <w:t>性腺发育、繁殖</w:t>
      </w:r>
      <w:r>
        <w:rPr>
          <w:rFonts w:ascii="Times New Roman" w:hAnsi="Times New Roman"/>
        </w:rPr>
        <w:t>行为具有重要的影响，如产漂浮性卵的鱼类通常将水温以及径流量作为其产卵的信号，青、草、鲢、鳙一般为17～18℃以上开始产卵。本工程调查水域，鲢鱼、草鱼、鳙均为养殖种（或逃逸种），在自然条件下往往难以自然繁殖。当一些野生鱼类产卵繁殖时，遇到水温突降会停止产卵，水温回升会重新开始产卵。江河漂流性仔鱼的出现是鱼类产卵的主要表现，也是鱼类种群补充的重要前提。以鲫鱼为例，鲫鱼的性腺分化属于温度依赖的类型。性腺分化的关键时期。即温度影响性腺分化的敏感时期在12～40日龄之间。在此期间对仔、稚鱼进行温度处理对性腺的分化有明显影响。在低温（16±1）℃下幼鱼有雄性化趋势；而在高温（27℃以上）可诱导幼鱼性腺趋向雌性化。在（30±1）℃这一高温组中雌性率最高达到86∙0％而在更高的温度（32±1）℃和（34±1）℃下培育幼鱼雌性率有所下降表明雌性率并不是随着温度持续上升而继续升高的。温度对于不同鱼类性腺分化的影响不尽相同。黄颡鱼在高温（30℃）中培育的雄性率可达83.3％，性腺分化是趋向雄性化。但是在更高的温度如34℃雄性率也不是更高而是降低至26∙4％性腺明显有向雌性分化的趋势。蔡家河下游鱼类量较少，多为野杂鱼及少量经济鱼类，无野生的珍稀鱼类。不存在大规模的鱼类“三场”，只零星分布有小型的索饵、越冬、产卵地点。水库建成后，水涨幅波动变小，而产漂浮性卵的鱼类在繁殖时期对涨水条件要求比较高，受水库运行的影响相对较大，根据调查结果，参考《四川鱼类原色图志》等资料，寒溪寺水库工程调查区域中没有产漂浮性卵的鱼类。同时根据水温影响结果表明，坝址下游5km外的水温影响趋于和自然条件下相同。并且在水温影响河段，没有鱼类的产卵场和越冬场存在。因此，冬季下泄温水变化对鱼类性腺的发育和鱼类资源的影响小。同时流水变成静水或缓流，漂流性鱼卵漂流孵化的流程变短，鱼卵在没有孵化前就沉入水底，使得孵化、成活率会有所降低。由于蔡家河径流小，且下游已建有</w:t>
      </w:r>
      <w:r>
        <w:rPr>
          <w:rFonts w:hint="eastAsia" w:ascii="Times New Roman" w:hAnsi="Times New Roman"/>
        </w:rPr>
        <w:t>寒溪寺水库</w:t>
      </w:r>
      <w:r>
        <w:rPr>
          <w:rFonts w:ascii="Times New Roman" w:hAnsi="Times New Roman"/>
        </w:rPr>
        <w:t>，水生生境条件并不适宜产漂浮性卵的鱼类繁殖。分析判断，寒溪寺水库对产漂浮性卵鱼类的影响有限。</w:t>
      </w:r>
    </w:p>
    <w:p>
      <w:pPr>
        <w:ind w:firstLine="480"/>
        <w:contextualSpacing/>
      </w:pPr>
      <w:r>
        <w:t>产粘性卵的鱼类对产卵条件要求比较低，有的甚至只要有微小的流水刺激，就会产卵繁殖，受影响会比较小。水库建成蓄水后，原来适宜产粘性卵鱼类繁殖的生境，将有一部分会消失，但水库储水后会淹没大片土地和植被，水库中产粘性卵的鱼类将找到新的产卵场所。因此，水库建成后，对产粘性卵鱼类的繁殖生态不会产生明显影响。然而由于水库在发挥引水、灌溉等功能时将会水库水位周年产生大幅度的变动，在鱼类繁殖季节，可能会因为水位下落而导致鱼卵裸露出水而干枯死亡。</w:t>
      </w:r>
    </w:p>
    <w:p>
      <w:pPr>
        <w:ind w:firstLine="480"/>
        <w:contextualSpacing/>
      </w:pPr>
      <w:r>
        <w:t>总体上，蔡家河下游鱼类量较少，多为野杂鱼及少量经济鱼类，更无珍稀、特有鱼类存在。基本不存在大规模的鱼类“三场”，只零星分布有小型的索饵、越冬、产卵地点。因此，水库工程的修建对蔡家河鱼类资源的影响不是太明显。而水库大坝建成后，使原有水面扩大，容量增加，饵料生物得以发展，各种浮游动植物、水生维管束植物、底栖动物等的种群数量将会明显增加，给一些敞水性鱼类和静水生活的鱼类造成良好的生活环境，鱼类资源的种群数量，得以迅速发展，鱼产量将大幅度增加。</w:t>
      </w:r>
    </w:p>
    <w:p>
      <w:pPr>
        <w:ind w:firstLine="480"/>
        <w:contextualSpacing/>
      </w:pPr>
      <w:r>
        <w:t>（4）库区水位消落对鱼类的繁殖、栖息等活动的影响</w:t>
      </w:r>
    </w:p>
    <w:p>
      <w:pPr>
        <w:ind w:firstLine="480"/>
        <w:contextualSpacing/>
      </w:pPr>
      <w:r>
        <w:t>本项目库区的死水位为</w:t>
      </w:r>
      <w:r>
        <w:rPr>
          <w:rFonts w:hint="eastAsia"/>
        </w:rPr>
        <w:t>669</w:t>
      </w:r>
      <w:r>
        <w:t>.00m，正常情况下，非汛期（10月至翌年6月），水库按正常水位</w:t>
      </w:r>
      <w:r>
        <w:rPr>
          <w:rFonts w:hint="eastAsia"/>
        </w:rPr>
        <w:t>695</w:t>
      </w:r>
      <w:r>
        <w:t>m控制运行；汛期（7～9月），水库按亦按正常蓄水位</w:t>
      </w:r>
      <w:r>
        <w:rPr>
          <w:rFonts w:hint="eastAsia"/>
        </w:rPr>
        <w:t>695</w:t>
      </w:r>
      <w:r>
        <w:t>m控制运行。工程建成后进入稳定运行期间，水库形成约</w:t>
      </w:r>
      <w:r>
        <w:rPr>
          <w:rFonts w:hint="eastAsia"/>
        </w:rPr>
        <w:t>26</w:t>
      </w:r>
      <w:r>
        <w:t>m“消落带”的变化。从出露时间和面积看，非汛期水位会逐渐出现消落带，水位下降至死水位时候出现最大出露面积，此时水库周围形成“</w:t>
      </w:r>
      <w:r>
        <w:rPr>
          <w:rFonts w:hint="eastAsia"/>
        </w:rPr>
        <w:t>669</w:t>
      </w:r>
      <w:r>
        <w:t>m-</w:t>
      </w:r>
      <w:r>
        <w:rPr>
          <w:rFonts w:hint="eastAsia"/>
        </w:rPr>
        <w:t>695</w:t>
      </w:r>
      <w:r>
        <w:t>m的环库地带”。开始进入汛期，最大出露面积随着水位的上升而减小，直至正常蓄水位时出露面积最小。</w:t>
      </w:r>
    </w:p>
    <w:p>
      <w:pPr>
        <w:ind w:firstLine="480"/>
        <w:contextualSpacing/>
        <w:rPr>
          <w:highlight w:val="yellow"/>
        </w:rPr>
      </w:pPr>
      <w:r>
        <w:t>寒溪寺库区河段与支沟的生境相似，鱼类情况基本相同，以小杂鱼种为主。其中缓流水和静水生态类群鱼类4种，适应底层生活3种，适应各水层3种，鲫适应中下层或各水层，无只适应于上层的鱼类。库区水位消落对原栖息于消落带区域的鱼类栖息面积减少，但由于库区分布的野生鱼类资源小，偶见种，并且这些物种属于流域层面的广布种，消落带区域的减小不会影响鱼类物种及资源量的减少。</w:t>
      </w:r>
    </w:p>
    <w:p>
      <w:pPr>
        <w:ind w:firstLine="480"/>
        <w:contextualSpacing/>
      </w:pPr>
      <w:r>
        <w:t>（5）对珍稀濒危及特有鱼类的影响</w:t>
      </w:r>
    </w:p>
    <w:p>
      <w:pPr>
        <w:ind w:firstLine="480"/>
        <w:contextualSpacing/>
      </w:pPr>
      <w:r>
        <w:rPr>
          <w:kern w:val="0"/>
        </w:rPr>
        <w:t>调查水域的</w:t>
      </w:r>
      <w:r>
        <w:rPr>
          <w:rFonts w:hint="eastAsia"/>
          <w:kern w:val="0"/>
        </w:rPr>
        <w:t>15</w:t>
      </w:r>
      <w:r>
        <w:rPr>
          <w:kern w:val="0"/>
        </w:rPr>
        <w:t>种鱼类中，没有野生的珍稀特有鱼类。</w:t>
      </w:r>
      <w:r>
        <w:rPr>
          <w:rFonts w:hint="eastAsia"/>
          <w:kern w:val="0"/>
        </w:rPr>
        <w:t>巴中市</w:t>
      </w:r>
      <w:r>
        <w:rPr>
          <w:kern w:val="0"/>
        </w:rPr>
        <w:t>寒溪寺水库调查河段无国家I、II级重点保护鱼类，无四川省级保护鱼类。</w:t>
      </w:r>
    </w:p>
    <w:p>
      <w:pPr>
        <w:ind w:firstLine="0" w:firstLineChars="0"/>
        <w:contextualSpacing/>
        <w:outlineLvl w:val="3"/>
        <w:rPr>
          <w:b/>
          <w:bCs/>
        </w:rPr>
      </w:pPr>
      <w:r>
        <w:rPr>
          <w:b/>
          <w:bCs/>
        </w:rPr>
        <w:t>5.3.2.4对长江上游特有鱼类的影响</w:t>
      </w:r>
    </w:p>
    <w:p>
      <w:pPr>
        <w:widowControl/>
        <w:ind w:firstLine="480"/>
        <w:contextualSpacing/>
        <w:jc w:val="left"/>
      </w:pPr>
      <w:r>
        <w:rPr>
          <w:rFonts w:hint="eastAsia"/>
        </w:rPr>
        <w:t>巴中市</w:t>
      </w:r>
      <w:r>
        <w:t>寒溪寺水库调查河段无国家I、II级重点保护鱼类，无四川省级保护鱼类。</w:t>
      </w:r>
    </w:p>
    <w:p>
      <w:pPr>
        <w:widowControl/>
        <w:ind w:firstLine="480"/>
        <w:contextualSpacing/>
        <w:jc w:val="left"/>
      </w:pPr>
      <w:r>
        <w:t>根据章节“5.2.3.1对水温的影响”，温度作为一种非常重要的生态因子，对鱼类的生长、发育、代谢等生命活动具有显 著的影响。鱼类属于变温动物，其体温随水温的变化而变化，一般与周围水温相差不超 过 0.5℃～1.0℃。因此，水温直接或间接地影响鱼类生长代谢、消化酶活性、蛋白质合 成以及基因表达等。水库在各典型水文年的水温结构均为季节性分层型。水温降低不至于影响鱼类的生存，但会影响鱼类的生长和繁殖。设计使用叠梁门取水，生态下泄流量采用分层取水措施后，对下泄水温改善较为显著，其中3～8月下泄水温均有不同程度的升高，月均升高2.1～8.2℃，其中6月水温改善最好，较未采取措施升高8.2℃，下泄水温的提高可在一定程度上减轻对鱼类的影响。</w:t>
      </w:r>
    </w:p>
    <w:p>
      <w:pPr>
        <w:ind w:firstLine="0" w:firstLineChars="0"/>
        <w:contextualSpacing/>
        <w:outlineLvl w:val="3"/>
        <w:rPr>
          <w:b/>
          <w:bCs/>
        </w:rPr>
      </w:pPr>
      <w:r>
        <w:rPr>
          <w:b/>
          <w:bCs/>
        </w:rPr>
        <w:t>5.3.2.5对渔业生产的影响</w:t>
      </w:r>
    </w:p>
    <w:p>
      <w:pPr>
        <w:ind w:firstLine="480"/>
        <w:contextualSpacing/>
      </w:pPr>
      <w:r>
        <w:t>调查区域无专业渔民，天然捕捞量很小，工程建设和运行对渔业影响甚小。水库建成后，库区为大水面渔业提供了发展的机会，但本工程任务以灌溉、供水为主，库区将作为水源地加以保护，不宜发展养殖渔业。</w:t>
      </w:r>
    </w:p>
    <w:p>
      <w:pPr>
        <w:ind w:firstLine="0" w:firstLineChars="0"/>
        <w:contextualSpacing/>
        <w:outlineLvl w:val="3"/>
        <w:rPr>
          <w:b/>
          <w:bCs/>
        </w:rPr>
      </w:pPr>
      <w:r>
        <w:rPr>
          <w:b/>
          <w:bCs/>
        </w:rPr>
        <w:t>5.3.2.6影响分析小结</w:t>
      </w:r>
    </w:p>
    <w:p>
      <w:pPr>
        <w:ind w:firstLine="480"/>
        <w:contextualSpacing/>
      </w:pPr>
      <w:r>
        <w:t>寒溪寺水库工程的施工将引起鱼类短暂逃离工程影响河段，但会随施工结束后回到工程水域，施工对区域内鱼类多样性不会造成明显的影响。水库建成运行后，由于水位比原水库有所抬升，原河段适应流水生活鱼类的栖息地将被淹没，这些鱼类可能向库尾以上河段迁徙。但由于库区水体变深、水域面积变大、饵料生物量增加，适于缓流水和静水生态类型的鱼类可以在库区内找到合适的索饵和越冬生境。水库蓄水后，由于淹没区的增加，随着新的营养物质的进入，库缘水生维管束植物将有所增加，适于缓水产粘性卵的鱼类可以重新找到合适的产卵生境。</w:t>
      </w:r>
    </w:p>
    <w:p>
      <w:pPr>
        <w:ind w:firstLine="480"/>
        <w:contextualSpacing/>
      </w:pPr>
      <w:r>
        <w:t>坝下河段由于流水河段缩短，下泄水温变化、气体过饱和、水流冲刷等因素影响，坝下适宜鱼类生长繁衍的空间萎缩，鱼类资源数量将会减少。减水导致栖息地面积减小，对于河道中生活的喜流水性鱼类明显不利；低温和稳定的流量对鱼类繁殖不利。自然条件下，评价河段鱼类能够通过探知气体过饱和来选择适宜深度生存，气体过饱和不会对主要的鱼类产生明显不利影响。本工程评价河段内的鱼类资源是以温水性鱼类为主，设计使用叠梁门取水，生态下泄流量采用分层取水措施后，对下泄水温改善较为显著，下泄水温的提高可在一定程度上减轻对鱼类的影响。</w:t>
      </w:r>
    </w:p>
    <w:p>
      <w:pPr>
        <w:ind w:firstLine="480"/>
        <w:contextualSpacing/>
      </w:pPr>
      <w:r>
        <w:t>总的来讲，寒溪寺水库在施工期和运行期对工程上、下游至化成的鱼类及水生生物将会产生一定的影响，化成坝址下的鱼类影响叠加影响小。从流域层面分析，工程不会影响</w:t>
      </w:r>
      <w:r>
        <w:rPr>
          <w:rFonts w:hint="eastAsia"/>
        </w:rPr>
        <w:t>蔡家</w:t>
      </w:r>
      <w:r>
        <w:t>河流域的鱼类及水生生物分布的种类和数量。</w:t>
      </w:r>
    </w:p>
    <w:p>
      <w:pPr>
        <w:pStyle w:val="4"/>
        <w:ind w:firstLine="0" w:firstLineChars="0"/>
        <w:contextualSpacing/>
      </w:pPr>
      <w:bookmarkStart w:id="767" w:name="_Toc130753437"/>
      <w:r>
        <w:t>5.4大气环境影响预测评价</w:t>
      </w:r>
      <w:bookmarkEnd w:id="767"/>
    </w:p>
    <w:p>
      <w:pPr>
        <w:ind w:firstLine="480"/>
        <w:contextualSpacing/>
      </w:pPr>
      <w:r>
        <w:t>本工程建设过程中，对环境空气的影响主要集中在工程施工期。施工期影响范围主要为施工征地范围内，主要污染源为混凝土拌合系统、主体工程开挖时产生的扬尘和施工车辆运输引起的扬尘、尾气等。</w:t>
      </w:r>
    </w:p>
    <w:p>
      <w:pPr>
        <w:pStyle w:val="5"/>
        <w:ind w:firstLine="0" w:firstLineChars="0"/>
        <w:contextualSpacing/>
        <w:rPr>
          <w:rFonts w:ascii="Times New Roman" w:hAnsi="Times New Roman"/>
        </w:rPr>
      </w:pPr>
      <w:r>
        <w:rPr>
          <w:rFonts w:ascii="Times New Roman" w:hAnsi="Times New Roman"/>
        </w:rPr>
        <w:t>5.4.1混凝土拌合系统粉尘影响</w:t>
      </w:r>
    </w:p>
    <w:p>
      <w:pPr>
        <w:ind w:firstLine="480"/>
        <w:contextualSpacing/>
      </w:pPr>
      <w:r>
        <w:t>混凝土拌合系统粉尘产生在水泥、粉煤灰、骨料的运输、装卸及进料过程中。本工程在混凝土生产系统运行过程中需在袋装水泥（粉煤灰）仓库和贮罐顶部装设有袋式除尘器作为除尘设备，并辅以洒水降尘，以降低现场粉尘。</w:t>
      </w:r>
    </w:p>
    <w:p>
      <w:pPr>
        <w:ind w:firstLine="480"/>
        <w:contextualSpacing/>
      </w:pPr>
      <w:r>
        <w:t>工程混凝土拌合系统配置一座HZS60型混凝土拌和站，拌和楼最大生产能力为45m3/h。混凝土拌合系统中骨料通过胶带密闭运输，搅拌罐等粉尘产生节点上方设有集气罩，粉尘经集气罩收集后经袋式除尘处理（除尘效率≥99%），估算除尘后系统粉尘综合排放系数为0.0012kg/t产品，高峰期污染物（TSP）排放量为0.11kg/h。</w:t>
      </w:r>
    </w:p>
    <w:p>
      <w:pPr>
        <w:ind w:firstLine="480"/>
        <w:contextualSpacing/>
      </w:pPr>
      <w:r>
        <w:t>经估算模式预测，混凝土拌合系统周围最大地面浓度预测值为0.004mg/m</w:t>
      </w:r>
      <w:r>
        <w:rPr>
          <w:vertAlign w:val="superscript"/>
        </w:rPr>
        <w:t>3</w:t>
      </w:r>
      <w:r>
        <w:t>，因此本工程混凝土拌合系统在采取集气罩、袋式除尘器等环保措施后对周围环境空气影响很小，均能达到环境空气质量标准（GB3095-2012）二级标准。</w:t>
      </w:r>
    </w:p>
    <w:p>
      <w:pPr>
        <w:pStyle w:val="5"/>
        <w:ind w:firstLine="0" w:firstLineChars="0"/>
        <w:contextualSpacing/>
        <w:rPr>
          <w:rFonts w:ascii="Times New Roman" w:hAnsi="Times New Roman"/>
        </w:rPr>
      </w:pPr>
      <w:r>
        <w:rPr>
          <w:rFonts w:ascii="Times New Roman" w:hAnsi="Times New Roman"/>
        </w:rPr>
        <w:t>5.4.2施工作业面粉尘影响</w:t>
      </w:r>
    </w:p>
    <w:p>
      <w:pPr>
        <w:ind w:firstLine="480"/>
        <w:contextualSpacing/>
      </w:pPr>
      <w:r>
        <w:t>施工期土石方开挖与填筑及施工结束后临时设施拆除均会造成粉尘、扬尘等环境空气污染；建筑材料若运输、装卸、储存方式不当，可能造成泄露，产生扬尘和粉尘污染。扬尘量的大小与施工现场条件、管理水平、机械化程度、施工季节土质及施工季节等诸多因素有关。</w:t>
      </w:r>
    </w:p>
    <w:p>
      <w:pPr>
        <w:ind w:firstLine="480"/>
        <w:contextualSpacing/>
      </w:pPr>
      <w:r>
        <w:t>根据对类似施工现场及周边的TSP监测，空气中的TSP监测情况见下表，距施工场地不同距离处空气中的TSP浓度变化见下图表。</w:t>
      </w:r>
    </w:p>
    <w:p>
      <w:pPr>
        <w:ind w:firstLine="422"/>
        <w:contextualSpacing/>
        <w:jc w:val="center"/>
        <w:rPr>
          <w:b/>
          <w:bCs/>
          <w:sz w:val="21"/>
          <w:szCs w:val="21"/>
        </w:rPr>
      </w:pPr>
      <w:r>
        <w:rPr>
          <w:b/>
          <w:bCs/>
          <w:sz w:val="21"/>
          <w:szCs w:val="21"/>
        </w:rPr>
        <w:t>表5.4.3  施工近场空气中TSP浓度监测值</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pPr>
              <w:spacing w:line="240" w:lineRule="auto"/>
              <w:ind w:firstLine="0" w:firstLineChars="0"/>
              <w:contextualSpacing/>
              <w:jc w:val="center"/>
              <w:rPr>
                <w:sz w:val="21"/>
                <w:szCs w:val="21"/>
              </w:rPr>
            </w:pPr>
            <w:r>
              <w:rPr>
                <w:sz w:val="21"/>
                <w:szCs w:val="21"/>
              </w:rPr>
              <w:t>监测点位置</w:t>
            </w:r>
          </w:p>
        </w:tc>
        <w:tc>
          <w:tcPr>
            <w:tcW w:w="1250" w:type="pct"/>
            <w:vAlign w:val="center"/>
          </w:tcPr>
          <w:p>
            <w:pPr>
              <w:spacing w:line="240" w:lineRule="auto"/>
              <w:ind w:firstLine="0" w:firstLineChars="0"/>
              <w:contextualSpacing/>
              <w:jc w:val="center"/>
              <w:rPr>
                <w:sz w:val="21"/>
                <w:szCs w:val="21"/>
              </w:rPr>
            </w:pPr>
            <w:r>
              <w:rPr>
                <w:sz w:val="21"/>
                <w:szCs w:val="21"/>
              </w:rPr>
              <w:t>场地不洒水</w:t>
            </w:r>
          </w:p>
        </w:tc>
        <w:tc>
          <w:tcPr>
            <w:tcW w:w="1250" w:type="pct"/>
            <w:vAlign w:val="center"/>
          </w:tcPr>
          <w:p>
            <w:pPr>
              <w:spacing w:line="240" w:lineRule="auto"/>
              <w:ind w:firstLine="0" w:firstLineChars="0"/>
              <w:contextualSpacing/>
              <w:jc w:val="center"/>
              <w:rPr>
                <w:sz w:val="21"/>
                <w:szCs w:val="21"/>
              </w:rPr>
            </w:pPr>
            <w:r>
              <w:rPr>
                <w:sz w:val="21"/>
                <w:szCs w:val="21"/>
              </w:rPr>
              <w:t>场地洒水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vAlign w:val="center"/>
          </w:tcPr>
          <w:p>
            <w:pPr>
              <w:spacing w:line="240" w:lineRule="auto"/>
              <w:ind w:firstLine="0" w:firstLineChars="0"/>
              <w:contextualSpacing/>
              <w:jc w:val="center"/>
              <w:rPr>
                <w:sz w:val="21"/>
                <w:szCs w:val="21"/>
              </w:rPr>
            </w:pPr>
            <w:r>
              <w:rPr>
                <w:sz w:val="21"/>
                <w:szCs w:val="21"/>
              </w:rPr>
              <w:t>距场地不同距离处TSP的浓度值（mg/m</w:t>
            </w:r>
            <w:r>
              <w:rPr>
                <w:sz w:val="21"/>
                <w:szCs w:val="21"/>
                <w:vertAlign w:val="superscript"/>
              </w:rPr>
              <w:t>3</w:t>
            </w:r>
            <w:r>
              <w:rPr>
                <w:sz w:val="21"/>
                <w:szCs w:val="21"/>
              </w:rPr>
              <w:t>）</w:t>
            </w:r>
          </w:p>
        </w:tc>
        <w:tc>
          <w:tcPr>
            <w:tcW w:w="1250" w:type="pct"/>
            <w:vAlign w:val="center"/>
          </w:tcPr>
          <w:p>
            <w:pPr>
              <w:spacing w:line="240" w:lineRule="auto"/>
              <w:ind w:firstLine="0" w:firstLineChars="0"/>
              <w:contextualSpacing/>
              <w:jc w:val="center"/>
              <w:rPr>
                <w:sz w:val="21"/>
                <w:szCs w:val="21"/>
              </w:rPr>
            </w:pPr>
            <w:r>
              <w:rPr>
                <w:sz w:val="21"/>
                <w:szCs w:val="21"/>
              </w:rPr>
              <w:t>10m</w:t>
            </w:r>
          </w:p>
        </w:tc>
        <w:tc>
          <w:tcPr>
            <w:tcW w:w="1250" w:type="pct"/>
            <w:vAlign w:val="center"/>
          </w:tcPr>
          <w:p>
            <w:pPr>
              <w:spacing w:line="240" w:lineRule="auto"/>
              <w:ind w:firstLine="0" w:firstLineChars="0"/>
              <w:contextualSpacing/>
              <w:jc w:val="center"/>
              <w:rPr>
                <w:sz w:val="21"/>
                <w:szCs w:val="21"/>
              </w:rPr>
            </w:pPr>
            <w:r>
              <w:rPr>
                <w:sz w:val="21"/>
                <w:szCs w:val="21"/>
              </w:rPr>
              <w:t>1.75</w:t>
            </w:r>
          </w:p>
        </w:tc>
        <w:tc>
          <w:tcPr>
            <w:tcW w:w="1250" w:type="pct"/>
            <w:vAlign w:val="center"/>
          </w:tcPr>
          <w:p>
            <w:pPr>
              <w:spacing w:line="240" w:lineRule="auto"/>
              <w:ind w:firstLine="0" w:firstLineChars="0"/>
              <w:contextualSpacing/>
              <w:jc w:val="center"/>
              <w:rPr>
                <w:sz w:val="21"/>
                <w:szCs w:val="21"/>
              </w:rPr>
            </w:pPr>
            <w:r>
              <w:rPr>
                <w:sz w:val="21"/>
                <w:szCs w:val="21"/>
              </w:rPr>
              <w:t>0.437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sz w:val="21"/>
                <w:szCs w:val="21"/>
              </w:rPr>
              <w:t>20m</w:t>
            </w:r>
          </w:p>
        </w:tc>
        <w:tc>
          <w:tcPr>
            <w:tcW w:w="1250" w:type="pct"/>
            <w:vAlign w:val="center"/>
          </w:tcPr>
          <w:p>
            <w:pPr>
              <w:spacing w:line="240" w:lineRule="auto"/>
              <w:ind w:firstLine="0" w:firstLineChars="0"/>
              <w:contextualSpacing/>
              <w:jc w:val="center"/>
              <w:rPr>
                <w:sz w:val="21"/>
                <w:szCs w:val="21"/>
              </w:rPr>
            </w:pPr>
            <w:r>
              <w:rPr>
                <w:sz w:val="21"/>
                <w:szCs w:val="21"/>
              </w:rPr>
              <w:t>1.30</w:t>
            </w:r>
          </w:p>
        </w:tc>
        <w:tc>
          <w:tcPr>
            <w:tcW w:w="1250" w:type="pct"/>
            <w:vAlign w:val="center"/>
          </w:tcPr>
          <w:p>
            <w:pPr>
              <w:spacing w:line="240" w:lineRule="auto"/>
              <w:ind w:firstLine="0" w:firstLineChars="0"/>
              <w:contextualSpacing/>
              <w:jc w:val="center"/>
              <w:rPr>
                <w:sz w:val="21"/>
                <w:szCs w:val="21"/>
              </w:rPr>
            </w:pPr>
            <w:r>
              <w:rPr>
                <w:sz w:val="21"/>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sz w:val="21"/>
                <w:szCs w:val="21"/>
              </w:rPr>
              <w:t>30m</w:t>
            </w:r>
          </w:p>
        </w:tc>
        <w:tc>
          <w:tcPr>
            <w:tcW w:w="1250" w:type="pct"/>
            <w:vAlign w:val="center"/>
          </w:tcPr>
          <w:p>
            <w:pPr>
              <w:spacing w:line="240" w:lineRule="auto"/>
              <w:ind w:firstLine="0" w:firstLineChars="0"/>
              <w:contextualSpacing/>
              <w:jc w:val="center"/>
              <w:rPr>
                <w:sz w:val="21"/>
                <w:szCs w:val="21"/>
              </w:rPr>
            </w:pPr>
            <w:r>
              <w:rPr>
                <w:sz w:val="21"/>
                <w:szCs w:val="21"/>
              </w:rPr>
              <w:t>0.78</w:t>
            </w:r>
          </w:p>
        </w:tc>
        <w:tc>
          <w:tcPr>
            <w:tcW w:w="1250" w:type="pct"/>
            <w:vAlign w:val="center"/>
          </w:tcPr>
          <w:p>
            <w:pPr>
              <w:spacing w:line="240" w:lineRule="auto"/>
              <w:ind w:firstLine="0" w:firstLineChars="0"/>
              <w:contextualSpacing/>
              <w:jc w:val="center"/>
              <w:rPr>
                <w:sz w:val="21"/>
                <w:szCs w:val="21"/>
              </w:rPr>
            </w:pPr>
            <w:r>
              <w:rPr>
                <w:sz w:val="21"/>
                <w:szCs w:val="21"/>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sz w:val="21"/>
                <w:szCs w:val="21"/>
              </w:rPr>
              <w:t>40m</w:t>
            </w:r>
          </w:p>
        </w:tc>
        <w:tc>
          <w:tcPr>
            <w:tcW w:w="1250" w:type="pct"/>
            <w:vAlign w:val="center"/>
          </w:tcPr>
          <w:p>
            <w:pPr>
              <w:spacing w:line="240" w:lineRule="auto"/>
              <w:ind w:firstLine="0" w:firstLineChars="0"/>
              <w:contextualSpacing/>
              <w:jc w:val="center"/>
              <w:rPr>
                <w:sz w:val="21"/>
                <w:szCs w:val="21"/>
              </w:rPr>
            </w:pPr>
            <w:r>
              <w:rPr>
                <w:sz w:val="21"/>
                <w:szCs w:val="21"/>
              </w:rPr>
              <w:t>0.365</w:t>
            </w:r>
          </w:p>
        </w:tc>
        <w:tc>
          <w:tcPr>
            <w:tcW w:w="1250" w:type="pct"/>
            <w:vAlign w:val="center"/>
          </w:tcPr>
          <w:p>
            <w:pPr>
              <w:spacing w:line="240" w:lineRule="auto"/>
              <w:ind w:firstLine="0" w:firstLineChars="0"/>
              <w:contextualSpacing/>
              <w:jc w:val="center"/>
              <w:rPr>
                <w:sz w:val="21"/>
                <w:szCs w:val="21"/>
              </w:rPr>
            </w:pPr>
            <w:r>
              <w:rPr>
                <w:sz w:val="21"/>
                <w:szCs w:val="21"/>
              </w:rPr>
              <w:t>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sz w:val="21"/>
                <w:szCs w:val="21"/>
              </w:rPr>
              <w:t>50m</w:t>
            </w:r>
          </w:p>
        </w:tc>
        <w:tc>
          <w:tcPr>
            <w:tcW w:w="1250" w:type="pct"/>
            <w:vAlign w:val="center"/>
          </w:tcPr>
          <w:p>
            <w:pPr>
              <w:spacing w:line="240" w:lineRule="auto"/>
              <w:ind w:firstLine="0" w:firstLineChars="0"/>
              <w:contextualSpacing/>
              <w:jc w:val="center"/>
              <w:rPr>
                <w:sz w:val="21"/>
                <w:szCs w:val="21"/>
              </w:rPr>
            </w:pPr>
            <w:r>
              <w:rPr>
                <w:sz w:val="21"/>
                <w:szCs w:val="21"/>
              </w:rPr>
              <w:t>0.345</w:t>
            </w:r>
          </w:p>
        </w:tc>
        <w:tc>
          <w:tcPr>
            <w:tcW w:w="1250" w:type="pct"/>
            <w:vAlign w:val="center"/>
          </w:tcPr>
          <w:p>
            <w:pPr>
              <w:spacing w:line="240" w:lineRule="auto"/>
              <w:ind w:firstLine="0" w:firstLineChars="0"/>
              <w:contextualSpacing/>
              <w:jc w:val="center"/>
              <w:rPr>
                <w:sz w:val="21"/>
                <w:szCs w:val="21"/>
              </w:rPr>
            </w:pPr>
            <w:r>
              <w:rPr>
                <w:sz w:val="21"/>
                <w:szCs w:val="21"/>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spacing w:line="240" w:lineRule="auto"/>
              <w:ind w:firstLine="0" w:firstLineChars="0"/>
              <w:contextualSpacing/>
              <w:jc w:val="center"/>
              <w:rPr>
                <w:sz w:val="21"/>
                <w:szCs w:val="21"/>
              </w:rPr>
            </w:pPr>
          </w:p>
        </w:tc>
        <w:tc>
          <w:tcPr>
            <w:tcW w:w="1250" w:type="pct"/>
            <w:vAlign w:val="center"/>
          </w:tcPr>
          <w:p>
            <w:pPr>
              <w:spacing w:line="240" w:lineRule="auto"/>
              <w:ind w:firstLine="0" w:firstLineChars="0"/>
              <w:contextualSpacing/>
              <w:jc w:val="center"/>
              <w:rPr>
                <w:sz w:val="21"/>
                <w:szCs w:val="21"/>
              </w:rPr>
            </w:pPr>
            <w:r>
              <w:rPr>
                <w:sz w:val="21"/>
                <w:szCs w:val="21"/>
              </w:rPr>
              <w:t>100m</w:t>
            </w:r>
          </w:p>
        </w:tc>
        <w:tc>
          <w:tcPr>
            <w:tcW w:w="1250" w:type="pct"/>
            <w:vAlign w:val="center"/>
          </w:tcPr>
          <w:p>
            <w:pPr>
              <w:spacing w:line="240" w:lineRule="auto"/>
              <w:ind w:firstLine="0" w:firstLineChars="0"/>
              <w:contextualSpacing/>
              <w:jc w:val="center"/>
              <w:rPr>
                <w:sz w:val="21"/>
                <w:szCs w:val="21"/>
              </w:rPr>
            </w:pPr>
            <w:r>
              <w:rPr>
                <w:sz w:val="21"/>
                <w:szCs w:val="21"/>
              </w:rPr>
              <w:t>0.330</w:t>
            </w:r>
          </w:p>
        </w:tc>
        <w:tc>
          <w:tcPr>
            <w:tcW w:w="1250" w:type="pct"/>
            <w:vAlign w:val="center"/>
          </w:tcPr>
          <w:p>
            <w:pPr>
              <w:spacing w:line="240" w:lineRule="auto"/>
              <w:ind w:firstLine="0" w:firstLineChars="0"/>
              <w:contextualSpacing/>
              <w:jc w:val="center"/>
              <w:rPr>
                <w:sz w:val="21"/>
                <w:szCs w:val="21"/>
              </w:rPr>
            </w:pPr>
            <w:r>
              <w:rPr>
                <w:sz w:val="21"/>
                <w:szCs w:val="21"/>
              </w:rPr>
              <w:t>0.238</w:t>
            </w:r>
          </w:p>
        </w:tc>
      </w:tr>
    </w:tbl>
    <w:p>
      <w:pPr>
        <w:ind w:firstLine="0" w:firstLineChars="0"/>
        <w:contextualSpacing/>
        <w:jc w:val="center"/>
      </w:pPr>
      <w:r>
        <w:drawing>
          <wp:inline distT="0" distB="0" distL="0" distR="0">
            <wp:extent cx="5167630" cy="2952750"/>
            <wp:effectExtent l="0" t="0" r="0" b="0"/>
            <wp:docPr id="110" name="图片 53" descr="1a178991a9ba7c50ce4120667b52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3" descr="1a178991a9ba7c50ce4120667b527aa"/>
                    <pic:cNvPicPr>
                      <a:picLocks noChangeAspect="1" noChangeArrowheads="1"/>
                    </pic:cNvPicPr>
                  </pic:nvPicPr>
                  <pic:blipFill>
                    <a:blip r:embed="rId216">
                      <a:extLst>
                        <a:ext uri="{28A0092B-C50C-407E-A947-70E740481C1C}">
                          <a14:useLocalDpi xmlns:a14="http://schemas.microsoft.com/office/drawing/2010/main" val="0"/>
                        </a:ext>
                      </a:extLst>
                    </a:blip>
                    <a:srcRect b="18848"/>
                    <a:stretch>
                      <a:fillRect/>
                    </a:stretch>
                  </pic:blipFill>
                  <pic:spPr>
                    <a:xfrm>
                      <a:off x="0" y="0"/>
                      <a:ext cx="5167630" cy="2952750"/>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图5.4.3   施工近场大气中TSP浓度变化图</w:t>
      </w:r>
    </w:p>
    <w:p>
      <w:pPr>
        <w:pStyle w:val="2"/>
        <w:spacing w:before="0"/>
        <w:ind w:left="0" w:firstLine="480"/>
        <w:contextualSpacing/>
        <w:rPr>
          <w:rFonts w:ascii="Times New Roman" w:hAnsi="Times New Roman"/>
        </w:rPr>
      </w:pPr>
      <w:r>
        <w:rPr>
          <w:rFonts w:ascii="Times New Roman" w:hAnsi="Times New Roman"/>
        </w:rPr>
        <w:t>由监测数据可知，施工场地周边地区TSP浓度值在40m范围内呈明显下降趋势，40m范围以外，TSP浓度变化基本稳定。洒水后场地40m处的TSP日均浓度为0.265mg/m</w:t>
      </w:r>
      <w:r>
        <w:rPr>
          <w:rFonts w:ascii="Times New Roman" w:hAnsi="Times New Roman"/>
          <w:vertAlign w:val="superscript"/>
        </w:rPr>
        <w:t>3</w:t>
      </w:r>
      <w:r>
        <w:rPr>
          <w:rFonts w:ascii="Times New Roman" w:hAnsi="Times New Roman"/>
        </w:rPr>
        <w:t>，满足《环境空气质量标准》（GB3095-2012）中的二级标准。因此，施工期间可以通过采取洒水降尘（非雨天洒水降尘3～5次）等措施避免土石方开挖施工对环境空气的影响。</w:t>
      </w:r>
    </w:p>
    <w:p>
      <w:pPr>
        <w:pStyle w:val="2"/>
        <w:spacing w:before="0"/>
        <w:ind w:left="0" w:firstLine="480"/>
        <w:contextualSpacing/>
        <w:rPr>
          <w:rFonts w:ascii="Times New Roman" w:hAnsi="Times New Roman"/>
        </w:rPr>
      </w:pPr>
      <w:r>
        <w:rPr>
          <w:rFonts w:ascii="Times New Roman" w:hAnsi="Times New Roman"/>
        </w:rPr>
        <w:t>根据现场调查情况，右岸</w:t>
      </w:r>
      <w:r>
        <w:rPr>
          <w:rFonts w:hint="eastAsia" w:ascii="Times New Roman" w:hAnsi="Times New Roman"/>
        </w:rPr>
        <w:t>1</w:t>
      </w:r>
      <w:r>
        <w:rPr>
          <w:rFonts w:ascii="Times New Roman" w:hAnsi="Times New Roman"/>
        </w:rPr>
        <w:t>#</w:t>
      </w:r>
      <w:r>
        <w:rPr>
          <w:rFonts w:hint="eastAsia" w:ascii="Times New Roman" w:hAnsi="Times New Roman"/>
        </w:rPr>
        <w:t>生产生活区</w:t>
      </w:r>
      <w:r>
        <w:rPr>
          <w:rFonts w:ascii="Times New Roman" w:hAnsi="Times New Roman"/>
        </w:rPr>
        <w:t>有26户居民点；左岸与隧洞施工区相邻盐井坡有20户居民点距离在40m以内。为避免弃渣场扬尘对道路附近居民点的不利影响，需加强洒水降尘减少对附近居民的影响。</w:t>
      </w:r>
    </w:p>
    <w:p>
      <w:pPr>
        <w:pStyle w:val="5"/>
        <w:ind w:firstLine="0" w:firstLineChars="0"/>
        <w:contextualSpacing/>
        <w:rPr>
          <w:rFonts w:ascii="Times New Roman" w:hAnsi="Times New Roman"/>
        </w:rPr>
      </w:pPr>
      <w:r>
        <w:rPr>
          <w:rFonts w:ascii="Times New Roman" w:hAnsi="Times New Roman"/>
        </w:rPr>
        <w:t>5.4.3施工交通运输扬尘影响</w:t>
      </w:r>
    </w:p>
    <w:p>
      <w:pPr>
        <w:pStyle w:val="2"/>
        <w:spacing w:before="0"/>
        <w:ind w:left="0" w:firstLine="480"/>
        <w:contextualSpacing/>
        <w:rPr>
          <w:rFonts w:ascii="Times New Roman" w:hAnsi="Times New Roman"/>
        </w:rPr>
      </w:pPr>
      <w:r>
        <w:rPr>
          <w:rFonts w:ascii="Times New Roman" w:hAnsi="Times New Roman"/>
        </w:rPr>
        <w:t>工程施工期的场内公路多为泥结碎石路面，在干燥天气情况下，车辆行驶容易产生扬尘。扬尘在道路两侧扩散，最大起尘浓度出现在道路两侧，随离散距离的增加浓度逐渐降低，最终可达背景值。</w:t>
      </w:r>
    </w:p>
    <w:p>
      <w:pPr>
        <w:pStyle w:val="2"/>
        <w:spacing w:before="0"/>
        <w:ind w:left="0" w:firstLine="480"/>
        <w:contextualSpacing/>
        <w:rPr>
          <w:rFonts w:ascii="Times New Roman" w:hAnsi="Times New Roman"/>
        </w:rPr>
      </w:pPr>
      <w:r>
        <w:rPr>
          <w:rFonts w:ascii="Times New Roman" w:hAnsi="Times New Roman"/>
        </w:rPr>
        <w:t>根据交通运输扬尘相关研究，交通运输扬尘不会在大范围内平均分布，但在小空间内浓度较高，在道路局部地段积尘较多的地方，载重车辆经过时会掀起浓密的扬尘，根据同类工程经验，在同样路面情况下，车速越快，扬尘量越大；在同样车速情况下，路面清洁度越差，则扬尘量越大。一般情况下，施工交通道路在自然风作用下产生的扬尘影响的范围在100m以内。如果在施工期间对车辆行驶的路面实施洒水抑尘，可防止施工扬尘的污染。实施每天洒水4～5次进行抑尘，可有效地控制施工扬尘，可将TSP污染的影响范围缩小到20～50m。因此，通过限速行驶及保持路面清洁，同时适当洒水可有效减少汽车扬尘。</w:t>
      </w:r>
    </w:p>
    <w:p>
      <w:pPr>
        <w:pStyle w:val="2"/>
        <w:spacing w:before="0"/>
        <w:ind w:left="0" w:firstLine="480"/>
        <w:contextualSpacing/>
        <w:rPr>
          <w:rFonts w:ascii="Times New Roman" w:hAnsi="Times New Roman"/>
        </w:rPr>
      </w:pPr>
      <w:r>
        <w:rPr>
          <w:rFonts w:ascii="Times New Roman" w:hAnsi="Times New Roman"/>
        </w:rPr>
        <w:t>根据现场调查情况，4#施工公路</w:t>
      </w:r>
      <w:r>
        <w:rPr>
          <w:rFonts w:hint="eastAsia" w:ascii="Times New Roman" w:hAnsi="Times New Roman"/>
        </w:rPr>
        <w:t>、左岸还建道路、右岸还建道路</w:t>
      </w:r>
      <w:r>
        <w:rPr>
          <w:rFonts w:ascii="Times New Roman" w:hAnsi="Times New Roman"/>
        </w:rPr>
        <w:t>沿线</w:t>
      </w:r>
      <w:r>
        <w:rPr>
          <w:rFonts w:hint="eastAsia" w:ascii="Times New Roman" w:hAnsi="Times New Roman"/>
        </w:rPr>
        <w:t>约</w:t>
      </w:r>
      <w:r>
        <w:rPr>
          <w:rFonts w:ascii="Times New Roman" w:hAnsi="Times New Roman"/>
        </w:rPr>
        <w:t>有</w:t>
      </w:r>
      <w:r>
        <w:rPr>
          <w:rFonts w:hint="eastAsia" w:ascii="Times New Roman" w:hAnsi="Times New Roman"/>
        </w:rPr>
        <w:t>20</w:t>
      </w:r>
      <w:r>
        <w:rPr>
          <w:rFonts w:ascii="Times New Roman" w:hAnsi="Times New Roman"/>
        </w:rPr>
        <w:t>户居民点距离施工道路在50m以内</w:t>
      </w:r>
      <w:r>
        <w:rPr>
          <w:rFonts w:hint="eastAsia" w:ascii="Times New Roman" w:hAnsi="Times New Roman"/>
        </w:rPr>
        <w:t>，</w:t>
      </w:r>
      <w:r>
        <w:rPr>
          <w:rFonts w:ascii="Times New Roman" w:hAnsi="Times New Roman"/>
        </w:rPr>
        <w:t>为避免交通运输扬尘对道路沿线居民点的不利影响，需加强居民点路段的路面清扫、洒水降尘，运输粉状物料须采取密闭措施等。</w:t>
      </w:r>
    </w:p>
    <w:p>
      <w:pPr>
        <w:pStyle w:val="5"/>
        <w:ind w:firstLine="0" w:firstLineChars="0"/>
        <w:contextualSpacing/>
        <w:rPr>
          <w:rFonts w:ascii="Times New Roman" w:hAnsi="Times New Roman"/>
        </w:rPr>
      </w:pPr>
      <w:r>
        <w:rPr>
          <w:rFonts w:ascii="Times New Roman" w:hAnsi="Times New Roman"/>
        </w:rPr>
        <w:t>5.4.3施工爆破及燃油废气影响</w:t>
      </w:r>
    </w:p>
    <w:p>
      <w:pPr>
        <w:pStyle w:val="2"/>
        <w:spacing w:before="0"/>
        <w:ind w:left="0" w:firstLine="480"/>
        <w:contextualSpacing/>
        <w:rPr>
          <w:rFonts w:ascii="Times New Roman" w:hAnsi="Times New Roman"/>
        </w:rPr>
      </w:pPr>
      <w:r>
        <w:rPr>
          <w:rFonts w:ascii="Times New Roman" w:hAnsi="Times New Roman"/>
        </w:rPr>
        <w:t>施工燃油及爆破过程中将产生含NOx、CO、THC及SO</w:t>
      </w:r>
      <w:r>
        <w:rPr>
          <w:rFonts w:ascii="Times New Roman" w:hAnsi="Times New Roman"/>
          <w:vertAlign w:val="subscript"/>
        </w:rPr>
        <w:t>2</w:t>
      </w:r>
      <w:r>
        <w:rPr>
          <w:rFonts w:ascii="Times New Roman" w:hAnsi="Times New Roman"/>
        </w:rPr>
        <w:t>的有害尾气，这些污染源排放具有流动性、间歇性特点，但日排放量不大。</w:t>
      </w:r>
    </w:p>
    <w:p>
      <w:pPr>
        <w:pStyle w:val="2"/>
        <w:spacing w:before="0"/>
        <w:ind w:left="0" w:firstLine="480"/>
        <w:contextualSpacing/>
        <w:rPr>
          <w:rFonts w:ascii="Times New Roman" w:hAnsi="Times New Roman"/>
        </w:rPr>
      </w:pPr>
      <w:r>
        <w:rPr>
          <w:rFonts w:ascii="Times New Roman" w:hAnsi="Times New Roman"/>
        </w:rPr>
        <w:t>由于本工程工区范围较大，施工机械布置也较为分散，且全部机械并非同时使用，而是根据施工进度，分时段分区域的开展施工作业。施工区域周边大气扩散条件较好，有利于污染物的扩散。施工过程中，燃油废气均为近地表排放，排放强度较小，总体上燃油废气对大气环境的影响仅限于施工现场及临近区域，具有污染范围小、程度轻的特点。施工期使用符合环保标准机械设备，并加强对施工机械及车辆的维护保养，使之处于良好的工作状态，燃油废气对工程区空气环境质量总体影响不大。</w:t>
      </w:r>
    </w:p>
    <w:p>
      <w:pPr>
        <w:pStyle w:val="5"/>
        <w:ind w:firstLine="0" w:firstLineChars="0"/>
        <w:contextualSpacing/>
        <w:rPr>
          <w:rFonts w:ascii="Times New Roman" w:hAnsi="Times New Roman"/>
        </w:rPr>
      </w:pPr>
      <w:r>
        <w:rPr>
          <w:rFonts w:ascii="Times New Roman" w:hAnsi="Times New Roman"/>
        </w:rPr>
        <w:t>5.4.4对环境空气保护目标的影响</w:t>
      </w:r>
    </w:p>
    <w:p>
      <w:pPr>
        <w:pStyle w:val="2"/>
        <w:spacing w:before="0"/>
        <w:ind w:left="0" w:firstLine="480"/>
        <w:contextualSpacing/>
        <w:rPr>
          <w:rFonts w:ascii="Times New Roman" w:hAnsi="Times New Roman"/>
        </w:rPr>
      </w:pPr>
      <w:r>
        <w:rPr>
          <w:rFonts w:ascii="Times New Roman" w:hAnsi="Times New Roman"/>
        </w:rPr>
        <w:t>工程枢纽区附近分布有多处居民点。需加强居民点路段的路面清扫、洒水降尘，运输粉状物料须采取密闭措施等。</w:t>
      </w:r>
    </w:p>
    <w:p>
      <w:pPr>
        <w:ind w:firstLine="480"/>
        <w:contextualSpacing/>
      </w:pPr>
      <w:r>
        <w:t>综上分析，施工过程中产生的扬尘及交通运输产生的扬尘、尾气等对周围环境敏感点产生一定程度的影响，特别是对施工场界100m范围内影响较大，工程施工单位应加强施工过程管理，采取适当的洒水降尘、车辆限速限量、运输覆盖等措施，以减轻施工作业对大气环境的影响程度及范围，将施工期带来的扬尘影响降低到最小程度；对于车辆、施工机械运行排放的废气，因施工机械布置分散，且当地环境空气质量现状较好，空气扩散条件较好，有利于污染物质的扩散，在采用施工机械、车辆定期维护保养，保证其良好工作状态的前提下，对该区域大气环境影响较小且短暂，而且工程选线、选址基本避让了大的居民点，少数受工程占地直接影响的居民点均将征地搬迁，受影响对象主要为工程施工及管理人员。以上影响均只集中在施工期，随着施工结束影响也随之消失。</w:t>
      </w:r>
    </w:p>
    <w:p>
      <w:pPr>
        <w:pStyle w:val="4"/>
        <w:ind w:firstLine="0" w:firstLineChars="0"/>
        <w:contextualSpacing/>
      </w:pPr>
      <w:bookmarkStart w:id="768" w:name="_Toc130753438"/>
      <w:r>
        <w:t>5.5声环境影响预测评价</w:t>
      </w:r>
      <w:bookmarkEnd w:id="768"/>
    </w:p>
    <w:p>
      <w:pPr>
        <w:pStyle w:val="5"/>
        <w:ind w:firstLine="0" w:firstLineChars="0"/>
        <w:contextualSpacing/>
        <w:rPr>
          <w:rFonts w:ascii="Times New Roman" w:hAnsi="Times New Roman"/>
        </w:rPr>
      </w:pPr>
      <w:r>
        <w:rPr>
          <w:rFonts w:ascii="Times New Roman" w:hAnsi="Times New Roman"/>
        </w:rPr>
        <w:t>5.5.1施工区噪声</w:t>
      </w:r>
    </w:p>
    <w:p>
      <w:pPr>
        <w:ind w:firstLine="482"/>
        <w:contextualSpacing/>
        <w:jc w:val="left"/>
        <w:rPr>
          <w:b/>
          <w:bCs/>
        </w:rPr>
      </w:pPr>
      <w:r>
        <w:rPr>
          <w:b/>
          <w:bCs/>
        </w:rPr>
        <w:t>（1）固定噪声源预测模式</w:t>
      </w:r>
    </w:p>
    <w:p>
      <w:pPr>
        <w:ind w:firstLine="480"/>
        <w:contextualSpacing/>
        <w:jc w:val="left"/>
      </w:pPr>
      <w:r>
        <w:t>固定源噪声采用《环境影响评价技术导则声环境》（HJ2.4-2009）中推荐的无指向性点源户外声传播衰减模式，公式如下：</w:t>
      </w:r>
    </w:p>
    <w:p>
      <w:pPr>
        <w:ind w:firstLine="480"/>
        <w:contextualSpacing/>
        <w:jc w:val="center"/>
        <w:rPr>
          <w:kern w:val="0"/>
          <w:lang w:eastAsia="en-US"/>
        </w:rPr>
      </w:pPr>
      <w:r>
        <w:rPr>
          <w:kern w:val="0"/>
          <w:lang w:eastAsia="en-US"/>
        </w:rPr>
        <w:t>LA（r）=LAw-20lg（r）-ΔL</w:t>
      </w:r>
    </w:p>
    <w:p>
      <w:pPr>
        <w:ind w:firstLine="480"/>
        <w:contextualSpacing/>
        <w:jc w:val="left"/>
      </w:pPr>
      <w:r>
        <w:t>其中：</w:t>
      </w:r>
    </w:p>
    <w:p>
      <w:pPr>
        <w:ind w:firstLine="480"/>
        <w:contextualSpacing/>
        <w:jc w:val="left"/>
      </w:pPr>
      <w:r>
        <w:t>L</w:t>
      </w:r>
      <w:r>
        <w:rPr>
          <w:position w:val="-1"/>
        </w:rPr>
        <w:t>A（r）</w:t>
      </w:r>
      <w:r>
        <w:t>——距离声源r处的A声级，dB（A）；</w:t>
      </w:r>
    </w:p>
    <w:p>
      <w:pPr>
        <w:ind w:firstLine="480"/>
        <w:contextualSpacing/>
        <w:jc w:val="left"/>
      </w:pPr>
      <w:r>
        <w:t>L</w:t>
      </w:r>
      <w:r>
        <w:rPr>
          <w:position w:val="-1"/>
        </w:rPr>
        <w:t>Aw</w:t>
      </w:r>
      <w:r>
        <w:t>——声源的A声级，dB（A）；</w:t>
      </w:r>
    </w:p>
    <w:p>
      <w:pPr>
        <w:ind w:firstLine="480"/>
        <w:contextualSpacing/>
        <w:jc w:val="left"/>
      </w:pPr>
      <w:r>
        <w:t>r——测点与声源的距离，m；；</w:t>
      </w:r>
    </w:p>
    <w:p>
      <w:pPr>
        <w:ind w:firstLine="480"/>
        <w:contextualSpacing/>
        <w:jc w:val="left"/>
      </w:pPr>
      <w:r>
        <w:rPr>
          <w:lang w:eastAsia="en-US"/>
        </w:rPr>
        <w:t>Δ</w:t>
      </w:r>
      <w:r>
        <w:t>L——其它因素引起的噪声衰减量，此处取0dB。</w:t>
      </w:r>
    </w:p>
    <w:p>
      <w:pPr>
        <w:ind w:firstLine="482"/>
        <w:contextualSpacing/>
        <w:jc w:val="left"/>
        <w:rPr>
          <w:b/>
          <w:bCs/>
        </w:rPr>
      </w:pPr>
      <w:r>
        <w:rPr>
          <w:b/>
          <w:bCs/>
        </w:rPr>
        <w:t>（2）影响分析</w:t>
      </w:r>
    </w:p>
    <w:p>
      <w:pPr>
        <w:ind w:firstLine="480"/>
        <w:contextualSpacing/>
        <w:jc w:val="left"/>
        <w:rPr>
          <w:spacing w:val="3"/>
        </w:rPr>
      </w:pPr>
      <w:r>
        <w:t>场界噪声影响预测</w:t>
      </w:r>
      <w:r>
        <w:rPr>
          <w:spacing w:val="-6"/>
        </w:rPr>
        <w:t>施工区、弃渣场、料场开采等固定噪声源源强</w:t>
      </w:r>
      <w:r>
        <w:rPr>
          <w:spacing w:val="3"/>
        </w:rPr>
        <w:t>均选择实测值中最大值，预测最不利情况。噪声源影响范围预测结果见表5.5.2-1。</w:t>
      </w:r>
    </w:p>
    <w:p>
      <w:pPr>
        <w:ind w:firstLine="0" w:firstLineChars="0"/>
        <w:contextualSpacing/>
        <w:jc w:val="center"/>
        <w:rPr>
          <w:b/>
          <w:bCs/>
          <w:spacing w:val="3"/>
          <w:sz w:val="21"/>
          <w:szCs w:val="21"/>
        </w:rPr>
      </w:pPr>
      <w:r>
        <w:rPr>
          <w:b/>
          <w:bCs/>
          <w:spacing w:val="3"/>
          <w:sz w:val="21"/>
          <w:szCs w:val="21"/>
        </w:rPr>
        <w:t>表5.5.2-1  固定噪声源影响预测表</w:t>
      </w:r>
    </w:p>
    <w:tbl>
      <w:tblPr>
        <w:tblStyle w:val="38"/>
        <w:tblW w:w="8038" w:type="dxa"/>
        <w:tblInd w:w="159" w:type="dxa"/>
        <w:tblLayout w:type="fixed"/>
        <w:tblCellMar>
          <w:top w:w="0" w:type="dxa"/>
          <w:left w:w="0" w:type="dxa"/>
          <w:bottom w:w="0" w:type="dxa"/>
          <w:right w:w="0" w:type="dxa"/>
        </w:tblCellMar>
      </w:tblPr>
      <w:tblGrid>
        <w:gridCol w:w="1426"/>
        <w:gridCol w:w="575"/>
        <w:gridCol w:w="670"/>
        <w:gridCol w:w="671"/>
        <w:gridCol w:w="670"/>
        <w:gridCol w:w="670"/>
        <w:gridCol w:w="670"/>
        <w:gridCol w:w="670"/>
        <w:gridCol w:w="670"/>
        <w:gridCol w:w="670"/>
        <w:gridCol w:w="676"/>
      </w:tblGrid>
      <w:tr>
        <w:tblPrEx>
          <w:tblCellMar>
            <w:top w:w="0" w:type="dxa"/>
            <w:left w:w="0" w:type="dxa"/>
            <w:bottom w:w="0" w:type="dxa"/>
            <w:right w:w="0" w:type="dxa"/>
          </w:tblCellMar>
        </w:tblPrEx>
        <w:trPr>
          <w:trHeight w:val="325" w:hRule="exact"/>
        </w:trPr>
        <w:tc>
          <w:tcPr>
            <w:tcW w:w="1426" w:type="dxa"/>
            <w:vMerge w:val="restart"/>
            <w:tcBorders>
              <w:top w:val="single" w:color="000000" w:sz="6" w:space="0"/>
              <w:left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声源</w:t>
            </w:r>
          </w:p>
        </w:tc>
        <w:tc>
          <w:tcPr>
            <w:tcW w:w="575" w:type="dxa"/>
            <w:tcBorders>
              <w:top w:val="single" w:color="000000" w:sz="6"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源强</w:t>
            </w:r>
          </w:p>
        </w:tc>
        <w:tc>
          <w:tcPr>
            <w:tcW w:w="6037" w:type="dxa"/>
            <w:gridSpan w:val="9"/>
            <w:tcBorders>
              <w:top w:val="single" w:color="000000" w:sz="6"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rPr>
            </w:pPr>
            <w:r>
              <w:rPr>
                <w:sz w:val="21"/>
                <w:szCs w:val="21"/>
              </w:rPr>
              <w:t>离声源不同距离的噪声预测值dB（A）</w:t>
            </w:r>
          </w:p>
        </w:tc>
      </w:tr>
      <w:tr>
        <w:tblPrEx>
          <w:tblCellMar>
            <w:top w:w="0" w:type="dxa"/>
            <w:left w:w="0" w:type="dxa"/>
            <w:bottom w:w="0" w:type="dxa"/>
            <w:right w:w="0" w:type="dxa"/>
          </w:tblCellMar>
        </w:tblPrEx>
        <w:trPr>
          <w:trHeight w:val="321" w:hRule="exact"/>
        </w:trPr>
        <w:tc>
          <w:tcPr>
            <w:tcW w:w="1426" w:type="dxa"/>
            <w:vMerge w:val="continue"/>
            <w:tcBorders>
              <w:left w:val="single" w:color="000000" w:sz="6" w:space="0"/>
              <w:bottom w:val="single" w:color="000000" w:sz="2" w:space="0"/>
              <w:right w:val="single" w:color="000000" w:sz="2" w:space="0"/>
            </w:tcBorders>
            <w:vAlign w:val="center"/>
          </w:tcPr>
          <w:p>
            <w:pPr>
              <w:spacing w:line="240" w:lineRule="auto"/>
              <w:ind w:firstLine="0" w:firstLineChars="0"/>
              <w:contextualSpacing/>
              <w:jc w:val="center"/>
              <w:rPr>
                <w:kern w:val="0"/>
                <w:sz w:val="21"/>
                <w:szCs w:val="21"/>
              </w:rPr>
            </w:pPr>
          </w:p>
        </w:tc>
        <w:tc>
          <w:tcPr>
            <w:tcW w:w="575"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（dB）</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10m</w:t>
            </w: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20m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30m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pacing w:val="-1"/>
                <w:sz w:val="21"/>
                <w:szCs w:val="21"/>
                <w:lang w:eastAsia="en-US"/>
              </w:rPr>
              <w:t>50m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70m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90m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100m</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150m</w:t>
            </w:r>
          </w:p>
        </w:tc>
        <w:tc>
          <w:tcPr>
            <w:tcW w:w="676" w:type="dxa"/>
            <w:tcBorders>
              <w:top w:val="single" w:color="000000" w:sz="2"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200m</w:t>
            </w:r>
          </w:p>
        </w:tc>
      </w:tr>
      <w:tr>
        <w:tblPrEx>
          <w:tblCellMar>
            <w:top w:w="0" w:type="dxa"/>
            <w:left w:w="0" w:type="dxa"/>
            <w:bottom w:w="0" w:type="dxa"/>
            <w:right w:w="0" w:type="dxa"/>
          </w:tblCellMar>
        </w:tblPrEx>
        <w:trPr>
          <w:trHeight w:val="320" w:hRule="exact"/>
        </w:trPr>
        <w:tc>
          <w:tcPr>
            <w:tcW w:w="1426" w:type="dxa"/>
            <w:tcBorders>
              <w:top w:val="single" w:color="000000" w:sz="2" w:space="0"/>
              <w:left w:val="single" w:color="000000" w:sz="6"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典型施工区</w:t>
            </w:r>
          </w:p>
        </w:tc>
        <w:tc>
          <w:tcPr>
            <w:tcW w:w="575"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85</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65.0</w:t>
            </w: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59.0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55.5</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51.0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48.1</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45.9</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45.0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41.5</w:t>
            </w:r>
          </w:p>
        </w:tc>
        <w:tc>
          <w:tcPr>
            <w:tcW w:w="676" w:type="dxa"/>
            <w:tcBorders>
              <w:top w:val="single" w:color="000000" w:sz="2"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39.0</w:t>
            </w:r>
          </w:p>
        </w:tc>
      </w:tr>
      <w:tr>
        <w:tblPrEx>
          <w:tblCellMar>
            <w:top w:w="0" w:type="dxa"/>
            <w:left w:w="0" w:type="dxa"/>
            <w:bottom w:w="0" w:type="dxa"/>
            <w:right w:w="0" w:type="dxa"/>
          </w:tblCellMar>
        </w:tblPrEx>
        <w:trPr>
          <w:trHeight w:val="321" w:hRule="exact"/>
        </w:trPr>
        <w:tc>
          <w:tcPr>
            <w:tcW w:w="1426" w:type="dxa"/>
            <w:tcBorders>
              <w:top w:val="single" w:color="000000" w:sz="2" w:space="0"/>
              <w:left w:val="single" w:color="000000" w:sz="6"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弃渣场</w:t>
            </w:r>
          </w:p>
        </w:tc>
        <w:tc>
          <w:tcPr>
            <w:tcW w:w="575"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89</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69.0</w:t>
            </w: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63.0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59.5</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55.0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52.1</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49.9</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49.0</w:t>
            </w:r>
          </w:p>
        </w:tc>
        <w:tc>
          <w:tcPr>
            <w:tcW w:w="670" w:type="dxa"/>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45.5</w:t>
            </w:r>
          </w:p>
        </w:tc>
        <w:tc>
          <w:tcPr>
            <w:tcW w:w="676" w:type="dxa"/>
            <w:tcBorders>
              <w:top w:val="single" w:color="000000" w:sz="2"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43.0</w:t>
            </w:r>
          </w:p>
        </w:tc>
      </w:tr>
      <w:tr>
        <w:tblPrEx>
          <w:tblCellMar>
            <w:top w:w="0" w:type="dxa"/>
            <w:left w:w="0" w:type="dxa"/>
            <w:bottom w:w="0" w:type="dxa"/>
            <w:right w:w="0" w:type="dxa"/>
          </w:tblCellMar>
        </w:tblPrEx>
        <w:trPr>
          <w:trHeight w:val="337" w:hRule="exact"/>
        </w:trPr>
        <w:tc>
          <w:tcPr>
            <w:tcW w:w="1426" w:type="dxa"/>
            <w:tcBorders>
              <w:top w:val="single" w:color="000000" w:sz="2" w:space="0"/>
              <w:left w:val="single" w:color="000000" w:sz="6"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料场开采</w:t>
            </w:r>
          </w:p>
        </w:tc>
        <w:tc>
          <w:tcPr>
            <w:tcW w:w="575"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95</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75.0</w:t>
            </w:r>
          </w:p>
        </w:tc>
        <w:tc>
          <w:tcPr>
            <w:tcW w:w="671"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69.0</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65.5</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61.0</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58.1</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55.9</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55.0</w:t>
            </w:r>
          </w:p>
        </w:tc>
        <w:tc>
          <w:tcPr>
            <w:tcW w:w="670" w:type="dxa"/>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51.5</w:t>
            </w:r>
          </w:p>
        </w:tc>
        <w:tc>
          <w:tcPr>
            <w:tcW w:w="676" w:type="dxa"/>
            <w:tcBorders>
              <w:top w:val="single" w:color="000000" w:sz="2" w:space="0"/>
              <w:left w:val="single" w:color="000000" w:sz="2" w:space="0"/>
              <w:bottom w:val="single" w:color="000000" w:sz="6"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49.0</w:t>
            </w:r>
          </w:p>
        </w:tc>
      </w:tr>
    </w:tbl>
    <w:p>
      <w:pPr>
        <w:pStyle w:val="123"/>
        <w:spacing w:line="160" w:lineRule="exact"/>
        <w:ind w:firstLine="480"/>
        <w:contextualSpacing/>
      </w:pPr>
    </w:p>
    <w:p>
      <w:pPr>
        <w:ind w:firstLine="480"/>
        <w:contextualSpacing/>
      </w:pPr>
      <w:r>
        <w:t>根据以上几种固定噪声源的预测结果，料场开采源强最大，厂界达标距离亦最远。通过计算，料场开采作业点17m处噪声预测值为70dB（A），满足《建筑施工场界环境噪声排放标准》（GB12523-2011）昼间限值；距离料场开采作业点100m处噪声预测值为55dB（A），满足《建筑施工场界环境噪声排放标准》（GB12523-2011）夜间限值。</w:t>
      </w:r>
    </w:p>
    <w:p>
      <w:pPr>
        <w:pStyle w:val="5"/>
        <w:ind w:firstLine="0" w:firstLineChars="0"/>
        <w:contextualSpacing/>
        <w:rPr>
          <w:rFonts w:ascii="Times New Roman" w:hAnsi="Times New Roman"/>
        </w:rPr>
      </w:pPr>
      <w:r>
        <w:rPr>
          <w:rFonts w:ascii="Times New Roman" w:hAnsi="Times New Roman"/>
        </w:rPr>
        <w:t>5.5.2爆破噪声影响预测</w:t>
      </w:r>
    </w:p>
    <w:p>
      <w:pPr>
        <w:pStyle w:val="2"/>
        <w:spacing w:before="0"/>
        <w:ind w:left="0" w:firstLine="480"/>
        <w:contextualSpacing/>
        <w:rPr>
          <w:rFonts w:ascii="Times New Roman" w:hAnsi="Times New Roman"/>
        </w:rPr>
      </w:pPr>
      <w:r>
        <w:rPr>
          <w:rFonts w:ascii="Times New Roman" w:hAnsi="Times New Roman"/>
        </w:rPr>
        <w:t>炸药爆破时会产生粉尘、CO等污染物，污染源主要集中在石料场取料、坝基开挖、导流洞爆破施工等，噪声强度可达125～132dB（A），目前还没有针对爆破噪声影响预测的模式，参考其他工程坝址区爆破炸药使用量、离爆破点同一方向不同距离的噪声实地监测成果，具体监测成果见表5.5.3。</w:t>
      </w:r>
    </w:p>
    <w:p>
      <w:pPr>
        <w:ind w:firstLine="0" w:firstLineChars="0"/>
        <w:contextualSpacing/>
        <w:jc w:val="center"/>
        <w:rPr>
          <w:b/>
          <w:bCs/>
          <w:spacing w:val="3"/>
          <w:sz w:val="21"/>
          <w:szCs w:val="21"/>
        </w:rPr>
      </w:pPr>
      <w:r>
        <w:rPr>
          <w:b/>
          <w:bCs/>
          <w:spacing w:val="3"/>
          <w:sz w:val="21"/>
          <w:szCs w:val="21"/>
        </w:rPr>
        <w:t>表5.5.3 工程爆破噪声监测成果表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单响药量（kg）</w:t>
            </w:r>
          </w:p>
        </w:tc>
        <w:tc>
          <w:tcPr>
            <w:tcW w:w="6818" w:type="dxa"/>
            <w:gridSpan w:val="4"/>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测定结果LmaxdB（A）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pStyle w:val="2"/>
              <w:spacing w:before="0" w:line="360" w:lineRule="exact"/>
              <w:ind w:left="0" w:firstLine="0" w:firstLineChars="0"/>
              <w:contextualSpacing/>
              <w:jc w:val="center"/>
              <w:rPr>
                <w:rFonts w:ascii="Times New Roman" w:hAnsi="Times New Roman"/>
                <w:sz w:val="21"/>
                <w:szCs w:val="21"/>
              </w:rPr>
            </w:pP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40m</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70m</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120m</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30</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95.8</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90.5</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97.6</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60</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92.0</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84.6</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88.0</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5</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88.8</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90.4</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10</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105.9</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90.8</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110.8</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15</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107.0</w:t>
            </w:r>
          </w:p>
        </w:tc>
        <w:tc>
          <w:tcPr>
            <w:tcW w:w="1704"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106.9</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w:t>
            </w:r>
          </w:p>
        </w:tc>
        <w:tc>
          <w:tcPr>
            <w:tcW w:w="1705" w:type="dxa"/>
            <w:vAlign w:val="center"/>
          </w:tcPr>
          <w:p>
            <w:pPr>
              <w:pStyle w:val="2"/>
              <w:spacing w:before="0" w:line="360" w:lineRule="exact"/>
              <w:ind w:left="0" w:firstLine="0" w:firstLineChars="0"/>
              <w:contextualSpacing/>
              <w:jc w:val="center"/>
              <w:rPr>
                <w:rFonts w:ascii="Times New Roman" w:hAnsi="Times New Roman"/>
                <w:sz w:val="21"/>
                <w:szCs w:val="21"/>
              </w:rPr>
            </w:pPr>
            <w:r>
              <w:rPr>
                <w:rFonts w:ascii="Times New Roman" w:hAnsi="Times New Roman"/>
                <w:sz w:val="21"/>
                <w:szCs w:val="21"/>
              </w:rPr>
              <w:t>72.8</w:t>
            </w:r>
          </w:p>
        </w:tc>
      </w:tr>
    </w:tbl>
    <w:p>
      <w:pPr>
        <w:pStyle w:val="2"/>
        <w:spacing w:before="0"/>
        <w:ind w:left="0" w:firstLine="0" w:firstLineChars="0"/>
        <w:contextualSpacing/>
        <w:rPr>
          <w:rFonts w:ascii="Times New Roman" w:hAnsi="Times New Roman"/>
        </w:rPr>
      </w:pPr>
      <w:r>
        <w:rPr>
          <w:rFonts w:ascii="Times New Roman" w:hAnsi="Times New Roman"/>
        </w:rPr>
        <w:drawing>
          <wp:inline distT="0" distB="0" distL="0" distR="0">
            <wp:extent cx="5267325" cy="2704465"/>
            <wp:effectExtent l="0" t="0" r="0" b="0"/>
            <wp:docPr id="1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5267325" cy="2704465"/>
                    </a:xfrm>
                    <a:prstGeom prst="rect">
                      <a:avLst/>
                    </a:prstGeom>
                    <a:noFill/>
                    <a:ln>
                      <a:noFill/>
                    </a:ln>
                  </pic:spPr>
                </pic:pic>
              </a:graphicData>
            </a:graphic>
          </wp:inline>
        </w:drawing>
      </w:r>
    </w:p>
    <w:p>
      <w:pPr>
        <w:pStyle w:val="2"/>
        <w:spacing w:before="0"/>
        <w:ind w:left="0" w:firstLine="422"/>
        <w:contextualSpacing/>
        <w:jc w:val="center"/>
        <w:rPr>
          <w:rFonts w:ascii="Times New Roman" w:hAnsi="Times New Roman"/>
          <w:b/>
          <w:sz w:val="21"/>
          <w:szCs w:val="21"/>
        </w:rPr>
      </w:pPr>
      <w:r>
        <w:rPr>
          <w:rFonts w:ascii="Times New Roman" w:hAnsi="Times New Roman"/>
          <w:b/>
          <w:sz w:val="21"/>
          <w:szCs w:val="21"/>
        </w:rPr>
        <w:t>图5.5.3  爆破噪声测定值与测定距离的关系</w:t>
      </w:r>
    </w:p>
    <w:p>
      <w:pPr>
        <w:pStyle w:val="2"/>
        <w:spacing w:before="0"/>
        <w:ind w:left="0" w:firstLine="480"/>
        <w:contextualSpacing/>
        <w:rPr>
          <w:rFonts w:ascii="Times New Roman" w:hAnsi="Times New Roman"/>
        </w:rPr>
      </w:pPr>
      <w:r>
        <w:rPr>
          <w:rFonts w:ascii="Times New Roman" w:hAnsi="Times New Roman"/>
        </w:rPr>
        <w:t>对表5.5.3中的数据进行分析，以测定距离为X坐标，测定结果为Y坐标，分别对单响炸药量10kg、30kg和60kg作图（图5. 5.3对曲线进行拟合发现，不同单响炸药量条件下，测定结果随测定距离变化趋势相似，曲线与多项式拟合较好，R2=0.95。本工程单响炸药量按30kg计，经计算，爆破噪声昼间达标距离约为470m。距离本工程爆破点（主要是大坝施工区）470m范围内分布有</w:t>
      </w:r>
      <w:r>
        <w:rPr>
          <w:rFonts w:hint="eastAsia" w:ascii="Times New Roman" w:hAnsi="Times New Roman"/>
        </w:rPr>
        <w:t>蔡家河右岸1#生产生活区西侧居民点</w:t>
      </w:r>
      <w:r>
        <w:rPr>
          <w:rFonts w:ascii="Times New Roman" w:hAnsi="Times New Roman"/>
        </w:rPr>
        <w:t>、</w:t>
      </w:r>
      <w:r>
        <w:rPr>
          <w:rFonts w:hint="eastAsia" w:ascii="Times New Roman" w:hAnsi="Times New Roman"/>
        </w:rPr>
        <w:t>蔡家河左岸隧洞施工区居民点</w:t>
      </w:r>
      <w:r>
        <w:rPr>
          <w:rFonts w:ascii="Times New Roman" w:hAnsi="Times New Roman"/>
        </w:rPr>
        <w:t>等2处居民点，爆破期间将受到一定影响。但爆破噪声为瞬时噪声，通过合理安排爆破时间，爆破前鸣警报，采取微差爆破等减少炸药用量等措施，可以减轻降低爆破施工对周围声环境的影响。</w:t>
      </w:r>
    </w:p>
    <w:p>
      <w:pPr>
        <w:pStyle w:val="5"/>
        <w:ind w:firstLine="0" w:firstLineChars="0"/>
        <w:contextualSpacing/>
        <w:rPr>
          <w:rFonts w:ascii="Times New Roman" w:hAnsi="Times New Roman"/>
        </w:rPr>
      </w:pPr>
      <w:r>
        <w:rPr>
          <w:rFonts w:ascii="Times New Roman" w:hAnsi="Times New Roman"/>
        </w:rPr>
        <w:t>5.5.3场内道路交通噪声影响预测</w:t>
      </w:r>
    </w:p>
    <w:p>
      <w:pPr>
        <w:ind w:firstLine="480"/>
        <w:contextualSpacing/>
        <w:jc w:val="left"/>
      </w:pPr>
      <w:r>
        <w:t>根据枢纽工程布置及坝址区地形地质条件，库区外主要布设4#道路。</w:t>
      </w:r>
    </w:p>
    <w:p>
      <w:pPr>
        <w:ind w:firstLine="480"/>
        <w:contextualSpacing/>
        <w:jc w:val="left"/>
      </w:pPr>
      <w:r>
        <w:t>（1）预测公式</w:t>
      </w:r>
    </w:p>
    <w:p>
      <w:pPr>
        <w:ind w:firstLine="480"/>
        <w:contextualSpacing/>
        <w:jc w:val="left"/>
      </w:pPr>
      <w:r>
        <w:t>线声源噪声采用《环境影响评价技术导则声环境》（HJ2.4-2009）中推荐的公路（道路）交通运输噪声预测模式，公式如下：</w:t>
      </w:r>
    </w:p>
    <w:p>
      <w:pPr>
        <w:ind w:firstLine="480"/>
        <w:contextualSpacing/>
        <w:jc w:val="left"/>
        <w:rPr>
          <w:lang w:eastAsia="en-US"/>
        </w:rPr>
      </w:pPr>
      <w:r>
        <w:drawing>
          <wp:inline distT="0" distB="0" distL="0" distR="0">
            <wp:extent cx="4183380" cy="375285"/>
            <wp:effectExtent l="0" t="0" r="0" b="0"/>
            <wp:docPr id="1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4183380" cy="375285"/>
                    </a:xfrm>
                    <a:prstGeom prst="rect">
                      <a:avLst/>
                    </a:prstGeom>
                    <a:noFill/>
                    <a:ln>
                      <a:noFill/>
                    </a:ln>
                  </pic:spPr>
                </pic:pic>
              </a:graphicData>
            </a:graphic>
          </wp:inline>
        </w:drawing>
      </w:r>
    </w:p>
    <w:p>
      <w:pPr>
        <w:ind w:firstLine="480"/>
        <w:contextualSpacing/>
        <w:jc w:val="left"/>
      </w:pPr>
      <w:r>
        <w:t>式中：</w:t>
      </w:r>
    </w:p>
    <w:p>
      <w:pPr>
        <w:ind w:firstLine="480"/>
        <w:contextualSpacing/>
        <w:jc w:val="left"/>
      </w:pPr>
      <w:r>
        <w:t>Leq（h）i——第i类车的小时等效声级，dB（A）；</w:t>
      </w:r>
    </w:p>
    <w:p>
      <w:pPr>
        <w:ind w:firstLine="480"/>
        <w:contextualSpacing/>
        <w:jc w:val="left"/>
      </w:pPr>
      <w:r>
        <w:t>（L0E）i——第i类车速度为Vi，km/h，水平距离为7.5m处的能量平均A</w:t>
      </w:r>
    </w:p>
    <w:p>
      <w:pPr>
        <w:ind w:firstLine="480"/>
        <w:contextualSpacing/>
        <w:jc w:val="left"/>
      </w:pPr>
      <w:r>
        <w:t>声级，dB（A）；（L0E）i=38.5+24.6lgVi；</w:t>
      </w:r>
    </w:p>
    <w:p>
      <w:pPr>
        <w:ind w:firstLine="480"/>
        <w:contextualSpacing/>
        <w:jc w:val="left"/>
      </w:pPr>
      <w:r>
        <w:t>Ni——昼间，夜间通过某个预测点的第i类车平均小时车流量，辆/h；</w:t>
      </w:r>
    </w:p>
    <w:p>
      <w:pPr>
        <w:ind w:firstLine="480"/>
        <w:contextualSpacing/>
        <w:jc w:val="left"/>
      </w:pPr>
      <w:r>
        <w:t>r——从车道中心线到预测点的距离，m，（A12）适用于r＞7.5m预测点的噪声预测；</w:t>
      </w:r>
    </w:p>
    <w:p>
      <w:pPr>
        <w:ind w:firstLine="480"/>
        <w:contextualSpacing/>
        <w:jc w:val="left"/>
      </w:pPr>
      <w:r>
        <w:t>Vi——第i类车的平均车速，km/h；</w:t>
      </w:r>
    </w:p>
    <w:p>
      <w:pPr>
        <w:ind w:firstLine="480"/>
        <w:contextualSpacing/>
        <w:jc w:val="left"/>
      </w:pPr>
      <w:r>
        <w:t>T——计算等效声级的时间，1h；</w:t>
      </w:r>
    </w:p>
    <w:p>
      <w:pPr>
        <w:ind w:firstLine="480"/>
        <w:contextualSpacing/>
        <w:jc w:val="left"/>
      </w:pPr>
      <w:r>
        <w:rPr>
          <w:lang w:eastAsia="en-US"/>
        </w:rPr>
        <w:t>ψ</w:t>
      </w:r>
      <w:r>
        <w:t>1、</w:t>
      </w:r>
      <w:r>
        <w:rPr>
          <w:lang w:eastAsia="en-US"/>
        </w:rPr>
        <w:t>ψ</w:t>
      </w:r>
      <w:r>
        <w:t>2——预测点到有限长路段两端的张角，弧度。此处取</w:t>
      </w:r>
      <w:r>
        <w:rPr>
          <w:lang w:eastAsia="en-US"/>
        </w:rPr>
        <w:t>ψ</w:t>
      </w:r>
      <w:r>
        <w:t>1=</w:t>
      </w:r>
      <w:r>
        <w:rPr>
          <w:lang w:eastAsia="en-US"/>
        </w:rPr>
        <w:t>ψ</w:t>
      </w:r>
      <w:r>
        <w:t>2=</w:t>
      </w:r>
      <w:r>
        <w:rPr>
          <w:lang w:eastAsia="en-US"/>
        </w:rPr>
        <w:t>π</w:t>
      </w:r>
      <w:r>
        <w:t>/2。</w:t>
      </w:r>
    </w:p>
    <w:p>
      <w:pPr>
        <w:ind w:firstLine="480"/>
        <w:contextualSpacing/>
        <w:jc w:val="left"/>
      </w:pPr>
      <w:r>
        <w:rPr>
          <w:rFonts w:ascii="Cambria Math" w:hAnsi="Cambria Math" w:cs="Cambria Math"/>
        </w:rPr>
        <w:t>△</w:t>
      </w:r>
      <w:r>
        <w:t>L此处取0。</w:t>
      </w:r>
    </w:p>
    <w:p>
      <w:pPr>
        <w:ind w:firstLine="480"/>
        <w:contextualSpacing/>
        <w:jc w:val="left"/>
      </w:pPr>
      <w:r>
        <w:t>（2）场内道路两侧交通噪声影响预测</w:t>
      </w:r>
    </w:p>
    <w:p>
      <w:pPr>
        <w:ind w:firstLine="480"/>
        <w:contextualSpacing/>
      </w:pPr>
      <w:r>
        <w:t>根据施工组织设计，本工程4#均按场内三级公路设计，路面宽6.5m，泥结石路面。考虑到工程交通噪声主要来自装载车等大型车，预测按大型车。各条施工道路均按照最高时段车流量进行预测，影响范围预测详见表5.5.4-1。</w:t>
      </w:r>
    </w:p>
    <w:p>
      <w:pPr>
        <w:ind w:firstLine="0" w:firstLineChars="0"/>
        <w:contextualSpacing/>
        <w:jc w:val="center"/>
        <w:rPr>
          <w:b/>
          <w:bCs/>
          <w:spacing w:val="3"/>
          <w:sz w:val="21"/>
          <w:szCs w:val="21"/>
        </w:rPr>
      </w:pPr>
      <w:r>
        <w:rPr>
          <w:b/>
          <w:bCs/>
          <w:spacing w:val="3"/>
          <w:sz w:val="21"/>
          <w:szCs w:val="21"/>
        </w:rPr>
        <w:t>表5.5.4-1  道路高峰时段噪声预测值</w:t>
      </w:r>
    </w:p>
    <w:tbl>
      <w:tblPr>
        <w:tblStyle w:val="38"/>
        <w:tblW w:w="4998" w:type="pct"/>
        <w:jc w:val="center"/>
        <w:tblLayout w:type="autofit"/>
        <w:tblCellMar>
          <w:top w:w="0" w:type="dxa"/>
          <w:left w:w="0" w:type="dxa"/>
          <w:bottom w:w="0" w:type="dxa"/>
          <w:right w:w="0" w:type="dxa"/>
        </w:tblCellMar>
      </w:tblPr>
      <w:tblGrid>
        <w:gridCol w:w="977"/>
        <w:gridCol w:w="834"/>
        <w:gridCol w:w="912"/>
        <w:gridCol w:w="910"/>
        <w:gridCol w:w="912"/>
        <w:gridCol w:w="1042"/>
        <w:gridCol w:w="910"/>
        <w:gridCol w:w="910"/>
        <w:gridCol w:w="912"/>
      </w:tblGrid>
      <w:tr>
        <w:tblPrEx>
          <w:tblCellMar>
            <w:top w:w="0" w:type="dxa"/>
            <w:left w:w="0" w:type="dxa"/>
            <w:bottom w:w="0" w:type="dxa"/>
            <w:right w:w="0" w:type="dxa"/>
          </w:tblCellMar>
        </w:tblPrEx>
        <w:trPr>
          <w:trHeight w:val="379" w:hRule="exact"/>
          <w:jc w:val="center"/>
        </w:trPr>
        <w:tc>
          <w:tcPr>
            <w:tcW w:w="587" w:type="pct"/>
            <w:vMerge w:val="restart"/>
            <w:tcBorders>
              <w:top w:val="single" w:color="000000" w:sz="6" w:space="0"/>
              <w:left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声源</w:t>
            </w:r>
          </w:p>
        </w:tc>
        <w:tc>
          <w:tcPr>
            <w:tcW w:w="501" w:type="pct"/>
            <w:vMerge w:val="restart"/>
            <w:tcBorders>
              <w:top w:val="single" w:color="000000" w:sz="6" w:space="0"/>
              <w:left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时段</w:t>
            </w:r>
          </w:p>
        </w:tc>
        <w:tc>
          <w:tcPr>
            <w:tcW w:w="3911" w:type="pct"/>
            <w:gridSpan w:val="7"/>
            <w:tcBorders>
              <w:top w:val="single" w:color="000000" w:sz="6"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rPr>
            </w:pPr>
            <w:r>
              <w:rPr>
                <w:sz w:val="21"/>
                <w:szCs w:val="21"/>
              </w:rPr>
              <w:t>交通噪声衰减预测结果dB（A）</w:t>
            </w:r>
          </w:p>
        </w:tc>
      </w:tr>
      <w:tr>
        <w:tblPrEx>
          <w:tblCellMar>
            <w:top w:w="0" w:type="dxa"/>
            <w:left w:w="0" w:type="dxa"/>
            <w:bottom w:w="0" w:type="dxa"/>
            <w:right w:w="0" w:type="dxa"/>
          </w:tblCellMar>
        </w:tblPrEx>
        <w:trPr>
          <w:trHeight w:val="374" w:hRule="exact"/>
          <w:jc w:val="center"/>
        </w:trPr>
        <w:tc>
          <w:tcPr>
            <w:tcW w:w="587" w:type="pct"/>
            <w:vMerge w:val="continue"/>
            <w:tcBorders>
              <w:left w:val="single" w:color="000000" w:sz="6" w:space="0"/>
              <w:bottom w:val="single" w:color="000000" w:sz="2" w:space="0"/>
              <w:right w:val="single" w:color="000000" w:sz="2" w:space="0"/>
            </w:tcBorders>
            <w:vAlign w:val="center"/>
          </w:tcPr>
          <w:p>
            <w:pPr>
              <w:spacing w:line="240" w:lineRule="auto"/>
              <w:ind w:firstLine="0" w:firstLineChars="0"/>
              <w:contextualSpacing/>
              <w:jc w:val="center"/>
              <w:rPr>
                <w:kern w:val="0"/>
                <w:sz w:val="21"/>
                <w:szCs w:val="21"/>
              </w:rPr>
            </w:pPr>
          </w:p>
        </w:tc>
        <w:tc>
          <w:tcPr>
            <w:tcW w:w="501" w:type="pct"/>
            <w:vMerge w:val="continue"/>
            <w:tcBorders>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kern w:val="0"/>
                <w:sz w:val="21"/>
                <w:szCs w:val="21"/>
              </w:rPr>
            </w:pPr>
          </w:p>
        </w:tc>
        <w:tc>
          <w:tcPr>
            <w:tcW w:w="548"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5m</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10m</w:t>
            </w:r>
          </w:p>
        </w:tc>
        <w:tc>
          <w:tcPr>
            <w:tcW w:w="548"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20m</w:t>
            </w:r>
          </w:p>
        </w:tc>
        <w:tc>
          <w:tcPr>
            <w:tcW w:w="6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50m</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100m</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200m</w:t>
            </w:r>
          </w:p>
        </w:tc>
        <w:tc>
          <w:tcPr>
            <w:tcW w:w="544" w:type="pct"/>
            <w:tcBorders>
              <w:top w:val="single" w:color="000000" w:sz="2"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300m</w:t>
            </w:r>
          </w:p>
        </w:tc>
      </w:tr>
      <w:tr>
        <w:tblPrEx>
          <w:tblCellMar>
            <w:top w:w="0" w:type="dxa"/>
            <w:left w:w="0" w:type="dxa"/>
            <w:bottom w:w="0" w:type="dxa"/>
            <w:right w:w="0" w:type="dxa"/>
          </w:tblCellMar>
        </w:tblPrEx>
        <w:trPr>
          <w:trHeight w:val="373" w:hRule="exact"/>
          <w:jc w:val="center"/>
        </w:trPr>
        <w:tc>
          <w:tcPr>
            <w:tcW w:w="587" w:type="pct"/>
            <w:vMerge w:val="restart"/>
            <w:tcBorders>
              <w:top w:val="single" w:color="000000" w:sz="2" w:space="0"/>
              <w:left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场内道路</w:t>
            </w:r>
          </w:p>
        </w:tc>
        <w:tc>
          <w:tcPr>
            <w:tcW w:w="501"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昼间</w:t>
            </w:r>
          </w:p>
        </w:tc>
        <w:tc>
          <w:tcPr>
            <w:tcW w:w="548"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65.93</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62.92</w:t>
            </w:r>
          </w:p>
        </w:tc>
        <w:tc>
          <w:tcPr>
            <w:tcW w:w="548"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59.91</w:t>
            </w:r>
          </w:p>
        </w:tc>
        <w:tc>
          <w:tcPr>
            <w:tcW w:w="6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55.93</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52.92</w:t>
            </w:r>
          </w:p>
        </w:tc>
        <w:tc>
          <w:tcPr>
            <w:tcW w:w="547"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49.91</w:t>
            </w:r>
          </w:p>
        </w:tc>
        <w:tc>
          <w:tcPr>
            <w:tcW w:w="544" w:type="pct"/>
            <w:tcBorders>
              <w:top w:val="single" w:color="000000" w:sz="2" w:space="0"/>
              <w:left w:val="single" w:color="000000" w:sz="2" w:space="0"/>
              <w:bottom w:val="single" w:color="000000" w:sz="2"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48.15</w:t>
            </w:r>
          </w:p>
        </w:tc>
      </w:tr>
      <w:tr>
        <w:tblPrEx>
          <w:tblCellMar>
            <w:top w:w="0" w:type="dxa"/>
            <w:left w:w="0" w:type="dxa"/>
            <w:bottom w:w="0" w:type="dxa"/>
            <w:right w:w="0" w:type="dxa"/>
          </w:tblCellMar>
        </w:tblPrEx>
        <w:trPr>
          <w:trHeight w:val="378" w:hRule="exact"/>
          <w:jc w:val="center"/>
        </w:trPr>
        <w:tc>
          <w:tcPr>
            <w:tcW w:w="587" w:type="pct"/>
            <w:vMerge w:val="continue"/>
            <w:tcBorders>
              <w:left w:val="single" w:color="000000" w:sz="6" w:space="0"/>
              <w:bottom w:val="single" w:color="000000" w:sz="6" w:space="0"/>
              <w:right w:val="single" w:color="000000" w:sz="2" w:space="0"/>
            </w:tcBorders>
            <w:vAlign w:val="center"/>
          </w:tcPr>
          <w:p>
            <w:pPr>
              <w:spacing w:line="240" w:lineRule="auto"/>
              <w:ind w:firstLine="0" w:firstLineChars="0"/>
              <w:contextualSpacing/>
              <w:jc w:val="center"/>
              <w:rPr>
                <w:kern w:val="0"/>
                <w:sz w:val="21"/>
                <w:szCs w:val="21"/>
                <w:lang w:eastAsia="en-US"/>
              </w:rPr>
            </w:pPr>
          </w:p>
        </w:tc>
        <w:tc>
          <w:tcPr>
            <w:tcW w:w="501"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夜间</w:t>
            </w:r>
          </w:p>
        </w:tc>
        <w:tc>
          <w:tcPr>
            <w:tcW w:w="548"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62.88</w:t>
            </w:r>
          </w:p>
        </w:tc>
        <w:tc>
          <w:tcPr>
            <w:tcW w:w="547"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59.87</w:t>
            </w:r>
          </w:p>
        </w:tc>
        <w:tc>
          <w:tcPr>
            <w:tcW w:w="548"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56.86</w:t>
            </w:r>
          </w:p>
        </w:tc>
        <w:tc>
          <w:tcPr>
            <w:tcW w:w="626"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52.88</w:t>
            </w:r>
          </w:p>
        </w:tc>
        <w:tc>
          <w:tcPr>
            <w:tcW w:w="547"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49.87</w:t>
            </w:r>
          </w:p>
        </w:tc>
        <w:tc>
          <w:tcPr>
            <w:tcW w:w="547" w:type="pct"/>
            <w:tcBorders>
              <w:top w:val="single" w:color="000000" w:sz="2" w:space="0"/>
              <w:left w:val="single" w:color="000000" w:sz="2" w:space="0"/>
              <w:bottom w:val="single" w:color="000000" w:sz="6" w:space="0"/>
              <w:right w:val="single" w:color="000000" w:sz="2" w:space="0"/>
            </w:tcBorders>
            <w:vAlign w:val="center"/>
          </w:tcPr>
          <w:p>
            <w:pPr>
              <w:spacing w:line="240" w:lineRule="auto"/>
              <w:ind w:firstLine="0" w:firstLineChars="0"/>
              <w:contextualSpacing/>
              <w:jc w:val="center"/>
              <w:rPr>
                <w:sz w:val="21"/>
                <w:szCs w:val="21"/>
                <w:lang w:eastAsia="en-US"/>
              </w:rPr>
            </w:pPr>
            <w:r>
              <w:rPr>
                <w:sz w:val="21"/>
                <w:szCs w:val="21"/>
                <w:lang w:eastAsia="en-US"/>
              </w:rPr>
              <w:t>46.86</w:t>
            </w:r>
          </w:p>
        </w:tc>
        <w:tc>
          <w:tcPr>
            <w:tcW w:w="544" w:type="pct"/>
            <w:tcBorders>
              <w:top w:val="single" w:color="000000" w:sz="2" w:space="0"/>
              <w:left w:val="single" w:color="000000" w:sz="2" w:space="0"/>
              <w:bottom w:val="single" w:color="000000" w:sz="6" w:space="0"/>
              <w:right w:val="single" w:color="000000" w:sz="6" w:space="0"/>
            </w:tcBorders>
            <w:vAlign w:val="center"/>
          </w:tcPr>
          <w:p>
            <w:pPr>
              <w:spacing w:line="240" w:lineRule="auto"/>
              <w:ind w:firstLine="0" w:firstLineChars="0"/>
              <w:contextualSpacing/>
              <w:jc w:val="center"/>
              <w:rPr>
                <w:sz w:val="21"/>
                <w:szCs w:val="21"/>
                <w:lang w:eastAsia="en-US"/>
              </w:rPr>
            </w:pPr>
            <w:r>
              <w:rPr>
                <w:sz w:val="21"/>
                <w:szCs w:val="21"/>
                <w:lang w:eastAsia="en-US"/>
              </w:rPr>
              <w:t>45.10</w:t>
            </w:r>
          </w:p>
        </w:tc>
      </w:tr>
    </w:tbl>
    <w:p>
      <w:pPr>
        <w:ind w:firstLine="480"/>
        <w:contextualSpacing/>
      </w:pPr>
      <w:r>
        <w:t>由上表预测结果可以看出，场内施工道路距离道路中心线两侧昼间100m、夜间100m处满足声环境质量1类标准。</w:t>
      </w:r>
    </w:p>
    <w:p>
      <w:pPr>
        <w:ind w:left="480" w:leftChars="200" w:firstLine="0" w:firstLineChars="0"/>
        <w:contextualSpacing/>
      </w:pPr>
      <w:r>
        <w:t>（3）对敏感目标的影响预测</w:t>
      </w:r>
    </w:p>
    <w:p>
      <w:pPr>
        <w:ind w:left="480" w:leftChars="200" w:firstLine="0" w:firstLineChars="0"/>
        <w:contextualSpacing/>
      </w:pPr>
      <w:r>
        <w:t>场内交通噪声对敏感目标的影响预测结果见表5.5.4-2。</w:t>
      </w:r>
    </w:p>
    <w:p>
      <w:pPr>
        <w:ind w:firstLine="0" w:firstLineChars="0"/>
        <w:contextualSpacing/>
        <w:jc w:val="center"/>
        <w:rPr>
          <w:b/>
          <w:bCs/>
          <w:spacing w:val="3"/>
          <w:sz w:val="21"/>
          <w:szCs w:val="21"/>
        </w:rPr>
      </w:pPr>
      <w:r>
        <w:rPr>
          <w:b/>
          <w:bCs/>
          <w:spacing w:val="3"/>
          <w:sz w:val="21"/>
          <w:szCs w:val="21"/>
        </w:rPr>
        <w:t>表5.5.4-2  场内交通噪声对声环境敏感点影响预测结果</w:t>
      </w:r>
      <w:r>
        <w:rPr>
          <w:b/>
          <w:bCs/>
          <w:spacing w:val="3"/>
          <w:sz w:val="21"/>
          <w:szCs w:val="21"/>
        </w:rPr>
        <w:tab/>
      </w:r>
      <w:r>
        <w:rPr>
          <w:b/>
          <w:bCs/>
          <w:spacing w:val="3"/>
          <w:sz w:val="21"/>
          <w:szCs w:val="21"/>
        </w:rPr>
        <w:t>（单位：dB（A））</w:t>
      </w:r>
    </w:p>
    <w:tbl>
      <w:tblPr>
        <w:tblStyle w:val="38"/>
        <w:tblW w:w="508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9"/>
        <w:gridCol w:w="765"/>
        <w:gridCol w:w="1040"/>
        <w:gridCol w:w="1039"/>
        <w:gridCol w:w="991"/>
        <w:gridCol w:w="985"/>
        <w:gridCol w:w="787"/>
        <w:gridCol w:w="788"/>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exact"/>
        </w:trPr>
        <w:tc>
          <w:tcPr>
            <w:tcW w:w="638"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敏感点</w:t>
            </w:r>
          </w:p>
        </w:tc>
        <w:tc>
          <w:tcPr>
            <w:tcW w:w="452"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噪声源</w:t>
            </w:r>
          </w:p>
        </w:tc>
        <w:tc>
          <w:tcPr>
            <w:tcW w:w="615"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最近距离</w:t>
            </w:r>
          </w:p>
        </w:tc>
        <w:tc>
          <w:tcPr>
            <w:tcW w:w="1199" w:type="pct"/>
            <w:gridSpan w:val="2"/>
            <w:vAlign w:val="center"/>
          </w:tcPr>
          <w:p>
            <w:pPr>
              <w:spacing w:line="240" w:lineRule="auto"/>
              <w:ind w:firstLine="0" w:firstLineChars="0"/>
              <w:contextualSpacing/>
              <w:jc w:val="center"/>
              <w:rPr>
                <w:kern w:val="0"/>
                <w:sz w:val="21"/>
                <w:szCs w:val="21"/>
                <w:lang w:eastAsia="en-US"/>
              </w:rPr>
            </w:pPr>
            <w:r>
              <w:rPr>
                <w:kern w:val="0"/>
                <w:sz w:val="21"/>
                <w:szCs w:val="21"/>
                <w:lang w:eastAsia="en-US"/>
              </w:rPr>
              <w:t>噪声源贡献值</w:t>
            </w:r>
          </w:p>
        </w:tc>
        <w:tc>
          <w:tcPr>
            <w:tcW w:w="582"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现状监测</w:t>
            </w:r>
          </w:p>
        </w:tc>
        <w:tc>
          <w:tcPr>
            <w:tcW w:w="465"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叠加值</w:t>
            </w:r>
          </w:p>
        </w:tc>
        <w:tc>
          <w:tcPr>
            <w:tcW w:w="466"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标准值</w:t>
            </w:r>
          </w:p>
        </w:tc>
        <w:tc>
          <w:tcPr>
            <w:tcW w:w="583" w:type="pct"/>
            <w:vAlign w:val="center"/>
          </w:tcPr>
          <w:p>
            <w:pPr>
              <w:spacing w:line="240" w:lineRule="auto"/>
              <w:ind w:firstLine="0" w:firstLineChars="0"/>
              <w:contextualSpacing/>
              <w:jc w:val="center"/>
              <w:rPr>
                <w:kern w:val="0"/>
                <w:sz w:val="21"/>
                <w:szCs w:val="21"/>
                <w:lang w:eastAsia="en-US"/>
              </w:rPr>
            </w:pPr>
            <w:r>
              <w:rPr>
                <w:kern w:val="0"/>
                <w:sz w:val="21"/>
                <w:szCs w:val="21"/>
              </w:rPr>
              <w:t>超标</w:t>
            </w:r>
            <w:r>
              <w:rPr>
                <w:kern w:val="0"/>
                <w:sz w:val="21"/>
                <w:szCs w:val="21"/>
                <w:lang w:eastAsia="en-US"/>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trPr>
        <w:tc>
          <w:tcPr>
            <w:tcW w:w="638" w:type="pct"/>
            <w:vMerge w:val="restart"/>
            <w:vAlign w:val="center"/>
          </w:tcPr>
          <w:p>
            <w:pPr>
              <w:spacing w:line="240" w:lineRule="auto"/>
              <w:ind w:firstLine="0" w:firstLineChars="0"/>
              <w:contextualSpacing/>
              <w:jc w:val="center"/>
              <w:rPr>
                <w:kern w:val="0"/>
                <w:sz w:val="21"/>
                <w:szCs w:val="21"/>
              </w:rPr>
            </w:pPr>
            <w:r>
              <w:rPr>
                <w:rFonts w:hint="eastAsia"/>
                <w:kern w:val="0"/>
                <w:sz w:val="21"/>
                <w:szCs w:val="21"/>
              </w:rPr>
              <w:t>居民点</w:t>
            </w:r>
          </w:p>
        </w:tc>
        <w:tc>
          <w:tcPr>
            <w:tcW w:w="452" w:type="pct"/>
            <w:vMerge w:val="restart"/>
            <w:vAlign w:val="center"/>
          </w:tcPr>
          <w:p>
            <w:pPr>
              <w:spacing w:line="240" w:lineRule="auto"/>
              <w:ind w:firstLine="0" w:firstLineChars="0"/>
              <w:contextualSpacing/>
              <w:jc w:val="center"/>
              <w:rPr>
                <w:kern w:val="0"/>
                <w:sz w:val="21"/>
                <w:szCs w:val="21"/>
                <w:lang w:eastAsia="en-US"/>
              </w:rPr>
            </w:pPr>
            <w:r>
              <w:rPr>
                <w:kern w:val="0"/>
                <w:sz w:val="21"/>
                <w:szCs w:val="21"/>
                <w:lang w:eastAsia="en-US"/>
              </w:rPr>
              <w:t>4#道路</w:t>
            </w:r>
          </w:p>
        </w:tc>
        <w:tc>
          <w:tcPr>
            <w:tcW w:w="615" w:type="pct"/>
            <w:vMerge w:val="restart"/>
            <w:vAlign w:val="center"/>
          </w:tcPr>
          <w:p>
            <w:pPr>
              <w:spacing w:line="240" w:lineRule="auto"/>
              <w:ind w:firstLine="0" w:firstLineChars="0"/>
              <w:contextualSpacing/>
              <w:jc w:val="center"/>
              <w:rPr>
                <w:kern w:val="0"/>
                <w:sz w:val="21"/>
                <w:szCs w:val="21"/>
              </w:rPr>
            </w:pPr>
            <w:r>
              <w:rPr>
                <w:rFonts w:hint="eastAsia"/>
                <w:kern w:val="0"/>
                <w:sz w:val="21"/>
                <w:szCs w:val="21"/>
              </w:rPr>
              <w:t>10</w:t>
            </w:r>
            <w:r>
              <w:rPr>
                <w:kern w:val="0"/>
                <w:sz w:val="21"/>
                <w:szCs w:val="21"/>
              </w:rPr>
              <w:t>m</w:t>
            </w:r>
          </w:p>
        </w:tc>
        <w:tc>
          <w:tcPr>
            <w:tcW w:w="614"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昼间</w:t>
            </w:r>
          </w:p>
        </w:tc>
        <w:tc>
          <w:tcPr>
            <w:tcW w:w="586" w:type="pct"/>
            <w:vAlign w:val="center"/>
          </w:tcPr>
          <w:p>
            <w:pPr>
              <w:spacing w:line="240" w:lineRule="auto"/>
              <w:ind w:firstLine="0" w:firstLineChars="0"/>
              <w:contextualSpacing/>
              <w:jc w:val="center"/>
              <w:rPr>
                <w:kern w:val="0"/>
                <w:sz w:val="21"/>
                <w:szCs w:val="21"/>
                <w:lang w:eastAsia="en-US"/>
              </w:rPr>
            </w:pPr>
            <w:r>
              <w:rPr>
                <w:rFonts w:hint="eastAsia"/>
                <w:sz w:val="21"/>
                <w:szCs w:val="21"/>
              </w:rPr>
              <w:t>62.92</w:t>
            </w:r>
          </w:p>
        </w:tc>
        <w:tc>
          <w:tcPr>
            <w:tcW w:w="582" w:type="pct"/>
            <w:vAlign w:val="center"/>
          </w:tcPr>
          <w:p>
            <w:pPr>
              <w:spacing w:line="240" w:lineRule="auto"/>
              <w:ind w:firstLine="0" w:firstLineChars="0"/>
              <w:contextualSpacing/>
              <w:jc w:val="center"/>
              <w:rPr>
                <w:kern w:val="0"/>
                <w:sz w:val="21"/>
                <w:szCs w:val="21"/>
                <w:lang w:eastAsia="en-US"/>
              </w:rPr>
            </w:pPr>
            <w:r>
              <w:rPr>
                <w:rFonts w:hint="eastAsia"/>
                <w:kern w:val="0"/>
                <w:sz w:val="21"/>
                <w:szCs w:val="21"/>
              </w:rPr>
              <w:t>55</w:t>
            </w:r>
          </w:p>
        </w:tc>
        <w:tc>
          <w:tcPr>
            <w:tcW w:w="465" w:type="pct"/>
            <w:vAlign w:val="center"/>
          </w:tcPr>
          <w:p>
            <w:pPr>
              <w:spacing w:line="240" w:lineRule="auto"/>
              <w:ind w:firstLine="0" w:firstLineChars="0"/>
              <w:contextualSpacing/>
              <w:jc w:val="center"/>
              <w:rPr>
                <w:kern w:val="0"/>
                <w:sz w:val="21"/>
                <w:szCs w:val="21"/>
              </w:rPr>
            </w:pPr>
            <w:r>
              <w:rPr>
                <w:rFonts w:hint="eastAsia"/>
                <w:kern w:val="0"/>
                <w:sz w:val="21"/>
                <w:szCs w:val="21"/>
              </w:rPr>
              <w:t>63.57</w:t>
            </w:r>
          </w:p>
        </w:tc>
        <w:tc>
          <w:tcPr>
            <w:tcW w:w="466" w:type="pct"/>
            <w:vAlign w:val="center"/>
          </w:tcPr>
          <w:p>
            <w:pPr>
              <w:spacing w:line="240" w:lineRule="auto"/>
              <w:ind w:firstLine="0" w:firstLineChars="0"/>
              <w:contextualSpacing/>
              <w:jc w:val="center"/>
              <w:rPr>
                <w:kern w:val="0"/>
                <w:sz w:val="21"/>
                <w:szCs w:val="21"/>
              </w:rPr>
            </w:pPr>
            <w:r>
              <w:rPr>
                <w:kern w:val="0"/>
                <w:sz w:val="21"/>
                <w:szCs w:val="21"/>
              </w:rPr>
              <w:t>55</w:t>
            </w:r>
          </w:p>
        </w:tc>
        <w:tc>
          <w:tcPr>
            <w:tcW w:w="583" w:type="pct"/>
            <w:vAlign w:val="center"/>
          </w:tcPr>
          <w:p>
            <w:pPr>
              <w:spacing w:line="240" w:lineRule="auto"/>
              <w:ind w:firstLine="0" w:firstLineChars="0"/>
              <w:contextualSpacing/>
              <w:jc w:val="center"/>
              <w:rPr>
                <w:kern w:val="0"/>
                <w:sz w:val="21"/>
                <w:szCs w:val="21"/>
              </w:rPr>
            </w:pPr>
            <w:r>
              <w:rPr>
                <w:rFonts w:hint="eastAsia"/>
                <w:kern w:val="0"/>
                <w:sz w:val="21"/>
                <w:szCs w:val="21"/>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exact"/>
        </w:trPr>
        <w:tc>
          <w:tcPr>
            <w:tcW w:w="638" w:type="pct"/>
            <w:vMerge w:val="continue"/>
            <w:vAlign w:val="center"/>
          </w:tcPr>
          <w:p>
            <w:pPr>
              <w:spacing w:line="240" w:lineRule="auto"/>
              <w:ind w:firstLine="0" w:firstLineChars="0"/>
              <w:contextualSpacing/>
              <w:jc w:val="center"/>
              <w:rPr>
                <w:kern w:val="0"/>
                <w:sz w:val="21"/>
                <w:szCs w:val="21"/>
                <w:lang w:eastAsia="en-US"/>
              </w:rPr>
            </w:pPr>
          </w:p>
        </w:tc>
        <w:tc>
          <w:tcPr>
            <w:tcW w:w="452" w:type="pct"/>
            <w:vMerge w:val="continue"/>
            <w:vAlign w:val="center"/>
          </w:tcPr>
          <w:p>
            <w:pPr>
              <w:spacing w:line="240" w:lineRule="auto"/>
              <w:ind w:firstLine="0" w:firstLineChars="0"/>
              <w:contextualSpacing/>
              <w:jc w:val="center"/>
              <w:rPr>
                <w:kern w:val="0"/>
                <w:sz w:val="21"/>
                <w:szCs w:val="21"/>
                <w:lang w:eastAsia="en-US"/>
              </w:rPr>
            </w:pPr>
          </w:p>
        </w:tc>
        <w:tc>
          <w:tcPr>
            <w:tcW w:w="615" w:type="pct"/>
            <w:vMerge w:val="continue"/>
            <w:vAlign w:val="center"/>
          </w:tcPr>
          <w:p>
            <w:pPr>
              <w:spacing w:line="240" w:lineRule="auto"/>
              <w:ind w:firstLine="0" w:firstLineChars="0"/>
              <w:contextualSpacing/>
              <w:jc w:val="center"/>
              <w:rPr>
                <w:kern w:val="0"/>
                <w:sz w:val="21"/>
                <w:szCs w:val="21"/>
                <w:lang w:eastAsia="en-US"/>
              </w:rPr>
            </w:pPr>
          </w:p>
        </w:tc>
        <w:tc>
          <w:tcPr>
            <w:tcW w:w="614" w:type="pct"/>
            <w:vAlign w:val="center"/>
          </w:tcPr>
          <w:p>
            <w:pPr>
              <w:spacing w:line="240" w:lineRule="auto"/>
              <w:ind w:firstLine="0" w:firstLineChars="0"/>
              <w:contextualSpacing/>
              <w:jc w:val="center"/>
              <w:rPr>
                <w:kern w:val="0"/>
                <w:sz w:val="21"/>
                <w:szCs w:val="21"/>
                <w:lang w:eastAsia="en-US"/>
              </w:rPr>
            </w:pPr>
            <w:r>
              <w:rPr>
                <w:kern w:val="0"/>
                <w:sz w:val="21"/>
                <w:szCs w:val="21"/>
                <w:lang w:eastAsia="en-US"/>
              </w:rPr>
              <w:t>夜间</w:t>
            </w:r>
          </w:p>
        </w:tc>
        <w:tc>
          <w:tcPr>
            <w:tcW w:w="586" w:type="pct"/>
            <w:vAlign w:val="center"/>
          </w:tcPr>
          <w:p>
            <w:pPr>
              <w:spacing w:line="240" w:lineRule="auto"/>
              <w:ind w:firstLine="0" w:firstLineChars="0"/>
              <w:contextualSpacing/>
              <w:jc w:val="center"/>
              <w:rPr>
                <w:kern w:val="0"/>
                <w:sz w:val="21"/>
                <w:szCs w:val="21"/>
                <w:lang w:eastAsia="en-US"/>
              </w:rPr>
            </w:pPr>
            <w:r>
              <w:rPr>
                <w:rFonts w:hint="eastAsia"/>
                <w:sz w:val="21"/>
                <w:szCs w:val="21"/>
              </w:rPr>
              <w:t>59.87</w:t>
            </w:r>
          </w:p>
        </w:tc>
        <w:tc>
          <w:tcPr>
            <w:tcW w:w="582" w:type="pct"/>
            <w:vAlign w:val="center"/>
          </w:tcPr>
          <w:p>
            <w:pPr>
              <w:spacing w:line="240" w:lineRule="auto"/>
              <w:ind w:firstLine="0" w:firstLineChars="0"/>
              <w:contextualSpacing/>
              <w:jc w:val="center"/>
              <w:rPr>
                <w:kern w:val="0"/>
                <w:sz w:val="21"/>
                <w:szCs w:val="21"/>
                <w:lang w:eastAsia="en-US"/>
              </w:rPr>
            </w:pPr>
            <w:r>
              <w:rPr>
                <w:rFonts w:hint="eastAsia"/>
                <w:kern w:val="0"/>
                <w:sz w:val="21"/>
                <w:szCs w:val="21"/>
              </w:rPr>
              <w:t>44</w:t>
            </w:r>
          </w:p>
        </w:tc>
        <w:tc>
          <w:tcPr>
            <w:tcW w:w="465" w:type="pct"/>
            <w:vAlign w:val="center"/>
          </w:tcPr>
          <w:p>
            <w:pPr>
              <w:spacing w:line="240" w:lineRule="auto"/>
              <w:ind w:firstLine="0" w:firstLineChars="0"/>
              <w:contextualSpacing/>
              <w:jc w:val="center"/>
              <w:rPr>
                <w:kern w:val="0"/>
                <w:sz w:val="21"/>
                <w:szCs w:val="21"/>
              </w:rPr>
            </w:pPr>
            <w:r>
              <w:rPr>
                <w:rFonts w:hint="eastAsia"/>
                <w:kern w:val="0"/>
                <w:sz w:val="21"/>
                <w:szCs w:val="21"/>
              </w:rPr>
              <w:t>59.98</w:t>
            </w:r>
          </w:p>
        </w:tc>
        <w:tc>
          <w:tcPr>
            <w:tcW w:w="466" w:type="pct"/>
            <w:vAlign w:val="center"/>
          </w:tcPr>
          <w:p>
            <w:pPr>
              <w:spacing w:line="240" w:lineRule="auto"/>
              <w:ind w:firstLine="0" w:firstLineChars="0"/>
              <w:contextualSpacing/>
              <w:jc w:val="center"/>
              <w:rPr>
                <w:kern w:val="0"/>
                <w:sz w:val="21"/>
                <w:szCs w:val="21"/>
              </w:rPr>
            </w:pPr>
            <w:r>
              <w:rPr>
                <w:kern w:val="0"/>
                <w:sz w:val="21"/>
                <w:szCs w:val="21"/>
              </w:rPr>
              <w:t>45</w:t>
            </w:r>
          </w:p>
        </w:tc>
        <w:tc>
          <w:tcPr>
            <w:tcW w:w="583" w:type="pct"/>
            <w:vAlign w:val="center"/>
          </w:tcPr>
          <w:p>
            <w:pPr>
              <w:spacing w:line="240" w:lineRule="auto"/>
              <w:ind w:firstLine="0" w:firstLineChars="0"/>
              <w:contextualSpacing/>
              <w:jc w:val="center"/>
              <w:rPr>
                <w:kern w:val="0"/>
                <w:sz w:val="21"/>
                <w:szCs w:val="21"/>
              </w:rPr>
            </w:pPr>
            <w:r>
              <w:rPr>
                <w:rFonts w:hint="eastAsia"/>
                <w:kern w:val="0"/>
                <w:sz w:val="21"/>
                <w:szCs w:val="21"/>
              </w:rPr>
              <w:t>14.98</w:t>
            </w:r>
          </w:p>
        </w:tc>
      </w:tr>
    </w:tbl>
    <w:p>
      <w:pPr>
        <w:ind w:firstLine="480"/>
        <w:contextualSpacing/>
      </w:pPr>
      <w:r>
        <w:t>从预测结果来看，受场内交通噪声影响，</w:t>
      </w:r>
      <w:r>
        <w:rPr>
          <w:rFonts w:hint="eastAsia"/>
        </w:rPr>
        <w:t>道路</w:t>
      </w:r>
      <w:r>
        <w:t>两侧</w:t>
      </w:r>
      <w:r>
        <w:rPr>
          <w:rFonts w:hint="eastAsia"/>
        </w:rPr>
        <w:t>最近居民点</w:t>
      </w:r>
      <w:r>
        <w:t>噪声</w:t>
      </w:r>
      <w:r>
        <w:rPr>
          <w:rFonts w:hint="eastAsia"/>
        </w:rPr>
        <w:t>昼间</w:t>
      </w:r>
      <w:r>
        <w:t>、夜</w:t>
      </w:r>
      <w:r>
        <w:rPr>
          <w:rFonts w:hint="eastAsia"/>
        </w:rPr>
        <w:t>间</w:t>
      </w:r>
      <w:r>
        <w:t>均超标。</w:t>
      </w:r>
    </w:p>
    <w:p>
      <w:pPr>
        <w:pStyle w:val="5"/>
        <w:ind w:firstLine="0" w:firstLineChars="0"/>
        <w:contextualSpacing/>
        <w:rPr>
          <w:rFonts w:ascii="Times New Roman" w:hAnsi="Times New Roman"/>
        </w:rPr>
      </w:pPr>
      <w:r>
        <w:rPr>
          <w:rFonts w:ascii="Times New Roman" w:hAnsi="Times New Roman"/>
        </w:rPr>
        <w:t>5.5.4对声环境保护目标的影响</w:t>
      </w:r>
    </w:p>
    <w:p>
      <w:pPr>
        <w:ind w:firstLine="480"/>
        <w:contextualSpacing/>
      </w:pPr>
      <w:r>
        <w:t>本工程枢纽施工区附近有居民点，工程施工期间可能受到施工噪声、交通运输噪声的叠加影响。通过计算施工噪声、交通运输噪声在保护目标处的噪声贡献值。取现状监测值中的最大值与之叠加得到保护目标处的噪声预测值。</w:t>
      </w:r>
    </w:p>
    <w:p>
      <w:pPr>
        <w:ind w:firstLine="480"/>
        <w:contextualSpacing/>
      </w:pPr>
      <w:r>
        <w:t>（1）噪声叠加</w:t>
      </w:r>
    </w:p>
    <w:p>
      <w:pPr>
        <w:ind w:firstLine="480"/>
        <w:contextualSpacing/>
      </w:pPr>
      <w:r>
        <w:t>噪声叠加公式如下：</w:t>
      </w:r>
    </w:p>
    <w:p>
      <w:pPr>
        <w:ind w:firstLine="420"/>
        <w:contextualSpacing/>
        <w:rPr>
          <w:sz w:val="21"/>
        </w:rPr>
      </w:pPr>
      <w:r>
        <w:rPr>
          <w:sz w:val="21"/>
        </w:rPr>
        <w:drawing>
          <wp:inline distT="0" distB="0" distL="0" distR="0">
            <wp:extent cx="1530350" cy="594360"/>
            <wp:effectExtent l="0" t="0" r="0" b="0"/>
            <wp:docPr id="1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1530350" cy="594360"/>
                    </a:xfrm>
                    <a:prstGeom prst="rect">
                      <a:avLst/>
                    </a:prstGeom>
                    <a:noFill/>
                    <a:ln>
                      <a:noFill/>
                    </a:ln>
                  </pic:spPr>
                </pic:pic>
              </a:graphicData>
            </a:graphic>
          </wp:inline>
        </w:drawing>
      </w:r>
    </w:p>
    <w:p>
      <w:pPr>
        <w:ind w:firstLine="480"/>
        <w:contextualSpacing/>
      </w:pPr>
      <w:r>
        <w:t>式中：L——某点噪声总叠加值，dB（A）；</w:t>
      </w:r>
    </w:p>
    <w:p>
      <w:pPr>
        <w:ind w:firstLine="480"/>
        <w:contextualSpacing/>
      </w:pPr>
      <w:r>
        <w:t>Li——第i个声源的噪声值，dB（A）；</w:t>
      </w:r>
    </w:p>
    <w:p>
      <w:pPr>
        <w:ind w:firstLine="480"/>
        <w:contextualSpacing/>
      </w:pPr>
      <w:r>
        <w:t>n——噪声源个数。</w:t>
      </w:r>
    </w:p>
    <w:p>
      <w:pPr>
        <w:ind w:firstLine="480"/>
        <w:contextualSpacing/>
      </w:pPr>
      <w:r>
        <w:t>（2）预测结果</w:t>
      </w:r>
    </w:p>
    <w:p>
      <w:pPr>
        <w:ind w:firstLine="0" w:firstLineChars="0"/>
        <w:contextualSpacing/>
        <w:jc w:val="center"/>
        <w:rPr>
          <w:b/>
          <w:bCs/>
          <w:spacing w:val="3"/>
          <w:sz w:val="21"/>
          <w:szCs w:val="21"/>
        </w:rPr>
      </w:pPr>
      <w:r>
        <w:rPr>
          <w:b/>
          <w:bCs/>
          <w:spacing w:val="3"/>
          <w:sz w:val="21"/>
          <w:szCs w:val="21"/>
        </w:rPr>
        <w:t>表5.5.5  工程施工噪声对环境敏感点叠加影响预测结果</w:t>
      </w:r>
      <w:r>
        <w:rPr>
          <w:b/>
          <w:bCs/>
          <w:spacing w:val="3"/>
          <w:sz w:val="21"/>
          <w:szCs w:val="21"/>
        </w:rPr>
        <w:tab/>
      </w:r>
      <w:r>
        <w:rPr>
          <w:b/>
          <w:bCs/>
          <w:spacing w:val="3"/>
          <w:sz w:val="21"/>
          <w:szCs w:val="21"/>
        </w:rPr>
        <w:t xml:space="preserve">  单位：dB（A）</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842"/>
        <w:gridCol w:w="763"/>
        <w:gridCol w:w="848"/>
        <w:gridCol w:w="905"/>
        <w:gridCol w:w="883"/>
        <w:gridCol w:w="915"/>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487" w:type="pct"/>
            <w:vAlign w:val="center"/>
          </w:tcPr>
          <w:p>
            <w:pPr>
              <w:spacing w:line="360" w:lineRule="exact"/>
              <w:ind w:firstLine="0" w:firstLineChars="0"/>
              <w:contextualSpacing/>
              <w:jc w:val="center"/>
              <w:rPr>
                <w:sz w:val="21"/>
                <w:szCs w:val="21"/>
              </w:rPr>
            </w:pPr>
            <w:r>
              <w:rPr>
                <w:sz w:val="21"/>
                <w:szCs w:val="21"/>
              </w:rPr>
              <w:t>敏感点</w:t>
            </w:r>
          </w:p>
        </w:tc>
        <w:tc>
          <w:tcPr>
            <w:tcW w:w="494" w:type="pct"/>
            <w:vAlign w:val="center"/>
          </w:tcPr>
          <w:p>
            <w:pPr>
              <w:spacing w:line="360" w:lineRule="exact"/>
              <w:ind w:firstLine="0" w:firstLineChars="0"/>
              <w:contextualSpacing/>
              <w:jc w:val="center"/>
              <w:rPr>
                <w:sz w:val="21"/>
                <w:szCs w:val="21"/>
              </w:rPr>
            </w:pPr>
            <w:r>
              <w:rPr>
                <w:sz w:val="21"/>
                <w:szCs w:val="21"/>
              </w:rPr>
              <w:t>固定点源</w:t>
            </w:r>
          </w:p>
        </w:tc>
        <w:tc>
          <w:tcPr>
            <w:tcW w:w="448" w:type="pct"/>
            <w:vAlign w:val="center"/>
          </w:tcPr>
          <w:p>
            <w:pPr>
              <w:spacing w:line="360" w:lineRule="exact"/>
              <w:ind w:firstLine="0" w:firstLineChars="0"/>
              <w:contextualSpacing/>
              <w:jc w:val="center"/>
              <w:rPr>
                <w:sz w:val="21"/>
                <w:szCs w:val="21"/>
              </w:rPr>
            </w:pPr>
            <w:r>
              <w:rPr>
                <w:sz w:val="21"/>
                <w:szCs w:val="21"/>
              </w:rPr>
              <w:t>交通噪声</w:t>
            </w:r>
          </w:p>
        </w:tc>
        <w:tc>
          <w:tcPr>
            <w:tcW w:w="498" w:type="pct"/>
            <w:vAlign w:val="center"/>
          </w:tcPr>
          <w:p>
            <w:pPr>
              <w:spacing w:line="360" w:lineRule="exact"/>
              <w:ind w:firstLine="0" w:firstLineChars="0"/>
              <w:contextualSpacing/>
              <w:jc w:val="center"/>
              <w:rPr>
                <w:sz w:val="21"/>
                <w:szCs w:val="21"/>
              </w:rPr>
            </w:pPr>
            <w:r>
              <w:rPr>
                <w:sz w:val="21"/>
                <w:szCs w:val="21"/>
              </w:rPr>
              <w:t>背景值</w:t>
            </w:r>
          </w:p>
          <w:p>
            <w:pPr>
              <w:spacing w:line="360" w:lineRule="exact"/>
              <w:ind w:firstLine="0" w:firstLineChars="0"/>
              <w:contextualSpacing/>
              <w:jc w:val="center"/>
              <w:rPr>
                <w:sz w:val="21"/>
                <w:szCs w:val="21"/>
              </w:rPr>
            </w:pPr>
            <w:r>
              <w:rPr>
                <w:sz w:val="21"/>
                <w:szCs w:val="21"/>
              </w:rPr>
              <w:t>dB（A）</w:t>
            </w:r>
          </w:p>
        </w:tc>
        <w:tc>
          <w:tcPr>
            <w:tcW w:w="531" w:type="pct"/>
            <w:vAlign w:val="center"/>
          </w:tcPr>
          <w:p>
            <w:pPr>
              <w:spacing w:line="360" w:lineRule="exact"/>
              <w:ind w:firstLine="0" w:firstLineChars="0"/>
              <w:contextualSpacing/>
              <w:jc w:val="center"/>
              <w:rPr>
                <w:sz w:val="21"/>
                <w:szCs w:val="21"/>
              </w:rPr>
            </w:pPr>
            <w:r>
              <w:rPr>
                <w:sz w:val="21"/>
                <w:szCs w:val="21"/>
              </w:rPr>
              <w:t>叠加值dB（A）</w:t>
            </w:r>
          </w:p>
        </w:tc>
        <w:tc>
          <w:tcPr>
            <w:tcW w:w="518" w:type="pct"/>
            <w:vAlign w:val="center"/>
          </w:tcPr>
          <w:p>
            <w:pPr>
              <w:spacing w:line="360" w:lineRule="exact"/>
              <w:ind w:firstLine="0" w:firstLineChars="0"/>
              <w:contextualSpacing/>
              <w:jc w:val="center"/>
              <w:rPr>
                <w:sz w:val="21"/>
                <w:szCs w:val="21"/>
              </w:rPr>
            </w:pPr>
            <w:r>
              <w:rPr>
                <w:sz w:val="21"/>
                <w:szCs w:val="21"/>
              </w:rPr>
              <w:t>标准值dB（A）</w:t>
            </w:r>
          </w:p>
        </w:tc>
        <w:tc>
          <w:tcPr>
            <w:tcW w:w="537" w:type="pct"/>
            <w:vAlign w:val="center"/>
          </w:tcPr>
          <w:p>
            <w:pPr>
              <w:spacing w:line="360" w:lineRule="exact"/>
              <w:ind w:firstLine="0" w:firstLineChars="0"/>
              <w:contextualSpacing/>
              <w:jc w:val="center"/>
              <w:rPr>
                <w:sz w:val="21"/>
                <w:szCs w:val="21"/>
              </w:rPr>
            </w:pPr>
            <w:r>
              <w:rPr>
                <w:sz w:val="21"/>
                <w:szCs w:val="21"/>
              </w:rPr>
              <w:t>达标</w:t>
            </w:r>
          </w:p>
          <w:p>
            <w:pPr>
              <w:spacing w:line="360" w:lineRule="exact"/>
              <w:ind w:firstLine="0" w:firstLineChars="0"/>
              <w:contextualSpacing/>
              <w:jc w:val="center"/>
              <w:rPr>
                <w:sz w:val="21"/>
                <w:szCs w:val="21"/>
              </w:rPr>
            </w:pPr>
            <w:r>
              <w:rPr>
                <w:sz w:val="21"/>
                <w:szCs w:val="21"/>
              </w:rPr>
              <w:t>情况</w:t>
            </w:r>
          </w:p>
        </w:tc>
        <w:tc>
          <w:tcPr>
            <w:tcW w:w="487" w:type="pct"/>
            <w:vAlign w:val="center"/>
          </w:tcPr>
          <w:p>
            <w:pPr>
              <w:spacing w:line="360" w:lineRule="exact"/>
              <w:ind w:firstLine="0" w:firstLineChars="0"/>
              <w:contextualSpacing/>
              <w:jc w:val="center"/>
              <w:rPr>
                <w:sz w:val="21"/>
                <w:szCs w:val="21"/>
              </w:rPr>
            </w:pPr>
            <w:r>
              <w:rPr>
                <w:sz w:val="21"/>
                <w:szCs w:val="21"/>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87" w:type="pct"/>
            <w:vAlign w:val="center"/>
          </w:tcPr>
          <w:p>
            <w:pPr>
              <w:pStyle w:val="2"/>
              <w:spacing w:before="0" w:line="240" w:lineRule="auto"/>
              <w:ind w:left="0" w:firstLine="0" w:firstLineChars="0"/>
              <w:contextualSpacing/>
              <w:jc w:val="center"/>
              <w:rPr>
                <w:sz w:val="21"/>
                <w:szCs w:val="21"/>
              </w:rPr>
            </w:pPr>
            <w:r>
              <w:rPr>
                <w:rFonts w:ascii="Times New Roman"/>
                <w:sz w:val="21"/>
                <w:szCs w:val="21"/>
              </w:rPr>
              <w:t>施工道路</w:t>
            </w:r>
            <w:r>
              <w:rPr>
                <w:rFonts w:hint="eastAsia"/>
                <w:sz w:val="21"/>
                <w:szCs w:val="21"/>
              </w:rPr>
              <w:t>中心线两侧100m范围内居民点</w:t>
            </w:r>
          </w:p>
        </w:tc>
        <w:tc>
          <w:tcPr>
            <w:tcW w:w="494" w:type="pct"/>
            <w:vAlign w:val="center"/>
          </w:tcPr>
          <w:p>
            <w:pPr>
              <w:widowControl/>
              <w:spacing w:line="240" w:lineRule="auto"/>
              <w:ind w:firstLine="0" w:firstLineChars="0"/>
              <w:contextualSpacing/>
              <w:jc w:val="center"/>
              <w:rPr>
                <w:sz w:val="21"/>
                <w:szCs w:val="21"/>
              </w:rPr>
            </w:pPr>
            <w:r>
              <w:rPr>
                <w:rFonts w:hint="eastAsia"/>
                <w:sz w:val="21"/>
                <w:szCs w:val="21"/>
              </w:rPr>
              <w:t>65</w:t>
            </w:r>
          </w:p>
        </w:tc>
        <w:tc>
          <w:tcPr>
            <w:tcW w:w="448" w:type="pct"/>
            <w:vAlign w:val="center"/>
          </w:tcPr>
          <w:p>
            <w:pPr>
              <w:spacing w:line="240" w:lineRule="auto"/>
              <w:ind w:firstLine="0" w:firstLineChars="0"/>
              <w:contextualSpacing/>
              <w:jc w:val="center"/>
              <w:rPr>
                <w:sz w:val="21"/>
                <w:szCs w:val="21"/>
              </w:rPr>
            </w:pPr>
            <w:r>
              <w:rPr>
                <w:rFonts w:hint="eastAsia"/>
                <w:sz w:val="21"/>
                <w:szCs w:val="21"/>
              </w:rPr>
              <w:t>62.92</w:t>
            </w:r>
          </w:p>
        </w:tc>
        <w:tc>
          <w:tcPr>
            <w:tcW w:w="498" w:type="pct"/>
            <w:vAlign w:val="center"/>
          </w:tcPr>
          <w:p>
            <w:pPr>
              <w:spacing w:line="240" w:lineRule="auto"/>
              <w:ind w:firstLine="0" w:firstLineChars="0"/>
              <w:contextualSpacing/>
              <w:jc w:val="center"/>
              <w:rPr>
                <w:sz w:val="21"/>
                <w:szCs w:val="21"/>
              </w:rPr>
            </w:pPr>
            <w:r>
              <w:rPr>
                <w:rFonts w:hint="eastAsia"/>
                <w:sz w:val="21"/>
                <w:szCs w:val="21"/>
              </w:rPr>
              <w:t>55</w:t>
            </w:r>
          </w:p>
        </w:tc>
        <w:tc>
          <w:tcPr>
            <w:tcW w:w="531" w:type="pct"/>
            <w:vAlign w:val="center"/>
          </w:tcPr>
          <w:p>
            <w:pPr>
              <w:spacing w:line="240" w:lineRule="auto"/>
              <w:ind w:firstLine="0" w:firstLineChars="0"/>
              <w:contextualSpacing/>
              <w:jc w:val="center"/>
              <w:rPr>
                <w:sz w:val="21"/>
                <w:szCs w:val="21"/>
              </w:rPr>
            </w:pPr>
            <w:r>
              <w:rPr>
                <w:rFonts w:hint="eastAsia"/>
                <w:sz w:val="21"/>
                <w:szCs w:val="21"/>
              </w:rPr>
              <w:t>67.35</w:t>
            </w:r>
          </w:p>
        </w:tc>
        <w:tc>
          <w:tcPr>
            <w:tcW w:w="518" w:type="pct"/>
            <w:vAlign w:val="center"/>
          </w:tcPr>
          <w:p>
            <w:pPr>
              <w:spacing w:line="240" w:lineRule="auto"/>
              <w:ind w:firstLine="0" w:firstLineChars="0"/>
              <w:contextualSpacing/>
              <w:jc w:val="center"/>
              <w:rPr>
                <w:sz w:val="21"/>
                <w:szCs w:val="21"/>
              </w:rPr>
            </w:pPr>
            <w:r>
              <w:rPr>
                <w:sz w:val="21"/>
                <w:szCs w:val="21"/>
              </w:rPr>
              <w:t>55</w:t>
            </w:r>
          </w:p>
        </w:tc>
        <w:tc>
          <w:tcPr>
            <w:tcW w:w="537" w:type="pct"/>
            <w:vAlign w:val="center"/>
          </w:tcPr>
          <w:p>
            <w:pPr>
              <w:spacing w:line="360" w:lineRule="exact"/>
              <w:ind w:firstLine="0" w:firstLineChars="0"/>
              <w:contextualSpacing/>
              <w:jc w:val="center"/>
              <w:rPr>
                <w:sz w:val="21"/>
                <w:szCs w:val="21"/>
              </w:rPr>
            </w:pPr>
            <w:r>
              <w:rPr>
                <w:sz w:val="21"/>
                <w:szCs w:val="21"/>
              </w:rPr>
              <w:t>超标</w:t>
            </w:r>
          </w:p>
        </w:tc>
        <w:tc>
          <w:tcPr>
            <w:tcW w:w="487" w:type="pct"/>
            <w:vAlign w:val="center"/>
          </w:tcPr>
          <w:p>
            <w:pPr>
              <w:widowControl/>
              <w:spacing w:line="240" w:lineRule="auto"/>
              <w:ind w:firstLine="0" w:firstLineChars="0"/>
              <w:contextualSpacing/>
              <w:jc w:val="center"/>
              <w:rPr>
                <w:sz w:val="21"/>
                <w:szCs w:val="21"/>
              </w:rPr>
            </w:pPr>
            <w:r>
              <w:rPr>
                <w:rFonts w:hint="eastAsia"/>
                <w:sz w:val="21"/>
                <w:szCs w:val="21"/>
              </w:rPr>
              <w:t>12.35</w:t>
            </w:r>
          </w:p>
        </w:tc>
      </w:tr>
    </w:tbl>
    <w:p>
      <w:pPr>
        <w:ind w:firstLine="480"/>
        <w:contextualSpacing/>
      </w:pPr>
      <w:r>
        <w:t>综上分析，施工过程中</w:t>
      </w:r>
      <w:r>
        <w:rPr>
          <w:rFonts w:hint="eastAsia"/>
        </w:rPr>
        <w:t>施工场地作业噪声及车辆运输噪声</w:t>
      </w:r>
      <w:r>
        <w:t>对周围环境敏感点产生一定程度的影响，特别是对施工场界100m范围内影响较大</w:t>
      </w:r>
      <w:r>
        <w:rPr>
          <w:rFonts w:hint="eastAsia"/>
        </w:rPr>
        <w:t>。以上影响均只集中在施工期，随着施工结束影响也随之消失。</w:t>
      </w:r>
    </w:p>
    <w:p>
      <w:pPr>
        <w:ind w:firstLine="480"/>
        <w:contextualSpacing/>
      </w:pPr>
      <w:r>
        <w:t>工程施工单位应加强施工过程管理</w:t>
      </w:r>
      <w:r>
        <w:rPr>
          <w:rFonts w:hint="eastAsia"/>
        </w:rPr>
        <w:t>，</w:t>
      </w:r>
      <w:r>
        <w:t>优化施工布置，施工强噪声源尽量远离居民点布置。</w:t>
      </w:r>
      <w:r>
        <w:rPr>
          <w:rFonts w:hint="eastAsia"/>
        </w:rPr>
        <w:t>合理安排施工强度，合理布置机械设备；</w:t>
      </w:r>
      <w:r>
        <w:t>合理规划施工时间，受施工噪声影响较大的路段禁止夜间施工。</w:t>
      </w:r>
      <w:r>
        <w:rPr>
          <w:rFonts w:hint="eastAsia"/>
        </w:rPr>
        <w:t>施</w:t>
      </w:r>
      <w:r>
        <w:t>工爆破采用先进的爆破技术，炮眼分散，不集中放炮，控制加药量，不鸣大炮，坚决禁止夜间爆破；施工过程尽量避免打干钻，湿钻可使噪声降低 30dB（A）左右。</w:t>
      </w:r>
      <w:r>
        <w:rPr>
          <w:rFonts w:hint="eastAsia"/>
        </w:rPr>
        <w:t>施工道路两侧的零星居民点受施工交通运输噪声影响相对较大，除采取减速行驶、禁止夜间施工等噪声源控制措施外，对临路最近的居民屋前，对噪声超标居民住宅根据高噪声的产生和传递特征有针对性地布设移动式隔声屏障。施工单位通过各项减噪措施后，源强可降低20dB（A）。采取措施后工程施工噪声对环境敏感点影响预测结果均达标，预测结果见下表。</w:t>
      </w:r>
    </w:p>
    <w:p>
      <w:pPr>
        <w:ind w:firstLine="0" w:firstLineChars="0"/>
        <w:contextualSpacing/>
        <w:jc w:val="center"/>
        <w:rPr>
          <w:b/>
          <w:bCs/>
          <w:spacing w:val="3"/>
          <w:sz w:val="21"/>
          <w:szCs w:val="21"/>
        </w:rPr>
      </w:pPr>
      <w:r>
        <w:rPr>
          <w:b/>
          <w:bCs/>
          <w:spacing w:val="3"/>
          <w:sz w:val="21"/>
          <w:szCs w:val="21"/>
        </w:rPr>
        <w:t>表5.5.</w:t>
      </w:r>
      <w:r>
        <w:rPr>
          <w:rFonts w:hint="eastAsia"/>
          <w:b/>
          <w:bCs/>
          <w:spacing w:val="3"/>
          <w:sz w:val="21"/>
          <w:szCs w:val="21"/>
        </w:rPr>
        <w:t>6</w:t>
      </w:r>
      <w:r>
        <w:rPr>
          <w:b/>
          <w:bCs/>
          <w:spacing w:val="3"/>
          <w:sz w:val="21"/>
          <w:szCs w:val="21"/>
        </w:rPr>
        <w:t xml:space="preserve">  </w:t>
      </w:r>
      <w:r>
        <w:rPr>
          <w:rFonts w:hint="eastAsia"/>
          <w:b/>
          <w:bCs/>
          <w:spacing w:val="3"/>
          <w:sz w:val="21"/>
          <w:szCs w:val="21"/>
        </w:rPr>
        <w:t>采取措施后</w:t>
      </w:r>
      <w:r>
        <w:rPr>
          <w:b/>
          <w:bCs/>
          <w:spacing w:val="3"/>
          <w:sz w:val="21"/>
          <w:szCs w:val="21"/>
        </w:rPr>
        <w:t>工程施工噪声对环境敏感点影响预测结果</w:t>
      </w:r>
      <w:r>
        <w:rPr>
          <w:b/>
          <w:bCs/>
          <w:spacing w:val="3"/>
          <w:sz w:val="21"/>
          <w:szCs w:val="21"/>
        </w:rPr>
        <w:tab/>
      </w:r>
      <w:r>
        <w:rPr>
          <w:b/>
          <w:bCs/>
          <w:spacing w:val="3"/>
          <w:sz w:val="21"/>
          <w:szCs w:val="21"/>
        </w:rPr>
        <w:t xml:space="preserve">  单位：dB（A）</w:t>
      </w:r>
    </w:p>
    <w:tbl>
      <w:tblPr>
        <w:tblStyle w:val="38"/>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841"/>
        <w:gridCol w:w="737"/>
        <w:gridCol w:w="852"/>
        <w:gridCol w:w="852"/>
        <w:gridCol w:w="928"/>
        <w:gridCol w:w="953"/>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483" w:type="pct"/>
            <w:vAlign w:val="center"/>
          </w:tcPr>
          <w:p>
            <w:pPr>
              <w:spacing w:line="360" w:lineRule="exact"/>
              <w:ind w:firstLine="0" w:firstLineChars="0"/>
              <w:contextualSpacing/>
              <w:jc w:val="center"/>
              <w:rPr>
                <w:sz w:val="21"/>
                <w:szCs w:val="21"/>
              </w:rPr>
            </w:pPr>
            <w:r>
              <w:rPr>
                <w:sz w:val="21"/>
                <w:szCs w:val="21"/>
              </w:rPr>
              <w:t>敏感点</w:t>
            </w:r>
          </w:p>
        </w:tc>
        <w:tc>
          <w:tcPr>
            <w:tcW w:w="492" w:type="pct"/>
            <w:vAlign w:val="center"/>
          </w:tcPr>
          <w:p>
            <w:pPr>
              <w:spacing w:line="360" w:lineRule="exact"/>
              <w:ind w:firstLine="0" w:firstLineChars="0"/>
              <w:contextualSpacing/>
              <w:jc w:val="center"/>
              <w:rPr>
                <w:sz w:val="21"/>
                <w:szCs w:val="21"/>
              </w:rPr>
            </w:pPr>
            <w:r>
              <w:rPr>
                <w:sz w:val="21"/>
                <w:szCs w:val="21"/>
              </w:rPr>
              <w:t>固定点源</w:t>
            </w:r>
          </w:p>
        </w:tc>
        <w:tc>
          <w:tcPr>
            <w:tcW w:w="431" w:type="pct"/>
            <w:vAlign w:val="center"/>
          </w:tcPr>
          <w:p>
            <w:pPr>
              <w:spacing w:line="360" w:lineRule="exact"/>
              <w:ind w:firstLine="0" w:firstLineChars="0"/>
              <w:contextualSpacing/>
              <w:jc w:val="center"/>
              <w:rPr>
                <w:sz w:val="21"/>
                <w:szCs w:val="21"/>
              </w:rPr>
            </w:pPr>
            <w:r>
              <w:rPr>
                <w:sz w:val="21"/>
                <w:szCs w:val="21"/>
              </w:rPr>
              <w:t>交通噪声</w:t>
            </w:r>
          </w:p>
        </w:tc>
        <w:tc>
          <w:tcPr>
            <w:tcW w:w="499" w:type="pct"/>
            <w:vAlign w:val="center"/>
          </w:tcPr>
          <w:p>
            <w:pPr>
              <w:spacing w:line="360" w:lineRule="exact"/>
              <w:ind w:firstLine="0" w:firstLineChars="0"/>
              <w:contextualSpacing/>
              <w:jc w:val="center"/>
              <w:rPr>
                <w:sz w:val="21"/>
                <w:szCs w:val="21"/>
              </w:rPr>
            </w:pPr>
            <w:r>
              <w:rPr>
                <w:rFonts w:hint="eastAsia"/>
                <w:sz w:val="21"/>
                <w:szCs w:val="21"/>
              </w:rPr>
              <w:t>降噪措施后噪声源强</w:t>
            </w:r>
          </w:p>
        </w:tc>
        <w:tc>
          <w:tcPr>
            <w:tcW w:w="499" w:type="pct"/>
            <w:vAlign w:val="center"/>
          </w:tcPr>
          <w:p>
            <w:pPr>
              <w:spacing w:line="360" w:lineRule="exact"/>
              <w:ind w:firstLine="0" w:firstLineChars="0"/>
              <w:contextualSpacing/>
              <w:jc w:val="center"/>
              <w:rPr>
                <w:sz w:val="21"/>
                <w:szCs w:val="21"/>
              </w:rPr>
            </w:pPr>
            <w:r>
              <w:rPr>
                <w:sz w:val="21"/>
                <w:szCs w:val="21"/>
              </w:rPr>
              <w:t>背景值</w:t>
            </w:r>
          </w:p>
          <w:p>
            <w:pPr>
              <w:spacing w:line="360" w:lineRule="exact"/>
              <w:ind w:firstLine="0" w:firstLineChars="0"/>
              <w:contextualSpacing/>
              <w:jc w:val="center"/>
              <w:rPr>
                <w:sz w:val="21"/>
                <w:szCs w:val="21"/>
              </w:rPr>
            </w:pPr>
          </w:p>
        </w:tc>
        <w:tc>
          <w:tcPr>
            <w:tcW w:w="543" w:type="pct"/>
            <w:vAlign w:val="center"/>
          </w:tcPr>
          <w:p>
            <w:pPr>
              <w:spacing w:line="360" w:lineRule="exact"/>
              <w:ind w:firstLine="0" w:firstLineChars="0"/>
              <w:contextualSpacing/>
              <w:jc w:val="center"/>
              <w:rPr>
                <w:sz w:val="21"/>
                <w:szCs w:val="21"/>
              </w:rPr>
            </w:pPr>
            <w:r>
              <w:rPr>
                <w:sz w:val="21"/>
                <w:szCs w:val="21"/>
              </w:rPr>
              <w:t>叠加值</w:t>
            </w:r>
          </w:p>
        </w:tc>
        <w:tc>
          <w:tcPr>
            <w:tcW w:w="558" w:type="pct"/>
            <w:vAlign w:val="center"/>
          </w:tcPr>
          <w:p>
            <w:pPr>
              <w:spacing w:line="360" w:lineRule="exact"/>
              <w:ind w:firstLine="0" w:firstLineChars="0"/>
              <w:contextualSpacing/>
              <w:jc w:val="center"/>
              <w:rPr>
                <w:sz w:val="21"/>
                <w:szCs w:val="21"/>
              </w:rPr>
            </w:pPr>
            <w:r>
              <w:rPr>
                <w:sz w:val="21"/>
                <w:szCs w:val="21"/>
              </w:rPr>
              <w:t>标准值</w:t>
            </w:r>
          </w:p>
        </w:tc>
        <w:tc>
          <w:tcPr>
            <w:tcW w:w="494" w:type="pct"/>
            <w:vAlign w:val="center"/>
          </w:tcPr>
          <w:p>
            <w:pPr>
              <w:spacing w:line="360" w:lineRule="exact"/>
              <w:ind w:firstLine="0" w:firstLineChars="0"/>
              <w:contextualSpacing/>
              <w:jc w:val="center"/>
              <w:rPr>
                <w:sz w:val="21"/>
                <w:szCs w:val="21"/>
              </w:rPr>
            </w:pPr>
            <w:r>
              <w:rPr>
                <w:sz w:val="21"/>
                <w:szCs w:val="21"/>
              </w:rPr>
              <w:t>达标</w:t>
            </w:r>
          </w:p>
          <w:p>
            <w:pPr>
              <w:spacing w:line="360" w:lineRule="exact"/>
              <w:ind w:firstLine="0" w:firstLineChars="0"/>
              <w:contextualSpacing/>
              <w:jc w:val="center"/>
              <w:rPr>
                <w:sz w:val="21"/>
                <w:szCs w:val="21"/>
              </w:rPr>
            </w:pPr>
            <w:r>
              <w:rPr>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83" w:type="pct"/>
            <w:vAlign w:val="center"/>
          </w:tcPr>
          <w:p>
            <w:pPr>
              <w:pStyle w:val="2"/>
              <w:spacing w:before="0" w:line="240" w:lineRule="auto"/>
              <w:ind w:left="0" w:firstLine="0" w:firstLineChars="0"/>
              <w:contextualSpacing/>
              <w:jc w:val="center"/>
              <w:rPr>
                <w:sz w:val="21"/>
                <w:szCs w:val="21"/>
              </w:rPr>
            </w:pPr>
            <w:r>
              <w:rPr>
                <w:rFonts w:ascii="Times New Roman"/>
                <w:sz w:val="21"/>
                <w:szCs w:val="21"/>
              </w:rPr>
              <w:t>施工道路</w:t>
            </w:r>
            <w:r>
              <w:rPr>
                <w:rFonts w:hint="eastAsia"/>
                <w:sz w:val="21"/>
                <w:szCs w:val="21"/>
              </w:rPr>
              <w:t>中心线两侧100m范围内居民点</w:t>
            </w:r>
          </w:p>
        </w:tc>
        <w:tc>
          <w:tcPr>
            <w:tcW w:w="492" w:type="pct"/>
            <w:vAlign w:val="center"/>
          </w:tcPr>
          <w:p>
            <w:pPr>
              <w:widowControl/>
              <w:spacing w:line="240" w:lineRule="auto"/>
              <w:ind w:firstLine="0" w:firstLineChars="0"/>
              <w:contextualSpacing/>
              <w:jc w:val="center"/>
              <w:rPr>
                <w:sz w:val="21"/>
                <w:szCs w:val="21"/>
              </w:rPr>
            </w:pPr>
            <w:r>
              <w:rPr>
                <w:rFonts w:hint="eastAsia"/>
                <w:sz w:val="21"/>
                <w:szCs w:val="21"/>
              </w:rPr>
              <w:t>65</w:t>
            </w:r>
          </w:p>
        </w:tc>
        <w:tc>
          <w:tcPr>
            <w:tcW w:w="431" w:type="pct"/>
            <w:vAlign w:val="center"/>
          </w:tcPr>
          <w:p>
            <w:pPr>
              <w:spacing w:line="240" w:lineRule="auto"/>
              <w:ind w:firstLine="0" w:firstLineChars="0"/>
              <w:contextualSpacing/>
              <w:jc w:val="center"/>
              <w:rPr>
                <w:sz w:val="21"/>
                <w:szCs w:val="21"/>
              </w:rPr>
            </w:pPr>
            <w:r>
              <w:rPr>
                <w:rFonts w:hint="eastAsia"/>
                <w:sz w:val="21"/>
                <w:szCs w:val="21"/>
              </w:rPr>
              <w:t>62.92</w:t>
            </w:r>
          </w:p>
        </w:tc>
        <w:tc>
          <w:tcPr>
            <w:tcW w:w="499" w:type="pct"/>
            <w:vAlign w:val="center"/>
          </w:tcPr>
          <w:p>
            <w:pPr>
              <w:widowControl/>
              <w:spacing w:line="240" w:lineRule="auto"/>
              <w:ind w:firstLine="0" w:firstLineChars="0"/>
              <w:contextualSpacing/>
              <w:jc w:val="center"/>
              <w:rPr>
                <w:sz w:val="21"/>
                <w:szCs w:val="21"/>
              </w:rPr>
            </w:pPr>
            <w:r>
              <w:rPr>
                <w:rFonts w:hint="eastAsia"/>
                <w:sz w:val="21"/>
                <w:szCs w:val="21"/>
              </w:rPr>
              <w:t>47.09</w:t>
            </w:r>
          </w:p>
        </w:tc>
        <w:tc>
          <w:tcPr>
            <w:tcW w:w="499" w:type="pct"/>
            <w:vAlign w:val="center"/>
          </w:tcPr>
          <w:p>
            <w:pPr>
              <w:spacing w:line="240" w:lineRule="auto"/>
              <w:ind w:firstLine="0" w:firstLineChars="0"/>
              <w:contextualSpacing/>
              <w:jc w:val="center"/>
              <w:rPr>
                <w:sz w:val="21"/>
                <w:szCs w:val="21"/>
              </w:rPr>
            </w:pPr>
            <w:r>
              <w:rPr>
                <w:rFonts w:hint="eastAsia"/>
                <w:sz w:val="21"/>
                <w:szCs w:val="21"/>
              </w:rPr>
              <w:t>55</w:t>
            </w:r>
          </w:p>
        </w:tc>
        <w:tc>
          <w:tcPr>
            <w:tcW w:w="543" w:type="pct"/>
            <w:vAlign w:val="center"/>
          </w:tcPr>
          <w:p>
            <w:pPr>
              <w:spacing w:line="240" w:lineRule="auto"/>
              <w:ind w:firstLine="0" w:firstLineChars="0"/>
              <w:contextualSpacing/>
              <w:jc w:val="center"/>
              <w:rPr>
                <w:sz w:val="21"/>
                <w:szCs w:val="21"/>
              </w:rPr>
            </w:pPr>
            <w:r>
              <w:rPr>
                <w:rFonts w:hint="eastAsia"/>
                <w:sz w:val="21"/>
                <w:szCs w:val="21"/>
              </w:rPr>
              <w:t>55</w:t>
            </w:r>
          </w:p>
        </w:tc>
        <w:tc>
          <w:tcPr>
            <w:tcW w:w="558" w:type="pct"/>
            <w:vAlign w:val="center"/>
          </w:tcPr>
          <w:p>
            <w:pPr>
              <w:spacing w:line="240" w:lineRule="auto"/>
              <w:ind w:firstLine="0" w:firstLineChars="0"/>
              <w:contextualSpacing/>
              <w:jc w:val="center"/>
              <w:rPr>
                <w:sz w:val="21"/>
                <w:szCs w:val="21"/>
              </w:rPr>
            </w:pPr>
            <w:r>
              <w:rPr>
                <w:sz w:val="21"/>
                <w:szCs w:val="21"/>
              </w:rPr>
              <w:t>55</w:t>
            </w:r>
          </w:p>
        </w:tc>
        <w:tc>
          <w:tcPr>
            <w:tcW w:w="494" w:type="pct"/>
            <w:vAlign w:val="center"/>
          </w:tcPr>
          <w:p>
            <w:pPr>
              <w:spacing w:line="360" w:lineRule="exact"/>
              <w:ind w:firstLine="0" w:firstLineChars="0"/>
              <w:contextualSpacing/>
              <w:jc w:val="center"/>
              <w:rPr>
                <w:rFonts w:hint="eastAsia"/>
                <w:sz w:val="21"/>
                <w:szCs w:val="21"/>
              </w:rPr>
            </w:pPr>
            <w:r>
              <w:rPr>
                <w:rFonts w:hint="eastAsia"/>
                <w:sz w:val="21"/>
                <w:szCs w:val="21"/>
              </w:rPr>
              <w:t>达标</w:t>
            </w:r>
          </w:p>
        </w:tc>
      </w:tr>
    </w:tbl>
    <w:p>
      <w:pPr>
        <w:pStyle w:val="5"/>
        <w:ind w:firstLine="0" w:firstLineChars="0"/>
        <w:contextualSpacing/>
        <w:rPr>
          <w:rFonts w:ascii="Times New Roman" w:hAnsi="Times New Roman"/>
        </w:rPr>
      </w:pPr>
      <w:r>
        <w:rPr>
          <w:rFonts w:hint="eastAsia" w:ascii="Times New Roman" w:hAnsi="Times New Roman"/>
        </w:rPr>
        <w:t>5.5.</w:t>
      </w:r>
      <w:r>
        <w:rPr>
          <w:rFonts w:ascii="Times New Roman" w:hAnsi="Times New Roman"/>
        </w:rPr>
        <w:t>5敏感点保护措施</w:t>
      </w:r>
    </w:p>
    <w:p>
      <w:pPr>
        <w:ind w:firstLine="480"/>
        <w:contextualSpacing/>
      </w:pPr>
      <w:r>
        <w:t>根据预测结果，本工程区分布的部分居民点昼间和夜间噪声均存在不同程度的超标现象，需增加对敏感点的防护措施。</w:t>
      </w:r>
    </w:p>
    <w:p>
      <w:pPr>
        <w:ind w:firstLine="480"/>
        <w:contextualSpacing/>
      </w:pPr>
      <w:r>
        <w:t>（1）优化施工布置，将高噪声混凝土拌和系统远离居民点布置；合理安排施工时间，禁止夜间施工；</w:t>
      </w:r>
    </w:p>
    <w:p>
      <w:pPr>
        <w:ind w:firstLine="480"/>
        <w:contextualSpacing/>
      </w:pPr>
      <w:r>
        <w:t>（2）合理安排施工强度，合理布置机械设备，避免在同一地点集中布置过多强噪声设备；</w:t>
      </w:r>
    </w:p>
    <w:p>
      <w:pPr>
        <w:ind w:firstLine="480"/>
        <w:contextualSpacing/>
      </w:pPr>
      <w:r>
        <w:t>（3）对夜间超标的敏感点，施工前及时告知受影响居民，做好宣传工作，取得其理解和支持，合理安排施工时间，尽量避开午间居民休息时段施工。</w:t>
      </w:r>
    </w:p>
    <w:bookmarkEnd w:id="762"/>
    <w:bookmarkEnd w:id="763"/>
    <w:bookmarkEnd w:id="764"/>
    <w:bookmarkEnd w:id="765"/>
    <w:p>
      <w:pPr>
        <w:pStyle w:val="5"/>
        <w:ind w:firstLine="0" w:firstLineChars="0"/>
        <w:contextualSpacing/>
        <w:rPr>
          <w:rFonts w:ascii="Times New Roman" w:hAnsi="Times New Roman"/>
        </w:rPr>
      </w:pPr>
      <w:bookmarkStart w:id="769" w:name="_Toc6375"/>
      <w:bookmarkStart w:id="770" w:name="_Toc5061"/>
      <w:bookmarkStart w:id="771" w:name="_Toc1621"/>
      <w:r>
        <w:rPr>
          <w:rFonts w:ascii="Times New Roman" w:hAnsi="Times New Roman"/>
        </w:rPr>
        <w:t>5.5.</w:t>
      </w:r>
      <w:bookmarkEnd w:id="769"/>
      <w:bookmarkEnd w:id="770"/>
      <w:bookmarkEnd w:id="771"/>
      <w:r>
        <w:rPr>
          <w:rFonts w:ascii="Times New Roman" w:hAnsi="Times New Roman"/>
        </w:rPr>
        <w:t>6水库运行</w:t>
      </w:r>
      <w:r>
        <w:rPr>
          <w:rFonts w:hint="eastAsia" w:ascii="Times New Roman" w:hAnsi="Times New Roman"/>
        </w:rPr>
        <w:t>噪声</w:t>
      </w:r>
      <w:r>
        <w:rPr>
          <w:rFonts w:ascii="Times New Roman" w:hAnsi="Times New Roman"/>
        </w:rPr>
        <w:t>影响分析</w:t>
      </w:r>
    </w:p>
    <w:p>
      <w:pPr>
        <w:ind w:firstLine="420" w:firstLineChars="0"/>
        <w:contextualSpacing/>
      </w:pPr>
      <w:r>
        <w:t>工程运行期产生的噪声主要是汛期泄洪时的水流声，根据区内有关同类工程的资料，泄洪噪声随距离增大而衰减。本工程大坝附近除管理用房外，无其他居民点，另外考虑到泄洪噪声随汛期具有暂时性，因此汛期泄洪噪声对周边声环境影响较小。</w:t>
      </w:r>
    </w:p>
    <w:p>
      <w:pPr>
        <w:pStyle w:val="4"/>
        <w:ind w:firstLine="0" w:firstLineChars="0"/>
        <w:contextualSpacing/>
      </w:pPr>
      <w:bookmarkStart w:id="772" w:name="_Toc14017"/>
      <w:bookmarkStart w:id="773" w:name="_Toc2201"/>
      <w:bookmarkStart w:id="774" w:name="_Toc14417"/>
      <w:bookmarkStart w:id="775" w:name="_Toc19541"/>
      <w:bookmarkStart w:id="776" w:name="_Toc130753439"/>
      <w:r>
        <w:t>5.6固体废物影响分析</w:t>
      </w:r>
      <w:bookmarkEnd w:id="772"/>
      <w:bookmarkEnd w:id="773"/>
      <w:bookmarkEnd w:id="774"/>
      <w:bookmarkEnd w:id="775"/>
      <w:bookmarkEnd w:id="776"/>
    </w:p>
    <w:p>
      <w:pPr>
        <w:pStyle w:val="5"/>
        <w:ind w:firstLine="0" w:firstLineChars="0"/>
        <w:contextualSpacing/>
        <w:rPr>
          <w:rFonts w:ascii="Times New Roman" w:hAnsi="Times New Roman"/>
        </w:rPr>
      </w:pPr>
      <w:bookmarkStart w:id="777" w:name="_Toc16312"/>
      <w:bookmarkStart w:id="778" w:name="_Toc10133"/>
      <w:bookmarkStart w:id="779" w:name="_Toc13980"/>
      <w:r>
        <w:rPr>
          <w:rFonts w:ascii="Times New Roman" w:hAnsi="Times New Roman"/>
        </w:rPr>
        <w:t>5.6.1施工期</w:t>
      </w:r>
      <w:bookmarkEnd w:id="777"/>
      <w:bookmarkEnd w:id="778"/>
      <w:bookmarkEnd w:id="779"/>
      <w:r>
        <w:rPr>
          <w:rFonts w:ascii="Times New Roman" w:hAnsi="Times New Roman"/>
        </w:rPr>
        <w:t>影响分析</w:t>
      </w:r>
    </w:p>
    <w:p>
      <w:pPr>
        <w:ind w:firstLine="480"/>
        <w:contextualSpacing/>
      </w:pPr>
      <w:r>
        <w:t>（1）生活垃圾影响</w:t>
      </w:r>
    </w:p>
    <w:p>
      <w:pPr>
        <w:ind w:firstLine="480"/>
        <w:contextualSpacing/>
      </w:pPr>
      <w:r>
        <w:t>根据工程分析，工程施工期生活垃圾产生总量约</w:t>
      </w:r>
      <w:r>
        <w:rPr>
          <w:rFonts w:hint="eastAsia"/>
        </w:rPr>
        <w:t>312.6</w:t>
      </w:r>
      <w:r>
        <w:t>t。工程产生的生活垃圾若不及时进行处理，其堆放和垃圾渗滤液的排放，不仅会破坏当地土地资源、植被和景观，还将可能污染当地地表水和地下水，成为流行性疾病的疫源地。</w:t>
      </w:r>
    </w:p>
    <w:p>
      <w:pPr>
        <w:ind w:firstLine="480"/>
        <w:contextualSpacing/>
      </w:pPr>
      <w:r>
        <w:t>（2）建筑垃圾</w:t>
      </w:r>
    </w:p>
    <w:p>
      <w:pPr>
        <w:ind w:firstLine="480"/>
        <w:contextualSpacing/>
      </w:pPr>
      <w:r>
        <w:t>建筑垃圾主要是工程竣工阶段临时工程拆除和地面清理产生的砖瓦、混凝土块及弃土等。这些建筑垃圾若不及时处理，将影响临时用地的恢复和生态重建。</w:t>
      </w:r>
    </w:p>
    <w:p>
      <w:pPr>
        <w:ind w:firstLine="480"/>
        <w:contextualSpacing/>
      </w:pPr>
      <w:r>
        <w:t>（3）工程弃渣</w:t>
      </w:r>
    </w:p>
    <w:p>
      <w:pPr>
        <w:ind w:firstLine="480"/>
        <w:contextualSpacing/>
      </w:pPr>
      <w:r>
        <w:t>弃渣若随意堆放，不但会占压土地，破坏地表植被，影响景观，并且在降雨时会产生水土流失，弃渣场占压旱地及林地等用地还会造成土地生产力减退，因此，工程弃渣必须运至指定的弃渣场堆放。</w:t>
      </w:r>
    </w:p>
    <w:p>
      <w:pPr>
        <w:ind w:firstLine="480"/>
        <w:contextualSpacing/>
      </w:pPr>
      <w:r>
        <w:t>弃渣场必须满足施工堆渣的需要，布设在附近冲沟低洼地、荒坡地等，尽量靠近施工现场，以减少弃渣运距；尽量少占耕地，严禁直接倾入水库、沟道、河流，防止乱堆、乱弃而产生新的水土流失；尽量避开风景优良的场地和四级以上高等级公路的视野范围；尽量避开生态敏感区及旅游景点。遵循以上选址原则，本工程枢纽工程规划布置了5个弃渣场，用于枢纽建筑物和库区还建道路施工弃渣。</w:t>
      </w:r>
    </w:p>
    <w:p>
      <w:pPr>
        <w:pStyle w:val="5"/>
        <w:ind w:firstLine="0" w:firstLineChars="0"/>
        <w:contextualSpacing/>
        <w:rPr>
          <w:rFonts w:ascii="Times New Roman" w:hAnsi="Times New Roman"/>
        </w:rPr>
      </w:pPr>
      <w:bookmarkStart w:id="780" w:name="_Toc20673"/>
      <w:bookmarkStart w:id="781" w:name="_Toc25186"/>
      <w:bookmarkStart w:id="782" w:name="_Toc3457"/>
      <w:r>
        <w:rPr>
          <w:rFonts w:ascii="Times New Roman" w:hAnsi="Times New Roman"/>
        </w:rPr>
        <w:t>5.6.2运行期</w:t>
      </w:r>
      <w:bookmarkEnd w:id="780"/>
      <w:bookmarkEnd w:id="781"/>
      <w:bookmarkEnd w:id="782"/>
      <w:r>
        <w:rPr>
          <w:rFonts w:ascii="Times New Roman" w:hAnsi="Times New Roman"/>
        </w:rPr>
        <w:t>影响分析</w:t>
      </w:r>
    </w:p>
    <w:p>
      <w:pPr>
        <w:ind w:firstLine="480"/>
        <w:contextualSpacing/>
      </w:pPr>
      <w:r>
        <w:t>运行期产生的固体废物主要为管理区的生活垃圾，日产生生活垃圾约为47kg/d。运行期生活垃圾产生量较少，但若不加以收集和处理，随意弃置，将对本工程周围环境产生一定影响。</w:t>
      </w:r>
    </w:p>
    <w:p>
      <w:pPr>
        <w:pStyle w:val="4"/>
        <w:ind w:firstLine="0" w:firstLineChars="0"/>
        <w:contextualSpacing/>
      </w:pPr>
      <w:bookmarkStart w:id="783" w:name="_Toc130753440"/>
      <w:bookmarkStart w:id="784" w:name="_Toc11540"/>
      <w:bookmarkStart w:id="785" w:name="_Toc32212"/>
      <w:bookmarkStart w:id="786" w:name="_Toc7438"/>
      <w:bookmarkStart w:id="787" w:name="_Toc7245"/>
      <w:r>
        <w:t>5.7土壤环境影响分析</w:t>
      </w:r>
      <w:bookmarkEnd w:id="783"/>
    </w:p>
    <w:p>
      <w:pPr>
        <w:pStyle w:val="5"/>
        <w:ind w:firstLine="0" w:firstLineChars="0"/>
        <w:contextualSpacing/>
        <w:rPr>
          <w:rFonts w:ascii="Times New Roman" w:hAnsi="Times New Roman"/>
        </w:rPr>
      </w:pPr>
      <w:r>
        <w:rPr>
          <w:rFonts w:ascii="Times New Roman" w:hAnsi="Times New Roman"/>
        </w:rPr>
        <w:t>5.7.1  施工期影响</w:t>
      </w:r>
    </w:p>
    <w:p>
      <w:pPr>
        <w:ind w:firstLine="480"/>
        <w:contextualSpacing/>
        <w:rPr>
          <w:kern w:val="10"/>
        </w:rPr>
      </w:pPr>
      <w:r>
        <w:rPr>
          <w:kern w:val="10"/>
        </w:rPr>
        <w:t xml:space="preserve">工程施工期各类废污水处理后回用或达标排放，生活垃圾运至垃圾填埋场处置，危险废物运送至危险废物处置中心处置，在采取上述措施后，施工期各类污染物对工程区土壤环境污染影响很小。 </w:t>
      </w:r>
    </w:p>
    <w:p>
      <w:pPr>
        <w:ind w:firstLine="480"/>
        <w:contextualSpacing/>
        <w:rPr>
          <w:kern w:val="10"/>
        </w:rPr>
      </w:pPr>
      <w:r>
        <w:rPr>
          <w:kern w:val="10"/>
        </w:rPr>
        <w:t>施工期施工作业产生的表土扰动、弃渣等将造成扰动区表层土壤环境的破坏，对其产生不利影响，因此，应对扰动区表土进行收集并单独存放，在施工结束后用于扰动区的植被恢复，减缓施工活动对土壤环境产生的影响。</w:t>
      </w:r>
    </w:p>
    <w:p>
      <w:pPr>
        <w:pStyle w:val="5"/>
        <w:ind w:firstLine="0" w:firstLineChars="0"/>
        <w:contextualSpacing/>
        <w:rPr>
          <w:rFonts w:ascii="Times New Roman" w:hAnsi="Times New Roman"/>
        </w:rPr>
      </w:pPr>
      <w:r>
        <w:rPr>
          <w:rFonts w:ascii="Times New Roman" w:hAnsi="Times New Roman"/>
        </w:rPr>
        <w:t>5.7.2  运行期影响</w:t>
      </w:r>
    </w:p>
    <w:p>
      <w:pPr>
        <w:ind w:firstLine="480"/>
        <w:contextualSpacing/>
        <w:rPr>
          <w:kern w:val="10"/>
        </w:rPr>
      </w:pPr>
      <w:r>
        <w:rPr>
          <w:kern w:val="10"/>
        </w:rPr>
        <w:t xml:space="preserve">a） 对库区土壤环境的影响 </w:t>
      </w:r>
    </w:p>
    <w:p>
      <w:pPr>
        <w:ind w:firstLine="480"/>
        <w:contextualSpacing/>
        <w:rPr>
          <w:kern w:val="10"/>
        </w:rPr>
      </w:pPr>
      <w:r>
        <w:rPr>
          <w:kern w:val="10"/>
        </w:rPr>
        <w:t xml:space="preserve">工程运行期主要污染物为业主营地生活污水和厂房油污水，经处理达标后回用或外排，不会引起土壤的盐化、酸化、碱化。 </w:t>
      </w:r>
    </w:p>
    <w:p>
      <w:pPr>
        <w:ind w:firstLine="480"/>
        <w:contextualSpacing/>
        <w:rPr>
          <w:kern w:val="10"/>
        </w:rPr>
      </w:pPr>
      <w:r>
        <w:rPr>
          <w:kern w:val="10"/>
        </w:rPr>
        <w:t xml:space="preserve">运行期水库蓄水可能造成周边土壤的盐化现象，对水库蓄水可能引起的盐化影响采用《环境影响评价技术导则 土壤环境（试行）》（HJ964-2018）中的附录F“土壤盐化综合评分预测方法”进行预测评价。 </w:t>
      </w:r>
    </w:p>
    <w:p>
      <w:pPr>
        <w:ind w:firstLine="480"/>
        <w:contextualSpacing/>
        <w:rPr>
          <w:kern w:val="10"/>
        </w:rPr>
      </w:pPr>
      <w:r>
        <w:rPr>
          <w:kern w:val="10"/>
        </w:rPr>
        <w:t>1） 土壤盐化综合评分法</w:t>
      </w:r>
    </w:p>
    <w:p>
      <w:pPr>
        <w:ind w:firstLine="480"/>
        <w:contextualSpacing/>
        <w:rPr>
          <w:kern w:val="10"/>
        </w:rPr>
      </w:pPr>
      <w:r>
        <w:rPr>
          <w:kern w:val="10"/>
        </w:rPr>
        <w:t>采用公示5.2-1计算土壤盐化综合评分值（Sa），具体如下：</w:t>
      </w:r>
    </w:p>
    <w:p>
      <w:pPr>
        <w:ind w:firstLine="480"/>
        <w:contextualSpacing/>
        <w:jc w:val="center"/>
      </w:pPr>
      <w:r>
        <w:rPr>
          <w:lang w:val="zh-CN"/>
        </w:rPr>
        <w:object>
          <v:shape id="_x0000_i1099" o:spt="75" type="#_x0000_t75" style="height:30.1pt;width:146.6pt;" o:ole="t" filled="f" o:preferrelative="t" stroked="f" coordsize="21600,21600">
            <v:path/>
            <v:fill on="f" focussize="0,0"/>
            <v:stroke on="f" joinstyle="miter"/>
            <v:imagedata r:id="rId221" o:title=""/>
            <o:lock v:ext="edit" aspectratio="t"/>
            <w10:wrap type="none"/>
            <w10:anchorlock/>
          </v:shape>
          <o:OLEObject Type="Embed" ProgID="Picture.PicObj.1" ShapeID="_x0000_i1099" DrawAspect="Content" ObjectID="_1468075798" r:id="rId220">
            <o:LockedField>false</o:LockedField>
          </o:OLEObject>
        </w:object>
      </w:r>
    </w:p>
    <w:p>
      <w:pPr>
        <w:ind w:firstLine="480"/>
        <w:contextualSpacing/>
      </w:pPr>
      <w:r>
        <w:t xml:space="preserve">式中：n—影响因素指标数目； </w:t>
      </w:r>
    </w:p>
    <w:p>
      <w:pPr>
        <w:ind w:firstLine="1200" w:firstLineChars="500"/>
        <w:contextualSpacing/>
      </w:pPr>
      <w:r>
        <w:t xml:space="preserve">Ixi—影响因素 i 指标评分； </w:t>
      </w:r>
    </w:p>
    <w:p>
      <w:pPr>
        <w:ind w:firstLine="1200" w:firstLineChars="500"/>
        <w:contextualSpacing/>
      </w:pPr>
      <w:r>
        <w:t xml:space="preserve">Wxi—影响因素 i 指标权重。 </w:t>
      </w:r>
    </w:p>
    <w:p>
      <w:pPr>
        <w:ind w:firstLine="480"/>
        <w:contextualSpacing/>
        <w:rPr>
          <w:kern w:val="10"/>
        </w:rPr>
      </w:pPr>
      <w:r>
        <w:rPr>
          <w:kern w:val="10"/>
        </w:rPr>
        <w:t xml:space="preserve">2） 土壤盐化影响因素赋值 </w:t>
      </w:r>
    </w:p>
    <w:p>
      <w:pPr>
        <w:ind w:firstLine="480"/>
        <w:contextualSpacing/>
        <w:rPr>
          <w:kern w:val="10"/>
        </w:rPr>
      </w:pPr>
      <w:r>
        <w:rPr>
          <w:kern w:val="10"/>
        </w:rPr>
        <w:t>根据《环境影响评价技术导则 土壤环境（试行）》（HJ964-2018），土壤盐化影响因素赋值情况见表5.7.2-1。</w:t>
      </w:r>
    </w:p>
    <w:p>
      <w:pPr>
        <w:pStyle w:val="114"/>
        <w:snapToGrid/>
        <w:ind w:firstLine="0" w:firstLineChars="0"/>
        <w:contextualSpacing/>
        <w:jc w:val="center"/>
        <w:rPr>
          <w:rFonts w:ascii="Times New Roman" w:hAnsi="Times New Roman" w:cs="Times New Roman"/>
          <w:lang w:val="zh-CN"/>
        </w:rPr>
      </w:pPr>
      <w:r>
        <w:rPr>
          <w:rFonts w:ascii="Times New Roman" w:hAnsi="Times New Roman" w:cs="Times New Roman"/>
          <w:lang w:val="zh-CN"/>
        </w:rPr>
        <w:t>表5.7.2-1  土壤盐化影响因素赋值表</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096"/>
        <w:gridCol w:w="1640"/>
        <w:gridCol w:w="1552"/>
        <w:gridCol w:w="1333"/>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Merge w:val="restart"/>
            <w:vAlign w:val="center"/>
          </w:tcPr>
          <w:p>
            <w:pPr>
              <w:spacing w:line="240" w:lineRule="auto"/>
              <w:ind w:firstLine="0" w:firstLineChars="0"/>
              <w:contextualSpacing/>
              <w:jc w:val="center"/>
              <w:rPr>
                <w:sz w:val="21"/>
              </w:rPr>
            </w:pPr>
            <w:r>
              <w:rPr>
                <w:sz w:val="21"/>
              </w:rPr>
              <w:t>影响因素</w:t>
            </w:r>
          </w:p>
        </w:tc>
        <w:tc>
          <w:tcPr>
            <w:tcW w:w="3345" w:type="pct"/>
            <w:gridSpan w:val="4"/>
            <w:vAlign w:val="center"/>
          </w:tcPr>
          <w:p>
            <w:pPr>
              <w:spacing w:line="240" w:lineRule="auto"/>
              <w:ind w:firstLine="0" w:firstLineChars="0"/>
              <w:contextualSpacing/>
              <w:jc w:val="center"/>
              <w:rPr>
                <w:sz w:val="21"/>
              </w:rPr>
            </w:pPr>
            <w:r>
              <w:rPr>
                <w:sz w:val="21"/>
              </w:rPr>
              <w:t>分值</w:t>
            </w:r>
          </w:p>
        </w:tc>
        <w:tc>
          <w:tcPr>
            <w:tcW w:w="368" w:type="pct"/>
            <w:vMerge w:val="restart"/>
            <w:vAlign w:val="center"/>
          </w:tcPr>
          <w:p>
            <w:pPr>
              <w:spacing w:line="240" w:lineRule="auto"/>
              <w:ind w:firstLine="0" w:firstLineChars="0"/>
              <w:contextualSpacing/>
              <w:jc w:val="center"/>
              <w:rPr>
                <w:sz w:val="21"/>
              </w:rPr>
            </w:pPr>
            <w:r>
              <w:rPr>
                <w:sz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Merge w:val="continue"/>
            <w:vAlign w:val="center"/>
          </w:tcPr>
          <w:p>
            <w:pPr>
              <w:spacing w:line="240" w:lineRule="auto"/>
              <w:ind w:firstLine="0" w:firstLineChars="0"/>
              <w:contextualSpacing/>
              <w:jc w:val="center"/>
              <w:rPr>
                <w:sz w:val="21"/>
              </w:rPr>
            </w:pPr>
          </w:p>
        </w:tc>
        <w:tc>
          <w:tcPr>
            <w:tcW w:w="606" w:type="pct"/>
            <w:vAlign w:val="center"/>
          </w:tcPr>
          <w:p>
            <w:pPr>
              <w:spacing w:line="240" w:lineRule="auto"/>
              <w:ind w:firstLine="0" w:firstLineChars="0"/>
              <w:contextualSpacing/>
              <w:jc w:val="center"/>
              <w:rPr>
                <w:sz w:val="21"/>
              </w:rPr>
            </w:pPr>
            <w:r>
              <w:rPr>
                <w:sz w:val="21"/>
              </w:rPr>
              <w:t>0分</w:t>
            </w:r>
          </w:p>
        </w:tc>
        <w:tc>
          <w:tcPr>
            <w:tcW w:w="992" w:type="pct"/>
            <w:vAlign w:val="center"/>
          </w:tcPr>
          <w:p>
            <w:pPr>
              <w:spacing w:line="240" w:lineRule="auto"/>
              <w:ind w:firstLine="0" w:firstLineChars="0"/>
              <w:contextualSpacing/>
              <w:jc w:val="center"/>
              <w:rPr>
                <w:sz w:val="21"/>
              </w:rPr>
            </w:pPr>
            <w:r>
              <w:rPr>
                <w:sz w:val="21"/>
              </w:rPr>
              <w:t>2分</w:t>
            </w:r>
          </w:p>
        </w:tc>
        <w:tc>
          <w:tcPr>
            <w:tcW w:w="939" w:type="pct"/>
            <w:vAlign w:val="center"/>
          </w:tcPr>
          <w:p>
            <w:pPr>
              <w:spacing w:line="240" w:lineRule="auto"/>
              <w:ind w:firstLine="0" w:firstLineChars="0"/>
              <w:contextualSpacing/>
              <w:jc w:val="center"/>
              <w:rPr>
                <w:sz w:val="21"/>
              </w:rPr>
            </w:pPr>
            <w:r>
              <w:rPr>
                <w:sz w:val="21"/>
              </w:rPr>
              <w:t>4分</w:t>
            </w:r>
          </w:p>
        </w:tc>
        <w:tc>
          <w:tcPr>
            <w:tcW w:w="807" w:type="pct"/>
            <w:vAlign w:val="center"/>
          </w:tcPr>
          <w:p>
            <w:pPr>
              <w:spacing w:line="240" w:lineRule="auto"/>
              <w:ind w:firstLine="0" w:firstLineChars="0"/>
              <w:contextualSpacing/>
              <w:jc w:val="center"/>
              <w:rPr>
                <w:sz w:val="21"/>
              </w:rPr>
            </w:pPr>
            <w:r>
              <w:rPr>
                <w:sz w:val="21"/>
              </w:rPr>
              <w:t>6分</w:t>
            </w:r>
          </w:p>
        </w:tc>
        <w:tc>
          <w:tcPr>
            <w:tcW w:w="368" w:type="pct"/>
            <w:vMerge w:val="continue"/>
            <w:vAlign w:val="center"/>
          </w:tcPr>
          <w:p>
            <w:pPr>
              <w:spacing w:line="240" w:lineRule="auto"/>
              <w:ind w:firstLine="0" w:firstLineChars="0"/>
              <w:contextualSpacing/>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Align w:val="center"/>
          </w:tcPr>
          <w:p>
            <w:pPr>
              <w:spacing w:line="240" w:lineRule="auto"/>
              <w:ind w:firstLine="0" w:firstLineChars="0"/>
              <w:contextualSpacing/>
              <w:jc w:val="center"/>
              <w:rPr>
                <w:sz w:val="21"/>
              </w:rPr>
            </w:pPr>
            <w:r>
              <w:rPr>
                <w:sz w:val="21"/>
              </w:rPr>
              <w:t>地下水位埋深（GWD）/（m）</w:t>
            </w:r>
          </w:p>
        </w:tc>
        <w:tc>
          <w:tcPr>
            <w:tcW w:w="606" w:type="pct"/>
            <w:vAlign w:val="center"/>
          </w:tcPr>
          <w:p>
            <w:pPr>
              <w:spacing w:line="240" w:lineRule="auto"/>
              <w:ind w:firstLine="0" w:firstLineChars="0"/>
              <w:contextualSpacing/>
              <w:jc w:val="center"/>
              <w:rPr>
                <w:sz w:val="21"/>
              </w:rPr>
            </w:pPr>
            <w:r>
              <w:rPr>
                <w:sz w:val="21"/>
              </w:rPr>
              <w:t>GWD≥2.5</w:t>
            </w:r>
          </w:p>
        </w:tc>
        <w:tc>
          <w:tcPr>
            <w:tcW w:w="992" w:type="pct"/>
            <w:vAlign w:val="center"/>
          </w:tcPr>
          <w:p>
            <w:pPr>
              <w:spacing w:line="240" w:lineRule="auto"/>
              <w:ind w:firstLine="0" w:firstLineChars="0"/>
              <w:contextualSpacing/>
              <w:jc w:val="center"/>
              <w:rPr>
                <w:sz w:val="21"/>
              </w:rPr>
            </w:pPr>
            <w:r>
              <w:rPr>
                <w:sz w:val="21"/>
              </w:rPr>
              <w:t>1.5≤GWD＜2.5</w:t>
            </w:r>
          </w:p>
        </w:tc>
        <w:tc>
          <w:tcPr>
            <w:tcW w:w="939" w:type="pct"/>
            <w:vAlign w:val="center"/>
          </w:tcPr>
          <w:p>
            <w:pPr>
              <w:spacing w:line="240" w:lineRule="auto"/>
              <w:ind w:firstLine="0" w:firstLineChars="0"/>
              <w:contextualSpacing/>
              <w:jc w:val="center"/>
              <w:rPr>
                <w:sz w:val="21"/>
              </w:rPr>
            </w:pPr>
            <w:r>
              <w:rPr>
                <w:sz w:val="21"/>
              </w:rPr>
              <w:t>1.0≤GWD＜1.5</w:t>
            </w:r>
          </w:p>
        </w:tc>
        <w:tc>
          <w:tcPr>
            <w:tcW w:w="807" w:type="pct"/>
            <w:vAlign w:val="center"/>
          </w:tcPr>
          <w:p>
            <w:pPr>
              <w:spacing w:line="240" w:lineRule="auto"/>
              <w:ind w:firstLine="0" w:firstLineChars="0"/>
              <w:contextualSpacing/>
              <w:jc w:val="center"/>
              <w:rPr>
                <w:sz w:val="21"/>
              </w:rPr>
            </w:pPr>
            <w:r>
              <w:rPr>
                <w:sz w:val="21"/>
              </w:rPr>
              <w:t>GWD＜1.0</w:t>
            </w:r>
          </w:p>
        </w:tc>
        <w:tc>
          <w:tcPr>
            <w:tcW w:w="368" w:type="pct"/>
            <w:vAlign w:val="center"/>
          </w:tcPr>
          <w:p>
            <w:pPr>
              <w:spacing w:line="240" w:lineRule="auto"/>
              <w:ind w:firstLine="0" w:firstLineChars="0"/>
              <w:contextualSpacing/>
              <w:jc w:val="center"/>
              <w:rPr>
                <w:sz w:val="21"/>
              </w:rPr>
            </w:pPr>
            <w:r>
              <w:rPr>
                <w:sz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Align w:val="center"/>
          </w:tcPr>
          <w:p>
            <w:pPr>
              <w:spacing w:line="240" w:lineRule="auto"/>
              <w:ind w:firstLine="0" w:firstLineChars="0"/>
              <w:contextualSpacing/>
              <w:jc w:val="center"/>
              <w:rPr>
                <w:sz w:val="21"/>
              </w:rPr>
            </w:pPr>
            <w:r>
              <w:rPr>
                <w:sz w:val="21"/>
              </w:rPr>
              <w:t>干燥度（蒸降比值）（EPR）</w:t>
            </w:r>
          </w:p>
        </w:tc>
        <w:tc>
          <w:tcPr>
            <w:tcW w:w="606" w:type="pct"/>
            <w:vAlign w:val="center"/>
          </w:tcPr>
          <w:p>
            <w:pPr>
              <w:spacing w:line="240" w:lineRule="auto"/>
              <w:ind w:firstLine="0" w:firstLineChars="0"/>
              <w:contextualSpacing/>
              <w:jc w:val="center"/>
              <w:rPr>
                <w:sz w:val="21"/>
              </w:rPr>
            </w:pPr>
            <w:r>
              <w:rPr>
                <w:sz w:val="21"/>
              </w:rPr>
              <w:t>EPR＜1.2</w:t>
            </w:r>
          </w:p>
        </w:tc>
        <w:tc>
          <w:tcPr>
            <w:tcW w:w="992" w:type="pct"/>
            <w:vAlign w:val="center"/>
          </w:tcPr>
          <w:p>
            <w:pPr>
              <w:spacing w:line="240" w:lineRule="auto"/>
              <w:ind w:firstLine="0" w:firstLineChars="0"/>
              <w:contextualSpacing/>
              <w:jc w:val="center"/>
              <w:rPr>
                <w:sz w:val="21"/>
              </w:rPr>
            </w:pPr>
            <w:r>
              <w:rPr>
                <w:sz w:val="21"/>
              </w:rPr>
              <w:t>1.2≤EPR＜2.5</w:t>
            </w:r>
          </w:p>
        </w:tc>
        <w:tc>
          <w:tcPr>
            <w:tcW w:w="939" w:type="pct"/>
            <w:vAlign w:val="center"/>
          </w:tcPr>
          <w:p>
            <w:pPr>
              <w:spacing w:line="240" w:lineRule="auto"/>
              <w:ind w:firstLine="0" w:firstLineChars="0"/>
              <w:contextualSpacing/>
              <w:jc w:val="center"/>
              <w:rPr>
                <w:sz w:val="21"/>
              </w:rPr>
            </w:pPr>
            <w:r>
              <w:rPr>
                <w:sz w:val="21"/>
              </w:rPr>
              <w:t>2.5≤EPR＜6</w:t>
            </w:r>
          </w:p>
        </w:tc>
        <w:tc>
          <w:tcPr>
            <w:tcW w:w="807" w:type="pct"/>
            <w:vAlign w:val="center"/>
          </w:tcPr>
          <w:p>
            <w:pPr>
              <w:spacing w:line="240" w:lineRule="auto"/>
              <w:ind w:firstLine="0" w:firstLineChars="0"/>
              <w:contextualSpacing/>
              <w:jc w:val="center"/>
              <w:rPr>
                <w:sz w:val="21"/>
              </w:rPr>
            </w:pPr>
            <w:r>
              <w:rPr>
                <w:sz w:val="21"/>
              </w:rPr>
              <w:t>EPR≥6</w:t>
            </w:r>
          </w:p>
        </w:tc>
        <w:tc>
          <w:tcPr>
            <w:tcW w:w="368" w:type="pct"/>
            <w:vAlign w:val="center"/>
          </w:tcPr>
          <w:p>
            <w:pPr>
              <w:spacing w:line="240" w:lineRule="auto"/>
              <w:ind w:firstLine="0" w:firstLineChars="0"/>
              <w:contextualSpacing/>
              <w:jc w:val="center"/>
              <w:rPr>
                <w:sz w:val="21"/>
              </w:rPr>
            </w:pPr>
            <w:r>
              <w:rPr>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Align w:val="center"/>
          </w:tcPr>
          <w:p>
            <w:pPr>
              <w:spacing w:line="240" w:lineRule="auto"/>
              <w:ind w:firstLine="0" w:firstLineChars="0"/>
              <w:contextualSpacing/>
              <w:jc w:val="center"/>
              <w:rPr>
                <w:sz w:val="21"/>
              </w:rPr>
            </w:pPr>
            <w:r>
              <w:rPr>
                <w:sz w:val="21"/>
              </w:rPr>
              <w:t>土壤本底含盐量</w:t>
            </w:r>
          </w:p>
          <w:p>
            <w:pPr>
              <w:spacing w:line="240" w:lineRule="auto"/>
              <w:ind w:firstLine="0" w:firstLineChars="0"/>
              <w:contextualSpacing/>
              <w:jc w:val="center"/>
              <w:rPr>
                <w:sz w:val="21"/>
              </w:rPr>
            </w:pPr>
            <w:r>
              <w:rPr>
                <w:sz w:val="21"/>
              </w:rPr>
              <w:t>（SSC）/（g/kg）</w:t>
            </w:r>
          </w:p>
        </w:tc>
        <w:tc>
          <w:tcPr>
            <w:tcW w:w="606" w:type="pct"/>
            <w:vAlign w:val="center"/>
          </w:tcPr>
          <w:p>
            <w:pPr>
              <w:spacing w:line="240" w:lineRule="auto"/>
              <w:ind w:firstLine="0" w:firstLineChars="0"/>
              <w:contextualSpacing/>
              <w:jc w:val="center"/>
              <w:rPr>
                <w:sz w:val="21"/>
              </w:rPr>
            </w:pPr>
            <w:r>
              <w:rPr>
                <w:sz w:val="21"/>
              </w:rPr>
              <w:t>SSC＜1</w:t>
            </w:r>
          </w:p>
        </w:tc>
        <w:tc>
          <w:tcPr>
            <w:tcW w:w="992" w:type="pct"/>
            <w:vAlign w:val="center"/>
          </w:tcPr>
          <w:p>
            <w:pPr>
              <w:spacing w:line="240" w:lineRule="auto"/>
              <w:ind w:firstLine="0" w:firstLineChars="0"/>
              <w:contextualSpacing/>
              <w:jc w:val="center"/>
              <w:rPr>
                <w:sz w:val="21"/>
              </w:rPr>
            </w:pPr>
            <w:r>
              <w:rPr>
                <w:sz w:val="21"/>
              </w:rPr>
              <w:t>1≤SSC＜2</w:t>
            </w:r>
          </w:p>
        </w:tc>
        <w:tc>
          <w:tcPr>
            <w:tcW w:w="939" w:type="pct"/>
            <w:vAlign w:val="center"/>
          </w:tcPr>
          <w:p>
            <w:pPr>
              <w:spacing w:line="240" w:lineRule="auto"/>
              <w:ind w:firstLine="0" w:firstLineChars="0"/>
              <w:contextualSpacing/>
              <w:jc w:val="center"/>
              <w:rPr>
                <w:sz w:val="21"/>
              </w:rPr>
            </w:pPr>
            <w:r>
              <w:rPr>
                <w:sz w:val="21"/>
              </w:rPr>
              <w:t>2≤SSC＜4</w:t>
            </w:r>
          </w:p>
        </w:tc>
        <w:tc>
          <w:tcPr>
            <w:tcW w:w="807" w:type="pct"/>
            <w:vAlign w:val="center"/>
          </w:tcPr>
          <w:p>
            <w:pPr>
              <w:spacing w:line="240" w:lineRule="auto"/>
              <w:ind w:firstLine="0" w:firstLineChars="0"/>
              <w:contextualSpacing/>
              <w:jc w:val="center"/>
              <w:rPr>
                <w:sz w:val="21"/>
              </w:rPr>
            </w:pPr>
            <w:r>
              <w:rPr>
                <w:sz w:val="21"/>
              </w:rPr>
              <w:t>SSC≥4</w:t>
            </w:r>
          </w:p>
        </w:tc>
        <w:tc>
          <w:tcPr>
            <w:tcW w:w="368" w:type="pct"/>
            <w:vAlign w:val="center"/>
          </w:tcPr>
          <w:p>
            <w:pPr>
              <w:spacing w:line="240" w:lineRule="auto"/>
              <w:ind w:firstLine="0" w:firstLineChars="0"/>
              <w:contextualSpacing/>
              <w:jc w:val="center"/>
              <w:rPr>
                <w:sz w:val="21"/>
              </w:rPr>
            </w:pPr>
            <w:r>
              <w:rPr>
                <w:sz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Align w:val="center"/>
          </w:tcPr>
          <w:p>
            <w:pPr>
              <w:spacing w:line="240" w:lineRule="auto"/>
              <w:ind w:firstLine="0" w:firstLineChars="0"/>
              <w:contextualSpacing/>
              <w:jc w:val="center"/>
              <w:rPr>
                <w:sz w:val="21"/>
              </w:rPr>
            </w:pPr>
            <w:r>
              <w:rPr>
                <w:sz w:val="21"/>
              </w:rPr>
              <w:t xml:space="preserve">地下水溶解性总固体 </w:t>
            </w:r>
          </w:p>
          <w:p>
            <w:pPr>
              <w:spacing w:line="240" w:lineRule="auto"/>
              <w:ind w:firstLine="0" w:firstLineChars="0"/>
              <w:contextualSpacing/>
              <w:jc w:val="center"/>
              <w:rPr>
                <w:sz w:val="21"/>
              </w:rPr>
            </w:pPr>
            <w:r>
              <w:rPr>
                <w:sz w:val="21"/>
              </w:rPr>
              <w:t>（TDS）/（g/L）</w:t>
            </w:r>
          </w:p>
        </w:tc>
        <w:tc>
          <w:tcPr>
            <w:tcW w:w="606" w:type="pct"/>
            <w:vAlign w:val="center"/>
          </w:tcPr>
          <w:p>
            <w:pPr>
              <w:spacing w:line="240" w:lineRule="auto"/>
              <w:ind w:firstLine="0" w:firstLineChars="0"/>
              <w:contextualSpacing/>
              <w:jc w:val="center"/>
              <w:rPr>
                <w:sz w:val="21"/>
              </w:rPr>
            </w:pPr>
            <w:r>
              <w:rPr>
                <w:sz w:val="21"/>
              </w:rPr>
              <w:t>TDS＜1</w:t>
            </w:r>
          </w:p>
        </w:tc>
        <w:tc>
          <w:tcPr>
            <w:tcW w:w="992" w:type="pct"/>
            <w:vAlign w:val="center"/>
          </w:tcPr>
          <w:p>
            <w:pPr>
              <w:spacing w:line="240" w:lineRule="auto"/>
              <w:ind w:firstLine="0" w:firstLineChars="0"/>
              <w:contextualSpacing/>
              <w:jc w:val="center"/>
              <w:rPr>
                <w:sz w:val="21"/>
              </w:rPr>
            </w:pPr>
            <w:r>
              <w:rPr>
                <w:sz w:val="21"/>
              </w:rPr>
              <w:t>1≤TDS＜2</w:t>
            </w:r>
          </w:p>
        </w:tc>
        <w:tc>
          <w:tcPr>
            <w:tcW w:w="939" w:type="pct"/>
            <w:vAlign w:val="center"/>
          </w:tcPr>
          <w:p>
            <w:pPr>
              <w:spacing w:line="240" w:lineRule="auto"/>
              <w:ind w:firstLine="0" w:firstLineChars="0"/>
              <w:contextualSpacing/>
              <w:jc w:val="center"/>
              <w:rPr>
                <w:sz w:val="21"/>
              </w:rPr>
            </w:pPr>
            <w:r>
              <w:rPr>
                <w:sz w:val="21"/>
              </w:rPr>
              <w:t>2≤TDS＜5</w:t>
            </w:r>
          </w:p>
        </w:tc>
        <w:tc>
          <w:tcPr>
            <w:tcW w:w="807" w:type="pct"/>
            <w:vAlign w:val="center"/>
          </w:tcPr>
          <w:p>
            <w:pPr>
              <w:spacing w:line="240" w:lineRule="auto"/>
              <w:ind w:firstLine="0" w:firstLineChars="0"/>
              <w:contextualSpacing/>
              <w:jc w:val="center"/>
              <w:rPr>
                <w:sz w:val="21"/>
              </w:rPr>
            </w:pPr>
            <w:r>
              <w:rPr>
                <w:sz w:val="21"/>
              </w:rPr>
              <w:t>TDS≥5</w:t>
            </w:r>
          </w:p>
        </w:tc>
        <w:tc>
          <w:tcPr>
            <w:tcW w:w="368" w:type="pct"/>
            <w:vAlign w:val="center"/>
          </w:tcPr>
          <w:p>
            <w:pPr>
              <w:spacing w:line="240" w:lineRule="auto"/>
              <w:ind w:firstLine="0" w:firstLineChars="0"/>
              <w:contextualSpacing/>
              <w:jc w:val="center"/>
              <w:rPr>
                <w:sz w:val="21"/>
              </w:rPr>
            </w:pPr>
            <w:r>
              <w:rPr>
                <w:sz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287" w:type="pct"/>
            <w:vAlign w:val="center"/>
          </w:tcPr>
          <w:p>
            <w:pPr>
              <w:spacing w:line="240" w:lineRule="auto"/>
              <w:ind w:firstLine="0" w:firstLineChars="0"/>
              <w:contextualSpacing/>
              <w:jc w:val="center"/>
              <w:rPr>
                <w:sz w:val="21"/>
              </w:rPr>
            </w:pPr>
            <w:r>
              <w:rPr>
                <w:sz w:val="21"/>
              </w:rPr>
              <w:t>土壤质地</w:t>
            </w:r>
          </w:p>
        </w:tc>
        <w:tc>
          <w:tcPr>
            <w:tcW w:w="606" w:type="pct"/>
            <w:vAlign w:val="center"/>
          </w:tcPr>
          <w:p>
            <w:pPr>
              <w:spacing w:line="240" w:lineRule="auto"/>
              <w:ind w:firstLine="0" w:firstLineChars="0"/>
              <w:contextualSpacing/>
              <w:jc w:val="center"/>
              <w:rPr>
                <w:sz w:val="21"/>
              </w:rPr>
            </w:pPr>
            <w:r>
              <w:rPr>
                <w:sz w:val="21"/>
              </w:rPr>
              <w:t>黏土</w:t>
            </w:r>
          </w:p>
        </w:tc>
        <w:tc>
          <w:tcPr>
            <w:tcW w:w="992" w:type="pct"/>
            <w:vAlign w:val="center"/>
          </w:tcPr>
          <w:p>
            <w:pPr>
              <w:spacing w:line="240" w:lineRule="auto"/>
              <w:ind w:firstLine="0" w:firstLineChars="0"/>
              <w:contextualSpacing/>
              <w:jc w:val="center"/>
              <w:rPr>
                <w:sz w:val="21"/>
              </w:rPr>
            </w:pPr>
            <w:r>
              <w:rPr>
                <w:sz w:val="21"/>
              </w:rPr>
              <w:t>砂土</w:t>
            </w:r>
          </w:p>
        </w:tc>
        <w:tc>
          <w:tcPr>
            <w:tcW w:w="939" w:type="pct"/>
            <w:vAlign w:val="center"/>
          </w:tcPr>
          <w:p>
            <w:pPr>
              <w:spacing w:line="240" w:lineRule="auto"/>
              <w:ind w:firstLine="0" w:firstLineChars="0"/>
              <w:contextualSpacing/>
              <w:jc w:val="center"/>
              <w:rPr>
                <w:sz w:val="21"/>
              </w:rPr>
            </w:pPr>
            <w:r>
              <w:rPr>
                <w:sz w:val="21"/>
              </w:rPr>
              <w:t>壤土</w:t>
            </w:r>
          </w:p>
        </w:tc>
        <w:tc>
          <w:tcPr>
            <w:tcW w:w="807" w:type="pct"/>
            <w:vAlign w:val="center"/>
          </w:tcPr>
          <w:p>
            <w:pPr>
              <w:spacing w:line="240" w:lineRule="auto"/>
              <w:ind w:firstLine="0" w:firstLineChars="0"/>
              <w:contextualSpacing/>
              <w:jc w:val="center"/>
              <w:rPr>
                <w:sz w:val="21"/>
              </w:rPr>
            </w:pPr>
            <w:r>
              <w:rPr>
                <w:sz w:val="21"/>
              </w:rPr>
              <w:t>砂壤、粉土、 砂粉土</w:t>
            </w:r>
          </w:p>
        </w:tc>
        <w:tc>
          <w:tcPr>
            <w:tcW w:w="368" w:type="pct"/>
            <w:vAlign w:val="center"/>
          </w:tcPr>
          <w:p>
            <w:pPr>
              <w:spacing w:line="240" w:lineRule="auto"/>
              <w:ind w:firstLine="0" w:firstLineChars="0"/>
              <w:contextualSpacing/>
              <w:jc w:val="center"/>
              <w:rPr>
                <w:sz w:val="21"/>
              </w:rPr>
            </w:pPr>
            <w:r>
              <w:rPr>
                <w:sz w:val="21"/>
              </w:rPr>
              <w:t>0.10</w:t>
            </w:r>
          </w:p>
        </w:tc>
      </w:tr>
    </w:tbl>
    <w:p>
      <w:pPr>
        <w:ind w:firstLine="480"/>
        <w:contextualSpacing/>
        <w:rPr>
          <w:kern w:val="10"/>
        </w:rPr>
      </w:pPr>
      <w:r>
        <w:rPr>
          <w:kern w:val="10"/>
        </w:rPr>
        <w:t xml:space="preserve">水库蓄水完成后，库区内地下水将升高，水库区属构造剥蚀的丘陵地貌，蔡家河为工程区最低侵蚀基准面，两岸不存在低于正常蓄水位的沟谷，库区不存在渗漏问题。工程建成后库区两侧地下水埋深仍将大于2.5m，土壤盐化影响赋值为 0分。 </w:t>
      </w:r>
    </w:p>
    <w:p>
      <w:pPr>
        <w:ind w:firstLine="480"/>
        <w:contextualSpacing/>
        <w:rPr>
          <w:kern w:val="10"/>
          <w:highlight w:val="yellow"/>
        </w:rPr>
      </w:pPr>
      <w:r>
        <w:rPr>
          <w:kern w:val="10"/>
        </w:rPr>
        <w:t xml:space="preserve">工程区域多年平均降水量为949.5mm，多年平均蒸发量为1188.5mm，干燥度（EPR）为1.25，土壤盐化影响赋值为2分。 </w:t>
      </w:r>
    </w:p>
    <w:p>
      <w:pPr>
        <w:ind w:firstLine="480"/>
        <w:contextualSpacing/>
        <w:rPr>
          <w:kern w:val="10"/>
          <w:highlight w:val="yellow"/>
        </w:rPr>
      </w:pPr>
      <w:r>
        <w:t>根据土壤环境质量监测结果，工程区土壤含盐量均值1≤SSC＜2，土壤盐化影响赋值为2分</w:t>
      </w:r>
      <w:r>
        <w:rPr>
          <w:kern w:val="10"/>
        </w:rPr>
        <w:t xml:space="preserve">。 </w:t>
      </w:r>
    </w:p>
    <w:p>
      <w:pPr>
        <w:ind w:firstLine="480"/>
        <w:contextualSpacing/>
        <w:rPr>
          <w:kern w:val="10"/>
        </w:rPr>
      </w:pPr>
      <w:r>
        <w:rPr>
          <w:kern w:val="10"/>
        </w:rPr>
        <w:t>根据地下水水质监测结果，TDS＜1，土壤盐化影响赋值为 0分。</w:t>
      </w:r>
    </w:p>
    <w:p>
      <w:pPr>
        <w:ind w:firstLine="480"/>
        <w:contextualSpacing/>
        <w:rPr>
          <w:kern w:val="10"/>
        </w:rPr>
      </w:pPr>
      <w:r>
        <w:rPr>
          <w:kern w:val="10"/>
        </w:rPr>
        <w:t>根据土壤理化特性调查，工程区域土壤主要为壤土，土壤盐化影响赋值 4分。</w:t>
      </w:r>
    </w:p>
    <w:p>
      <w:pPr>
        <w:ind w:firstLine="480"/>
        <w:contextualSpacing/>
        <w:rPr>
          <w:kern w:val="10"/>
        </w:rPr>
      </w:pPr>
      <w:r>
        <w:rPr>
          <w:kern w:val="10"/>
        </w:rPr>
        <w:t xml:space="preserve">3）土壤盐化影响预测 </w:t>
      </w:r>
    </w:p>
    <w:p>
      <w:pPr>
        <w:ind w:firstLine="480"/>
        <w:contextualSpacing/>
        <w:rPr>
          <w:kern w:val="10"/>
        </w:rPr>
      </w:pPr>
      <w:r>
        <w:t>根据本项目土壤盐化影响因素赋值及权重，本项目的土壤盐化综合评分值 Sa=（0×0.35</w:t>
      </w:r>
      <w:bookmarkStart w:id="788" w:name="_Hlk28286786"/>
      <w:r>
        <w:t>+2×0.25+2×0.15+0×0.15+4×0.10</w:t>
      </w:r>
      <w:bookmarkEnd w:id="788"/>
      <w:r>
        <w:t>）/3=0.40＜1。根据《环境影响评价技术导则 土壤环境（试行）》（HJ964-2018）中的土壤盐化预测表，水库建成后周边土壤不会发生盐化现象</w:t>
      </w:r>
      <w:r>
        <w:rPr>
          <w:kern w:val="10"/>
        </w:rPr>
        <w:t>。</w:t>
      </w:r>
    </w:p>
    <w:p>
      <w:pPr>
        <w:ind w:firstLine="480"/>
        <w:contextualSpacing/>
        <w:rPr>
          <w:kern w:val="10"/>
        </w:rPr>
      </w:pPr>
      <w:r>
        <w:rPr>
          <w:kern w:val="10"/>
        </w:rPr>
        <w:t xml:space="preserve">另外，水库建成后，形成宽阔水面，库区形成特殊的小气候环境。湿度增加，昼夜温差小，抑制土壤有机质的矿化过程，有利于土壤有机质的积累，同时土壤有机质的增加又有利于植物的生长，增加库周的森林植被，增加枯枝落叶，可以增加库周土壤的有机质含量。而且库周水土流失的减少，土壤养分得到均衡发展。 </w:t>
      </w:r>
    </w:p>
    <w:p>
      <w:pPr>
        <w:ind w:firstLine="480"/>
        <w:contextualSpacing/>
        <w:rPr>
          <w:kern w:val="10"/>
        </w:rPr>
      </w:pPr>
      <w:r>
        <w:rPr>
          <w:kern w:val="10"/>
        </w:rPr>
        <w:t xml:space="preserve">b）对灌区土壤环境的影响 </w:t>
      </w:r>
    </w:p>
    <w:p>
      <w:pPr>
        <w:ind w:firstLine="480"/>
        <w:contextualSpacing/>
        <w:rPr>
          <w:kern w:val="10"/>
        </w:rPr>
      </w:pPr>
      <w:r>
        <w:rPr>
          <w:kern w:val="10"/>
        </w:rPr>
        <w:t xml:space="preserve">1）对灌区土壤次生盐渍化的影响 </w:t>
      </w:r>
    </w:p>
    <w:p>
      <w:pPr>
        <w:ind w:firstLine="480"/>
        <w:contextualSpacing/>
        <w:rPr>
          <w:kern w:val="10"/>
        </w:rPr>
      </w:pPr>
      <w:r>
        <w:rPr>
          <w:kern w:val="10"/>
        </w:rPr>
        <w:t xml:space="preserve">灌区引水可能造成周边土壤的盐化现象，对灌区引水可能引起的盐化影响采用《环境影响评价技术导则 土壤环境（试行）》（HJ964-2018）中的附录F“土壤盐化综合评分预测方法”进行预测评价。 </w:t>
      </w:r>
    </w:p>
    <w:p>
      <w:pPr>
        <w:ind w:firstLine="480"/>
        <w:contextualSpacing/>
        <w:rPr>
          <w:kern w:val="10"/>
          <w:highlight w:val="yellow"/>
        </w:rPr>
      </w:pPr>
      <w:r>
        <w:rPr>
          <w:kern w:val="10"/>
        </w:rPr>
        <w:t xml:space="preserve">灌区范围地下水埋深在5m左右；运行期灌溉水补给地下水，会使附近地下水位升高，但灌区地下水埋深一般仍大于2.5m，土壤盐化影响赋值0分。 </w:t>
      </w:r>
    </w:p>
    <w:p>
      <w:pPr>
        <w:ind w:firstLine="480"/>
        <w:contextualSpacing/>
        <w:rPr>
          <w:kern w:val="10"/>
        </w:rPr>
      </w:pPr>
      <w:r>
        <w:rPr>
          <w:kern w:val="10"/>
        </w:rPr>
        <w:t xml:space="preserve">灌区多年平均降水量为949.5mm，多年平均蒸发量为1188.5mm，干燥度（EPR）为1.25，土壤盐化影响赋值为2分。 </w:t>
      </w:r>
    </w:p>
    <w:p>
      <w:pPr>
        <w:ind w:firstLine="480"/>
        <w:contextualSpacing/>
        <w:rPr>
          <w:kern w:val="10"/>
        </w:rPr>
      </w:pPr>
      <w:r>
        <w:t>根据土壤环境质量监测结果，灌区土壤含盐量均值1≤SSC＜2，土壤盐化影响赋值为2分</w:t>
      </w:r>
      <w:r>
        <w:rPr>
          <w:kern w:val="10"/>
        </w:rPr>
        <w:t xml:space="preserve">。 </w:t>
      </w:r>
    </w:p>
    <w:p>
      <w:pPr>
        <w:ind w:firstLine="480"/>
        <w:contextualSpacing/>
        <w:rPr>
          <w:kern w:val="10"/>
        </w:rPr>
      </w:pPr>
      <w:r>
        <w:rPr>
          <w:kern w:val="10"/>
        </w:rPr>
        <w:t>根据地下水水质监测结果，TDS＜1，土壤盐化影响赋值为 0分。</w:t>
      </w:r>
    </w:p>
    <w:p>
      <w:pPr>
        <w:ind w:firstLine="480"/>
        <w:contextualSpacing/>
        <w:rPr>
          <w:kern w:val="10"/>
        </w:rPr>
      </w:pPr>
      <w:r>
        <w:rPr>
          <w:kern w:val="10"/>
        </w:rPr>
        <w:t>根据土壤理化特性调查结果，灌区土壤主要为壤土，土壤盐化影响赋值4分。</w:t>
      </w:r>
    </w:p>
    <w:p>
      <w:pPr>
        <w:ind w:firstLine="480"/>
        <w:contextualSpacing/>
        <w:rPr>
          <w:kern w:val="10"/>
        </w:rPr>
      </w:pPr>
      <w:r>
        <w:rPr>
          <w:kern w:val="10"/>
        </w:rPr>
        <w:t>根据本项目土壤盐化影响因素赋值及权重，本项目的土壤盐化综合评分值 Sa=</w:t>
      </w:r>
      <w:r>
        <w:t>（0×0.35+2×0.25+2×0.15+0×0.15+4×0.10）/3=0.40＜1</w:t>
      </w:r>
      <w:r>
        <w:rPr>
          <w:kern w:val="10"/>
        </w:rPr>
        <w:t>。根据《环境影响评价技术导则 土壤环境（试行）》（HJ964-2018）中的土壤盐化预测表，灌区土壤不会发生盐化现象。</w:t>
      </w:r>
    </w:p>
    <w:p>
      <w:pPr>
        <w:ind w:firstLine="476"/>
        <w:contextualSpacing/>
        <w:rPr>
          <w:spacing w:val="-2"/>
          <w:kern w:val="10"/>
        </w:rPr>
      </w:pPr>
      <w:r>
        <w:rPr>
          <w:spacing w:val="-2"/>
        </w:rPr>
        <w:t>灌区工程建成运行后，灌溉回归水量有所增加，据调查统计，灌区及其周边范围排水条件较好，能控制地下水位，有效地防止土壤过湿和次生盐渍化的发生。作为灌溉水源的蔡家河矿化度低，水质较好，加之灌区毛管水不甚发育，可减少土体水分的无效蒸发，可抑制因蒸发带来的返盐现象，具备了不易积盐的特征。灌区的灌溉用水时段主要为 4月～10月，而灌区的集中降水时段为6月～9月，集中的降水对灌溉期间的小量聚盐有较好的冲洗降盐作用，降低了灌区发生土壤次生盐渍化的可能性</w:t>
      </w:r>
      <w:r>
        <w:rPr>
          <w:spacing w:val="-2"/>
          <w:kern w:val="10"/>
        </w:rPr>
        <w:t xml:space="preserve">。 </w:t>
      </w:r>
    </w:p>
    <w:p>
      <w:pPr>
        <w:ind w:firstLine="480"/>
        <w:contextualSpacing/>
        <w:rPr>
          <w:kern w:val="10"/>
        </w:rPr>
      </w:pPr>
      <w:r>
        <w:rPr>
          <w:kern w:val="10"/>
        </w:rPr>
        <w:t>总体上分析，只要采取科学合理的灌溉方式，灌区发生大面积土壤次生盐渍化的可能性很小。但从小地形来看，尤其是在低洼地区的局部高处，由于蒸发快，盐分聚积更强烈，随着时间的推移以及盐分积累效应，有可能发生局部盐渍化。在输水工程运行过程中，对地下水水位的监测和控制仍需加以足够的重视。</w:t>
      </w:r>
    </w:p>
    <w:p>
      <w:pPr>
        <w:ind w:firstLine="480"/>
        <w:contextualSpacing/>
        <w:rPr>
          <w:kern w:val="10"/>
        </w:rPr>
      </w:pPr>
      <w:r>
        <w:rPr>
          <w:kern w:val="10"/>
        </w:rPr>
        <w:t xml:space="preserve">2） 对灌区土壤重金属的影响 </w:t>
      </w:r>
    </w:p>
    <w:p>
      <w:pPr>
        <w:ind w:firstLine="480"/>
        <w:contextualSpacing/>
        <w:rPr>
          <w:kern w:val="10"/>
        </w:rPr>
      </w:pPr>
      <w:r>
        <w:rPr>
          <w:kern w:val="10"/>
        </w:rPr>
        <w:t xml:space="preserve">（1） 农药对灌区土壤污染的影响 </w:t>
      </w:r>
    </w:p>
    <w:p>
      <w:pPr>
        <w:ind w:firstLine="476"/>
        <w:contextualSpacing/>
        <w:rPr>
          <w:spacing w:val="-2"/>
          <w:kern w:val="10"/>
        </w:rPr>
      </w:pPr>
      <w:r>
        <w:rPr>
          <w:spacing w:val="-2"/>
          <w:kern w:val="10"/>
        </w:rPr>
        <w:t xml:space="preserve">灌区建成后，可有效促进农业的发展，农药的施用量将有所增加，灌溉会把农药等污染物质带入土壤造成土壤污染。根据灌区内土壤现状检测成果，六六六及滴滴涕检测结果均为“未检出”，灌区土壤因农药施用而遭受污染的可能性较小。 </w:t>
      </w:r>
    </w:p>
    <w:p>
      <w:pPr>
        <w:ind w:firstLine="480"/>
        <w:contextualSpacing/>
        <w:rPr>
          <w:kern w:val="10"/>
        </w:rPr>
      </w:pPr>
      <w:r>
        <w:rPr>
          <w:kern w:val="10"/>
        </w:rPr>
        <w:t xml:space="preserve">（2） 对土壤中重金属的淋溶作用的影响 </w:t>
      </w:r>
    </w:p>
    <w:p>
      <w:pPr>
        <w:ind w:firstLine="480"/>
        <w:contextualSpacing/>
        <w:rPr>
          <w:kern w:val="10"/>
        </w:rPr>
      </w:pPr>
      <w:r>
        <w:rPr>
          <w:kern w:val="10"/>
        </w:rPr>
        <w:t xml:space="preserve">根据灌区土壤环境质量监测结果，土壤的 pH为7.35～8.30，无酸化或碱化现象，土壤环境中的8个基本项目检测指标均低于《土壤环境质量 农用地土壤污染风险管控标准（试行）》中农用地土壤污染风险管制值。 </w:t>
      </w:r>
    </w:p>
    <w:p>
      <w:pPr>
        <w:ind w:firstLine="480"/>
        <w:contextualSpacing/>
        <w:rPr>
          <w:kern w:val="10"/>
        </w:rPr>
      </w:pPr>
      <w:r>
        <w:rPr>
          <w:kern w:val="10"/>
        </w:rPr>
        <w:t xml:space="preserve">土壤中重金属可通过雨水、灌溉水的淋溶等作用从土壤环境中释放，并迁移进入地表水和地下水，对人类健康和生态环境安全产生威胁。重金属在土壤中的迁移过程由生物地球化学过程（如吸附、溶解等）决定，主要受土壤pH，离子强度，土壤溶液组成，粘土、有机物含量及土壤中重金属种类、含量等因素影响。 </w:t>
      </w:r>
    </w:p>
    <w:p>
      <w:pPr>
        <w:ind w:firstLine="480"/>
        <w:contextualSpacing/>
        <w:rPr>
          <w:kern w:val="10"/>
        </w:rPr>
      </w:pPr>
      <w:r>
        <w:rPr>
          <w:kern w:val="10"/>
        </w:rPr>
        <w:t xml:space="preserve">相关研究表明：As在土壤中是属于难迁移元素，酸性土壤比碱性土壤更有利于增强土壤中重金属的迁移转化过程。灌区土壤无酸化及碱化现象，土壤中重金属的迁移转化效果不明显。另外，根据《饮用水源地重金属溶出的影响研究-以广东石门台水库为例》中的研究结果，淋溶过程中各元素释放强度依次为：Mn&gt;Ni&gt;Cu&gt;Pb&gt;As&gt;Hg。 </w:t>
      </w:r>
    </w:p>
    <w:p>
      <w:pPr>
        <w:ind w:firstLine="480"/>
        <w:contextualSpacing/>
        <w:rPr>
          <w:kern w:val="10"/>
        </w:rPr>
      </w:pPr>
      <w:r>
        <w:rPr>
          <w:kern w:val="10"/>
        </w:rPr>
        <w:t>根据清华大学对耕地进行的土壤淹没静态释放实验，当淹没0.5d时，As的释放速率可以忽略不计；当淹没1d时，As的释放速率最大为0.168mg/（m2·d）。As在淋溶过程中的释放强度相对较低，且属于难迁移的元素，因此在土壤中重金属释放到水体中的浓度也相对较低。</w:t>
      </w:r>
    </w:p>
    <w:p>
      <w:pPr>
        <w:ind w:firstLine="480"/>
        <w:contextualSpacing/>
        <w:rPr>
          <w:kern w:val="10"/>
        </w:rPr>
      </w:pPr>
      <w:r>
        <w:rPr>
          <w:kern w:val="10"/>
        </w:rPr>
        <w:t>因此，通过淋溶作用从土壤环境中释放、迁移的重金属的量较少，对该区地表水、地下水环境的影响较小。</w:t>
      </w:r>
    </w:p>
    <w:p>
      <w:pPr>
        <w:pStyle w:val="4"/>
        <w:ind w:firstLine="0" w:firstLineChars="0"/>
        <w:contextualSpacing/>
        <w:rPr>
          <w:rFonts w:hint="eastAsia"/>
        </w:rPr>
      </w:pPr>
      <w:bookmarkStart w:id="789" w:name="_Toc130753441"/>
      <w:r>
        <w:t>5.8水土流失影响</w:t>
      </w:r>
      <w:bookmarkEnd w:id="789"/>
    </w:p>
    <w:p>
      <w:pPr>
        <w:ind w:firstLine="480"/>
        <w:contextualSpacing/>
      </w:pPr>
      <w:r>
        <w:t>本工程建设过程中，一方面扰动了沿线的地形地貌，损坏了原有的地表、植被，使其原有的蓄水保土功能丧失或降低；另一方面在施工中开挖、填筑等的土石方量很大，极易造成水土流失。根据工程沿线的地形、地质、土壤、植被、降雨以及施工方式等特点，本工程可能造成的水土流失危害主要表现在以下几个方面：</w:t>
      </w:r>
    </w:p>
    <w:p>
      <w:pPr>
        <w:ind w:firstLine="480"/>
        <w:contextualSpacing/>
      </w:pPr>
      <w:r>
        <w:t>（1）淤积河道，影响河道行洪</w:t>
      </w:r>
    </w:p>
    <w:p>
      <w:pPr>
        <w:ind w:firstLine="480"/>
        <w:contextualSpacing/>
      </w:pPr>
      <w:r>
        <w:t>工程施工过程中将进行大量的土石方开挖和搬运，同时，大量施工作业面位于河道及沿线，开挖的土石方等若不及时处理，随意堆置，暴雨时会被冲至蔡家河等河流内，进而造成施工区下游的河道淤积，过水断面减小，河床水位抬高，在一定程度上降低防洪、排涝能力。</w:t>
      </w:r>
    </w:p>
    <w:p>
      <w:pPr>
        <w:ind w:firstLine="480"/>
        <w:contextualSpacing/>
      </w:pPr>
      <w:r>
        <w:t>（2）诱发多种形式的水力侵蚀</w:t>
      </w:r>
    </w:p>
    <w:p>
      <w:pPr>
        <w:ind w:firstLine="480"/>
        <w:contextualSpacing/>
      </w:pPr>
      <w:r>
        <w:t>本工程的开挖填筑、临时堆置和弃渣量均较大，涉及的范围也较广，各区域建设引起的水土流失如不进行有效的防治，必将引发沟蚀、面蚀等多种形式的水力侵蚀发生。如未及时清理，会加剧水土流失。工程施工期间是水土流失最严重的时期，如不做好施工期间的临时防护和相应的管理措施，在施工区域内将产生雨滴击溅侵蚀、面蚀等多种形式的水土流失。</w:t>
      </w:r>
    </w:p>
    <w:p>
      <w:pPr>
        <w:ind w:firstLine="480"/>
        <w:contextualSpacing/>
      </w:pPr>
      <w:r>
        <w:t>（3）对土地资源的破坏</w:t>
      </w:r>
    </w:p>
    <w:p>
      <w:pPr>
        <w:ind w:firstLine="480"/>
        <w:contextualSpacing/>
      </w:pPr>
      <w:r>
        <w:t>工程建设将扰动和破坏大面积地表，原地表裸露或形成高陡边坡，失去原有植被的防冲固土能力，若不采取水土保持措施对其进行防护，表层耕作土或腐殖质层将被剥离、冲蚀殆尽；工程开挖方及弃渣若随意堆置、流失，将有可能流失并发生侵占农田的现象，淤塞田间沟渠，甚至占压田面，对周围农田的耕作带来不利影响。</w:t>
      </w:r>
    </w:p>
    <w:p>
      <w:pPr>
        <w:ind w:firstLine="480"/>
        <w:contextualSpacing/>
      </w:pPr>
      <w:r>
        <w:t>（4）影响周边景观、降低空气质量</w:t>
      </w:r>
    </w:p>
    <w:p>
      <w:pPr>
        <w:ind w:firstLine="480"/>
        <w:contextualSpacing/>
      </w:pPr>
      <w:r>
        <w:t>各施工区附近有村庄及道路分布，施工期间产生的水土流失将对周边环境带来不利影响，浊水、扬尘将降低施工区周围的地表水和空气质量，工程开挖产生的土方临时堆放时也会对周边景观产生影响。</w:t>
      </w:r>
    </w:p>
    <w:p>
      <w:pPr>
        <w:ind w:firstLine="480"/>
        <w:contextualSpacing/>
      </w:pPr>
      <w:r>
        <w:t>因此，对本工程建设引起的水土流失区域，必须采取有效的水土保持措施，做到水土保持措施与主体工程同时设计、同时施工、同时投入使用，把建设过程中产生的水土流失降至最低程度。</w:t>
      </w:r>
    </w:p>
    <w:p>
      <w:pPr>
        <w:pStyle w:val="4"/>
        <w:ind w:firstLine="0" w:firstLineChars="0"/>
        <w:contextualSpacing/>
      </w:pPr>
      <w:bookmarkStart w:id="790" w:name="_Toc130753442"/>
      <w:r>
        <w:t>5.9建设征地和移民安置的环境影响</w:t>
      </w:r>
      <w:bookmarkEnd w:id="784"/>
      <w:bookmarkEnd w:id="785"/>
      <w:bookmarkEnd w:id="786"/>
      <w:bookmarkEnd w:id="787"/>
      <w:r>
        <w:t>分析</w:t>
      </w:r>
      <w:bookmarkEnd w:id="790"/>
    </w:p>
    <w:p>
      <w:pPr>
        <w:pStyle w:val="5"/>
        <w:ind w:firstLine="0" w:firstLineChars="0"/>
        <w:contextualSpacing/>
        <w:rPr>
          <w:rFonts w:ascii="Times New Roman" w:hAnsi="Times New Roman"/>
        </w:rPr>
      </w:pPr>
      <w:r>
        <w:rPr>
          <w:rFonts w:ascii="Times New Roman" w:hAnsi="Times New Roman"/>
        </w:rPr>
        <w:t>5.9.1移民安置对环境的影响</w:t>
      </w:r>
    </w:p>
    <w:p>
      <w:pPr>
        <w:ind w:firstLine="480"/>
        <w:contextualSpacing/>
      </w:pPr>
      <w:r>
        <w:t>（1）生产安置的环境影响分析</w:t>
      </w:r>
    </w:p>
    <w:p>
      <w:pPr>
        <w:ind w:firstLine="480"/>
        <w:contextualSpacing/>
      </w:pPr>
      <w:r>
        <w:t>本工程绝大部分移民安置方式为农业安置，在土地开垦的过程中可能造成植被破坏和水土流失，同时移民的日常生活及圈养牲畜将会产生一定量的粪便和生活污水，但各户均修建有厕所和化粪池，生活污水及人畜粪便不外排，全部用做农家肥，对周边水环境基本没有影响。移民日常生活垃圾产生量较小，不可降解</w:t>
      </w:r>
    </w:p>
    <w:p>
      <w:pPr>
        <w:ind w:firstLine="0" w:firstLineChars="0"/>
        <w:contextualSpacing/>
      </w:pPr>
      <w:r>
        <w:t>垃圾利用各村庄原有的垃圾堆放点，对周围环境影响不大。对于部分养老保险安</w:t>
      </w:r>
    </w:p>
    <w:p>
      <w:pPr>
        <w:ind w:firstLine="0" w:firstLineChars="0"/>
        <w:contextualSpacing/>
      </w:pPr>
      <w:r>
        <w:t>置的移民，也将按照规划修筑完善的卫生及基础设施，移民生活产生的污染物将得到妥善处置。</w:t>
      </w:r>
    </w:p>
    <w:p>
      <w:pPr>
        <w:numPr>
          <w:ilvl w:val="0"/>
          <w:numId w:val="2"/>
        </w:numPr>
        <w:ind w:firstLine="480"/>
        <w:contextualSpacing/>
      </w:pPr>
      <w:r>
        <w:t>拆迁施工的环境影响分析</w:t>
      </w:r>
    </w:p>
    <w:p>
      <w:pPr>
        <w:pStyle w:val="2"/>
        <w:spacing w:before="0"/>
        <w:ind w:firstLine="482"/>
        <w:contextualSpacing/>
        <w:rPr>
          <w:rFonts w:ascii="Times New Roman" w:hAnsi="Times New Roman"/>
        </w:rPr>
      </w:pPr>
      <w:r>
        <w:rPr>
          <w:rFonts w:ascii="Times New Roman" w:hAnsi="Times New Roman"/>
          <w:b/>
          <w:bCs/>
        </w:rPr>
        <w:t>大气和声环境：</w:t>
      </w:r>
      <w:r>
        <w:rPr>
          <w:rFonts w:ascii="Times New Roman" w:hAnsi="Times New Roman"/>
        </w:rPr>
        <w:t>拆迁对大气环境的影响主要来自房屋的拆除。本项目房屋拆除8.39万m</w:t>
      </w:r>
      <w:r>
        <w:rPr>
          <w:rFonts w:ascii="Times New Roman" w:hAnsi="Times New Roman"/>
          <w:vertAlign w:val="superscript"/>
        </w:rPr>
        <w:t>2</w:t>
      </w:r>
      <w:r>
        <w:rPr>
          <w:rFonts w:ascii="Times New Roman" w:hAnsi="Times New Roman"/>
        </w:rPr>
        <w:t>，拆迁过程中将产生大量粉尘，房屋拆除后要对建筑垃圾进行及时清运，装卸过程将产生粉尘污染，运输过程将产生道路粉尘，会对道路沿线的大气环境产生不利影响。房屋拆除和装卸过程的受影响主体为施工人员，运输过程受影响主体为道路沿线两侧200米范围内的居民。</w:t>
      </w:r>
    </w:p>
    <w:p>
      <w:pPr>
        <w:pStyle w:val="2"/>
        <w:spacing w:before="0"/>
        <w:ind w:firstLine="482"/>
        <w:contextualSpacing/>
        <w:rPr>
          <w:rFonts w:ascii="Times New Roman" w:hAnsi="Times New Roman"/>
        </w:rPr>
      </w:pPr>
      <w:r>
        <w:rPr>
          <w:rFonts w:ascii="Times New Roman" w:hAnsi="Times New Roman"/>
          <w:b/>
          <w:bCs/>
        </w:rPr>
        <w:t>固体废物：</w:t>
      </w:r>
      <w:r>
        <w:rPr>
          <w:rFonts w:ascii="Times New Roman" w:hAnsi="Times New Roman"/>
        </w:rPr>
        <w:t>主要来源于房屋拆除及附属物拆除产生的建筑垃圾，处理不当将造成占用土地、水土流失、污染水质及影响景观等。</w:t>
      </w:r>
    </w:p>
    <w:p>
      <w:pPr>
        <w:ind w:firstLine="480"/>
        <w:contextualSpacing/>
      </w:pPr>
      <w:r>
        <w:t>（3）搬迁安置的环境影响分析</w:t>
      </w:r>
    </w:p>
    <w:p>
      <w:pPr>
        <w:ind w:firstLine="482"/>
        <w:contextualSpacing/>
      </w:pPr>
      <w:r>
        <w:rPr>
          <w:b/>
          <w:bCs/>
        </w:rPr>
        <w:t>对生态环境的影响：</w:t>
      </w:r>
      <w:r>
        <w:t>分散安置农户住宅的建设将永久占用部分土地，地表植被将被完全清除，但规划的安置点是受人类活动影响比较强烈的区域，现状自然植被阔叶林、灌丛和草丛为主，移民点建设不会对区域植被结构产生明显影响；受影响的植物种类为区域常见种类，区域无国家、四川省保护植物种类分布，不会对区域植物区系和物种数量造成明显影响。</w:t>
      </w:r>
    </w:p>
    <w:p>
      <w:pPr>
        <w:ind w:firstLine="480"/>
        <w:contextualSpacing/>
      </w:pPr>
      <w:r>
        <w:t>分散移民安置后，区域的生态环境将变为结构更简单、物种单一但生产量</w:t>
      </w:r>
    </w:p>
    <w:p>
      <w:pPr>
        <w:ind w:firstLine="0" w:firstLineChars="0"/>
        <w:contextualSpacing/>
      </w:pPr>
      <w:r>
        <w:t>更高的人工植被，一部分原植被土地变为宅基地或基础设施用地。原有植被的破坏将使动物丧失部分栖息地，但由于该区域均为人类活动较频繁的地区，现有的野生动物数量有限，且多为小型动物，这些动物对生境适应性强。因此，安置移民不会影响生物多样性和当地生态系统的稳定性。</w:t>
      </w:r>
    </w:p>
    <w:p>
      <w:pPr>
        <w:pStyle w:val="2"/>
        <w:spacing w:before="0"/>
        <w:ind w:firstLine="482"/>
        <w:contextualSpacing/>
        <w:rPr>
          <w:rFonts w:ascii="Times New Roman" w:hAnsi="Times New Roman"/>
        </w:rPr>
      </w:pPr>
      <w:r>
        <w:rPr>
          <w:rFonts w:ascii="Times New Roman" w:hAnsi="Times New Roman"/>
          <w:b/>
          <w:bCs/>
        </w:rPr>
        <w:t>对土地利用的影响：</w:t>
      </w:r>
      <w:r>
        <w:rPr>
          <w:rFonts w:ascii="Times New Roman" w:hAnsi="Times New Roman"/>
        </w:rPr>
        <w:t>根据本阶段规划，分散安置的现状土地利用类型主要为林草地和耕地。安置点和迁建集镇建设虽然将使原来的土地利用方式发生永久改变，但影响是局部且有限的，不会对原居民的生产和生活带来影响。</w:t>
      </w:r>
    </w:p>
    <w:p>
      <w:pPr>
        <w:ind w:firstLine="482"/>
        <w:contextualSpacing/>
      </w:pPr>
      <w:r>
        <w:rPr>
          <w:b/>
          <w:bCs/>
        </w:rPr>
        <w:t>对水环境的影响：</w:t>
      </w:r>
      <w:r>
        <w:t>移民安置的散居农户生活污水主要来源于人畜粪便，以及日常洗涤等用水。至规划设计水平年，农村移民安置日生活污水产生量总计140.28m</w:t>
      </w:r>
      <w:r>
        <w:rPr>
          <w:vertAlign w:val="superscript"/>
        </w:rPr>
        <w:t>3</w:t>
      </w:r>
      <w:r>
        <w:t>，分散排放。生活污水产生量虽不大且分布较为分散，但若不采取措施妥善处理，将会对附近水环境产生一定的不利影响。</w:t>
      </w:r>
    </w:p>
    <w:p>
      <w:pPr>
        <w:pStyle w:val="2"/>
        <w:spacing w:before="0"/>
        <w:ind w:firstLine="482"/>
        <w:contextualSpacing/>
        <w:rPr>
          <w:rFonts w:ascii="Times New Roman" w:hAnsi="Times New Roman"/>
        </w:rPr>
      </w:pPr>
      <w:r>
        <w:rPr>
          <w:rFonts w:ascii="Times New Roman" w:hAnsi="Times New Roman"/>
          <w:b/>
          <w:bCs/>
        </w:rPr>
        <w:t>固体废弃物影响：</w:t>
      </w:r>
      <w:r>
        <w:rPr>
          <w:rFonts w:ascii="Times New Roman" w:hAnsi="Times New Roman"/>
        </w:rPr>
        <w:t>至规划水平年，生活垃圾产生量为1.2t/d，垃圾若任意排放或随意堆置，不仅污染生活区的环境空气、影响美观，而且在每年雨季垃圾渗滤液及病菌随地表径流进入地表水体，将污染区域地表水水质。任意排放的垃圾容易滋生蚊蝇，引起鼠类大量繁殖，增加安置区疾病传播机会，影响移民身体健康。</w:t>
      </w:r>
    </w:p>
    <w:p>
      <w:pPr>
        <w:pStyle w:val="5"/>
        <w:ind w:firstLine="0" w:firstLineChars="0"/>
        <w:contextualSpacing/>
        <w:rPr>
          <w:rFonts w:ascii="Times New Roman" w:hAnsi="Times New Roman"/>
        </w:rPr>
      </w:pPr>
      <w:bookmarkStart w:id="791" w:name="_Toc14663"/>
      <w:bookmarkStart w:id="792" w:name="_Toc10338"/>
      <w:bookmarkStart w:id="793" w:name="_Toc29337"/>
      <w:r>
        <w:rPr>
          <w:rFonts w:ascii="Times New Roman" w:hAnsi="Times New Roman"/>
        </w:rPr>
        <w:t>5.9.2专项设施复建工程的环境影响分析</w:t>
      </w:r>
      <w:bookmarkEnd w:id="791"/>
      <w:bookmarkEnd w:id="792"/>
      <w:bookmarkEnd w:id="793"/>
    </w:p>
    <w:p>
      <w:pPr>
        <w:ind w:firstLine="480"/>
        <w:contextualSpacing/>
        <w:rPr>
          <w:rFonts w:hint="eastAsia"/>
        </w:rPr>
      </w:pPr>
      <w:r>
        <w:rPr>
          <w:rFonts w:hint="eastAsia"/>
        </w:rPr>
        <w:t>本项目不涉及。</w:t>
      </w:r>
    </w:p>
    <w:p>
      <w:pPr>
        <w:pStyle w:val="4"/>
        <w:ind w:firstLine="0" w:firstLineChars="0"/>
        <w:contextualSpacing/>
      </w:pPr>
      <w:bookmarkStart w:id="794" w:name="_Toc130753443"/>
      <w:bookmarkStart w:id="795" w:name="_Toc13783"/>
      <w:bookmarkStart w:id="796" w:name="_Toc10915"/>
      <w:bookmarkStart w:id="797" w:name="_Toc17029"/>
      <w:r>
        <w:t>5.10其他环境影响分析</w:t>
      </w:r>
      <w:bookmarkEnd w:id="794"/>
    </w:p>
    <w:p>
      <w:pPr>
        <w:pStyle w:val="5"/>
        <w:ind w:firstLine="0" w:firstLineChars="0"/>
        <w:contextualSpacing/>
        <w:rPr>
          <w:rFonts w:ascii="Times New Roman" w:hAnsi="Times New Roman"/>
        </w:rPr>
      </w:pPr>
      <w:r>
        <w:rPr>
          <w:rFonts w:ascii="Times New Roman" w:hAnsi="Times New Roman"/>
        </w:rPr>
        <w:t>5.10.1人群健康影响</w:t>
      </w:r>
      <w:bookmarkEnd w:id="795"/>
      <w:bookmarkEnd w:id="796"/>
      <w:bookmarkEnd w:id="797"/>
    </w:p>
    <w:p>
      <w:pPr>
        <w:ind w:firstLine="0" w:firstLineChars="0"/>
        <w:contextualSpacing/>
        <w:rPr>
          <w:b/>
          <w:bCs/>
        </w:rPr>
      </w:pPr>
      <w:r>
        <w:rPr>
          <w:b/>
          <w:bCs/>
        </w:rPr>
        <w:t>5.10.1.1施工期影响分析</w:t>
      </w:r>
    </w:p>
    <w:p>
      <w:pPr>
        <w:ind w:firstLine="480"/>
        <w:contextualSpacing/>
      </w:pPr>
      <w:r>
        <w:t>施工期，施工人员集中，生活区产生的生活污水、生活垃圾，若处理不当，将会对生活区及周边的卫生环境产生影响，污染水环境，污染水源，同时为苍蝇、蚊虫等的大量孽生提供了环境，导致传染病极易发生，施工人员的健康受到影响。主要体现在以下两个方面：</w:t>
      </w:r>
    </w:p>
    <w:p>
      <w:pPr>
        <w:ind w:firstLine="480"/>
        <w:contextualSpacing/>
      </w:pPr>
      <w:r>
        <w:t>（1）与卫生条件和习惯不良有关的疾病</w:t>
      </w:r>
    </w:p>
    <w:p>
      <w:pPr>
        <w:ind w:firstLine="480"/>
        <w:contextualSpacing/>
      </w:pPr>
      <w:r>
        <w:t>工程动工之初，生活上的安排因陋就简，卫生设施不完善，卫生条件较差，与此相关的疾病如痢疾、肝炎等肠道性传染病将有可能发生，特别是在炎热的夏季，此类病的发病率可能会上升。</w:t>
      </w:r>
    </w:p>
    <w:p>
      <w:pPr>
        <w:ind w:firstLine="480"/>
        <w:contextualSpacing/>
      </w:pPr>
      <w:r>
        <w:t>施工期间由于生产需要，大量的施工人员进驻工地，生活污水、垃圾等的排放量增加。生活污水中含有细菌、病原菌等病源微生物，垃圾的乱堆乱放将会给蚊虫孳生创造有利条件，若不采取有效措施，可能会增加肠道传染病、虫媒传染病等疾病的流行机会，对施工人员造成不利影响。</w:t>
      </w:r>
    </w:p>
    <w:p>
      <w:pPr>
        <w:ind w:firstLine="480"/>
        <w:contextualSpacing/>
      </w:pPr>
      <w:r>
        <w:t>（2）与人群密度增大有关的疾病</w:t>
      </w:r>
    </w:p>
    <w:p>
      <w:pPr>
        <w:ind w:firstLine="480"/>
        <w:contextualSpacing/>
      </w:pPr>
      <w:r>
        <w:t>这类疾病主要为流行性感冒、肺炎等呼吸系统疾病。施工期，施工人员相对集中，施工劳动强度大，作业环境较差，可能导致个人抗病能力下降，加之其居住环境较差，可能使这类疾病发病率增加。</w:t>
      </w:r>
    </w:p>
    <w:p>
      <w:pPr>
        <w:ind w:firstLine="0" w:firstLineChars="0"/>
        <w:contextualSpacing/>
        <w:rPr>
          <w:b/>
          <w:bCs/>
        </w:rPr>
      </w:pPr>
      <w:r>
        <w:rPr>
          <w:b/>
          <w:bCs/>
        </w:rPr>
        <w:t>5.10.1.2水库蓄水影响分析</w:t>
      </w:r>
    </w:p>
    <w:p>
      <w:pPr>
        <w:ind w:firstLine="480"/>
        <w:contextualSpacing/>
      </w:pPr>
      <w:r>
        <w:t>水库蓄水后，会改变一些传染病病媒的生境，水面的增加，有利于蚊虫的孳生，介水传染病和虫媒传染病在一定范围内会有所增加。</w:t>
      </w:r>
    </w:p>
    <w:p>
      <w:pPr>
        <w:ind w:firstLine="480"/>
        <w:contextualSpacing/>
      </w:pPr>
      <w:r>
        <w:t>对于介水传染病，由水质污染而引起流行是途径之一，但在水库蓄水前将淹没遗弃的厕所、粪池、畜圈、坟地等进行认真的库底卫生清理，可基本避免水质污染而造成介水传染病的流行。</w:t>
      </w:r>
    </w:p>
    <w:p>
      <w:pPr>
        <w:ind w:firstLine="480"/>
        <w:contextualSpacing/>
      </w:pPr>
      <w:r>
        <w:t>另外，由于水库的淹没使鼠类的生活环境受到影响随人群迁移、同时局部鼠类数量增多易诱发鼠类传播疾病，对库周居民威胁较大，因此在移民搬迁期间需采取相应的预防措施进行预防。</w:t>
      </w:r>
    </w:p>
    <w:p>
      <w:pPr>
        <w:pStyle w:val="5"/>
        <w:ind w:firstLine="0" w:firstLineChars="0"/>
        <w:contextualSpacing/>
        <w:rPr>
          <w:rFonts w:ascii="Times New Roman" w:hAnsi="Times New Roman"/>
        </w:rPr>
      </w:pPr>
      <w:bookmarkStart w:id="798" w:name="_Toc32693"/>
      <w:bookmarkStart w:id="799" w:name="_Toc6454"/>
      <w:bookmarkStart w:id="800" w:name="_Toc9483"/>
      <w:r>
        <w:rPr>
          <w:rFonts w:ascii="Times New Roman" w:hAnsi="Times New Roman"/>
        </w:rPr>
        <w:t>5.10.2对文物古迹的影响</w:t>
      </w:r>
      <w:bookmarkEnd w:id="798"/>
      <w:bookmarkEnd w:id="799"/>
      <w:bookmarkEnd w:id="800"/>
    </w:p>
    <w:p>
      <w:pPr>
        <w:ind w:firstLine="480"/>
        <w:contextualSpacing/>
        <w:rPr>
          <w:rFonts w:hint="eastAsia"/>
        </w:rPr>
      </w:pPr>
      <w:r>
        <w:rPr>
          <w:rFonts w:hint="eastAsia"/>
        </w:rPr>
        <w:t>项目不涉及文物古迹。</w:t>
      </w:r>
    </w:p>
    <w:p>
      <w:pPr>
        <w:pStyle w:val="2"/>
        <w:spacing w:before="0"/>
        <w:ind w:firstLine="480"/>
        <w:contextualSpacing/>
        <w:rPr>
          <w:rFonts w:ascii="Times New Roman" w:hAnsi="Times New Roman"/>
        </w:rPr>
      </w:pPr>
    </w:p>
    <w:p>
      <w:pPr>
        <w:pStyle w:val="2"/>
        <w:spacing w:before="0"/>
        <w:ind w:firstLine="480"/>
        <w:contextualSpacing/>
        <w:rPr>
          <w:rFonts w:ascii="Times New Roman" w:hAnsi="Times New Roman"/>
        </w:rPr>
        <w:sectPr>
          <w:headerReference r:id="rId31" w:type="first"/>
          <w:footerReference r:id="rId34" w:type="first"/>
          <w:footerReference r:id="rId32" w:type="default"/>
          <w:headerReference r:id="rId30" w:type="even"/>
          <w:footerReference r:id="rId33" w:type="even"/>
          <w:pgSz w:w="11906" w:h="16838"/>
          <w:pgMar w:top="1440" w:right="1800" w:bottom="1440" w:left="1800" w:header="851" w:footer="992" w:gutter="0"/>
          <w:cols w:space="720" w:num="1"/>
          <w:docGrid w:type="lines" w:linePitch="312" w:charSpace="0"/>
        </w:sectPr>
      </w:pPr>
    </w:p>
    <w:p>
      <w:pPr>
        <w:pStyle w:val="3"/>
        <w:ind w:firstLine="0" w:firstLineChars="0"/>
        <w:contextualSpacing/>
        <w:rPr>
          <w:rFonts w:ascii="Times New Roman" w:hAnsi="Times New Roman"/>
        </w:rPr>
      </w:pPr>
      <w:bookmarkStart w:id="801" w:name="_Toc25955"/>
      <w:bookmarkStart w:id="802" w:name="_Toc2022"/>
      <w:bookmarkStart w:id="803" w:name="_Toc130753444"/>
      <w:bookmarkStart w:id="804" w:name="_Toc31891"/>
      <w:bookmarkStart w:id="805" w:name="_Toc18169"/>
      <w:bookmarkStart w:id="806" w:name="_Toc14397"/>
      <w:bookmarkStart w:id="807" w:name="_Toc20523"/>
      <w:bookmarkStart w:id="808" w:name="_Toc30304"/>
      <w:r>
        <w:rPr>
          <w:rFonts w:ascii="Times New Roman" w:hAnsi="Times New Roman"/>
        </w:rPr>
        <w:t>6环境保护</w:t>
      </w:r>
      <w:bookmarkEnd w:id="801"/>
      <w:bookmarkEnd w:id="802"/>
      <w:r>
        <w:rPr>
          <w:rFonts w:ascii="Times New Roman" w:hAnsi="Times New Roman"/>
        </w:rPr>
        <w:t>措施</w:t>
      </w:r>
      <w:bookmarkEnd w:id="803"/>
    </w:p>
    <w:p>
      <w:pPr>
        <w:pStyle w:val="4"/>
        <w:ind w:firstLine="0" w:firstLineChars="0"/>
        <w:contextualSpacing/>
      </w:pPr>
      <w:bookmarkStart w:id="809" w:name="_Toc18702"/>
      <w:bookmarkStart w:id="810" w:name="_Toc24055"/>
      <w:bookmarkStart w:id="811" w:name="_Toc130753445"/>
      <w:r>
        <w:t>6.1设计原则</w:t>
      </w:r>
      <w:bookmarkEnd w:id="809"/>
      <w:bookmarkEnd w:id="810"/>
      <w:r>
        <w:t>、任务、目标</w:t>
      </w:r>
      <w:bookmarkEnd w:id="811"/>
    </w:p>
    <w:p>
      <w:pPr>
        <w:ind w:firstLine="480"/>
        <w:contextualSpacing/>
      </w:pPr>
      <w:r>
        <w:t>本工程环境保护措施的规划设计应遵循以下原则：</w:t>
      </w:r>
    </w:p>
    <w:p>
      <w:pPr>
        <w:ind w:firstLine="480"/>
        <w:contextualSpacing/>
      </w:pPr>
      <w:r>
        <w:t>（1）法制性原则：环境保护措施规划设计需遵循国家有关环境保护的法律、法规及水土保持的要求；</w:t>
      </w:r>
    </w:p>
    <w:p>
      <w:pPr>
        <w:ind w:firstLine="480"/>
        <w:contextualSpacing/>
      </w:pPr>
      <w:r>
        <w:t>（2）“三同时”原则：各项环保措施与主体工程同时设计、同时施工、同时投产使用；</w:t>
      </w:r>
    </w:p>
    <w:p>
      <w:pPr>
        <w:ind w:firstLine="480"/>
        <w:contextualSpacing/>
      </w:pPr>
      <w:r>
        <w:t>（3）科学性、针对性原则：结合工程施工、运行生态影响及产污特点、大气环境功能、声环境功能、水域功能、生态环境及水土流失特点，有针对性的采取各项环境保护措施；</w:t>
      </w:r>
    </w:p>
    <w:p>
      <w:pPr>
        <w:ind w:firstLine="480"/>
        <w:contextualSpacing/>
      </w:pPr>
      <w:r>
        <w:t>（4）全局观点、协调性原则：各项措施与当地的生态环境建设紧密协调、互为裨益，并与主体工程施工总体布置紧密结合；</w:t>
      </w:r>
    </w:p>
    <w:p>
      <w:pPr>
        <w:ind w:firstLine="480"/>
        <w:contextualSpacing/>
      </w:pPr>
      <w:r>
        <w:t>（5）经济性、有效性原则：遵循环境保护措施投资省、效益好和可操作性强的原则；</w:t>
      </w:r>
    </w:p>
    <w:p>
      <w:pPr>
        <w:ind w:firstLine="480"/>
        <w:contextualSpacing/>
      </w:pPr>
      <w:r>
        <w:t>（6）适地适时原则：本工程各项环境保护措施应遵循因地而异，因时而异，永久措施与临时措施相结合的原则。</w:t>
      </w:r>
    </w:p>
    <w:p>
      <w:pPr>
        <w:pStyle w:val="4"/>
        <w:ind w:firstLine="0" w:firstLineChars="0"/>
        <w:contextualSpacing/>
      </w:pPr>
      <w:bookmarkStart w:id="812" w:name="_Toc29415"/>
      <w:bookmarkStart w:id="813" w:name="_Toc30327"/>
      <w:bookmarkStart w:id="814" w:name="_Toc130753446"/>
      <w:r>
        <w:t>6.2水环境保护措施</w:t>
      </w:r>
      <w:bookmarkEnd w:id="812"/>
      <w:bookmarkEnd w:id="813"/>
      <w:bookmarkEnd w:id="814"/>
    </w:p>
    <w:p>
      <w:pPr>
        <w:pStyle w:val="5"/>
        <w:ind w:firstLine="0" w:firstLineChars="0"/>
        <w:contextualSpacing/>
        <w:rPr>
          <w:rFonts w:ascii="Times New Roman" w:hAnsi="Times New Roman"/>
        </w:rPr>
      </w:pPr>
      <w:bookmarkStart w:id="815" w:name="_Toc21966"/>
      <w:bookmarkStart w:id="816" w:name="_Toc22060"/>
      <w:r>
        <w:rPr>
          <w:rFonts w:ascii="Times New Roman" w:hAnsi="Times New Roman"/>
        </w:rPr>
        <w:t>6.2.1地表水环境保护措施</w:t>
      </w:r>
    </w:p>
    <w:p>
      <w:pPr>
        <w:ind w:firstLine="0" w:firstLineChars="0"/>
        <w:contextualSpacing/>
        <w:outlineLvl w:val="3"/>
        <w:rPr>
          <w:b/>
          <w:bCs/>
        </w:rPr>
      </w:pPr>
      <w:r>
        <w:rPr>
          <w:b/>
          <w:bCs/>
        </w:rPr>
        <w:t>6.2.1.1施工期保护措施</w:t>
      </w:r>
    </w:p>
    <w:p>
      <w:pPr>
        <w:ind w:firstLine="480"/>
        <w:contextualSpacing/>
      </w:pPr>
      <w:r>
        <w:t>根据施工分区布置及施工区附近地表水功能、施工废污水主要污染物特征，对各区不同的废污水采取因地制宜、分别处理的方式，在各废污水排放口分别设置水处理系统，废污水处理系统设置情况见表6.2.1-1。</w:t>
      </w:r>
    </w:p>
    <w:p>
      <w:pPr>
        <w:ind w:firstLine="422"/>
        <w:contextualSpacing/>
        <w:jc w:val="center"/>
        <w:rPr>
          <w:b/>
          <w:bCs/>
          <w:sz w:val="21"/>
          <w:szCs w:val="21"/>
        </w:rPr>
      </w:pPr>
      <w:r>
        <w:rPr>
          <w:b/>
          <w:bCs/>
          <w:sz w:val="21"/>
          <w:szCs w:val="21"/>
        </w:rPr>
        <w:t>表6.2.1-1  施工期污废水处理系统设置情况</w:t>
      </w:r>
    </w:p>
    <w:tbl>
      <w:tblPr>
        <w:tblStyle w:val="38"/>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965"/>
        <w:gridCol w:w="850"/>
        <w:gridCol w:w="3012"/>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vAlign w:val="center"/>
          </w:tcPr>
          <w:p>
            <w:pPr>
              <w:spacing w:line="240" w:lineRule="auto"/>
              <w:ind w:firstLine="0" w:firstLineChars="0"/>
              <w:contextualSpacing/>
              <w:jc w:val="center"/>
              <w:rPr>
                <w:sz w:val="21"/>
                <w:szCs w:val="21"/>
              </w:rPr>
            </w:pPr>
            <w:r>
              <w:rPr>
                <w:sz w:val="21"/>
                <w:szCs w:val="21"/>
              </w:rPr>
              <w:t>项目</w:t>
            </w:r>
          </w:p>
        </w:tc>
        <w:tc>
          <w:tcPr>
            <w:tcW w:w="850" w:type="dxa"/>
            <w:vAlign w:val="center"/>
          </w:tcPr>
          <w:p>
            <w:pPr>
              <w:spacing w:line="240" w:lineRule="auto"/>
              <w:ind w:firstLine="0" w:firstLineChars="0"/>
              <w:contextualSpacing/>
              <w:jc w:val="center"/>
              <w:rPr>
                <w:sz w:val="21"/>
                <w:szCs w:val="21"/>
              </w:rPr>
            </w:pPr>
            <w:r>
              <w:rPr>
                <w:sz w:val="21"/>
                <w:szCs w:val="21"/>
              </w:rPr>
              <w:t>区域</w:t>
            </w:r>
          </w:p>
        </w:tc>
        <w:tc>
          <w:tcPr>
            <w:tcW w:w="3012" w:type="dxa"/>
            <w:vAlign w:val="center"/>
          </w:tcPr>
          <w:p>
            <w:pPr>
              <w:spacing w:line="240" w:lineRule="auto"/>
              <w:ind w:firstLine="0" w:firstLineChars="0"/>
              <w:contextualSpacing/>
              <w:jc w:val="center"/>
              <w:rPr>
                <w:sz w:val="21"/>
                <w:szCs w:val="21"/>
              </w:rPr>
            </w:pPr>
            <w:r>
              <w:rPr>
                <w:sz w:val="21"/>
                <w:szCs w:val="21"/>
              </w:rPr>
              <w:t>环保措施</w:t>
            </w:r>
          </w:p>
        </w:tc>
        <w:tc>
          <w:tcPr>
            <w:tcW w:w="2964" w:type="dxa"/>
            <w:vAlign w:val="center"/>
          </w:tcPr>
          <w:p>
            <w:pPr>
              <w:spacing w:line="240" w:lineRule="auto"/>
              <w:ind w:firstLine="0" w:firstLineChars="0"/>
              <w:contextualSpacing/>
              <w:jc w:val="center"/>
              <w:rPr>
                <w:sz w:val="21"/>
                <w:szCs w:val="21"/>
              </w:rPr>
            </w:pPr>
            <w:r>
              <w:rPr>
                <w:sz w:val="21"/>
                <w:szCs w:val="21"/>
              </w:rPr>
              <w:t>环保措施可行性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61" w:type="dxa"/>
            <w:vMerge w:val="restart"/>
            <w:vAlign w:val="center"/>
          </w:tcPr>
          <w:p>
            <w:pPr>
              <w:spacing w:line="240" w:lineRule="auto"/>
              <w:ind w:firstLine="0" w:firstLineChars="0"/>
              <w:contextualSpacing/>
              <w:jc w:val="center"/>
              <w:rPr>
                <w:sz w:val="21"/>
                <w:szCs w:val="21"/>
              </w:rPr>
            </w:pPr>
            <w:r>
              <w:rPr>
                <w:sz w:val="21"/>
                <w:szCs w:val="21"/>
              </w:rPr>
              <w:t>生产废水</w:t>
            </w:r>
          </w:p>
        </w:tc>
        <w:tc>
          <w:tcPr>
            <w:tcW w:w="965" w:type="dxa"/>
            <w:vMerge w:val="restart"/>
            <w:vAlign w:val="center"/>
          </w:tcPr>
          <w:p>
            <w:pPr>
              <w:spacing w:line="240" w:lineRule="auto"/>
              <w:ind w:firstLine="0" w:firstLineChars="0"/>
              <w:contextualSpacing/>
              <w:jc w:val="center"/>
              <w:rPr>
                <w:sz w:val="21"/>
                <w:szCs w:val="21"/>
              </w:rPr>
            </w:pPr>
            <w:r>
              <w:rPr>
                <w:sz w:val="21"/>
                <w:szCs w:val="21"/>
              </w:rPr>
              <w:t>混凝土拌和系统废水</w:t>
            </w:r>
          </w:p>
        </w:tc>
        <w:tc>
          <w:tcPr>
            <w:tcW w:w="850" w:type="dxa"/>
            <w:vAlign w:val="center"/>
          </w:tcPr>
          <w:p>
            <w:pPr>
              <w:spacing w:line="240" w:lineRule="auto"/>
              <w:ind w:firstLine="0" w:firstLineChars="0"/>
              <w:contextualSpacing/>
              <w:jc w:val="center"/>
              <w:rPr>
                <w:sz w:val="21"/>
                <w:szCs w:val="21"/>
              </w:rPr>
            </w:pPr>
            <w:r>
              <w:rPr>
                <w:rFonts w:hint="eastAsia"/>
                <w:sz w:val="21"/>
                <w:szCs w:val="21"/>
              </w:rPr>
              <w:t>枢纽</w:t>
            </w:r>
            <w:r>
              <w:rPr>
                <w:sz w:val="21"/>
                <w:szCs w:val="21"/>
              </w:rPr>
              <w:t>区</w:t>
            </w:r>
          </w:p>
        </w:tc>
        <w:tc>
          <w:tcPr>
            <w:tcW w:w="3012" w:type="dxa"/>
            <w:vMerge w:val="restart"/>
            <w:vAlign w:val="center"/>
          </w:tcPr>
          <w:p>
            <w:pPr>
              <w:spacing w:line="240" w:lineRule="auto"/>
              <w:ind w:firstLine="0" w:firstLineChars="0"/>
              <w:contextualSpacing/>
              <w:jc w:val="center"/>
              <w:rPr>
                <w:sz w:val="21"/>
                <w:szCs w:val="21"/>
              </w:rPr>
            </w:pPr>
            <w:r>
              <w:rPr>
                <w:sz w:val="21"/>
                <w:szCs w:val="21"/>
              </w:rPr>
              <w:t>采取中和混凝沉淀法处理后，循环使用。大坝工区</w:t>
            </w:r>
            <w:r>
              <w:rPr>
                <w:rFonts w:hint="eastAsia"/>
                <w:sz w:val="21"/>
                <w:szCs w:val="21"/>
              </w:rPr>
              <w:t>设置混凝土拌合站1</w:t>
            </w:r>
            <w:r>
              <w:rPr>
                <w:sz w:val="21"/>
                <w:szCs w:val="21"/>
              </w:rPr>
              <w:t>座，拌和冲洗水通过设管沟引至混凝沉淀系统内。经二级沉淀处理，pH值调至中性后接入清水池再回用于施工生产或场地抑尘洒水，不外排。灌区</w:t>
            </w:r>
            <w:r>
              <w:rPr>
                <w:rFonts w:hint="eastAsia"/>
                <w:sz w:val="21"/>
                <w:szCs w:val="21"/>
              </w:rPr>
              <w:t>设置混凝土拌和机</w:t>
            </w:r>
            <w:r>
              <w:rPr>
                <w:sz w:val="21"/>
                <w:szCs w:val="21"/>
              </w:rPr>
              <w:t>10</w:t>
            </w:r>
            <w:r>
              <w:rPr>
                <w:rFonts w:hint="eastAsia"/>
                <w:sz w:val="21"/>
                <w:szCs w:val="21"/>
              </w:rPr>
              <w:t>座，采用固定储水容器</w:t>
            </w:r>
            <w:r>
              <w:rPr>
                <w:sz w:val="21"/>
                <w:szCs w:val="21"/>
              </w:rPr>
              <w:t>进行沉淀处理后回用。</w:t>
            </w:r>
          </w:p>
        </w:tc>
        <w:tc>
          <w:tcPr>
            <w:tcW w:w="2964" w:type="dxa"/>
            <w:vMerge w:val="restart"/>
            <w:vAlign w:val="center"/>
          </w:tcPr>
          <w:p>
            <w:pPr>
              <w:spacing w:line="240" w:lineRule="auto"/>
              <w:ind w:firstLine="0" w:firstLineChars="0"/>
              <w:contextualSpacing/>
              <w:jc w:val="center"/>
              <w:rPr>
                <w:sz w:val="21"/>
                <w:szCs w:val="21"/>
              </w:rPr>
            </w:pPr>
            <w:r>
              <w:rPr>
                <w:sz w:val="21"/>
                <w:szCs w:val="21"/>
              </w:rPr>
              <w:t>混凝土冲洗废水处理构筑简单，不借助任何机械动力，经重力沉降及适当人工投加绿矾和聚丙烯酰胺的混合物以降低悬浮物浓度和降低沉淀池内的碱性。没有机械设备维护问题，在运行过程中主要注意定时清理。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240" w:lineRule="auto"/>
              <w:ind w:firstLine="0" w:firstLineChars="0"/>
              <w:contextualSpacing/>
              <w:jc w:val="center"/>
              <w:rPr>
                <w:sz w:val="21"/>
                <w:szCs w:val="21"/>
              </w:rPr>
            </w:pPr>
          </w:p>
        </w:tc>
        <w:tc>
          <w:tcPr>
            <w:tcW w:w="965" w:type="dxa"/>
            <w:vMerge w:val="continue"/>
            <w:vAlign w:val="center"/>
          </w:tcPr>
          <w:p>
            <w:pPr>
              <w:spacing w:line="240" w:lineRule="auto"/>
              <w:ind w:firstLine="0" w:firstLineChars="0"/>
              <w:contextualSpacing/>
              <w:jc w:val="center"/>
              <w:rPr>
                <w:sz w:val="21"/>
                <w:szCs w:val="21"/>
              </w:rPr>
            </w:pPr>
          </w:p>
        </w:tc>
        <w:tc>
          <w:tcPr>
            <w:tcW w:w="850" w:type="dxa"/>
            <w:vAlign w:val="center"/>
          </w:tcPr>
          <w:p>
            <w:pPr>
              <w:spacing w:line="240" w:lineRule="auto"/>
              <w:ind w:firstLine="0" w:firstLineChars="0"/>
              <w:contextualSpacing/>
              <w:jc w:val="center"/>
              <w:rPr>
                <w:sz w:val="21"/>
                <w:szCs w:val="21"/>
              </w:rPr>
            </w:pPr>
            <w:r>
              <w:rPr>
                <w:sz w:val="21"/>
                <w:szCs w:val="21"/>
              </w:rPr>
              <w:t>灌区</w:t>
            </w:r>
          </w:p>
        </w:tc>
        <w:tc>
          <w:tcPr>
            <w:tcW w:w="3012" w:type="dxa"/>
            <w:vMerge w:val="continue"/>
            <w:vAlign w:val="center"/>
          </w:tcPr>
          <w:p>
            <w:pPr>
              <w:spacing w:line="240" w:lineRule="auto"/>
              <w:ind w:firstLine="0" w:firstLineChars="0"/>
              <w:contextualSpacing/>
              <w:jc w:val="center"/>
              <w:rPr>
                <w:sz w:val="21"/>
                <w:szCs w:val="21"/>
              </w:rPr>
            </w:pPr>
          </w:p>
        </w:tc>
        <w:tc>
          <w:tcPr>
            <w:tcW w:w="2964"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561" w:type="dxa"/>
            <w:vMerge w:val="continue"/>
            <w:vAlign w:val="center"/>
          </w:tcPr>
          <w:p>
            <w:pPr>
              <w:spacing w:line="240" w:lineRule="auto"/>
              <w:ind w:firstLine="0" w:firstLineChars="0"/>
              <w:contextualSpacing/>
              <w:jc w:val="center"/>
              <w:rPr>
                <w:sz w:val="21"/>
                <w:szCs w:val="21"/>
              </w:rPr>
            </w:pPr>
          </w:p>
        </w:tc>
        <w:tc>
          <w:tcPr>
            <w:tcW w:w="965" w:type="dxa"/>
            <w:vAlign w:val="center"/>
          </w:tcPr>
          <w:p>
            <w:pPr>
              <w:spacing w:line="240" w:lineRule="auto"/>
              <w:ind w:firstLine="0" w:firstLineChars="0"/>
              <w:contextualSpacing/>
              <w:jc w:val="center"/>
              <w:rPr>
                <w:sz w:val="21"/>
                <w:szCs w:val="21"/>
              </w:rPr>
            </w:pPr>
            <w:r>
              <w:rPr>
                <w:rFonts w:hint="eastAsia"/>
                <w:sz w:val="21"/>
                <w:szCs w:val="21"/>
              </w:rPr>
              <w:t>含油废水</w:t>
            </w:r>
          </w:p>
        </w:tc>
        <w:tc>
          <w:tcPr>
            <w:tcW w:w="850" w:type="dxa"/>
            <w:vAlign w:val="center"/>
          </w:tcPr>
          <w:p>
            <w:pPr>
              <w:spacing w:line="240" w:lineRule="auto"/>
              <w:ind w:firstLine="0" w:firstLineChars="0"/>
              <w:contextualSpacing/>
              <w:jc w:val="center"/>
              <w:rPr>
                <w:sz w:val="21"/>
                <w:szCs w:val="21"/>
              </w:rPr>
            </w:pPr>
            <w:r>
              <w:rPr>
                <w:rFonts w:hint="eastAsia"/>
                <w:sz w:val="21"/>
                <w:szCs w:val="21"/>
              </w:rPr>
              <w:t>枢纽区</w:t>
            </w:r>
          </w:p>
        </w:tc>
        <w:tc>
          <w:tcPr>
            <w:tcW w:w="3012" w:type="dxa"/>
            <w:vAlign w:val="center"/>
          </w:tcPr>
          <w:p>
            <w:pPr>
              <w:spacing w:line="240" w:lineRule="auto"/>
              <w:ind w:firstLine="0" w:firstLineChars="0"/>
              <w:contextualSpacing/>
              <w:jc w:val="center"/>
              <w:rPr>
                <w:sz w:val="21"/>
                <w:szCs w:val="21"/>
              </w:rPr>
            </w:pPr>
            <w:r>
              <w:rPr>
                <w:sz w:val="21"/>
                <w:szCs w:val="21"/>
              </w:rPr>
              <w:t>隔油池+气浮隔油处理。</w:t>
            </w:r>
          </w:p>
          <w:p>
            <w:pPr>
              <w:spacing w:line="240" w:lineRule="auto"/>
              <w:ind w:firstLine="0" w:firstLineChars="0"/>
              <w:contextualSpacing/>
              <w:jc w:val="center"/>
              <w:rPr>
                <w:sz w:val="21"/>
                <w:szCs w:val="21"/>
              </w:rPr>
            </w:pPr>
            <w:r>
              <w:rPr>
                <w:sz w:val="21"/>
                <w:szCs w:val="21"/>
              </w:rPr>
              <w:t>主要构筑物包括隔油池和气浮池。枢纽区1座。</w:t>
            </w:r>
          </w:p>
        </w:tc>
        <w:tc>
          <w:tcPr>
            <w:tcW w:w="2964" w:type="dxa"/>
            <w:vAlign w:val="center"/>
          </w:tcPr>
          <w:p>
            <w:pPr>
              <w:spacing w:line="240" w:lineRule="auto"/>
              <w:ind w:firstLine="0" w:firstLineChars="0"/>
              <w:contextualSpacing/>
              <w:jc w:val="center"/>
              <w:rPr>
                <w:sz w:val="21"/>
                <w:szCs w:val="21"/>
              </w:rPr>
            </w:pPr>
            <w:r>
              <w:rPr>
                <w:sz w:val="21"/>
                <w:szCs w:val="21"/>
              </w:rPr>
              <w:t>废水主要含石油类，隔油池</w:t>
            </w:r>
          </w:p>
          <w:p>
            <w:pPr>
              <w:spacing w:line="240" w:lineRule="auto"/>
              <w:ind w:firstLine="0" w:firstLineChars="0"/>
              <w:contextualSpacing/>
              <w:jc w:val="center"/>
              <w:rPr>
                <w:sz w:val="21"/>
                <w:szCs w:val="21"/>
              </w:rPr>
            </w:pPr>
            <w:r>
              <w:rPr>
                <w:sz w:val="21"/>
                <w:szCs w:val="21"/>
              </w:rPr>
              <w:t>除油效率在60%~80%之间，处理后的出水含油浓度在20~40mg/L，对水质要求不高的施工车辆、机械</w:t>
            </w:r>
            <w:r>
              <w:rPr>
                <w:rFonts w:hint="eastAsia"/>
                <w:sz w:val="21"/>
                <w:szCs w:val="21"/>
              </w:rPr>
              <w:t>保养</w:t>
            </w:r>
            <w:r>
              <w:rPr>
                <w:sz w:val="21"/>
                <w:szCs w:val="21"/>
              </w:rPr>
              <w:t>、清洗等可实现废水全部回用，不排入地表水体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240" w:lineRule="auto"/>
              <w:ind w:firstLine="0" w:firstLineChars="0"/>
              <w:contextualSpacing/>
              <w:jc w:val="center"/>
              <w:rPr>
                <w:sz w:val="21"/>
                <w:szCs w:val="21"/>
              </w:rPr>
            </w:pPr>
          </w:p>
        </w:tc>
        <w:tc>
          <w:tcPr>
            <w:tcW w:w="965" w:type="dxa"/>
            <w:vAlign w:val="center"/>
          </w:tcPr>
          <w:p>
            <w:pPr>
              <w:spacing w:line="240" w:lineRule="auto"/>
              <w:ind w:firstLine="0" w:firstLineChars="0"/>
              <w:contextualSpacing/>
              <w:jc w:val="center"/>
              <w:rPr>
                <w:sz w:val="21"/>
                <w:szCs w:val="21"/>
              </w:rPr>
            </w:pPr>
            <w:r>
              <w:rPr>
                <w:sz w:val="21"/>
                <w:szCs w:val="21"/>
              </w:rPr>
              <w:t>基坑</w:t>
            </w:r>
            <w:r>
              <w:rPr>
                <w:rFonts w:hint="eastAsia"/>
                <w:sz w:val="21"/>
                <w:szCs w:val="21"/>
              </w:rPr>
              <w:t>排</w:t>
            </w:r>
            <w:r>
              <w:rPr>
                <w:sz w:val="21"/>
                <w:szCs w:val="21"/>
              </w:rPr>
              <w:t>水</w:t>
            </w:r>
          </w:p>
        </w:tc>
        <w:tc>
          <w:tcPr>
            <w:tcW w:w="850" w:type="dxa"/>
            <w:vAlign w:val="center"/>
          </w:tcPr>
          <w:p>
            <w:pPr>
              <w:spacing w:line="240" w:lineRule="auto"/>
              <w:ind w:firstLine="0" w:firstLineChars="0"/>
              <w:contextualSpacing/>
              <w:jc w:val="center"/>
              <w:rPr>
                <w:sz w:val="21"/>
                <w:szCs w:val="21"/>
              </w:rPr>
            </w:pPr>
            <w:r>
              <w:rPr>
                <w:sz w:val="21"/>
                <w:szCs w:val="21"/>
              </w:rPr>
              <w:t>枢纽区</w:t>
            </w:r>
          </w:p>
        </w:tc>
        <w:tc>
          <w:tcPr>
            <w:tcW w:w="3012" w:type="dxa"/>
            <w:vAlign w:val="center"/>
          </w:tcPr>
          <w:p>
            <w:pPr>
              <w:spacing w:line="240" w:lineRule="auto"/>
              <w:ind w:firstLine="0" w:firstLineChars="0"/>
              <w:contextualSpacing/>
              <w:jc w:val="center"/>
              <w:rPr>
                <w:sz w:val="21"/>
                <w:szCs w:val="21"/>
              </w:rPr>
            </w:pPr>
            <w:r>
              <w:rPr>
                <w:sz w:val="21"/>
                <w:szCs w:val="21"/>
              </w:rPr>
              <w:t>向基坑投加混凝剂、助凝剂，沉淀处理后的排水可抽出优先用于洒水降尘，浇灌附近林地和耕地或作为水保植物措施用水等。剩余污泥自然干化后定期运至弃渣场填埋。</w:t>
            </w:r>
          </w:p>
        </w:tc>
        <w:tc>
          <w:tcPr>
            <w:tcW w:w="2964" w:type="dxa"/>
            <w:vAlign w:val="center"/>
          </w:tcPr>
          <w:p>
            <w:pPr>
              <w:spacing w:line="240" w:lineRule="auto"/>
              <w:ind w:firstLine="0" w:firstLineChars="0"/>
              <w:contextualSpacing/>
              <w:jc w:val="center"/>
              <w:rPr>
                <w:sz w:val="21"/>
                <w:szCs w:val="21"/>
              </w:rPr>
            </w:pPr>
            <w:r>
              <w:rPr>
                <w:sz w:val="21"/>
                <w:szCs w:val="21"/>
              </w:rPr>
              <w:t>基坑</w:t>
            </w:r>
            <w:r>
              <w:rPr>
                <w:rFonts w:hint="eastAsia"/>
                <w:sz w:val="21"/>
                <w:szCs w:val="21"/>
              </w:rPr>
              <w:t>排</w:t>
            </w:r>
            <w:r>
              <w:rPr>
                <w:sz w:val="21"/>
                <w:szCs w:val="21"/>
              </w:rPr>
              <w:t>水以SS为主，经收集、沉淀处理后回用。施工操作简便，投资少。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pPr>
              <w:spacing w:line="240" w:lineRule="auto"/>
              <w:ind w:firstLine="0" w:firstLineChars="0"/>
              <w:contextualSpacing/>
              <w:jc w:val="center"/>
              <w:rPr>
                <w:sz w:val="21"/>
                <w:szCs w:val="21"/>
              </w:rPr>
            </w:pPr>
          </w:p>
        </w:tc>
        <w:tc>
          <w:tcPr>
            <w:tcW w:w="965" w:type="dxa"/>
            <w:vAlign w:val="center"/>
          </w:tcPr>
          <w:p>
            <w:pPr>
              <w:spacing w:line="240" w:lineRule="auto"/>
              <w:ind w:firstLine="0" w:firstLineChars="0"/>
              <w:contextualSpacing/>
              <w:jc w:val="center"/>
              <w:rPr>
                <w:sz w:val="21"/>
                <w:szCs w:val="21"/>
              </w:rPr>
            </w:pPr>
            <w:r>
              <w:rPr>
                <w:rFonts w:hint="eastAsia"/>
                <w:sz w:val="21"/>
                <w:szCs w:val="21"/>
              </w:rPr>
              <w:t>隧洞排水</w:t>
            </w:r>
          </w:p>
        </w:tc>
        <w:tc>
          <w:tcPr>
            <w:tcW w:w="850" w:type="dxa"/>
            <w:vAlign w:val="center"/>
          </w:tcPr>
          <w:p>
            <w:pPr>
              <w:spacing w:line="240" w:lineRule="auto"/>
              <w:ind w:firstLine="0" w:firstLineChars="0"/>
              <w:contextualSpacing/>
              <w:jc w:val="center"/>
              <w:rPr>
                <w:sz w:val="21"/>
                <w:szCs w:val="21"/>
              </w:rPr>
            </w:pPr>
            <w:r>
              <w:rPr>
                <w:rFonts w:hint="eastAsia"/>
                <w:sz w:val="21"/>
                <w:szCs w:val="21"/>
              </w:rPr>
              <w:t>枢纽区</w:t>
            </w:r>
          </w:p>
        </w:tc>
        <w:tc>
          <w:tcPr>
            <w:tcW w:w="3012" w:type="dxa"/>
            <w:vAlign w:val="center"/>
          </w:tcPr>
          <w:p>
            <w:pPr>
              <w:spacing w:line="240" w:lineRule="auto"/>
              <w:ind w:firstLine="0" w:firstLineChars="0"/>
              <w:contextualSpacing/>
              <w:jc w:val="center"/>
              <w:rPr>
                <w:sz w:val="21"/>
                <w:szCs w:val="21"/>
              </w:rPr>
            </w:pPr>
            <w:r>
              <w:rPr>
                <w:rFonts w:hint="eastAsia"/>
                <w:sz w:val="21"/>
                <w:szCs w:val="21"/>
              </w:rPr>
              <w:t>做好清污分流措施，且洞口设置二级沉淀池，对隧洞涌水进行沉淀处理。</w:t>
            </w:r>
          </w:p>
        </w:tc>
        <w:tc>
          <w:tcPr>
            <w:tcW w:w="2964" w:type="dxa"/>
            <w:vAlign w:val="center"/>
          </w:tcPr>
          <w:p>
            <w:pPr>
              <w:spacing w:line="240" w:lineRule="auto"/>
              <w:ind w:firstLine="0" w:firstLineChars="0"/>
              <w:contextualSpacing/>
              <w:jc w:val="center"/>
              <w:rPr>
                <w:sz w:val="21"/>
                <w:szCs w:val="21"/>
              </w:rPr>
            </w:pPr>
            <w:r>
              <w:rPr>
                <w:rFonts w:hint="eastAsia"/>
                <w:sz w:val="21"/>
                <w:szCs w:val="21"/>
              </w:rPr>
              <w:t>隧洞排水</w:t>
            </w:r>
            <w:r>
              <w:rPr>
                <w:sz w:val="21"/>
                <w:szCs w:val="21"/>
              </w:rPr>
              <w:t>以SS为主，经</w:t>
            </w:r>
            <w:r>
              <w:rPr>
                <w:rFonts w:hint="eastAsia"/>
                <w:sz w:val="21"/>
                <w:szCs w:val="21"/>
              </w:rPr>
              <w:t>分流、</w:t>
            </w:r>
            <w:r>
              <w:rPr>
                <w:sz w:val="21"/>
                <w:szCs w:val="21"/>
              </w:rPr>
              <w:t>收集、沉淀处理后回用。施工操作简便，投资少。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vMerge w:val="restart"/>
            <w:vAlign w:val="center"/>
          </w:tcPr>
          <w:p>
            <w:pPr>
              <w:spacing w:line="240" w:lineRule="auto"/>
              <w:ind w:firstLine="0" w:firstLineChars="0"/>
              <w:contextualSpacing/>
              <w:jc w:val="center"/>
              <w:rPr>
                <w:sz w:val="21"/>
                <w:szCs w:val="21"/>
              </w:rPr>
            </w:pPr>
            <w:r>
              <w:rPr>
                <w:sz w:val="21"/>
                <w:szCs w:val="21"/>
              </w:rPr>
              <w:t>生活污水</w:t>
            </w:r>
          </w:p>
        </w:tc>
        <w:tc>
          <w:tcPr>
            <w:tcW w:w="850" w:type="dxa"/>
            <w:vAlign w:val="center"/>
          </w:tcPr>
          <w:p>
            <w:pPr>
              <w:spacing w:line="240" w:lineRule="auto"/>
              <w:ind w:firstLine="0" w:firstLineChars="0"/>
              <w:contextualSpacing/>
              <w:jc w:val="center"/>
              <w:rPr>
                <w:sz w:val="21"/>
                <w:szCs w:val="21"/>
              </w:rPr>
            </w:pPr>
            <w:r>
              <w:rPr>
                <w:sz w:val="21"/>
                <w:szCs w:val="21"/>
              </w:rPr>
              <w:t>枢纽区营地</w:t>
            </w:r>
          </w:p>
        </w:tc>
        <w:tc>
          <w:tcPr>
            <w:tcW w:w="3012" w:type="dxa"/>
            <w:vAlign w:val="center"/>
          </w:tcPr>
          <w:p>
            <w:pPr>
              <w:spacing w:line="240" w:lineRule="auto"/>
              <w:ind w:firstLine="0" w:firstLineChars="0"/>
              <w:contextualSpacing/>
              <w:jc w:val="center"/>
              <w:rPr>
                <w:sz w:val="21"/>
                <w:szCs w:val="21"/>
              </w:rPr>
            </w:pPr>
            <w:r>
              <w:rPr>
                <w:sz w:val="21"/>
                <w:szCs w:val="21"/>
              </w:rPr>
              <w:t>设一体化污水处理系统。</w:t>
            </w:r>
          </w:p>
        </w:tc>
        <w:tc>
          <w:tcPr>
            <w:tcW w:w="2964" w:type="dxa"/>
            <w:vAlign w:val="center"/>
          </w:tcPr>
          <w:p>
            <w:pPr>
              <w:spacing w:line="240" w:lineRule="auto"/>
              <w:ind w:firstLine="0" w:firstLineChars="0"/>
              <w:contextualSpacing/>
              <w:jc w:val="center"/>
              <w:rPr>
                <w:sz w:val="21"/>
                <w:szCs w:val="21"/>
              </w:rPr>
            </w:pPr>
            <w:r>
              <w:rPr>
                <w:sz w:val="21"/>
                <w:szCs w:val="21"/>
              </w:rPr>
              <w:t>施工营地、</w:t>
            </w:r>
            <w:r>
              <w:rPr>
                <w:rFonts w:hint="eastAsia"/>
                <w:sz w:val="21"/>
                <w:szCs w:val="21"/>
              </w:rPr>
              <w:t>管理</w:t>
            </w:r>
            <w:r>
              <w:rPr>
                <w:sz w:val="21"/>
                <w:szCs w:val="21"/>
              </w:rPr>
              <w:t>营地位于库区内，采取一体化成套处理设备可行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vMerge w:val="continue"/>
            <w:vAlign w:val="center"/>
          </w:tcPr>
          <w:p>
            <w:pPr>
              <w:spacing w:line="240" w:lineRule="auto"/>
              <w:ind w:firstLine="0" w:firstLineChars="0"/>
              <w:contextualSpacing/>
              <w:jc w:val="center"/>
              <w:rPr>
                <w:sz w:val="21"/>
                <w:szCs w:val="21"/>
              </w:rPr>
            </w:pPr>
          </w:p>
        </w:tc>
        <w:tc>
          <w:tcPr>
            <w:tcW w:w="850" w:type="dxa"/>
            <w:vAlign w:val="center"/>
          </w:tcPr>
          <w:p>
            <w:pPr>
              <w:spacing w:line="240" w:lineRule="auto"/>
              <w:ind w:firstLine="0" w:firstLineChars="0"/>
              <w:contextualSpacing/>
              <w:jc w:val="center"/>
              <w:rPr>
                <w:sz w:val="21"/>
                <w:szCs w:val="21"/>
              </w:rPr>
            </w:pPr>
            <w:r>
              <w:rPr>
                <w:sz w:val="21"/>
                <w:szCs w:val="21"/>
              </w:rPr>
              <w:t>灌区营地</w:t>
            </w:r>
          </w:p>
        </w:tc>
        <w:tc>
          <w:tcPr>
            <w:tcW w:w="3012" w:type="dxa"/>
            <w:vAlign w:val="center"/>
          </w:tcPr>
          <w:p>
            <w:pPr>
              <w:spacing w:line="240" w:lineRule="auto"/>
              <w:ind w:firstLine="0" w:firstLineChars="0"/>
              <w:contextualSpacing/>
              <w:jc w:val="center"/>
              <w:rPr>
                <w:sz w:val="21"/>
                <w:szCs w:val="21"/>
              </w:rPr>
            </w:pPr>
            <w:r>
              <w:rPr>
                <w:sz w:val="21"/>
                <w:szCs w:val="21"/>
              </w:rPr>
              <w:t>设置简易化粪池处理后后全部用于周边农地浇灌，作农肥使用，不外排。</w:t>
            </w:r>
          </w:p>
        </w:tc>
        <w:tc>
          <w:tcPr>
            <w:tcW w:w="2964" w:type="dxa"/>
            <w:vAlign w:val="center"/>
          </w:tcPr>
          <w:p>
            <w:pPr>
              <w:spacing w:line="240" w:lineRule="auto"/>
              <w:ind w:firstLine="0" w:firstLineChars="0"/>
              <w:contextualSpacing/>
              <w:jc w:val="center"/>
              <w:rPr>
                <w:sz w:val="21"/>
                <w:szCs w:val="21"/>
              </w:rPr>
            </w:pPr>
            <w:r>
              <w:rPr>
                <w:sz w:val="21"/>
                <w:szCs w:val="21"/>
              </w:rPr>
              <w:t>生活污水作临近农地灌溉水处理，实现的废物的资源化利用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vMerge w:val="restart"/>
            <w:vAlign w:val="center"/>
          </w:tcPr>
          <w:p>
            <w:pPr>
              <w:spacing w:line="240" w:lineRule="auto"/>
              <w:ind w:firstLine="0" w:firstLineChars="0"/>
              <w:contextualSpacing/>
              <w:jc w:val="center"/>
              <w:rPr>
                <w:sz w:val="21"/>
                <w:szCs w:val="21"/>
              </w:rPr>
            </w:pPr>
            <w:r>
              <w:rPr>
                <w:rFonts w:hint="eastAsia"/>
                <w:sz w:val="21"/>
                <w:szCs w:val="21"/>
              </w:rPr>
              <w:t>涉水工程临时保护措施</w:t>
            </w:r>
          </w:p>
        </w:tc>
        <w:tc>
          <w:tcPr>
            <w:tcW w:w="850" w:type="dxa"/>
            <w:vAlign w:val="center"/>
          </w:tcPr>
          <w:p>
            <w:pPr>
              <w:spacing w:line="240" w:lineRule="auto"/>
              <w:ind w:firstLine="0" w:firstLineChars="0"/>
              <w:contextualSpacing/>
              <w:jc w:val="center"/>
              <w:rPr>
                <w:sz w:val="21"/>
                <w:szCs w:val="21"/>
              </w:rPr>
            </w:pPr>
            <w:r>
              <w:rPr>
                <w:rFonts w:hint="eastAsia"/>
                <w:sz w:val="21"/>
                <w:szCs w:val="21"/>
              </w:rPr>
              <w:t>枢纽</w:t>
            </w:r>
            <w:r>
              <w:rPr>
                <w:sz w:val="21"/>
                <w:szCs w:val="21"/>
              </w:rPr>
              <w:t>区</w:t>
            </w:r>
          </w:p>
        </w:tc>
        <w:tc>
          <w:tcPr>
            <w:tcW w:w="3012" w:type="dxa"/>
            <w:vMerge w:val="restart"/>
            <w:vAlign w:val="center"/>
          </w:tcPr>
          <w:p>
            <w:pPr>
              <w:spacing w:line="240" w:lineRule="auto"/>
              <w:ind w:firstLine="0" w:firstLineChars="0"/>
              <w:contextualSpacing/>
              <w:jc w:val="center"/>
              <w:rPr>
                <w:sz w:val="21"/>
                <w:szCs w:val="21"/>
              </w:rPr>
            </w:pPr>
            <w:r>
              <w:rPr>
                <w:rFonts w:hint="eastAsia"/>
                <w:sz w:val="21"/>
                <w:szCs w:val="21"/>
              </w:rPr>
              <w:t>针对围堰、桥梁等涉水工程，采取</w:t>
            </w:r>
            <w:r>
              <w:rPr>
                <w:rFonts w:hint="eastAsia" w:ascii="Arial" w:hAnsi="Arial" w:cs="Arial"/>
                <w:sz w:val="22"/>
                <w:szCs w:val="22"/>
                <w:shd w:val="clear" w:color="auto" w:fill="FFFFFF"/>
              </w:rPr>
              <w:t>优化</w:t>
            </w:r>
            <w:r>
              <w:rPr>
                <w:rStyle w:val="42"/>
                <w:rFonts w:hint="eastAsia" w:ascii="Arial" w:hAnsi="Arial" w:cs="Arial"/>
                <w:i w:val="0"/>
                <w:iCs w:val="0"/>
                <w:sz w:val="22"/>
                <w:szCs w:val="22"/>
                <w:shd w:val="clear" w:color="auto" w:fill="FFFFFF"/>
              </w:rPr>
              <w:t>施工</w:t>
            </w:r>
            <w:r>
              <w:rPr>
                <w:rFonts w:hint="eastAsia" w:ascii="Arial" w:hAnsi="Arial" w:cs="Arial"/>
                <w:sz w:val="22"/>
                <w:szCs w:val="22"/>
                <w:shd w:val="clear" w:color="auto" w:fill="FFFFFF"/>
              </w:rPr>
              <w:t>工艺和时序、在枯水期施工、严格</w:t>
            </w:r>
            <w:r>
              <w:rPr>
                <w:rFonts w:hint="eastAsia"/>
                <w:sz w:val="21"/>
                <w:szCs w:val="21"/>
              </w:rPr>
              <w:t>控制施工范围等措施</w:t>
            </w:r>
          </w:p>
        </w:tc>
        <w:tc>
          <w:tcPr>
            <w:tcW w:w="2964" w:type="dxa"/>
            <w:vMerge w:val="restart"/>
            <w:vAlign w:val="center"/>
          </w:tcPr>
          <w:p>
            <w:pPr>
              <w:spacing w:line="240" w:lineRule="auto"/>
              <w:ind w:firstLine="0" w:firstLineChars="0"/>
              <w:contextualSpacing/>
              <w:jc w:val="center"/>
              <w:rPr>
                <w:sz w:val="21"/>
                <w:szCs w:val="21"/>
              </w:rPr>
            </w:pPr>
            <w:r>
              <w:rPr>
                <w:rFonts w:hint="eastAsia"/>
                <w:sz w:val="21"/>
                <w:szCs w:val="21"/>
              </w:rPr>
              <w:t>蔡家河河流径流量小，通过控制性措施，可以有效减缓涉水工程的影响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gridSpan w:val="2"/>
            <w:vMerge w:val="continue"/>
            <w:vAlign w:val="center"/>
          </w:tcPr>
          <w:p>
            <w:pPr>
              <w:spacing w:line="240" w:lineRule="auto"/>
              <w:ind w:firstLine="0" w:firstLineChars="0"/>
              <w:contextualSpacing/>
              <w:jc w:val="center"/>
              <w:rPr>
                <w:sz w:val="21"/>
                <w:szCs w:val="21"/>
              </w:rPr>
            </w:pPr>
          </w:p>
        </w:tc>
        <w:tc>
          <w:tcPr>
            <w:tcW w:w="850" w:type="dxa"/>
            <w:vAlign w:val="center"/>
          </w:tcPr>
          <w:p>
            <w:pPr>
              <w:spacing w:line="240" w:lineRule="auto"/>
              <w:ind w:firstLine="0" w:firstLineChars="0"/>
              <w:contextualSpacing/>
              <w:jc w:val="center"/>
              <w:rPr>
                <w:sz w:val="21"/>
                <w:szCs w:val="21"/>
              </w:rPr>
            </w:pPr>
            <w:r>
              <w:rPr>
                <w:sz w:val="21"/>
                <w:szCs w:val="21"/>
              </w:rPr>
              <w:t>灌区</w:t>
            </w:r>
          </w:p>
        </w:tc>
        <w:tc>
          <w:tcPr>
            <w:tcW w:w="3012" w:type="dxa"/>
            <w:vMerge w:val="continue"/>
            <w:vAlign w:val="center"/>
          </w:tcPr>
          <w:p>
            <w:pPr>
              <w:spacing w:line="240" w:lineRule="auto"/>
              <w:ind w:firstLine="0" w:firstLineChars="0"/>
              <w:contextualSpacing/>
              <w:jc w:val="center"/>
              <w:rPr>
                <w:sz w:val="21"/>
                <w:szCs w:val="21"/>
              </w:rPr>
            </w:pPr>
          </w:p>
        </w:tc>
        <w:tc>
          <w:tcPr>
            <w:tcW w:w="2964" w:type="dxa"/>
            <w:vMerge w:val="continue"/>
            <w:vAlign w:val="center"/>
          </w:tcPr>
          <w:p>
            <w:pPr>
              <w:spacing w:line="240" w:lineRule="auto"/>
              <w:ind w:firstLine="0" w:firstLineChars="0"/>
              <w:contextualSpacing/>
              <w:jc w:val="center"/>
              <w:rPr>
                <w:sz w:val="21"/>
                <w:szCs w:val="21"/>
              </w:rPr>
            </w:pPr>
          </w:p>
        </w:tc>
      </w:tr>
    </w:tbl>
    <w:p>
      <w:pPr>
        <w:pStyle w:val="65"/>
        <w:spacing w:line="360" w:lineRule="auto"/>
        <w:ind w:firstLine="480"/>
        <w:contextualSpacing/>
      </w:pPr>
      <w:r>
        <w:t>（1）混凝土拌合系统废水处理措施</w:t>
      </w:r>
    </w:p>
    <w:p>
      <w:pPr>
        <w:pStyle w:val="65"/>
        <w:spacing w:line="360" w:lineRule="auto"/>
        <w:ind w:firstLine="480"/>
        <w:contextualSpacing/>
      </w:pPr>
      <w:r>
        <w:t>1）废水概况</w:t>
      </w:r>
    </w:p>
    <w:p>
      <w:pPr>
        <w:ind w:firstLine="480"/>
        <w:contextualSpacing/>
      </w:pPr>
      <w:r>
        <w:t>枢纽工程在坝址上游左岸工区布1个混凝土生产系统。布置于坝址左岸上游约0.5km处，紧邻砂石骨料堆存场。系统设计生产能力约45m</w:t>
      </w:r>
      <w:r>
        <w:rPr>
          <w:vertAlign w:val="superscript"/>
        </w:rPr>
        <w:t>3</w:t>
      </w:r>
      <w:r>
        <w:t>/h，配备HZS60型混凝土拌和站1座，三班制生产。灌区工程沿线布置移动式混凝土搅拌机，共设置10座JZC350型混凝土搅拌机，主要靠近灌区各主要建筑物附近，拌和机移动循环使用。</w:t>
      </w:r>
    </w:p>
    <w:p>
      <w:pPr>
        <w:ind w:firstLine="480"/>
        <w:contextualSpacing/>
      </w:pPr>
      <w:r>
        <w:t>混凝土系统废水量约16.2m</w:t>
      </w:r>
      <w:r>
        <w:rPr>
          <w:vertAlign w:val="superscript"/>
        </w:rPr>
        <w:t>3</w:t>
      </w:r>
      <w:r>
        <w:t>/d，混凝土拌合机废水量约</w:t>
      </w:r>
      <w:r>
        <w:rPr>
          <w:rFonts w:hint="eastAsia"/>
        </w:rPr>
        <w:t>18</w:t>
      </w:r>
      <w:r>
        <w:t>m</w:t>
      </w:r>
      <w:r>
        <w:rPr>
          <w:vertAlign w:val="superscript"/>
        </w:rPr>
        <w:t>3</w:t>
      </w:r>
      <w:r>
        <w:t>/d，则施工期共产生混凝土拌合冲洗废水约</w:t>
      </w:r>
      <w:r>
        <w:rPr>
          <w:rFonts w:hint="eastAsia"/>
        </w:rPr>
        <w:t>1.56</w:t>
      </w:r>
      <w:r>
        <w:t>万m</w:t>
      </w:r>
      <w:r>
        <w:rPr>
          <w:vertAlign w:val="superscript"/>
        </w:rPr>
        <w:t>3</w:t>
      </w:r>
      <w:r>
        <w:t>。废水悬浮物和pH值浓度较高（SS约为5000mg/L，pH约值为11.6）。</w:t>
      </w:r>
    </w:p>
    <w:p>
      <w:pPr>
        <w:ind w:firstLine="480"/>
        <w:contextualSpacing/>
      </w:pPr>
      <w:r>
        <w:t>2）处理目标</w:t>
      </w:r>
    </w:p>
    <w:p>
      <w:pPr>
        <w:ind w:firstLine="480"/>
        <w:contextualSpacing/>
      </w:pPr>
      <w:r>
        <w:t>处理目标按《水电工程施工组织设计规范》（NBT10491-2021）中对生产用水的要求，混凝土生产等产生的废水应进行适当处理后回收利用或排放，回收利用水的悬浮物含量不应超过100mg/L。废水经处理后重复使用</w:t>
      </w:r>
      <w:r>
        <w:rPr>
          <w:rFonts w:hint="eastAsia"/>
        </w:rPr>
        <w:t>混凝土系统冲洗用水</w:t>
      </w:r>
      <w:r>
        <w:t>，不参与混凝土拌制。</w:t>
      </w:r>
    </w:p>
    <w:p>
      <w:pPr>
        <w:ind w:firstLine="480"/>
        <w:contextualSpacing/>
      </w:pPr>
      <w:r>
        <w:t>3）工艺流程</w:t>
      </w:r>
    </w:p>
    <w:p>
      <w:pPr>
        <w:pStyle w:val="2"/>
        <w:spacing w:before="0"/>
        <w:ind w:left="0" w:firstLine="480"/>
        <w:contextualSpacing/>
        <w:rPr>
          <w:rFonts w:ascii="Times New Roman" w:hAnsi="Times New Roman"/>
        </w:rPr>
      </w:pPr>
      <w:r>
        <w:rPr>
          <w:rFonts w:ascii="Times New Roman" w:hAnsi="Times New Roman"/>
        </w:rPr>
        <w:t>混凝土拌合系统废水处理量小，</w:t>
      </w:r>
      <w:r>
        <w:rPr>
          <w:rFonts w:hint="eastAsia" w:ascii="Times New Roman" w:hAnsi="Times New Roman"/>
        </w:rPr>
        <w:t>每班废水产生量为5.4m</w:t>
      </w:r>
      <w:r>
        <w:rPr>
          <w:rFonts w:hint="eastAsia" w:ascii="Times New Roman" w:hAnsi="Times New Roman"/>
          <w:vertAlign w:val="superscript"/>
        </w:rPr>
        <w:t>3</w:t>
      </w:r>
      <w:r>
        <w:rPr>
          <w:rFonts w:hint="eastAsia" w:ascii="Times New Roman" w:hAnsi="Times New Roman"/>
        </w:rPr>
        <w:t>，日废水产生量为16.2 m</w:t>
      </w:r>
      <w:r>
        <w:rPr>
          <w:rFonts w:hint="eastAsia" w:ascii="Times New Roman" w:hAnsi="Times New Roman"/>
          <w:vertAlign w:val="superscript"/>
        </w:rPr>
        <w:t>3</w:t>
      </w:r>
      <w:r>
        <w:rPr>
          <w:rFonts w:hint="eastAsia" w:ascii="Times New Roman" w:hAnsi="Times New Roman"/>
        </w:rPr>
        <w:t>。</w:t>
      </w:r>
      <w:r>
        <w:rPr>
          <w:rFonts w:ascii="Times New Roman" w:hAnsi="Times New Roman"/>
        </w:rPr>
        <w:t>类比其它工程混凝土废水处理的成功经验，采用简易沉淀的方法进行处理。废水经管道收集后排入沉淀池，在池内沉淀后排入清水池，废水中的颗粒物主要以混凝土和水泥残渣为主，上清液可回用冲洗搅拌仓、地面。工艺流程如下图所示：</w:t>
      </w:r>
    </w:p>
    <w:p>
      <w:pPr>
        <w:pStyle w:val="2"/>
        <w:spacing w:before="0" w:line="240" w:lineRule="auto"/>
        <w:ind w:left="0" w:firstLine="480"/>
        <w:contextualSpacing/>
        <w:jc w:val="center"/>
        <w:rPr>
          <w:rFonts w:ascii="Times New Roman" w:hAnsi="Times New Roman"/>
        </w:rPr>
      </w:pPr>
      <w:r>
        <w:rPr>
          <w:rFonts w:ascii="Times New Roman" w:hAnsi="Times New Roman"/>
        </w:rPr>
        <w:drawing>
          <wp:inline distT="0" distB="0" distL="0" distR="0">
            <wp:extent cx="3336925" cy="821055"/>
            <wp:effectExtent l="0" t="0" r="0" b="0"/>
            <wp:docPr id="115" name="图片 59" descr="d4ef381958ad278f0dbc0fa266e5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9" descr="d4ef381958ad278f0dbc0fa266e57b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3336925" cy="821055"/>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图6.2.2-1   简易沉淀法工艺流程图</w:t>
      </w:r>
    </w:p>
    <w:p>
      <w:pPr>
        <w:ind w:firstLine="480"/>
        <w:contextualSpacing/>
      </w:pPr>
      <w:r>
        <w:t>4）处理方案设计</w:t>
      </w:r>
    </w:p>
    <w:p>
      <w:pPr>
        <w:ind w:firstLine="480"/>
        <w:contextualSpacing/>
      </w:pPr>
      <w:r>
        <w:t>在枢纽区砼拌和站附近设置1套固定的沉淀池与清水池。沉淀池和清水池均采用统一形式和规模的矩形处理池。每台班末的冲洗废水排入池内，在池内沉淀后排入清水池回用于冲洗搅拌仓、地面等。沉淀池及清水池的容积均设</w:t>
      </w:r>
      <w:r>
        <w:rPr>
          <w:rFonts w:hint="eastAsia"/>
        </w:rPr>
        <w:t>有效容积</w:t>
      </w:r>
      <w:r>
        <w:t>为10m</w:t>
      </w:r>
      <w:r>
        <w:rPr>
          <w:vertAlign w:val="superscript"/>
        </w:rPr>
        <w:t>3</w:t>
      </w:r>
      <w:r>
        <w:t>，尺寸为3m×2m×2m（长×宽×高，其中含超高0.30m），</w:t>
      </w:r>
      <w:r>
        <w:rPr>
          <w:rFonts w:hint="eastAsia"/>
        </w:rPr>
        <w:t>清水每班循环使用</w:t>
      </w:r>
      <w:r>
        <w:t>。均为半地下式。池的出水端设计为活动式，便于清运和调节水位。沉淀池主要工程量见下表。</w:t>
      </w:r>
    </w:p>
    <w:p>
      <w:pPr>
        <w:ind w:firstLine="422"/>
        <w:contextualSpacing/>
        <w:jc w:val="center"/>
        <w:rPr>
          <w:b/>
          <w:bCs/>
          <w:sz w:val="21"/>
          <w:szCs w:val="21"/>
        </w:rPr>
      </w:pPr>
      <w:r>
        <w:rPr>
          <w:b/>
          <w:bCs/>
          <w:sz w:val="21"/>
          <w:szCs w:val="21"/>
        </w:rPr>
        <w:t>表6.2.2-2  混凝土拌合系统废水处理主要工程量表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318"/>
        <w:gridCol w:w="1923"/>
        <w:gridCol w:w="1320"/>
        <w:gridCol w:w="132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8" w:type="dxa"/>
            <w:vAlign w:val="center"/>
          </w:tcPr>
          <w:p>
            <w:pPr>
              <w:spacing w:line="240" w:lineRule="auto"/>
              <w:ind w:firstLine="0" w:firstLineChars="0"/>
              <w:contextualSpacing/>
              <w:jc w:val="center"/>
              <w:rPr>
                <w:sz w:val="21"/>
                <w:szCs w:val="21"/>
              </w:rPr>
            </w:pPr>
            <w:r>
              <w:rPr>
                <w:sz w:val="21"/>
                <w:szCs w:val="21"/>
              </w:rPr>
              <w:t>分区</w:t>
            </w:r>
          </w:p>
        </w:tc>
        <w:tc>
          <w:tcPr>
            <w:tcW w:w="1318" w:type="dxa"/>
            <w:vAlign w:val="center"/>
          </w:tcPr>
          <w:p>
            <w:pPr>
              <w:spacing w:line="240" w:lineRule="auto"/>
              <w:ind w:firstLine="0" w:firstLineChars="0"/>
              <w:contextualSpacing/>
              <w:jc w:val="center"/>
              <w:rPr>
                <w:sz w:val="21"/>
                <w:szCs w:val="21"/>
              </w:rPr>
            </w:pPr>
            <w:r>
              <w:rPr>
                <w:sz w:val="21"/>
                <w:szCs w:val="21"/>
              </w:rPr>
              <w:t>数量</w:t>
            </w:r>
          </w:p>
        </w:tc>
        <w:tc>
          <w:tcPr>
            <w:tcW w:w="1923" w:type="dxa"/>
            <w:vAlign w:val="center"/>
          </w:tcPr>
          <w:p>
            <w:pPr>
              <w:spacing w:line="240" w:lineRule="auto"/>
              <w:ind w:firstLine="0" w:firstLineChars="0"/>
              <w:contextualSpacing/>
              <w:jc w:val="center"/>
              <w:rPr>
                <w:sz w:val="21"/>
                <w:szCs w:val="21"/>
              </w:rPr>
            </w:pPr>
            <w:r>
              <w:rPr>
                <w:sz w:val="21"/>
                <w:szCs w:val="21"/>
              </w:rPr>
              <w:t>长×宽×高</w:t>
            </w:r>
          </w:p>
          <w:p>
            <w:pPr>
              <w:spacing w:line="240" w:lineRule="auto"/>
              <w:ind w:firstLine="0" w:firstLineChars="0"/>
              <w:contextualSpacing/>
              <w:jc w:val="center"/>
              <w:rPr>
                <w:sz w:val="21"/>
                <w:szCs w:val="21"/>
              </w:rPr>
            </w:pPr>
            <w:r>
              <w:rPr>
                <w:sz w:val="21"/>
                <w:szCs w:val="21"/>
              </w:rPr>
              <w:t>（m×m×m）</w:t>
            </w:r>
          </w:p>
        </w:tc>
        <w:tc>
          <w:tcPr>
            <w:tcW w:w="1320" w:type="dxa"/>
            <w:vAlign w:val="center"/>
          </w:tcPr>
          <w:p>
            <w:pPr>
              <w:spacing w:line="240" w:lineRule="auto"/>
              <w:ind w:firstLine="0" w:firstLineChars="0"/>
              <w:contextualSpacing/>
              <w:jc w:val="center"/>
              <w:rPr>
                <w:sz w:val="21"/>
                <w:szCs w:val="21"/>
              </w:rPr>
            </w:pPr>
            <w:r>
              <w:rPr>
                <w:sz w:val="21"/>
                <w:szCs w:val="21"/>
              </w:rPr>
              <w:t>挖方</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w:t>
            </w:r>
          </w:p>
        </w:tc>
        <w:tc>
          <w:tcPr>
            <w:tcW w:w="1321" w:type="dxa"/>
            <w:vAlign w:val="center"/>
          </w:tcPr>
          <w:p>
            <w:pPr>
              <w:spacing w:line="240" w:lineRule="auto"/>
              <w:ind w:firstLine="0" w:firstLineChars="0"/>
              <w:contextualSpacing/>
              <w:jc w:val="center"/>
              <w:rPr>
                <w:sz w:val="21"/>
                <w:szCs w:val="21"/>
              </w:rPr>
            </w:pPr>
            <w:r>
              <w:rPr>
                <w:sz w:val="21"/>
                <w:szCs w:val="21"/>
              </w:rPr>
              <w:t>填方</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w:t>
            </w:r>
          </w:p>
        </w:tc>
        <w:tc>
          <w:tcPr>
            <w:tcW w:w="1322" w:type="dxa"/>
            <w:vAlign w:val="center"/>
          </w:tcPr>
          <w:p>
            <w:pPr>
              <w:spacing w:line="240" w:lineRule="auto"/>
              <w:ind w:firstLine="0" w:firstLineChars="0"/>
              <w:contextualSpacing/>
              <w:jc w:val="center"/>
              <w:rPr>
                <w:sz w:val="21"/>
                <w:szCs w:val="21"/>
              </w:rPr>
            </w:pPr>
            <w:r>
              <w:rPr>
                <w:sz w:val="21"/>
                <w:szCs w:val="21"/>
              </w:rPr>
              <w:t>混凝土</w:t>
            </w:r>
          </w:p>
          <w:p>
            <w:pPr>
              <w:spacing w:line="240" w:lineRule="auto"/>
              <w:ind w:firstLine="0" w:firstLineChars="0"/>
              <w:contextualSpacing/>
              <w:jc w:val="center"/>
              <w:rPr>
                <w:sz w:val="21"/>
                <w:szCs w:val="21"/>
              </w:rPr>
            </w:pPr>
            <w:r>
              <w:rPr>
                <w:sz w:val="21"/>
                <w:szCs w:val="21"/>
              </w:rPr>
              <w:t>（m</w:t>
            </w:r>
            <w:r>
              <w:rPr>
                <w:sz w:val="21"/>
                <w:szCs w:val="21"/>
                <w:vertAlign w:val="superscript"/>
              </w:rPr>
              <w:t>3</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8" w:type="dxa"/>
            <w:vMerge w:val="restart"/>
            <w:vAlign w:val="center"/>
          </w:tcPr>
          <w:p>
            <w:pPr>
              <w:spacing w:line="240" w:lineRule="auto"/>
              <w:ind w:firstLine="0" w:firstLineChars="0"/>
              <w:contextualSpacing/>
              <w:jc w:val="center"/>
              <w:rPr>
                <w:sz w:val="21"/>
                <w:szCs w:val="21"/>
              </w:rPr>
            </w:pPr>
            <w:r>
              <w:rPr>
                <w:sz w:val="21"/>
                <w:szCs w:val="21"/>
              </w:rPr>
              <w:t>枢纽区</w:t>
            </w:r>
          </w:p>
        </w:tc>
        <w:tc>
          <w:tcPr>
            <w:tcW w:w="1318" w:type="dxa"/>
            <w:vAlign w:val="center"/>
          </w:tcPr>
          <w:p>
            <w:pPr>
              <w:spacing w:line="240" w:lineRule="auto"/>
              <w:ind w:firstLine="0" w:firstLineChars="0"/>
              <w:contextualSpacing/>
              <w:jc w:val="center"/>
              <w:rPr>
                <w:sz w:val="21"/>
                <w:szCs w:val="21"/>
              </w:rPr>
            </w:pPr>
            <w:r>
              <w:rPr>
                <w:sz w:val="21"/>
                <w:szCs w:val="21"/>
              </w:rPr>
              <w:t>沉淀池</w:t>
            </w:r>
          </w:p>
        </w:tc>
        <w:tc>
          <w:tcPr>
            <w:tcW w:w="1923" w:type="dxa"/>
            <w:vAlign w:val="center"/>
          </w:tcPr>
          <w:p>
            <w:pPr>
              <w:spacing w:line="240" w:lineRule="auto"/>
              <w:ind w:firstLine="0" w:firstLineChars="0"/>
              <w:contextualSpacing/>
              <w:jc w:val="center"/>
              <w:rPr>
                <w:sz w:val="21"/>
                <w:szCs w:val="21"/>
              </w:rPr>
            </w:pPr>
            <w:r>
              <w:rPr>
                <w:sz w:val="21"/>
                <w:szCs w:val="21"/>
              </w:rPr>
              <w:t>3m×2m×2m</w:t>
            </w:r>
          </w:p>
        </w:tc>
        <w:tc>
          <w:tcPr>
            <w:tcW w:w="1320" w:type="dxa"/>
            <w:vAlign w:val="center"/>
          </w:tcPr>
          <w:p>
            <w:pPr>
              <w:spacing w:line="240" w:lineRule="auto"/>
              <w:ind w:firstLine="0" w:firstLineChars="0"/>
              <w:contextualSpacing/>
              <w:jc w:val="center"/>
              <w:rPr>
                <w:sz w:val="21"/>
                <w:szCs w:val="21"/>
              </w:rPr>
            </w:pPr>
            <w:r>
              <w:rPr>
                <w:sz w:val="21"/>
                <w:szCs w:val="21"/>
              </w:rPr>
              <w:t>16.9</w:t>
            </w:r>
          </w:p>
        </w:tc>
        <w:tc>
          <w:tcPr>
            <w:tcW w:w="1321" w:type="dxa"/>
            <w:vAlign w:val="center"/>
          </w:tcPr>
          <w:p>
            <w:pPr>
              <w:spacing w:line="240" w:lineRule="auto"/>
              <w:ind w:firstLine="0" w:firstLineChars="0"/>
              <w:contextualSpacing/>
              <w:jc w:val="center"/>
              <w:rPr>
                <w:sz w:val="21"/>
                <w:szCs w:val="21"/>
              </w:rPr>
            </w:pPr>
            <w:r>
              <w:rPr>
                <w:sz w:val="21"/>
                <w:szCs w:val="21"/>
              </w:rPr>
              <w:t>7.5</w:t>
            </w:r>
          </w:p>
        </w:tc>
        <w:tc>
          <w:tcPr>
            <w:tcW w:w="1322" w:type="dxa"/>
            <w:vAlign w:val="center"/>
          </w:tcPr>
          <w:p>
            <w:pPr>
              <w:spacing w:line="240" w:lineRule="auto"/>
              <w:ind w:firstLine="0" w:firstLineChars="0"/>
              <w:contextualSpacing/>
              <w:jc w:val="center"/>
              <w:rPr>
                <w:sz w:val="21"/>
                <w:szCs w:val="21"/>
              </w:rPr>
            </w:pPr>
            <w:r>
              <w:rPr>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8" w:type="dxa"/>
            <w:vMerge w:val="continue"/>
            <w:vAlign w:val="center"/>
          </w:tcPr>
          <w:p>
            <w:pPr>
              <w:spacing w:line="240" w:lineRule="auto"/>
              <w:ind w:firstLine="0" w:firstLineChars="0"/>
              <w:contextualSpacing/>
              <w:jc w:val="center"/>
              <w:rPr>
                <w:sz w:val="21"/>
                <w:szCs w:val="21"/>
              </w:rPr>
            </w:pPr>
          </w:p>
        </w:tc>
        <w:tc>
          <w:tcPr>
            <w:tcW w:w="1318" w:type="dxa"/>
            <w:vAlign w:val="center"/>
          </w:tcPr>
          <w:p>
            <w:pPr>
              <w:spacing w:line="240" w:lineRule="auto"/>
              <w:ind w:firstLine="0" w:firstLineChars="0"/>
              <w:contextualSpacing/>
              <w:jc w:val="center"/>
              <w:rPr>
                <w:sz w:val="21"/>
                <w:szCs w:val="21"/>
              </w:rPr>
            </w:pPr>
            <w:r>
              <w:rPr>
                <w:sz w:val="21"/>
                <w:szCs w:val="21"/>
              </w:rPr>
              <w:t>清水池</w:t>
            </w:r>
          </w:p>
        </w:tc>
        <w:tc>
          <w:tcPr>
            <w:tcW w:w="1923" w:type="dxa"/>
            <w:vAlign w:val="center"/>
          </w:tcPr>
          <w:p>
            <w:pPr>
              <w:spacing w:line="240" w:lineRule="auto"/>
              <w:ind w:firstLine="0" w:firstLineChars="0"/>
              <w:contextualSpacing/>
              <w:jc w:val="center"/>
              <w:rPr>
                <w:sz w:val="21"/>
                <w:szCs w:val="21"/>
              </w:rPr>
            </w:pPr>
            <w:r>
              <w:rPr>
                <w:sz w:val="21"/>
                <w:szCs w:val="21"/>
              </w:rPr>
              <w:t>3m×2m×2m</w:t>
            </w:r>
          </w:p>
        </w:tc>
        <w:tc>
          <w:tcPr>
            <w:tcW w:w="1320" w:type="dxa"/>
            <w:vAlign w:val="center"/>
          </w:tcPr>
          <w:p>
            <w:pPr>
              <w:spacing w:line="240" w:lineRule="auto"/>
              <w:ind w:firstLine="0" w:firstLineChars="0"/>
              <w:contextualSpacing/>
              <w:jc w:val="center"/>
              <w:rPr>
                <w:sz w:val="21"/>
                <w:szCs w:val="21"/>
              </w:rPr>
            </w:pPr>
            <w:r>
              <w:rPr>
                <w:sz w:val="21"/>
                <w:szCs w:val="21"/>
              </w:rPr>
              <w:t>16.9</w:t>
            </w:r>
          </w:p>
        </w:tc>
        <w:tc>
          <w:tcPr>
            <w:tcW w:w="1321" w:type="dxa"/>
            <w:vAlign w:val="center"/>
          </w:tcPr>
          <w:p>
            <w:pPr>
              <w:spacing w:line="240" w:lineRule="auto"/>
              <w:ind w:firstLine="0" w:firstLineChars="0"/>
              <w:contextualSpacing/>
              <w:jc w:val="center"/>
              <w:rPr>
                <w:sz w:val="21"/>
                <w:szCs w:val="21"/>
              </w:rPr>
            </w:pPr>
            <w:r>
              <w:rPr>
                <w:sz w:val="21"/>
                <w:szCs w:val="21"/>
              </w:rPr>
              <w:t>7.5</w:t>
            </w:r>
          </w:p>
        </w:tc>
        <w:tc>
          <w:tcPr>
            <w:tcW w:w="1322" w:type="dxa"/>
            <w:vAlign w:val="center"/>
          </w:tcPr>
          <w:p>
            <w:pPr>
              <w:spacing w:line="240" w:lineRule="auto"/>
              <w:ind w:firstLine="0" w:firstLineChars="0"/>
              <w:contextualSpacing/>
              <w:jc w:val="center"/>
              <w:rPr>
                <w:sz w:val="21"/>
                <w:szCs w:val="21"/>
              </w:rPr>
            </w:pPr>
            <w:r>
              <w:rPr>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8" w:type="dxa"/>
            <w:vAlign w:val="center"/>
          </w:tcPr>
          <w:p>
            <w:pPr>
              <w:spacing w:line="240" w:lineRule="auto"/>
              <w:ind w:firstLine="0" w:firstLineChars="0"/>
              <w:contextualSpacing/>
              <w:jc w:val="center"/>
              <w:rPr>
                <w:sz w:val="21"/>
                <w:szCs w:val="21"/>
              </w:rPr>
            </w:pPr>
            <w:r>
              <w:rPr>
                <w:sz w:val="21"/>
                <w:szCs w:val="21"/>
              </w:rPr>
              <w:t>合计</w:t>
            </w:r>
          </w:p>
        </w:tc>
        <w:tc>
          <w:tcPr>
            <w:tcW w:w="1318" w:type="dxa"/>
            <w:vAlign w:val="center"/>
          </w:tcPr>
          <w:p>
            <w:pPr>
              <w:spacing w:line="240" w:lineRule="auto"/>
              <w:ind w:firstLine="0" w:firstLineChars="0"/>
              <w:contextualSpacing/>
              <w:jc w:val="center"/>
              <w:rPr>
                <w:sz w:val="21"/>
                <w:szCs w:val="21"/>
              </w:rPr>
            </w:pPr>
            <w:r>
              <w:rPr>
                <w:sz w:val="21"/>
                <w:szCs w:val="21"/>
              </w:rPr>
              <w:t>1套</w:t>
            </w:r>
          </w:p>
        </w:tc>
        <w:tc>
          <w:tcPr>
            <w:tcW w:w="1923" w:type="dxa"/>
            <w:vAlign w:val="center"/>
          </w:tcPr>
          <w:p>
            <w:pPr>
              <w:spacing w:line="240" w:lineRule="auto"/>
              <w:ind w:firstLine="0" w:firstLineChars="0"/>
              <w:contextualSpacing/>
              <w:jc w:val="center"/>
              <w:rPr>
                <w:sz w:val="21"/>
                <w:szCs w:val="21"/>
              </w:rPr>
            </w:pPr>
          </w:p>
        </w:tc>
        <w:tc>
          <w:tcPr>
            <w:tcW w:w="1320" w:type="dxa"/>
            <w:vAlign w:val="center"/>
          </w:tcPr>
          <w:p>
            <w:pPr>
              <w:spacing w:line="240" w:lineRule="auto"/>
              <w:ind w:firstLine="0" w:firstLineChars="0"/>
              <w:contextualSpacing/>
              <w:jc w:val="center"/>
              <w:rPr>
                <w:sz w:val="21"/>
                <w:szCs w:val="21"/>
              </w:rPr>
            </w:pPr>
            <w:r>
              <w:rPr>
                <w:sz w:val="21"/>
                <w:szCs w:val="21"/>
              </w:rPr>
              <w:t>33.8</w:t>
            </w:r>
          </w:p>
        </w:tc>
        <w:tc>
          <w:tcPr>
            <w:tcW w:w="1321" w:type="dxa"/>
            <w:vAlign w:val="center"/>
          </w:tcPr>
          <w:p>
            <w:pPr>
              <w:spacing w:line="240" w:lineRule="auto"/>
              <w:ind w:firstLine="0" w:firstLineChars="0"/>
              <w:contextualSpacing/>
              <w:jc w:val="center"/>
              <w:rPr>
                <w:sz w:val="21"/>
                <w:szCs w:val="21"/>
              </w:rPr>
            </w:pPr>
            <w:r>
              <w:rPr>
                <w:sz w:val="21"/>
                <w:szCs w:val="21"/>
              </w:rPr>
              <w:t>15</w:t>
            </w:r>
          </w:p>
        </w:tc>
        <w:tc>
          <w:tcPr>
            <w:tcW w:w="1322" w:type="dxa"/>
            <w:vAlign w:val="center"/>
          </w:tcPr>
          <w:p>
            <w:pPr>
              <w:spacing w:line="240" w:lineRule="auto"/>
              <w:ind w:firstLine="0" w:firstLineChars="0"/>
              <w:contextualSpacing/>
              <w:jc w:val="center"/>
              <w:rPr>
                <w:sz w:val="21"/>
                <w:szCs w:val="21"/>
              </w:rPr>
            </w:pPr>
            <w:r>
              <w:rPr>
                <w:sz w:val="21"/>
                <w:szCs w:val="21"/>
              </w:rPr>
              <w:t>19</w:t>
            </w:r>
          </w:p>
        </w:tc>
      </w:tr>
    </w:tbl>
    <w:p>
      <w:pPr>
        <w:spacing w:line="160" w:lineRule="exact"/>
        <w:ind w:firstLine="480"/>
        <w:contextualSpacing/>
      </w:pPr>
    </w:p>
    <w:p>
      <w:pPr>
        <w:ind w:firstLine="480"/>
        <w:contextualSpacing/>
      </w:pPr>
      <w:r>
        <w:t>灌区移动式拌合机无法修筑固定的沉淀池对拌和废水进行处理，故每个搅拌机配备2个容积为1.5m</w:t>
      </w:r>
      <w:r>
        <w:rPr>
          <w:vertAlign w:val="superscript"/>
        </w:rPr>
        <w:t>3</w:t>
      </w:r>
      <w:r>
        <w:t>的储水容器轮流使用，并注意定期清淤，共需混凝土拌合容器30个。每台班末的冲洗废水排入其中一个储水容器内，絮凝静置沉淀到再下一台班末，沉淀时间约6h，沉淀后上清液通过提升泵回用，泥渣定期运往附近造地垫高区堆放。</w:t>
      </w:r>
    </w:p>
    <w:p>
      <w:pPr>
        <w:ind w:firstLine="480"/>
        <w:contextualSpacing/>
      </w:pPr>
      <w:r>
        <w:t>由于混凝土冲洗废水量很小，处理构筑物简单，没有机械设备维护的问题，在运行过程中主要注意定时清理。管理工作纳入混凝土拌和系统统一安排，不另设机构和人员。</w:t>
      </w:r>
    </w:p>
    <w:p>
      <w:pPr>
        <w:ind w:firstLine="480"/>
        <w:contextualSpacing/>
      </w:pPr>
      <w:r>
        <w:t>（2）汽车保养系统废水处理措施</w:t>
      </w:r>
    </w:p>
    <w:p>
      <w:pPr>
        <w:ind w:firstLine="480"/>
        <w:contextualSpacing/>
      </w:pPr>
      <w:r>
        <w:t>1）废水概况</w:t>
      </w:r>
    </w:p>
    <w:p>
      <w:pPr>
        <w:ind w:firstLine="480"/>
        <w:contextualSpacing/>
      </w:pPr>
      <w:r>
        <w:t>灌区工程以中小型机械设备为主，各施工区设备使用量不大，施工机修、汽修以</w:t>
      </w:r>
      <w:r>
        <w:rPr>
          <w:rFonts w:hint="eastAsia"/>
        </w:rPr>
        <w:t>巴州区</w:t>
      </w:r>
      <w:r>
        <w:t>及工区附近乡镇已有修理厂为依托，故施工期无修配废水产生。本工程在交通方便的大坝工区设置1处综合加工系统，灌区工程设置5处综合加工系统，包括钢筋木材综合加工工厂、仓库系统等，工程施工期会产生机械冲洗废水，主要含SS和石油类。针对含油废水排放的特点，拟在枢纽工程施工区的1处车辆保养场设置1处含油废水处理系统，设计处理规模为31.4m</w:t>
      </w:r>
      <w:r>
        <w:rPr>
          <w:vertAlign w:val="superscript"/>
        </w:rPr>
        <w:t>3</w:t>
      </w:r>
      <w:r>
        <w:t>/d。施工机械车辆定期冲洗将产生一定的含油废水，主要污染物为石油类和悬浮物，排放的废水中悬浮物约1000mg/L、石油类约100mg/L。</w:t>
      </w:r>
    </w:p>
    <w:p>
      <w:pPr>
        <w:ind w:firstLine="480"/>
        <w:contextualSpacing/>
      </w:pPr>
      <w:r>
        <w:t>2）处理目标</w:t>
      </w:r>
    </w:p>
    <w:p>
      <w:pPr>
        <w:ind w:firstLine="480"/>
        <w:contextualSpacing/>
      </w:pPr>
      <w:r>
        <w:rPr>
          <w:rFonts w:hint="eastAsia"/>
        </w:rPr>
        <w:t>含油废水</w:t>
      </w:r>
      <w:r>
        <w:t>处理后循环利用于</w:t>
      </w:r>
      <w:r>
        <w:rPr>
          <w:rFonts w:hint="eastAsia"/>
        </w:rPr>
        <w:t>设备冲洗</w:t>
      </w:r>
      <w:r>
        <w:t>，不得外排。</w:t>
      </w:r>
    </w:p>
    <w:p>
      <w:pPr>
        <w:ind w:firstLine="480"/>
        <w:contextualSpacing/>
      </w:pPr>
      <w:r>
        <w:t>3）方案比选</w:t>
      </w:r>
    </w:p>
    <w:p>
      <w:pPr>
        <w:ind w:firstLine="480"/>
        <w:contextualSpacing/>
      </w:pPr>
      <w:r>
        <w:t>根据含油废水的水量、产生时段特点，对废水处理工艺拟定4个设计方案进行比选，详见表6.2.2-3</w:t>
      </w:r>
    </w:p>
    <w:p>
      <w:pPr>
        <w:ind w:firstLine="422"/>
        <w:contextualSpacing/>
        <w:jc w:val="center"/>
        <w:rPr>
          <w:b/>
          <w:bCs/>
          <w:sz w:val="21"/>
          <w:szCs w:val="21"/>
        </w:rPr>
      </w:pPr>
      <w:r>
        <w:rPr>
          <w:b/>
          <w:bCs/>
          <w:sz w:val="21"/>
          <w:szCs w:val="21"/>
        </w:rPr>
        <w:t>表6.2.2-3 寒溪寺水库工程含油废水处理方案</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7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pStyle w:val="80"/>
              <w:spacing w:line="240" w:lineRule="auto"/>
              <w:ind w:firstLine="0" w:firstLineChars="0"/>
              <w:contextualSpacing/>
              <w:jc w:val="center"/>
              <w:rPr>
                <w:sz w:val="21"/>
                <w:szCs w:val="21"/>
              </w:rPr>
            </w:pPr>
            <w:r>
              <w:rPr>
                <w:sz w:val="21"/>
                <w:szCs w:val="21"/>
              </w:rPr>
              <w:t>处理方案</w:t>
            </w:r>
          </w:p>
        </w:tc>
        <w:tc>
          <w:tcPr>
            <w:tcW w:w="4271" w:type="pct"/>
            <w:vAlign w:val="center"/>
          </w:tcPr>
          <w:p>
            <w:pPr>
              <w:pStyle w:val="80"/>
              <w:spacing w:line="240" w:lineRule="auto"/>
              <w:ind w:firstLine="0" w:firstLineChars="0"/>
              <w:contextualSpacing/>
              <w:jc w:val="center"/>
              <w:rPr>
                <w:sz w:val="21"/>
                <w:szCs w:val="21"/>
              </w:rPr>
            </w:pPr>
            <w:r>
              <w:rPr>
                <w:sz w:val="21"/>
                <w:szCs w:val="21"/>
              </w:rPr>
              <w:t>方案比较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方案1：简易除油沉淀</w:t>
            </w:r>
          </w:p>
        </w:tc>
        <w:tc>
          <w:tcPr>
            <w:tcW w:w="427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适用于场地狭窄、处理规模小的</w:t>
            </w:r>
            <w:r>
              <w:rPr>
                <w:rFonts w:hint="eastAsia" w:ascii="Times New Roman" w:hAnsi="Times New Roman"/>
                <w:sz w:val="21"/>
                <w:szCs w:val="21"/>
              </w:rPr>
              <w:t>机械</w:t>
            </w:r>
            <w:r>
              <w:rPr>
                <w:rFonts w:ascii="Times New Roman" w:hAnsi="Times New Roman"/>
                <w:sz w:val="21"/>
                <w:szCs w:val="21"/>
              </w:rPr>
              <w:t>保养系统。设置集水池及简易隔油池处理后排放。在施工区车辆停放场，可在洗车检修台下布置排水沟，车辆停放场周边布置集水池，收集排水沟内的机械清洗废水，在集水池末端设隔油板，集水池出口处设薄壁堰溢流出水。定时清除隔油板壁聚积的废油，并清理沟底淤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方案2：隔油沉淀法</w:t>
            </w:r>
          </w:p>
        </w:tc>
        <w:tc>
          <w:tcPr>
            <w:tcW w:w="427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由隔油池与沉淀池组成，占地规模较大，处理量灵活。设置集水沟和隔油池，并进行一定时间的沉淀处理后出水。在施工区车辆停放场，可在洗车检修台下布置集水沟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方案3：汽浮隔油法</w:t>
            </w:r>
          </w:p>
        </w:tc>
        <w:tc>
          <w:tcPr>
            <w:tcW w:w="427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含油污水中通过通入空气并使水中产生微气泡，是污水中的浮化油、分散油或水中悬浮颗粒附在气泡上，随气泡一起上浮到水面并加以回收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方案4：成套油水分离器</w:t>
            </w:r>
          </w:p>
        </w:tc>
        <w:tc>
          <w:tcPr>
            <w:tcW w:w="4271" w:type="pct"/>
            <w:vAlign w:val="center"/>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油水分离效果好，油份回收和去除率高，适用于含油量高的废水，能满足大修时石油类高峰浓度达标排放的要求</w:t>
            </w:r>
          </w:p>
        </w:tc>
      </w:tr>
    </w:tbl>
    <w:p>
      <w:pPr>
        <w:spacing w:line="160" w:lineRule="exact"/>
        <w:ind w:firstLine="480"/>
        <w:contextualSpacing/>
      </w:pPr>
    </w:p>
    <w:p>
      <w:pPr>
        <w:ind w:firstLine="480"/>
        <w:contextualSpacing/>
      </w:pPr>
      <w:r>
        <w:t>本工程含油废水处理量小，且时间间隔长，因此从经济合理性考虑，选择隔油池+汽浮隔油法。</w:t>
      </w:r>
    </w:p>
    <w:p>
      <w:pPr>
        <w:ind w:firstLine="480"/>
        <w:contextualSpacing/>
      </w:pPr>
      <w:r>
        <w:t>4）工艺流程</w:t>
      </w:r>
    </w:p>
    <w:p>
      <w:pPr>
        <w:ind w:firstLine="480"/>
        <w:contextualSpacing/>
      </w:pPr>
      <w:r>
        <w:t>寒溪寺水库工程施工区含油废水由布设于保养站周围的排水沟收集，经隔油池进行油水初级分离，上层浮油由浮油回收机回收，下层含油乳化油的液体进入气浮装置。一个工作日所产生的含油废水经收集后，在夜间由污水泵抽至气浮装置进行深度处理，即在气浮分离室进行渣水分离。定期由刮渣机刮入浮渣槽，清水由集水管引出进入后续处理构筑物，其中部分清水，则经回流水泵加压，进入压力溶气罐；经多介质过滤器过滤，水质可满足中水回用水要求。处理工艺如下图所示：</w:t>
      </w:r>
    </w:p>
    <w:p>
      <w:pPr>
        <w:spacing w:line="240" w:lineRule="auto"/>
        <w:ind w:firstLine="0" w:firstLineChars="0"/>
        <w:contextualSpacing/>
        <w:jc w:val="center"/>
      </w:pPr>
      <w:r>
        <w:drawing>
          <wp:inline distT="0" distB="0" distL="0" distR="0">
            <wp:extent cx="5279390" cy="1399540"/>
            <wp:effectExtent l="0" t="0" r="0" b="0"/>
            <wp:docPr id="1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5279390" cy="1399540"/>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图6.2.2-2  隔油池-气浮隔油处理工艺设计流程图</w:t>
      </w:r>
    </w:p>
    <w:p>
      <w:pPr>
        <w:ind w:firstLine="480"/>
        <w:contextualSpacing/>
      </w:pPr>
      <w:r>
        <w:t>5）处理方案设计</w:t>
      </w:r>
    </w:p>
    <w:p>
      <w:pPr>
        <w:ind w:firstLine="480"/>
        <w:contextualSpacing/>
      </w:pPr>
      <w:r>
        <w:rPr>
          <w:rFonts w:hint="eastAsia" w:ascii="宋体" w:hAnsi="宋体" w:cs="宋体"/>
        </w:rPr>
        <w:t>①</w:t>
      </w:r>
      <w:r>
        <w:t>构筑物设计</w:t>
      </w:r>
    </w:p>
    <w:p>
      <w:pPr>
        <w:ind w:firstLine="480"/>
        <w:contextualSpacing/>
        <w:rPr>
          <w:spacing w:val="-9"/>
        </w:rPr>
      </w:pPr>
      <w:r>
        <w:t>本项目隔油池排水沟断面为梯形，用浆砌石衬砌，隔油池基体由开挖筑成，四壁及池底先铺防渗膜，再用砖砌，并以水泥砂浆抹面，最后内衬树脂防腐涂料。隔油池池底挡板由砖砌构成，池壁挡板为钢板，池壁预先埋槽钢。机械停放场隔油池设计型号为《小型排水构筑物》04S519中GC-1QF型。隔油池在空置时进行人工清渣。由于机械冲洗废水中可能含有一定量的泥沙，在隔油池中布设筛网，对大颗粒泥沙进行滤除。为保证隔油池的正常工作，池体表面加盖，</w:t>
      </w:r>
      <w:r>
        <w:rPr>
          <w:spacing w:val="-21"/>
        </w:rPr>
        <w:t>盖板用</w:t>
      </w:r>
      <w:r>
        <w:t>C25</w:t>
      </w:r>
      <w:r>
        <w:rPr>
          <w:spacing w:val="-15"/>
        </w:rPr>
        <w:t>混凝土和</w:t>
      </w:r>
      <w:r>
        <w:t>A3</w:t>
      </w:r>
      <w:r>
        <w:rPr>
          <w:spacing w:val="-9"/>
        </w:rPr>
        <w:t>号钢钢筋预制，以防火、防雨、保温及防止油气散发。</w:t>
      </w:r>
    </w:p>
    <w:p>
      <w:pPr>
        <w:pStyle w:val="2"/>
        <w:spacing w:before="0"/>
        <w:ind w:left="0" w:firstLine="480"/>
        <w:contextualSpacing/>
        <w:rPr>
          <w:rFonts w:ascii="Times New Roman" w:hAnsi="Times New Roman"/>
        </w:rPr>
      </w:pPr>
      <w:r>
        <w:rPr>
          <w:rFonts w:hint="eastAsia" w:cs="宋体"/>
        </w:rPr>
        <w:t>②</w:t>
      </w:r>
      <w:r>
        <w:rPr>
          <w:rFonts w:ascii="Times New Roman" w:hAnsi="Times New Roman"/>
          <w:spacing w:val="-9"/>
        </w:rPr>
        <w:t>工程量</w:t>
      </w:r>
    </w:p>
    <w:p>
      <w:pPr>
        <w:ind w:firstLine="2319" w:firstLineChars="1100"/>
        <w:contextualSpacing/>
        <w:rPr>
          <w:b/>
          <w:bCs/>
          <w:sz w:val="21"/>
          <w:szCs w:val="21"/>
        </w:rPr>
      </w:pPr>
      <w:r>
        <w:rPr>
          <w:b/>
          <w:bCs/>
          <w:sz w:val="21"/>
          <w:szCs w:val="21"/>
        </w:rPr>
        <w:t>表6.2.2-3  含油废水处理主要工程量表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810"/>
        <w:gridCol w:w="1479"/>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序号</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项目名称</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单位</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一</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土建工程</w:t>
            </w:r>
          </w:p>
        </w:tc>
        <w:tc>
          <w:tcPr>
            <w:tcW w:w="867" w:type="pct"/>
          </w:tcPr>
          <w:p>
            <w:pPr>
              <w:pStyle w:val="2"/>
              <w:spacing w:before="0" w:line="240" w:lineRule="auto"/>
              <w:ind w:left="0" w:firstLine="0" w:firstLineChars="0"/>
              <w:contextualSpacing/>
              <w:jc w:val="center"/>
              <w:rPr>
                <w:rFonts w:ascii="Times New Roman" w:hAnsi="Times New Roman"/>
                <w:sz w:val="21"/>
                <w:szCs w:val="21"/>
              </w:rPr>
            </w:pPr>
          </w:p>
        </w:tc>
        <w:tc>
          <w:tcPr>
            <w:tcW w:w="1480" w:type="pct"/>
          </w:tcPr>
          <w:p>
            <w:pPr>
              <w:pStyle w:val="2"/>
              <w:spacing w:before="0" w:line="240" w:lineRule="auto"/>
              <w:ind w:left="0" w:firstLine="0" w:firstLineChars="0"/>
              <w:contextualSpacing/>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1</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土石方开挖</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土石方回填</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C25 混凝土</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4</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钢筋</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t</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0.532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5</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井盖及支座</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套</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二</w:t>
            </w:r>
          </w:p>
        </w:tc>
        <w:tc>
          <w:tcPr>
            <w:tcW w:w="1648"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废水处理量</w:t>
            </w:r>
          </w:p>
        </w:tc>
        <w:tc>
          <w:tcPr>
            <w:tcW w:w="867"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1480" w:type="pct"/>
          </w:tcPr>
          <w:p>
            <w:pPr>
              <w:pStyle w:val="2"/>
              <w:spacing w:before="0" w:line="240" w:lineRule="auto"/>
              <w:ind w:left="0" w:firstLine="0" w:firstLineChars="0"/>
              <w:contextualSpacing/>
              <w:jc w:val="center"/>
              <w:rPr>
                <w:rFonts w:ascii="Times New Roman" w:hAnsi="Times New Roman"/>
                <w:sz w:val="21"/>
                <w:szCs w:val="21"/>
              </w:rPr>
            </w:pPr>
            <w:r>
              <w:rPr>
                <w:rFonts w:ascii="Times New Roman" w:hAnsi="Times New Roman"/>
                <w:sz w:val="21"/>
                <w:szCs w:val="21"/>
              </w:rPr>
              <w:t>33912</w:t>
            </w:r>
          </w:p>
        </w:tc>
      </w:tr>
    </w:tbl>
    <w:p>
      <w:pPr>
        <w:ind w:firstLine="480"/>
        <w:contextualSpacing/>
      </w:pPr>
      <w:r>
        <w:t>（3）基坑</w:t>
      </w:r>
      <w:r>
        <w:rPr>
          <w:rFonts w:hint="eastAsia"/>
        </w:rPr>
        <w:t>排</w:t>
      </w:r>
      <w:r>
        <w:t>水处理措施</w:t>
      </w:r>
    </w:p>
    <w:p>
      <w:pPr>
        <w:ind w:firstLine="480"/>
        <w:contextualSpacing/>
      </w:pPr>
      <w:r>
        <w:t>1）废水概况</w:t>
      </w:r>
    </w:p>
    <w:p>
      <w:pPr>
        <w:ind w:firstLine="480"/>
        <w:contextualSpacing/>
      </w:pPr>
      <w:r>
        <w:t>基坑排水包括初期基坑排水及经常性基坑排水两部分。初期基坑排水与河流水质基本相同，不会增加对江河水质的污染水质。经常性基坑排含混凝土浇筑和养护形成的碱性水，pH值在11左右，悬浮物浓度约2000mg/L。本工程基坑排水主要产生于大坝工程基坑。</w:t>
      </w:r>
    </w:p>
    <w:p>
      <w:pPr>
        <w:ind w:firstLine="480"/>
        <w:contextualSpacing/>
      </w:pPr>
      <w:r>
        <w:t>2）处理目标</w:t>
      </w:r>
    </w:p>
    <w:p>
      <w:pPr>
        <w:ind w:firstLine="480"/>
        <w:contextualSpacing/>
      </w:pPr>
      <w:r>
        <w:t>初期基坑排水与河流水质基本相似，静置沉淀</w:t>
      </w:r>
      <w:r>
        <w:rPr>
          <w:rFonts w:hint="eastAsia"/>
        </w:rPr>
        <w:t>后可</w:t>
      </w:r>
      <w:r>
        <w:t>排至附近河流。经常性基坑排水包含了大量的渗水及降水，本工程基坑排水的处理目标为：SS浓度需控制在100mg/L以下，pH需控制在6～9范围内。拟处理后用于施工区道路降尘、浇灌附近林地和耕地或作为水保植物措施用水等。</w:t>
      </w:r>
    </w:p>
    <w:p>
      <w:pPr>
        <w:ind w:firstLine="480"/>
        <w:contextualSpacing/>
      </w:pPr>
      <w:r>
        <w:t>3）处理方案</w:t>
      </w:r>
    </w:p>
    <w:p>
      <w:pPr>
        <w:ind w:firstLine="480"/>
        <w:contextualSpacing/>
      </w:pPr>
      <w:r>
        <w:t>为避免基坑废水溢流或渗流入</w:t>
      </w:r>
      <w:r>
        <w:rPr>
          <w:rFonts w:hint="eastAsia"/>
        </w:rPr>
        <w:t>蔡家河</w:t>
      </w:r>
      <w:r>
        <w:t>，对地表水环境造成污染，拟完善围堰内的截排水沟，在地势低洼处设基坑废水收集池，收集池容积为120m</w:t>
      </w:r>
      <w:r>
        <w:rPr>
          <w:vertAlign w:val="superscript"/>
        </w:rPr>
        <w:t>3</w:t>
      </w:r>
      <w:r>
        <w:t>，尺寸为8m×4m×3.5m（长×宽×高，其中含超高 0.30m），拟采取在基坑水汇集到一定程度后向基坑投放一定量絮凝剂（聚合氯化铝或聚丙烯酰胺）。根据其它水利项目对基坑初期排水的处理经验，仅向基坑投加聚合氯化铝絮凝剂，让基坑水静置沉淀2h后悬浮物浓度一般能降到100mg/L以下，对初期排水中的 SS 消减作用显著，沉淀处理后的排水可抽出后用于施工区道路降尘、浇灌附近林地和耕地或作为水保植物措施用水等，污泥自然干化后定期运至弃渣场填埋。</w:t>
      </w:r>
    </w:p>
    <w:p>
      <w:pPr>
        <w:ind w:firstLine="480"/>
        <w:contextualSpacing/>
      </w:pPr>
      <w:r>
        <w:t>4）运行管理和维护</w:t>
      </w:r>
    </w:p>
    <w:p>
      <w:pPr>
        <w:ind w:firstLine="480"/>
        <w:contextualSpacing/>
      </w:pPr>
      <w:r>
        <w:t>该方案无需专人，在适当时机投放药物、开启水泵即可。</w:t>
      </w:r>
    </w:p>
    <w:p>
      <w:pPr>
        <w:ind w:firstLine="480"/>
        <w:contextualSpacing/>
      </w:pPr>
      <w:r>
        <w:t>（</w:t>
      </w:r>
      <w:r>
        <w:rPr>
          <w:rFonts w:hint="eastAsia"/>
        </w:rPr>
        <w:t>4</w:t>
      </w:r>
      <w:r>
        <w:t>）</w:t>
      </w:r>
      <w:r>
        <w:rPr>
          <w:rFonts w:hint="eastAsia"/>
        </w:rPr>
        <w:t>隧洞排水</w:t>
      </w:r>
      <w:r>
        <w:t>处理措施</w:t>
      </w:r>
    </w:p>
    <w:p>
      <w:pPr>
        <w:ind w:firstLine="480"/>
        <w:contextualSpacing/>
      </w:pPr>
      <w:r>
        <w:t>1）废水概况</w:t>
      </w:r>
    </w:p>
    <w:p>
      <w:pPr>
        <w:ind w:firstLine="480"/>
        <w:contextualSpacing/>
      </w:pPr>
      <w:r>
        <w:rPr>
          <w:rFonts w:hint="eastAsia"/>
        </w:rPr>
        <w:t>本工程隧洞主要为</w:t>
      </w:r>
      <w:r>
        <w:t>取水（导流放空）隧洞，隧洞施工废水中污染物主要</w:t>
      </w:r>
      <w:r>
        <w:rPr>
          <w:rFonts w:hint="eastAsia"/>
        </w:rPr>
        <w:t>来自施工</w:t>
      </w:r>
      <w:r>
        <w:t>爆破、机械设备</w:t>
      </w:r>
      <w:r>
        <w:rPr>
          <w:rFonts w:hint="eastAsia"/>
        </w:rPr>
        <w:t>运行、</w:t>
      </w:r>
      <w:r>
        <w:t>注浆</w:t>
      </w:r>
      <w:r>
        <w:rPr>
          <w:rFonts w:hint="eastAsia"/>
        </w:rPr>
        <w:t>与</w:t>
      </w:r>
      <w:r>
        <w:t>支护</w:t>
      </w:r>
      <w:r>
        <w:rPr>
          <w:rFonts w:hint="eastAsia"/>
        </w:rPr>
        <w:t>等施工活动，主要污染物为悬浮物。</w:t>
      </w:r>
    </w:p>
    <w:p>
      <w:pPr>
        <w:ind w:firstLine="480"/>
        <w:contextualSpacing/>
      </w:pPr>
      <w:r>
        <w:t>2）处理目标</w:t>
      </w:r>
    </w:p>
    <w:p>
      <w:pPr>
        <w:ind w:firstLine="480"/>
        <w:contextualSpacing/>
      </w:pPr>
      <w:r>
        <w:rPr>
          <w:rFonts w:hint="eastAsia"/>
        </w:rPr>
        <w:t>本工程隧洞排水</w:t>
      </w:r>
      <w:r>
        <w:t>包含了大量的</w:t>
      </w:r>
      <w:r>
        <w:rPr>
          <w:rFonts w:hint="eastAsia"/>
        </w:rPr>
        <w:t>地下涌水以及施工用水</w:t>
      </w:r>
      <w:r>
        <w:t>，</w:t>
      </w:r>
      <w:r>
        <w:rPr>
          <w:rFonts w:hint="eastAsia"/>
        </w:rPr>
        <w:t>隧洞</w:t>
      </w:r>
      <w:r>
        <w:t>排水的处理目标为：SS浓度需控制在100mg/L以下，pH需控制在6～9范围内。拟处理后用于施工区道路降尘、浇灌附近林地和耕地或作为水保植物措施用水等。</w:t>
      </w:r>
    </w:p>
    <w:p>
      <w:pPr>
        <w:ind w:firstLine="480"/>
        <w:contextualSpacing/>
      </w:pPr>
      <w:r>
        <w:t>3）处理方案</w:t>
      </w:r>
    </w:p>
    <w:p>
      <w:pPr>
        <w:ind w:firstLine="480"/>
        <w:contextualSpacing/>
      </w:pPr>
      <w:r>
        <w:t>在</w:t>
      </w:r>
      <w:r>
        <w:rPr>
          <w:rFonts w:hint="eastAsia"/>
        </w:rPr>
        <w:t>隧洞出口处</w:t>
      </w:r>
      <w:r>
        <w:t>设置1套固定的沉淀池与清水池。沉淀池和清水池均采用统一形式和规模的矩形处理池。沉淀池及清水池的容积、尺寸</w:t>
      </w:r>
      <w:r>
        <w:rPr>
          <w:rFonts w:hint="eastAsia"/>
        </w:rPr>
        <w:t>与</w:t>
      </w:r>
      <w:r>
        <w:t>混凝土拌合系统废水处理</w:t>
      </w:r>
      <w:r>
        <w:rPr>
          <w:rFonts w:hint="eastAsia"/>
        </w:rPr>
        <w:t>沉淀池相同</w:t>
      </w:r>
      <w:r>
        <w:t>。</w:t>
      </w:r>
    </w:p>
    <w:p>
      <w:pPr>
        <w:ind w:firstLine="480"/>
        <w:contextualSpacing/>
      </w:pPr>
      <w:r>
        <w:t>4）运行管理和维护</w:t>
      </w:r>
    </w:p>
    <w:p>
      <w:pPr>
        <w:ind w:firstLine="480"/>
        <w:contextualSpacing/>
      </w:pPr>
      <w:r>
        <w:rPr>
          <w:rFonts w:hint="eastAsia"/>
        </w:rPr>
        <w:t>本</w:t>
      </w:r>
      <w:r>
        <w:t>方案处理构筑物简单，没有机械设备维护的问题，在运行过程中主要注意定时清理。管理工作纳入</w:t>
      </w:r>
      <w:r>
        <w:rPr>
          <w:rFonts w:hint="eastAsia"/>
        </w:rPr>
        <w:t>隧洞建设工程</w:t>
      </w:r>
      <w:r>
        <w:t>，不另设机构和人员。</w:t>
      </w:r>
    </w:p>
    <w:p>
      <w:pPr>
        <w:ind w:firstLine="480"/>
        <w:contextualSpacing/>
      </w:pPr>
      <w:r>
        <w:t>（</w:t>
      </w:r>
      <w:r>
        <w:rPr>
          <w:rFonts w:hint="eastAsia"/>
        </w:rPr>
        <w:t>5</w:t>
      </w:r>
      <w:r>
        <w:t>）生活污水处理措施</w:t>
      </w:r>
    </w:p>
    <w:p>
      <w:pPr>
        <w:ind w:firstLine="480"/>
        <w:contextualSpacing/>
      </w:pPr>
      <w:r>
        <w:t>1）废水概况</w:t>
      </w:r>
    </w:p>
    <w:p>
      <w:pPr>
        <w:ind w:firstLine="480"/>
        <w:contextualSpacing/>
      </w:pPr>
      <w:r>
        <w:t>寒溪寺水库</w:t>
      </w:r>
      <w:r>
        <w:rPr>
          <w:rFonts w:hint="eastAsia"/>
        </w:rPr>
        <w:t>枢纽区、灌区的</w:t>
      </w:r>
      <w:r>
        <w:t>施工生活</w:t>
      </w:r>
      <w:r>
        <w:rPr>
          <w:rFonts w:hint="eastAsia"/>
        </w:rPr>
        <w:t>污水日产生量为40.32m</w:t>
      </w:r>
      <w:r>
        <w:rPr>
          <w:rFonts w:hint="eastAsia"/>
          <w:vertAlign w:val="superscript"/>
        </w:rPr>
        <w:t>3</w:t>
      </w:r>
      <w:r>
        <w:rPr>
          <w:rFonts w:hint="eastAsia"/>
        </w:rPr>
        <w:t>、19.2m</w:t>
      </w:r>
      <w:r>
        <w:rPr>
          <w:rFonts w:hint="eastAsia"/>
          <w:vertAlign w:val="superscript"/>
        </w:rPr>
        <w:t>3</w:t>
      </w:r>
      <w:r>
        <w:rPr>
          <w:rFonts w:hint="eastAsia"/>
        </w:rPr>
        <w:t>，污水</w:t>
      </w:r>
      <w:r>
        <w:t>主要含悬浮物、BOD</w:t>
      </w:r>
      <w:r>
        <w:rPr>
          <w:vertAlign w:val="subscript"/>
        </w:rPr>
        <w:t>5</w:t>
      </w:r>
      <w:r>
        <w:t>、COD、氮磷营养物质等污染物。根据类似工程经验，生活污水中主要污染物浓度一般为：SS150mg/L、COD 250mg/L、BOD</w:t>
      </w:r>
      <w:r>
        <w:rPr>
          <w:vertAlign w:val="subscript"/>
        </w:rPr>
        <w:t>5</w:t>
      </w:r>
      <w:r>
        <w:t>150 mg/L、NH</w:t>
      </w:r>
      <w:r>
        <w:rPr>
          <w:vertAlign w:val="subscript"/>
        </w:rPr>
        <w:t>3</w:t>
      </w:r>
      <w:r>
        <w:t>-N20mg/L、TP4.5mg/L。</w:t>
      </w:r>
    </w:p>
    <w:p>
      <w:pPr>
        <w:ind w:firstLine="480"/>
        <w:contextualSpacing/>
      </w:pPr>
      <w:r>
        <w:t>2）处理目标</w:t>
      </w:r>
    </w:p>
    <w:p>
      <w:pPr>
        <w:ind w:firstLine="480"/>
        <w:contextualSpacing/>
      </w:pPr>
      <w:r>
        <w:rPr>
          <w:rFonts w:hint="eastAsia"/>
        </w:rPr>
        <w:t>经现场调查，</w:t>
      </w:r>
      <w:r>
        <w:t>水库</w:t>
      </w:r>
      <w:r>
        <w:rPr>
          <w:rFonts w:hint="eastAsia"/>
        </w:rPr>
        <w:t>枢纽区、灌区的</w:t>
      </w:r>
      <w:r>
        <w:t>施工</w:t>
      </w:r>
      <w:r>
        <w:rPr>
          <w:rFonts w:hint="eastAsia"/>
        </w:rPr>
        <w:t>生产生活区周边均有成片的林地和耕地，能够消纳本项目的生活污水。</w:t>
      </w:r>
      <w:r>
        <w:t>生活污水经处理后回用于洒水降尘、农林灌溉。水质应达到《城市污水再生利用—城市杂用水水质》（GB/T 18920-2002）标准中的绿化用水水质或《农田灌溉水质标准》（GB5084-2005），并应达到《污水综合排放标准》（GB8978-1996）</w:t>
      </w:r>
    </w:p>
    <w:p>
      <w:pPr>
        <w:ind w:firstLine="0" w:firstLineChars="0"/>
        <w:contextualSpacing/>
      </w:pPr>
      <w:r>
        <w:t>一级标准。</w:t>
      </w:r>
    </w:p>
    <w:p>
      <w:pPr>
        <w:ind w:firstLine="480"/>
        <w:contextualSpacing/>
      </w:pPr>
      <w:r>
        <w:t>3）方案比选</w:t>
      </w:r>
    </w:p>
    <w:p>
      <w:pPr>
        <w:ind w:firstLine="480"/>
        <w:contextualSpacing/>
      </w:pPr>
      <w:r>
        <w:t>方案1：采用化粪池。化粪池具有造价低，运行费用低，便于管理等优点，适用于污水量较小，排放标准要求不高的工程。</w:t>
      </w:r>
    </w:p>
    <w:p>
      <w:pPr>
        <w:ind w:firstLine="480"/>
        <w:contextualSpacing/>
      </w:pPr>
      <w:r>
        <w:t>方案2：采用一体化成套生活污水处理设备。随着人们环保意识的增强和排放标准的逐步落实，成套生活污水处理设备在水电工程及其它小规模生活污水的处理中日渐受到推广。特别是近年来成套设备规模化生产后，因技术指标和经济指标有了相当的优化，在小规模生活污水处理领域中受到了更为广泛的青睐。</w:t>
      </w:r>
    </w:p>
    <w:p>
      <w:pPr>
        <w:ind w:firstLine="480"/>
        <w:contextualSpacing/>
      </w:pPr>
      <w:r>
        <w:t>4）推荐方案</w:t>
      </w:r>
    </w:p>
    <w:p>
      <w:pPr>
        <w:ind w:firstLine="480"/>
        <w:contextualSpacing/>
      </w:pPr>
      <w:r>
        <w:t>由于枢纽施工区生活污水量较大，因此，拟在枢纽施工区采用成套生活污水处理设备，废水经处理后回用</w:t>
      </w:r>
      <w:r>
        <w:rPr>
          <w:rFonts w:hint="eastAsia"/>
        </w:rPr>
        <w:t>于</w:t>
      </w:r>
      <w:r>
        <w:t>洒水降尘</w:t>
      </w:r>
      <w:r>
        <w:rPr>
          <w:rFonts w:hint="eastAsia"/>
        </w:rPr>
        <w:t>（可供8m</w:t>
      </w:r>
      <w:r>
        <w:rPr>
          <w:rFonts w:hint="eastAsia"/>
          <w:vertAlign w:val="superscript"/>
        </w:rPr>
        <w:t>3</w:t>
      </w:r>
      <w:r>
        <w:rPr>
          <w:rFonts w:hint="eastAsia"/>
        </w:rPr>
        <w:t>洒水车运行5次）</w:t>
      </w:r>
      <w:r>
        <w:t>、农林灌溉。灌区共设置1个生产生活区，生产生活区污水量较小，因此，拟在灌区各生产生活区修建化粪池，废水经处理后用于农林灌溉。</w:t>
      </w:r>
    </w:p>
    <w:p>
      <w:pPr>
        <w:ind w:firstLine="480"/>
        <w:contextualSpacing/>
      </w:pPr>
      <w:r>
        <w:t>同时，施工期配备的成套污水处理设备在施工结束后可继续用于运行期管理房办公区现场工作人员生活污水的处理。</w:t>
      </w:r>
    </w:p>
    <w:p>
      <w:pPr>
        <w:ind w:firstLine="0" w:firstLineChars="0"/>
        <w:contextualSpacing/>
        <w:jc w:val="center"/>
      </w:pPr>
      <w:r>
        <w:drawing>
          <wp:inline distT="0" distB="0" distL="0" distR="0">
            <wp:extent cx="4334510" cy="1477645"/>
            <wp:effectExtent l="0" t="0" r="0" b="0"/>
            <wp:docPr id="1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4334510" cy="1477645"/>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图6.2.3-3 生活污水一体化成套设备工艺流程图</w:t>
      </w:r>
    </w:p>
    <w:p>
      <w:pPr>
        <w:ind w:firstLine="480"/>
        <w:contextualSpacing/>
      </w:pPr>
      <w:r>
        <w:t>5）工艺设计</w:t>
      </w:r>
    </w:p>
    <w:p>
      <w:pPr>
        <w:ind w:firstLine="480"/>
        <w:contextualSpacing/>
      </w:pPr>
      <w:r>
        <w:t>初沉池：用以沉淀不溶性悬浮物，采用竖流式斜管沉淀池，表面负荷 1.5～3.0m</w:t>
      </w:r>
      <w:r>
        <w:rPr>
          <w:vertAlign w:val="superscript"/>
        </w:rPr>
        <w:t>3</w:t>
      </w:r>
      <w:r>
        <w:t>/（m</w:t>
      </w:r>
      <w:r>
        <w:rPr>
          <w:vertAlign w:val="superscript"/>
        </w:rPr>
        <w:t>2</w:t>
      </w:r>
      <w:r>
        <w:t xml:space="preserve">·h），停留时间为 1.5h，沉淀污泥泵入污泥池。 </w:t>
      </w:r>
    </w:p>
    <w:p>
      <w:pPr>
        <w:ind w:firstLine="480"/>
        <w:contextualSpacing/>
      </w:pPr>
      <w:r>
        <w:t xml:space="preserve">接触氧化池：经初沉后的污水自流入生化处理，分二级，总停留时间不小于 6h，池内挂净性填料或填装多面空心球，曝气装置为微孔曝气器，气水比为（10～16）：1。 </w:t>
      </w:r>
    </w:p>
    <w:p>
      <w:pPr>
        <w:ind w:firstLine="480"/>
        <w:contextualSpacing/>
      </w:pPr>
      <w:r>
        <w:t>二沉池：生化处理后污水自流入二沉池，采用竖流式沉淀池，表面负荷为0.9～1.2m</w:t>
      </w:r>
      <w:r>
        <w:rPr>
          <w:vertAlign w:val="superscript"/>
        </w:rPr>
        <w:t>3</w:t>
      </w:r>
      <w:r>
        <w:t>/（m</w:t>
      </w:r>
      <w:r>
        <w:rPr>
          <w:vertAlign w:val="superscript"/>
        </w:rPr>
        <w:t>2</w:t>
      </w:r>
      <w:r>
        <w:t xml:space="preserve">·h），停留时间为 1.5～2.0h，沉淀污泥泵入污泥池，部分回流到接触氧化池。 </w:t>
      </w:r>
    </w:p>
    <w:p>
      <w:pPr>
        <w:ind w:firstLine="480"/>
        <w:contextualSpacing/>
      </w:pPr>
      <w:r>
        <w:t xml:space="preserve">污泥池：初沉池污泥和二沉池的部分污泥在该池得到初步浓缩，浓缩后的污泥含水率较小，可用粪车抽出外运施肥等。 </w:t>
      </w:r>
    </w:p>
    <w:p>
      <w:pPr>
        <w:ind w:firstLine="480"/>
        <w:contextualSpacing/>
      </w:pPr>
      <w:r>
        <w:t xml:space="preserve">鼓风机房：2～3 台鼓风机（其中 1 备用），风机进出口部位配有消音设备，可设于地面或地下。 </w:t>
      </w:r>
    </w:p>
    <w:p>
      <w:pPr>
        <w:ind w:firstLine="480"/>
        <w:contextualSpacing/>
      </w:pPr>
      <w:r>
        <w:t>电控制柜：电控柜设于地面控制室，配有 PLC 控制系统，对风机、水泵及空气提升装置进行自行控制，也可手动控制。对于一体化污水处理设备而言，在进水水质为 BOD</w:t>
      </w:r>
      <w:r>
        <w:rPr>
          <w:vertAlign w:val="subscript"/>
        </w:rPr>
        <w:t>5</w:t>
      </w:r>
      <w:r>
        <w:t>≤250mg/L， COD≤450mg/L 的条件下，出水水质可达 BOD</w:t>
      </w:r>
      <w:r>
        <w:rPr>
          <w:vertAlign w:val="subscript"/>
        </w:rPr>
        <w:t>5</w:t>
      </w:r>
      <w:r>
        <w:t>≤20mg/L，COD≤70mg/L，完全能够达到本项目对生活污水处理的目标。</w:t>
      </w:r>
    </w:p>
    <w:p>
      <w:pPr>
        <w:ind w:firstLine="480"/>
        <w:contextualSpacing/>
      </w:pPr>
      <w:r>
        <w:t>在灌区各生产生活区内设一座化粪池，化粪池容积为15m</w:t>
      </w:r>
      <w:r>
        <w:rPr>
          <w:vertAlign w:val="superscript"/>
        </w:rPr>
        <w:t>3</w:t>
      </w:r>
      <w:r>
        <w:t>，尺寸为3.2m×2.5m×2.2m（长×宽×高，其中含超高0.30m）。在运行过程中注意对化粪池定期清掏，聘请当地农民进行清掏，通过吸粪车运至附近农田作为农肥。施工生活污水处理主要工程量见下表。</w:t>
      </w:r>
    </w:p>
    <w:p>
      <w:pPr>
        <w:ind w:firstLine="422"/>
        <w:contextualSpacing/>
        <w:jc w:val="center"/>
        <w:rPr>
          <w:b/>
          <w:bCs/>
          <w:sz w:val="21"/>
          <w:szCs w:val="21"/>
        </w:rPr>
      </w:pPr>
      <w:r>
        <w:rPr>
          <w:b/>
          <w:bCs/>
          <w:sz w:val="21"/>
          <w:szCs w:val="21"/>
        </w:rPr>
        <w:t>表6.2.3-5  施工生活污水处理工程量表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2102"/>
        <w:gridCol w:w="1320"/>
        <w:gridCol w:w="1168"/>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vAlign w:val="center"/>
          </w:tcPr>
          <w:p>
            <w:pPr>
              <w:spacing w:line="240" w:lineRule="auto"/>
              <w:ind w:firstLine="0" w:firstLineChars="0"/>
              <w:contextualSpacing/>
              <w:jc w:val="center"/>
              <w:rPr>
                <w:sz w:val="21"/>
                <w:szCs w:val="21"/>
              </w:rPr>
            </w:pPr>
            <w:r>
              <w:rPr>
                <w:sz w:val="21"/>
                <w:szCs w:val="21"/>
              </w:rPr>
              <w:t>分区</w:t>
            </w:r>
          </w:p>
        </w:tc>
        <w:tc>
          <w:tcPr>
            <w:tcW w:w="2102" w:type="dxa"/>
            <w:vAlign w:val="center"/>
          </w:tcPr>
          <w:p>
            <w:pPr>
              <w:spacing w:line="240" w:lineRule="auto"/>
              <w:ind w:firstLine="0" w:firstLineChars="0"/>
              <w:contextualSpacing/>
              <w:jc w:val="center"/>
              <w:rPr>
                <w:sz w:val="21"/>
                <w:szCs w:val="21"/>
              </w:rPr>
            </w:pPr>
            <w:r>
              <w:rPr>
                <w:sz w:val="21"/>
                <w:szCs w:val="21"/>
              </w:rPr>
              <w:t>长×宽×高</w:t>
            </w:r>
          </w:p>
          <w:p>
            <w:pPr>
              <w:spacing w:line="240" w:lineRule="auto"/>
              <w:ind w:firstLine="0" w:firstLineChars="0"/>
              <w:contextualSpacing/>
              <w:jc w:val="center"/>
              <w:rPr>
                <w:sz w:val="21"/>
                <w:szCs w:val="21"/>
              </w:rPr>
            </w:pPr>
            <w:r>
              <w:rPr>
                <w:sz w:val="21"/>
                <w:szCs w:val="21"/>
              </w:rPr>
              <w:t>（m×m×m）</w:t>
            </w:r>
          </w:p>
        </w:tc>
        <w:tc>
          <w:tcPr>
            <w:tcW w:w="1320" w:type="dxa"/>
            <w:vAlign w:val="center"/>
          </w:tcPr>
          <w:p>
            <w:pPr>
              <w:spacing w:line="240" w:lineRule="auto"/>
              <w:ind w:firstLine="0" w:firstLineChars="0"/>
              <w:contextualSpacing/>
              <w:jc w:val="center"/>
              <w:rPr>
                <w:sz w:val="21"/>
                <w:szCs w:val="21"/>
              </w:rPr>
            </w:pPr>
            <w:r>
              <w:rPr>
                <w:sz w:val="21"/>
                <w:szCs w:val="21"/>
              </w:rPr>
              <w:t>挖方（m</w:t>
            </w:r>
            <w:r>
              <w:rPr>
                <w:sz w:val="21"/>
                <w:szCs w:val="21"/>
                <w:vertAlign w:val="superscript"/>
              </w:rPr>
              <w:t>3</w:t>
            </w:r>
            <w:r>
              <w:rPr>
                <w:sz w:val="21"/>
                <w:szCs w:val="21"/>
              </w:rPr>
              <w:t>）</w:t>
            </w:r>
          </w:p>
        </w:tc>
        <w:tc>
          <w:tcPr>
            <w:tcW w:w="1168" w:type="dxa"/>
            <w:vAlign w:val="center"/>
          </w:tcPr>
          <w:p>
            <w:pPr>
              <w:spacing w:line="240" w:lineRule="auto"/>
              <w:ind w:firstLine="0" w:firstLineChars="0"/>
              <w:contextualSpacing/>
              <w:jc w:val="center"/>
              <w:rPr>
                <w:sz w:val="21"/>
                <w:szCs w:val="21"/>
              </w:rPr>
            </w:pPr>
            <w:r>
              <w:rPr>
                <w:sz w:val="21"/>
                <w:szCs w:val="21"/>
              </w:rPr>
              <w:t>填方（m</w:t>
            </w:r>
            <w:r>
              <w:rPr>
                <w:sz w:val="21"/>
                <w:szCs w:val="21"/>
                <w:vertAlign w:val="superscript"/>
              </w:rPr>
              <w:t>3</w:t>
            </w:r>
            <w:r>
              <w:rPr>
                <w:sz w:val="21"/>
                <w:szCs w:val="21"/>
              </w:rPr>
              <w:t>）</w:t>
            </w:r>
          </w:p>
        </w:tc>
        <w:tc>
          <w:tcPr>
            <w:tcW w:w="1705" w:type="dxa"/>
            <w:vAlign w:val="center"/>
          </w:tcPr>
          <w:p>
            <w:pPr>
              <w:spacing w:line="240" w:lineRule="auto"/>
              <w:ind w:firstLine="0" w:firstLineChars="0"/>
              <w:contextualSpacing/>
              <w:jc w:val="center"/>
              <w:rPr>
                <w:sz w:val="21"/>
                <w:szCs w:val="21"/>
              </w:rPr>
            </w:pPr>
            <w:r>
              <w:rPr>
                <w:sz w:val="21"/>
                <w:szCs w:val="21"/>
              </w:rPr>
              <w:t>混凝土（m</w:t>
            </w:r>
            <w:r>
              <w:rPr>
                <w:sz w:val="21"/>
                <w:szCs w:val="21"/>
                <w:vertAlign w:val="superscript"/>
              </w:rPr>
              <w:t>3</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vAlign w:val="center"/>
          </w:tcPr>
          <w:p>
            <w:pPr>
              <w:spacing w:line="240" w:lineRule="auto"/>
              <w:ind w:firstLine="0" w:firstLineChars="0"/>
              <w:contextualSpacing/>
              <w:jc w:val="center"/>
              <w:rPr>
                <w:sz w:val="21"/>
                <w:szCs w:val="21"/>
              </w:rPr>
            </w:pPr>
            <w:r>
              <w:rPr>
                <w:sz w:val="21"/>
                <w:szCs w:val="21"/>
              </w:rPr>
              <w:t>枢纽区污水处理设施</w:t>
            </w:r>
          </w:p>
        </w:tc>
        <w:tc>
          <w:tcPr>
            <w:tcW w:w="2102" w:type="dxa"/>
            <w:vAlign w:val="center"/>
          </w:tcPr>
          <w:p>
            <w:pPr>
              <w:spacing w:line="240" w:lineRule="auto"/>
              <w:ind w:firstLine="0" w:firstLineChars="0"/>
              <w:contextualSpacing/>
              <w:jc w:val="center"/>
              <w:rPr>
                <w:sz w:val="21"/>
                <w:szCs w:val="21"/>
              </w:rPr>
            </w:pPr>
            <w:r>
              <w:rPr>
                <w:sz w:val="21"/>
                <w:szCs w:val="21"/>
              </w:rPr>
              <w:t xml:space="preserve">4.6×3.5×2.2 </w:t>
            </w:r>
          </w:p>
        </w:tc>
        <w:tc>
          <w:tcPr>
            <w:tcW w:w="1320" w:type="dxa"/>
            <w:vAlign w:val="center"/>
          </w:tcPr>
          <w:p>
            <w:pPr>
              <w:spacing w:line="240" w:lineRule="auto"/>
              <w:ind w:firstLine="0" w:firstLineChars="0"/>
              <w:contextualSpacing/>
              <w:jc w:val="center"/>
              <w:rPr>
                <w:sz w:val="21"/>
                <w:szCs w:val="21"/>
              </w:rPr>
            </w:pPr>
            <w:r>
              <w:rPr>
                <w:sz w:val="21"/>
                <w:szCs w:val="21"/>
              </w:rPr>
              <w:t>36.5</w:t>
            </w:r>
          </w:p>
        </w:tc>
        <w:tc>
          <w:tcPr>
            <w:tcW w:w="1168" w:type="dxa"/>
            <w:vAlign w:val="center"/>
          </w:tcPr>
          <w:p>
            <w:pPr>
              <w:spacing w:line="240" w:lineRule="auto"/>
              <w:ind w:firstLine="0" w:firstLineChars="0"/>
              <w:contextualSpacing/>
              <w:jc w:val="center"/>
              <w:rPr>
                <w:sz w:val="21"/>
                <w:szCs w:val="21"/>
              </w:rPr>
            </w:pPr>
            <w:r>
              <w:rPr>
                <w:sz w:val="21"/>
                <w:szCs w:val="21"/>
              </w:rPr>
              <w:t>13.0</w:t>
            </w:r>
          </w:p>
        </w:tc>
        <w:tc>
          <w:tcPr>
            <w:tcW w:w="1705" w:type="dxa"/>
            <w:vAlign w:val="center"/>
          </w:tcPr>
          <w:p>
            <w:pPr>
              <w:spacing w:line="240" w:lineRule="auto"/>
              <w:ind w:firstLine="0" w:firstLineChars="0"/>
              <w:contextualSpacing/>
              <w:jc w:val="center"/>
              <w:rPr>
                <w:sz w:val="21"/>
                <w:szCs w:val="21"/>
              </w:rPr>
            </w:pPr>
            <w:r>
              <w:rPr>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vAlign w:val="center"/>
          </w:tcPr>
          <w:p>
            <w:pPr>
              <w:spacing w:line="240" w:lineRule="auto"/>
              <w:ind w:firstLine="0" w:firstLineChars="0"/>
              <w:contextualSpacing/>
              <w:jc w:val="center"/>
              <w:rPr>
                <w:sz w:val="21"/>
                <w:szCs w:val="21"/>
              </w:rPr>
            </w:pPr>
            <w:r>
              <w:rPr>
                <w:sz w:val="21"/>
                <w:szCs w:val="21"/>
              </w:rPr>
              <w:t>合计</w:t>
            </w:r>
          </w:p>
        </w:tc>
        <w:tc>
          <w:tcPr>
            <w:tcW w:w="2102" w:type="dxa"/>
            <w:vAlign w:val="center"/>
          </w:tcPr>
          <w:p>
            <w:pPr>
              <w:spacing w:line="240" w:lineRule="auto"/>
              <w:ind w:firstLine="0" w:firstLineChars="0"/>
              <w:contextualSpacing/>
              <w:jc w:val="center"/>
              <w:rPr>
                <w:sz w:val="21"/>
                <w:szCs w:val="21"/>
              </w:rPr>
            </w:pPr>
          </w:p>
        </w:tc>
        <w:tc>
          <w:tcPr>
            <w:tcW w:w="1320" w:type="dxa"/>
            <w:vAlign w:val="center"/>
          </w:tcPr>
          <w:p>
            <w:pPr>
              <w:spacing w:line="240" w:lineRule="auto"/>
              <w:ind w:firstLine="0" w:firstLineChars="0"/>
              <w:contextualSpacing/>
              <w:jc w:val="center"/>
              <w:rPr>
                <w:sz w:val="21"/>
                <w:szCs w:val="21"/>
              </w:rPr>
            </w:pPr>
            <w:r>
              <w:rPr>
                <w:sz w:val="21"/>
                <w:szCs w:val="21"/>
              </w:rPr>
              <w:t>73</w:t>
            </w:r>
          </w:p>
        </w:tc>
        <w:tc>
          <w:tcPr>
            <w:tcW w:w="1168" w:type="dxa"/>
            <w:vAlign w:val="center"/>
          </w:tcPr>
          <w:p>
            <w:pPr>
              <w:spacing w:line="240" w:lineRule="auto"/>
              <w:ind w:firstLine="0" w:firstLineChars="0"/>
              <w:contextualSpacing/>
              <w:jc w:val="center"/>
              <w:rPr>
                <w:sz w:val="21"/>
                <w:szCs w:val="21"/>
              </w:rPr>
            </w:pPr>
            <w:r>
              <w:rPr>
                <w:sz w:val="21"/>
                <w:szCs w:val="21"/>
              </w:rPr>
              <w:t>26</w:t>
            </w:r>
          </w:p>
        </w:tc>
        <w:tc>
          <w:tcPr>
            <w:tcW w:w="1705" w:type="dxa"/>
            <w:vAlign w:val="center"/>
          </w:tcPr>
          <w:p>
            <w:pPr>
              <w:spacing w:line="240" w:lineRule="auto"/>
              <w:ind w:firstLine="0" w:firstLineChars="0"/>
              <w:contextualSpacing/>
              <w:jc w:val="center"/>
              <w:rPr>
                <w:sz w:val="21"/>
                <w:szCs w:val="21"/>
              </w:rPr>
            </w:pPr>
            <w:r>
              <w:rPr>
                <w:sz w:val="21"/>
                <w:szCs w:val="21"/>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vAlign w:val="center"/>
          </w:tcPr>
          <w:p>
            <w:pPr>
              <w:spacing w:line="240" w:lineRule="auto"/>
              <w:ind w:firstLine="0" w:firstLineChars="0"/>
              <w:contextualSpacing/>
              <w:jc w:val="center"/>
              <w:rPr>
                <w:sz w:val="21"/>
                <w:szCs w:val="21"/>
              </w:rPr>
            </w:pPr>
            <w:r>
              <w:rPr>
                <w:sz w:val="21"/>
                <w:szCs w:val="21"/>
              </w:rPr>
              <w:t>灌区化粪池（1座）</w:t>
            </w:r>
          </w:p>
        </w:tc>
        <w:tc>
          <w:tcPr>
            <w:tcW w:w="2102" w:type="dxa"/>
            <w:vAlign w:val="center"/>
          </w:tcPr>
          <w:p>
            <w:pPr>
              <w:spacing w:line="240" w:lineRule="auto"/>
              <w:ind w:firstLine="0" w:firstLineChars="0"/>
              <w:contextualSpacing/>
              <w:jc w:val="center"/>
              <w:rPr>
                <w:sz w:val="21"/>
                <w:szCs w:val="21"/>
              </w:rPr>
            </w:pPr>
            <w:r>
              <w:rPr>
                <w:sz w:val="21"/>
                <w:szCs w:val="21"/>
              </w:rPr>
              <w:t xml:space="preserve">3.2×2.5×2.2 </w:t>
            </w:r>
          </w:p>
        </w:tc>
        <w:tc>
          <w:tcPr>
            <w:tcW w:w="1320" w:type="dxa"/>
            <w:vAlign w:val="center"/>
          </w:tcPr>
          <w:p>
            <w:pPr>
              <w:spacing w:line="240" w:lineRule="auto"/>
              <w:ind w:firstLine="0" w:firstLineChars="0"/>
              <w:contextualSpacing/>
              <w:jc w:val="center"/>
              <w:rPr>
                <w:sz w:val="21"/>
                <w:szCs w:val="21"/>
              </w:rPr>
            </w:pPr>
            <w:r>
              <w:rPr>
                <w:sz w:val="21"/>
                <w:szCs w:val="21"/>
              </w:rPr>
              <w:t>23.1</w:t>
            </w:r>
          </w:p>
        </w:tc>
        <w:tc>
          <w:tcPr>
            <w:tcW w:w="1168" w:type="dxa"/>
            <w:vAlign w:val="center"/>
          </w:tcPr>
          <w:p>
            <w:pPr>
              <w:spacing w:line="240" w:lineRule="auto"/>
              <w:ind w:firstLine="0" w:firstLineChars="0"/>
              <w:contextualSpacing/>
              <w:jc w:val="center"/>
              <w:rPr>
                <w:sz w:val="21"/>
                <w:szCs w:val="21"/>
              </w:rPr>
            </w:pPr>
            <w:r>
              <w:rPr>
                <w:sz w:val="21"/>
                <w:szCs w:val="21"/>
              </w:rPr>
              <w:t>10.1</w:t>
            </w:r>
          </w:p>
        </w:tc>
        <w:tc>
          <w:tcPr>
            <w:tcW w:w="1705" w:type="dxa"/>
            <w:vAlign w:val="center"/>
          </w:tcPr>
          <w:p>
            <w:pPr>
              <w:spacing w:line="240" w:lineRule="auto"/>
              <w:ind w:firstLine="0" w:firstLineChars="0"/>
              <w:contextualSpacing/>
              <w:jc w:val="center"/>
              <w:rPr>
                <w:sz w:val="21"/>
                <w:szCs w:val="21"/>
              </w:rPr>
            </w:pPr>
            <w:r>
              <w:rPr>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vAlign w:val="center"/>
          </w:tcPr>
          <w:p>
            <w:pPr>
              <w:spacing w:line="240" w:lineRule="auto"/>
              <w:ind w:firstLine="0" w:firstLineChars="0"/>
              <w:contextualSpacing/>
              <w:jc w:val="center"/>
              <w:rPr>
                <w:sz w:val="21"/>
                <w:szCs w:val="21"/>
              </w:rPr>
            </w:pPr>
            <w:r>
              <w:rPr>
                <w:sz w:val="21"/>
                <w:szCs w:val="21"/>
              </w:rPr>
              <w:t>合计</w:t>
            </w:r>
          </w:p>
        </w:tc>
        <w:tc>
          <w:tcPr>
            <w:tcW w:w="2102" w:type="dxa"/>
            <w:vAlign w:val="center"/>
          </w:tcPr>
          <w:p>
            <w:pPr>
              <w:spacing w:line="240" w:lineRule="auto"/>
              <w:ind w:firstLine="0" w:firstLineChars="0"/>
              <w:contextualSpacing/>
              <w:jc w:val="center"/>
              <w:rPr>
                <w:sz w:val="21"/>
                <w:szCs w:val="21"/>
              </w:rPr>
            </w:pPr>
          </w:p>
        </w:tc>
        <w:tc>
          <w:tcPr>
            <w:tcW w:w="1320" w:type="dxa"/>
            <w:vAlign w:val="center"/>
          </w:tcPr>
          <w:p>
            <w:pPr>
              <w:spacing w:line="240" w:lineRule="auto"/>
              <w:ind w:firstLine="0" w:firstLineChars="0"/>
              <w:contextualSpacing/>
              <w:jc w:val="center"/>
              <w:rPr>
                <w:sz w:val="21"/>
                <w:szCs w:val="21"/>
              </w:rPr>
            </w:pPr>
            <w:r>
              <w:rPr>
                <w:sz w:val="21"/>
                <w:szCs w:val="21"/>
              </w:rPr>
              <w:t>115.5</w:t>
            </w:r>
          </w:p>
        </w:tc>
        <w:tc>
          <w:tcPr>
            <w:tcW w:w="1168" w:type="dxa"/>
            <w:vAlign w:val="center"/>
          </w:tcPr>
          <w:p>
            <w:pPr>
              <w:spacing w:line="240" w:lineRule="auto"/>
              <w:ind w:firstLine="0" w:firstLineChars="0"/>
              <w:contextualSpacing/>
              <w:jc w:val="center"/>
              <w:rPr>
                <w:sz w:val="21"/>
                <w:szCs w:val="21"/>
              </w:rPr>
            </w:pPr>
            <w:r>
              <w:rPr>
                <w:sz w:val="21"/>
                <w:szCs w:val="21"/>
              </w:rPr>
              <w:t>50.5</w:t>
            </w:r>
          </w:p>
        </w:tc>
        <w:tc>
          <w:tcPr>
            <w:tcW w:w="1705" w:type="dxa"/>
            <w:vAlign w:val="center"/>
          </w:tcPr>
          <w:p>
            <w:pPr>
              <w:spacing w:line="240" w:lineRule="auto"/>
              <w:ind w:firstLine="0" w:firstLineChars="0"/>
              <w:contextualSpacing/>
              <w:jc w:val="center"/>
              <w:rPr>
                <w:sz w:val="21"/>
                <w:szCs w:val="21"/>
              </w:rPr>
            </w:pPr>
            <w:r>
              <w:rPr>
                <w:sz w:val="21"/>
                <w:szCs w:val="21"/>
              </w:rPr>
              <w:t>59.5</w:t>
            </w:r>
          </w:p>
        </w:tc>
      </w:tr>
    </w:tbl>
    <w:p>
      <w:pPr>
        <w:spacing w:line="160" w:lineRule="exact"/>
        <w:ind w:firstLine="480"/>
        <w:contextualSpacing/>
      </w:pPr>
    </w:p>
    <w:p>
      <w:pPr>
        <w:ind w:firstLine="480"/>
        <w:contextualSpacing/>
      </w:pPr>
      <w:r>
        <w:t>在成套设备处理运行中，需一名管理人员，在上岗前由设备厂家负责其技术管理培训。操作人员应严格按照操作技术规程，进行正确的操作和定期的维护，发现问题及时向环境管理部门汇报解决。化粪池运行过程中注意定期清掏和灭菌消毒。</w:t>
      </w:r>
    </w:p>
    <w:p>
      <w:pPr>
        <w:ind w:firstLine="480"/>
        <w:contextualSpacing/>
      </w:pPr>
      <w:r>
        <w:rPr>
          <w:rFonts w:hint="eastAsia"/>
        </w:rPr>
        <w:t>（6）涉水工程临时保护措施</w:t>
      </w:r>
    </w:p>
    <w:p>
      <w:pPr>
        <w:ind w:firstLine="424" w:firstLineChars="177"/>
        <w:contextualSpacing/>
        <w:rPr>
          <w:rFonts w:hAnsi="宋体"/>
        </w:rPr>
      </w:pPr>
      <w:r>
        <w:rPr>
          <w:rFonts w:hAnsi="宋体"/>
        </w:rPr>
        <w:t>本工程枢纽工程导流建筑物由上游枯期围堰、下游全年围堰和右岸泄洪（导流、放空）洞等建筑物组成，灌区工程</w:t>
      </w:r>
      <w:r>
        <w:rPr>
          <w:rFonts w:hint="eastAsia" w:hAnsi="宋体"/>
        </w:rPr>
        <w:t>有</w:t>
      </w:r>
      <w:r>
        <w:rPr>
          <w:rFonts w:hAnsi="宋体"/>
        </w:rPr>
        <w:t>两处穿河桥梁需要考虑导流，</w:t>
      </w:r>
      <w:r>
        <w:rPr>
          <w:rFonts w:hint="eastAsia" w:hAnsi="宋体"/>
        </w:rPr>
        <w:t>涉水工程主要是枢纽区的围堰以及灌区的穿河桥梁。由于蔡家河河流径流量小，可采取优化施工工艺和时序、在枯水期施工、严格控制施工范围等措施减缓涉水工程对河流水质的影响。</w:t>
      </w:r>
    </w:p>
    <w:p>
      <w:pPr>
        <w:ind w:firstLine="0" w:firstLineChars="0"/>
        <w:contextualSpacing/>
        <w:outlineLvl w:val="3"/>
        <w:rPr>
          <w:b/>
          <w:bCs/>
        </w:rPr>
      </w:pPr>
      <w:r>
        <w:rPr>
          <w:b/>
          <w:bCs/>
        </w:rPr>
        <w:t>6.2.1.2运行期保护措施</w:t>
      </w:r>
    </w:p>
    <w:p>
      <w:pPr>
        <w:ind w:firstLine="480"/>
        <w:contextualSpacing/>
      </w:pPr>
      <w:r>
        <w:t>（1）库底清理</w:t>
      </w:r>
    </w:p>
    <w:p>
      <w:pPr>
        <w:ind w:firstLine="480"/>
        <w:contextualSpacing/>
        <w:rPr>
          <w:snapToGrid w:val="0"/>
        </w:rPr>
      </w:pPr>
      <w:r>
        <w:rPr>
          <w:snapToGrid w:val="0"/>
        </w:rPr>
        <w:t>根据《水利水电工程建设征地移民安置规划设计规范》（SL290-2009）的规定，为了防止淹没于水库内的树木、杂物等对水体水质和水库运行造成影响，在水库蓄水前必须对库底进行清理。寒溪寺水库库底清理无特殊清理，仅有一般清理。水库蓄水前，应按照规范要求对库底清理对象进行复核。清理工作完成后，由省移民局、建设单位、设计单位、人民政府以及其他相关单位的领导与专家组成验收工作组对库区进行验收，验收合格后方能进行水库蓄水。</w:t>
      </w:r>
    </w:p>
    <w:p>
      <w:pPr>
        <w:ind w:firstLine="480"/>
        <w:contextualSpacing/>
        <w:rPr>
          <w:snapToGrid w:val="0"/>
        </w:rPr>
      </w:pPr>
      <w:r>
        <w:rPr>
          <w:snapToGrid w:val="0"/>
        </w:rPr>
        <w:t>寒溪寺水库</w:t>
      </w:r>
      <w:r>
        <w:t>工程</w:t>
      </w:r>
      <w:r>
        <w:rPr>
          <w:snapToGrid w:val="0"/>
        </w:rPr>
        <w:t>库底清理范围包括：</w:t>
      </w:r>
    </w:p>
    <w:p>
      <w:pPr>
        <w:ind w:firstLine="480"/>
        <w:contextualSpacing/>
        <w:rPr>
          <w:snapToGrid w:val="0"/>
        </w:rPr>
      </w:pPr>
      <w:r>
        <w:rPr>
          <w:snapToGrid w:val="0"/>
        </w:rPr>
        <w:t>1）一般建（构）筑物清理包括房屋、附属建筑物清理，其清理范围为居民迁移线以下区域。大体积建（构）物清理范围为居民迁移线以下至死水位（含极限死水位）以下3m</w:t>
      </w:r>
      <w:r>
        <w:t>范围</w:t>
      </w:r>
      <w:r>
        <w:rPr>
          <w:snapToGrid w:val="0"/>
        </w:rPr>
        <w:t>内。</w:t>
      </w:r>
    </w:p>
    <w:p>
      <w:pPr>
        <w:ind w:firstLine="480"/>
        <w:contextualSpacing/>
        <w:rPr>
          <w:snapToGrid w:val="0"/>
        </w:rPr>
      </w:pPr>
      <w:r>
        <w:rPr>
          <w:snapToGrid w:val="0"/>
        </w:rPr>
        <w:t>2）林木清理范围为正常蓄水位以下的水库淹没区。</w:t>
      </w:r>
    </w:p>
    <w:p>
      <w:pPr>
        <w:ind w:firstLine="480"/>
        <w:contextualSpacing/>
        <w:rPr>
          <w:snapToGrid w:val="0"/>
        </w:rPr>
      </w:pPr>
      <w:r>
        <w:rPr>
          <w:snapToGrid w:val="0"/>
        </w:rPr>
        <w:t>3）易漂浮物</w:t>
      </w:r>
      <w:r>
        <w:t>清理</w:t>
      </w:r>
      <w:r>
        <w:rPr>
          <w:snapToGrid w:val="0"/>
        </w:rPr>
        <w:t>范围为居民迁移线以下的区域。</w:t>
      </w:r>
    </w:p>
    <w:p>
      <w:pPr>
        <w:ind w:firstLine="480"/>
        <w:contextualSpacing/>
        <w:rPr>
          <w:snapToGrid w:val="0"/>
        </w:rPr>
      </w:pPr>
      <w:r>
        <w:rPr>
          <w:snapToGrid w:val="0"/>
        </w:rPr>
        <w:t>4）卫生清理</w:t>
      </w:r>
      <w:r>
        <w:t>范围</w:t>
      </w:r>
      <w:r>
        <w:rPr>
          <w:snapToGrid w:val="0"/>
        </w:rPr>
        <w:t>为居民迁移线以下（不含影响区）区域。</w:t>
      </w:r>
    </w:p>
    <w:p>
      <w:pPr>
        <w:ind w:firstLine="480"/>
        <w:contextualSpacing/>
        <w:rPr>
          <w:snapToGrid w:val="0"/>
        </w:rPr>
      </w:pPr>
      <w:r>
        <w:rPr>
          <w:snapToGrid w:val="0"/>
        </w:rPr>
        <w:t>5）固体废物清理范围为居民迁移线以下的区域。固体废物堆场位于居民迁移线上下，应进行整体处理。</w:t>
      </w:r>
    </w:p>
    <w:p>
      <w:pPr>
        <w:ind w:firstLine="480"/>
        <w:contextualSpacing/>
        <w:rPr>
          <w:snapToGrid w:val="0"/>
        </w:rPr>
      </w:pPr>
      <w:r>
        <w:rPr>
          <w:snapToGrid w:val="0"/>
        </w:rPr>
        <w:t>清理技术要求按照《水利水电工程水库库底清理设计规范》（SL644-2014）执行。</w:t>
      </w:r>
    </w:p>
    <w:p>
      <w:pPr>
        <w:ind w:firstLine="480"/>
        <w:contextualSpacing/>
        <w:rPr>
          <w:snapToGrid w:val="0"/>
        </w:rPr>
      </w:pPr>
      <w:r>
        <w:rPr>
          <w:snapToGrid w:val="0"/>
        </w:rPr>
        <w:t>（2）水源区污染源治理</w:t>
      </w:r>
    </w:p>
    <w:p>
      <w:pPr>
        <w:ind w:firstLine="480"/>
        <w:contextualSpacing/>
        <w:rPr>
          <w:snapToGrid w:val="0"/>
        </w:rPr>
      </w:pPr>
      <w:r>
        <w:rPr>
          <w:rFonts w:hint="eastAsia"/>
        </w:rPr>
        <w:t>巴州区</w:t>
      </w:r>
      <w:r>
        <w:t>人民政府应尽快组织编制《寒溪寺水库工程水源区水污染防治规划》，开展污染源清查工作，制定污染源治理措施，落实相关投资，待规划批复后，应尽快组织实施规划中的污染源治理项目，并确保在寒溪寺水库蓄水前全面完成。</w:t>
      </w:r>
      <w:r>
        <w:rPr>
          <w:rFonts w:hint="eastAsia"/>
        </w:rPr>
        <w:t>本次环评要求，对寒溪寺水库上游来水水质开展实时监测，评估水源区水污染防治规划实施效果，确保水库来水水质稳定达标后，水库方可蓄水。</w:t>
      </w:r>
    </w:p>
    <w:p>
      <w:pPr>
        <w:ind w:firstLine="480"/>
        <w:contextualSpacing/>
      </w:pPr>
      <w:r>
        <w:t>（3）划定饮用水源保护区</w:t>
      </w:r>
    </w:p>
    <w:p>
      <w:pPr>
        <w:ind w:firstLine="480"/>
        <w:contextualSpacing/>
      </w:pPr>
      <w:r>
        <w:t>寒溪寺水库成库后，按照《中华人民共和国水法》和《中华人民共和国水污染防治法》的相关要求，</w:t>
      </w:r>
      <w:r>
        <w:rPr>
          <w:rFonts w:hint="eastAsia"/>
        </w:rPr>
        <w:t>巴州区</w:t>
      </w:r>
      <w:r>
        <w:t>人民政府应当组织相关部门对水源区进行水源保护区的划定保护。水库一级保护区范围内水体应满足《地表水环境质量标准》（GB3838-2002）Ⅱ类水质标准。水源保护区划分后，要按照《饮用水水源保护区污染防治管理规定》、</w:t>
      </w:r>
      <w:r>
        <w:rPr>
          <w:snapToGrid w:val="0"/>
          <w:kern w:val="24"/>
        </w:rPr>
        <w:t>《集中式饮用水水源地规范化建设环境保护技术要求》（HJ773-2015）等相关</w:t>
      </w:r>
      <w:r>
        <w:t>要求，采取积极的水源保护措施，加强监督与管理，禁止在寒溪寺水库饮用水源保护区内新建排放污染物的建设项目。</w:t>
      </w:r>
      <w:r>
        <w:rPr>
          <w:snapToGrid w:val="0"/>
          <w:kern w:val="24"/>
        </w:rPr>
        <w:t>一级保护区内禁止新建、改建、扩建与供水设施和保护水源无关的建设项目；禁止水上餐饮；禁止网箱养殖、旅游、游泳、垂钓。</w:t>
      </w:r>
    </w:p>
    <w:p>
      <w:pPr>
        <w:ind w:firstLine="480"/>
        <w:contextualSpacing/>
        <w:rPr>
          <w:snapToGrid w:val="0"/>
          <w:kern w:val="0"/>
        </w:rPr>
      </w:pPr>
      <w:r>
        <w:rPr>
          <w:snapToGrid w:val="0"/>
          <w:kern w:val="0"/>
        </w:rPr>
        <w:t>根据</w:t>
      </w:r>
      <w:r>
        <w:rPr>
          <w:rFonts w:hint="eastAsia"/>
          <w:snapToGrid w:val="0"/>
          <w:kern w:val="0"/>
        </w:rPr>
        <w:t>寒溪寺</w:t>
      </w:r>
      <w:r>
        <w:rPr>
          <w:snapToGrid w:val="0"/>
          <w:kern w:val="0"/>
        </w:rPr>
        <w:t>水库各个功能保护区的划定情况，明确各个功能区的地理界线，并在各个功能区边界设立界桩、界碑、公示牌、警戒线等标志，在一级、二级保护区内设置有明显标志的警示牌。</w:t>
      </w:r>
    </w:p>
    <w:p>
      <w:pPr>
        <w:ind w:firstLine="480"/>
        <w:contextualSpacing/>
      </w:pPr>
      <w:r>
        <w:rPr>
          <w:snapToGrid w:val="0"/>
          <w:kern w:val="0"/>
        </w:rPr>
        <w:t>划定后</w:t>
      </w:r>
      <w:r>
        <w:rPr>
          <w:snapToGrid w:val="0"/>
        </w:rPr>
        <w:t>水源保护</w:t>
      </w:r>
      <w:r>
        <w:rPr>
          <w:snapToGrid w:val="0"/>
          <w:kern w:val="0"/>
        </w:rPr>
        <w:t>区应建设必要的物理隔离防护带，防止人类活动等因素对水源地保护和管理的干扰，物理隔离防护带主要采用铁丝防护网。</w:t>
      </w:r>
    </w:p>
    <w:p>
      <w:pPr>
        <w:ind w:firstLine="480"/>
        <w:contextualSpacing/>
      </w:pPr>
      <w:r>
        <w:t>（4）库周及上游污染源控制措施</w:t>
      </w:r>
    </w:p>
    <w:p>
      <w:pPr>
        <w:ind w:firstLine="480"/>
        <w:contextualSpacing/>
      </w:pPr>
      <w:r>
        <w:t>1）水库上游污染源控制措施</w:t>
      </w:r>
    </w:p>
    <w:p>
      <w:pPr>
        <w:ind w:firstLine="480"/>
        <w:contextualSpacing/>
      </w:pPr>
      <w:r>
        <w:t>寒溪寺水库建成后，要加强水库上游区域的污染物排放控制，采取必要的污染治理措施，从源头上减少水源地的污染来源。可采取的措施包括：</w:t>
      </w:r>
      <w:r>
        <w:rPr>
          <w:rFonts w:hint="eastAsia" w:ascii="宋体" w:hAnsi="宋体" w:cs="宋体"/>
        </w:rPr>
        <w:t>①</w:t>
      </w:r>
      <w:r>
        <w:t>小流域治理，对寒溪寺库区周边、坝址以上的小支流进行整治，避免面源污染直接入河。</w:t>
      </w:r>
      <w:r>
        <w:rPr>
          <w:rFonts w:hint="eastAsia" w:ascii="宋体" w:hAnsi="宋体" w:cs="宋体"/>
        </w:rPr>
        <w:t>②</w:t>
      </w:r>
      <w:r>
        <w:t>用现代科学技术成果和现代管理手段，以及传统农业的有效经验，建设能获得较高经济效益和生态效益的生态农业。</w:t>
      </w:r>
      <w:r>
        <w:rPr>
          <w:rFonts w:hint="eastAsia" w:ascii="宋体" w:hAnsi="宋体" w:cs="宋体"/>
        </w:rPr>
        <w:t>③</w:t>
      </w:r>
      <w:r>
        <w:t>对湿地进行恢复和保护，保护库周生态环境。</w:t>
      </w:r>
      <w:r>
        <w:rPr>
          <w:rFonts w:hint="eastAsia" w:ascii="宋体" w:hAnsi="宋体" w:cs="宋体"/>
        </w:rPr>
        <w:t>④</w:t>
      </w:r>
      <w:r>
        <w:t>建设水源涵养生态区，并提出水源涵养生态建设区长期污染预防的措施方案。此外建议有关部门针对水源地上游污染物排放情况与本工程的水源保护要求，研究确定流域污染物排放总量，按总量控制要求进行流域环境管理。</w:t>
      </w:r>
    </w:p>
    <w:p>
      <w:pPr>
        <w:ind w:firstLine="480"/>
        <w:contextualSpacing/>
      </w:pPr>
      <w:r>
        <w:t>2）库周污染源控制</w:t>
      </w:r>
    </w:p>
    <w:p>
      <w:pPr>
        <w:ind w:firstLine="480"/>
        <w:contextualSpacing/>
      </w:pPr>
      <w:r>
        <w:t>寒溪寺水库</w:t>
      </w:r>
      <w:r>
        <w:rPr>
          <w:rFonts w:hint="eastAsia"/>
        </w:rPr>
        <w:t>水源区完成污染源清理后，水库</w:t>
      </w:r>
      <w:r>
        <w:t>建成</w:t>
      </w:r>
      <w:r>
        <w:rPr>
          <w:rFonts w:hint="eastAsia"/>
        </w:rPr>
        <w:t>蓄水</w:t>
      </w:r>
      <w:r>
        <w:t>，库周污染源主要是农业面源、生活污染。</w:t>
      </w:r>
    </w:p>
    <w:p>
      <w:pPr>
        <w:ind w:firstLine="480"/>
        <w:contextualSpacing/>
      </w:pPr>
      <w:r>
        <w:t>对饮用水水源一级保护区内的农业种植应严格控制农药、化肥等非点源污染，并逐步退出；饮用水水源二级保护区内农业种植和经济林应实行科学种植和非点源污染防治。</w:t>
      </w:r>
    </w:p>
    <w:p>
      <w:pPr>
        <w:ind w:firstLine="480"/>
        <w:contextualSpacing/>
      </w:pPr>
      <w:r>
        <w:t>库周居民由于非常分散，不便于污水集中收集，应加大力度宣传水源保护相关要求，重点宣传对象为保护区内农户，要求生活洗衣等所有生活污水一律进入农户粪坑内，采取农地浇灌，禁止向水库排污。生活垃圾通过环卫垃圾箱等设施收集后，定期清运至城市垃圾填埋场，垃圾箱贮放场所应设置于水库保护区外，防止地面渗漏液随雨水进入水库。</w:t>
      </w:r>
    </w:p>
    <w:p>
      <w:pPr>
        <w:ind w:firstLine="480"/>
        <w:contextualSpacing/>
      </w:pPr>
      <w:r>
        <w:t>（5）水库富营养化防治措施</w:t>
      </w:r>
    </w:p>
    <w:p>
      <w:pPr>
        <w:ind w:firstLine="480"/>
        <w:contextualSpacing/>
      </w:pPr>
      <w:r>
        <w:rPr>
          <w:rFonts w:hint="eastAsia"/>
        </w:rPr>
        <w:t>水库</w:t>
      </w:r>
      <w:r>
        <w:t>富营养化防治措施包括几个方面的内容，首先是蓄水前由</w:t>
      </w:r>
      <w:r>
        <w:rPr>
          <w:rFonts w:hint="eastAsia"/>
        </w:rPr>
        <w:t>巴州区</w:t>
      </w:r>
      <w:r>
        <w:t>人民政府组织实施水源区污染源治理，清除</w:t>
      </w:r>
      <w:r>
        <w:rPr>
          <w:rFonts w:hint="eastAsia"/>
        </w:rPr>
        <w:t>残留</w:t>
      </w:r>
      <w:r>
        <w:t>的污染源</w:t>
      </w:r>
      <w:r>
        <w:rPr>
          <w:rFonts w:hint="eastAsia"/>
        </w:rPr>
        <w:t>；然后</w:t>
      </w:r>
      <w:r>
        <w:t>是</w:t>
      </w:r>
      <w:r>
        <w:rPr>
          <w:rFonts w:hint="eastAsia"/>
        </w:rPr>
        <w:t>加大库周</w:t>
      </w:r>
      <w:r>
        <w:t>及上游污染</w:t>
      </w:r>
      <w:r>
        <w:rPr>
          <w:rFonts w:hint="eastAsia"/>
        </w:rPr>
        <w:t>源</w:t>
      </w:r>
      <w:r>
        <w:t>的控制力度，严格</w:t>
      </w:r>
      <w:r>
        <w:rPr>
          <w:rFonts w:hint="eastAsia"/>
        </w:rPr>
        <w:t>禁止</w:t>
      </w:r>
      <w:r>
        <w:t>新增污染源，逐渐减少</w:t>
      </w:r>
      <w:r>
        <w:rPr>
          <w:rFonts w:hint="eastAsia"/>
        </w:rPr>
        <w:t>入库污染物</w:t>
      </w:r>
      <w:r>
        <w:t>量。</w:t>
      </w:r>
      <w:r>
        <w:rPr>
          <w:rFonts w:hint="eastAsia"/>
        </w:rPr>
        <w:t>在本次环评以上措施规划的基础上，</w:t>
      </w:r>
      <w:r>
        <w:t>对于</w:t>
      </w:r>
      <w:r>
        <w:rPr>
          <w:rFonts w:hint="eastAsia"/>
        </w:rPr>
        <w:t>寒溪寺</w:t>
      </w:r>
      <w:r>
        <w:t>水库运行期富营养化的防治，还应采取以下措施：</w:t>
      </w:r>
    </w:p>
    <w:p>
      <w:pPr>
        <w:ind w:firstLine="480"/>
        <w:contextualSpacing/>
      </w:pPr>
      <w:r>
        <w:t>1）减少上游库区点、面污染源，控制营养物质输入</w:t>
      </w:r>
    </w:p>
    <w:p>
      <w:pPr>
        <w:ind w:firstLine="480"/>
        <w:contextualSpacing/>
      </w:pPr>
      <w:r>
        <w:rPr>
          <w:rFonts w:hint="eastAsia" w:ascii="宋体" w:hAnsi="宋体" w:cs="宋体"/>
        </w:rPr>
        <w:t>①</w:t>
      </w:r>
      <w:r>
        <w:t>库周输入性污染源是营养化控制物质氮、磷的主要来源，除库周输入性污染控制措施外，当地政府可根据水体功能要求再制定相应的水质氮、磷浓度的允许标准；</w:t>
      </w:r>
    </w:p>
    <w:p>
      <w:pPr>
        <w:ind w:firstLine="480"/>
        <w:contextualSpacing/>
      </w:pPr>
      <w:r>
        <w:rPr>
          <w:rFonts w:hint="eastAsia" w:ascii="宋体" w:hAnsi="宋体" w:cs="宋体"/>
        </w:rPr>
        <w:t>②</w:t>
      </w:r>
      <w:r>
        <w:t>建议当地政府</w:t>
      </w:r>
      <w:r>
        <w:rPr>
          <w:bCs/>
        </w:rPr>
        <w:t>禁止使用含磷的合成洗涤剂</w:t>
      </w:r>
      <w:r>
        <w:t>，可有效减少磷排放，降低富营养化水体TP含量；</w:t>
      </w:r>
    </w:p>
    <w:p>
      <w:pPr>
        <w:ind w:firstLine="480"/>
        <w:contextualSpacing/>
      </w:pPr>
      <w:r>
        <w:rPr>
          <w:rFonts w:hint="eastAsia" w:ascii="宋体" w:hAnsi="宋体" w:cs="宋体"/>
        </w:rPr>
        <w:t>③</w:t>
      </w:r>
      <w:r>
        <w:t>控制农业面源污染。结合四川省农业生态与环保工作要求，对农村化肥农药、畜禽粪污、农作物</w:t>
      </w:r>
      <w:r>
        <w:rPr>
          <w:rFonts w:hint="eastAsia"/>
          <w:lang w:eastAsia="zh-CN"/>
        </w:rPr>
        <w:t>秸秆</w:t>
      </w:r>
      <w:r>
        <w:t>、废弃农膜等农业面源污染全面治理。大力推广农作物</w:t>
      </w:r>
      <w:r>
        <w:rPr>
          <w:bCs/>
        </w:rPr>
        <w:t>测土配方施肥技术</w:t>
      </w:r>
      <w:r>
        <w:t>，减少化肥农药使用量；合理种植农作物，减少土壤侵蚀、水土流失与肥料流失</w:t>
      </w:r>
      <w:r>
        <w:rPr>
          <w:rFonts w:hint="eastAsia"/>
        </w:rPr>
        <w:t>；</w:t>
      </w:r>
    </w:p>
    <w:p>
      <w:pPr>
        <w:ind w:firstLine="480"/>
        <w:contextualSpacing/>
      </w:pPr>
      <w:r>
        <w:rPr>
          <w:rFonts w:hint="eastAsia" w:ascii="宋体" w:hAnsi="宋体"/>
        </w:rPr>
        <w:t>④科学划定畜禽养殖三区，寒溪寺水库饮用水水源保护区一级保护区应划为畜禽养殖禁养区，二级保护区及以外应划为限养区。禁养区内的畜禽养殖户应全部清理或迁出；限养区内的养殖户应规范化养殖，</w:t>
      </w:r>
      <w:r>
        <w:rPr>
          <w:rFonts w:hint="eastAsia"/>
        </w:rPr>
        <w:t>必须</w:t>
      </w:r>
      <w:r>
        <w:t>配套粪污处理设施，实现畜禽粪污资源化利用</w:t>
      </w:r>
      <w:r>
        <w:rPr>
          <w:rFonts w:hint="eastAsia"/>
        </w:rPr>
        <w:t>。</w:t>
      </w:r>
    </w:p>
    <w:p>
      <w:pPr>
        <w:ind w:firstLine="480"/>
        <w:contextualSpacing/>
      </w:pPr>
      <w:r>
        <w:t>2）调整渔业养殖方式、构建水生生态系统</w:t>
      </w:r>
    </w:p>
    <w:p>
      <w:pPr>
        <w:ind w:firstLine="480"/>
        <w:contextualSpacing/>
      </w:pPr>
      <w:r>
        <w:t>库区</w:t>
      </w:r>
      <w:r>
        <w:rPr>
          <w:rFonts w:hint="eastAsia"/>
        </w:rPr>
        <w:t>禁止</w:t>
      </w:r>
      <w:r>
        <w:t>围网养殖</w:t>
      </w:r>
      <w:r>
        <w:rPr>
          <w:rFonts w:hint="eastAsia"/>
          <w:bCs/>
        </w:rPr>
        <w:t>、</w:t>
      </w:r>
      <w:r>
        <w:rPr>
          <w:bCs/>
        </w:rPr>
        <w:t>网箱养鱼</w:t>
      </w:r>
      <w:r>
        <w:t>，</w:t>
      </w:r>
      <w:r>
        <w:rPr>
          <w:rFonts w:hint="eastAsia"/>
        </w:rPr>
        <w:t>仅允许</w:t>
      </w:r>
      <w:r>
        <w:t>自然放养</w:t>
      </w:r>
      <w:r>
        <w:rPr>
          <w:bCs/>
        </w:rPr>
        <w:t>具有滤食性功能的水生生物</w:t>
      </w:r>
      <w:r>
        <w:t>，如：螺、蚌、鲢鱼、鳙鱼等；培育能吸收和净化氮、磷等营养物质的沉水植物，如：黑藻、伊乐藻、苦草等，构建完整的水生生态系统。</w:t>
      </w:r>
      <w:r>
        <w:rPr>
          <w:rFonts w:hint="eastAsia"/>
        </w:rPr>
        <w:t>在库周全面整治塘库堰投肥养鱼。</w:t>
      </w:r>
    </w:p>
    <w:p>
      <w:pPr>
        <w:ind w:firstLine="480"/>
        <w:contextualSpacing/>
      </w:pPr>
      <w:r>
        <w:rPr>
          <w:rFonts w:hint="eastAsia"/>
        </w:rPr>
        <w:t>3）推进美丽乡村建设</w:t>
      </w:r>
    </w:p>
    <w:p>
      <w:pPr>
        <w:ind w:firstLine="480"/>
        <w:contextualSpacing/>
      </w:pPr>
      <w:r>
        <w:rPr>
          <w:rFonts w:hint="eastAsia"/>
        </w:rPr>
        <w:t>加快农村环境综合整治，以生活污水、生活垃圾收集处理为重点，推进美丽乡村建设。</w:t>
      </w:r>
    </w:p>
    <w:p>
      <w:pPr>
        <w:ind w:firstLine="480"/>
        <w:contextualSpacing/>
      </w:pPr>
      <w:r>
        <w:rPr>
          <w:rFonts w:hint="eastAsia"/>
        </w:rPr>
        <w:t>4</w:t>
      </w:r>
      <w:r>
        <w:t>）加强库区富营养化管理、巡视，建立水库水质监控系统</w:t>
      </w:r>
    </w:p>
    <w:p>
      <w:pPr>
        <w:ind w:firstLine="480"/>
        <w:contextualSpacing/>
        <w:rPr>
          <w:rFonts w:hint="eastAsia"/>
        </w:rPr>
      </w:pPr>
      <w:r>
        <w:rPr>
          <w:rFonts w:hint="eastAsia"/>
        </w:rPr>
        <w:t>①</w:t>
      </w:r>
      <w:r>
        <w:t>在运行初期对水面浮物、杂草等作进一步清除，防止岸边浅水区、库湾静水区局部水域发生有机污染。</w:t>
      </w:r>
    </w:p>
    <w:p>
      <w:pPr>
        <w:ind w:firstLine="480"/>
        <w:contextualSpacing/>
        <w:rPr>
          <w:rFonts w:hint="eastAsia"/>
        </w:rPr>
      </w:pPr>
      <w:r>
        <w:rPr>
          <w:rFonts w:hint="eastAsia"/>
        </w:rPr>
        <w:t>②</w:t>
      </w:r>
      <w:r>
        <w:t>利用放空构筑物、提水泵站优化调度达到达改善库区水质</w:t>
      </w:r>
      <w:r>
        <w:rPr>
          <w:rFonts w:hint="eastAsia"/>
        </w:rPr>
        <w:t>的目的</w:t>
      </w:r>
      <w:r>
        <w:t>。工程调度动态调节进出库水量，加快水体更换速度，有效减少库区污染物。</w:t>
      </w:r>
    </w:p>
    <w:p>
      <w:pPr>
        <w:ind w:firstLine="480"/>
        <w:contextualSpacing/>
        <w:rPr>
          <w:rFonts w:hint="eastAsia"/>
        </w:rPr>
      </w:pPr>
      <w:r>
        <w:rPr>
          <w:rFonts w:hint="eastAsia"/>
        </w:rPr>
        <w:t>③</w:t>
      </w:r>
      <w:r>
        <w:t>加强库区富营养化的巡查工作，制定富营养化处理应急预案；对有可能发生富营养化的局部区域开展生物生态性措施、物理工程性措施、化学方法等措施的实验研究工作。</w:t>
      </w:r>
    </w:p>
    <w:p>
      <w:pPr>
        <w:ind w:firstLine="480"/>
        <w:contextualSpacing/>
        <w:rPr>
          <w:rFonts w:hint="eastAsia"/>
        </w:rPr>
      </w:pPr>
      <w:r>
        <w:rPr>
          <w:rFonts w:hint="eastAsia"/>
        </w:rPr>
        <w:t>④</w:t>
      </w:r>
      <w:r>
        <w:rPr>
          <w:bCs/>
        </w:rPr>
        <w:t>定期对库区水质进行监督性监测</w:t>
      </w:r>
      <w:r>
        <w:t>，并上报监测数据，提高突发水污染事故的预警反应能力，确保库区水质安全。</w:t>
      </w:r>
    </w:p>
    <w:p>
      <w:pPr>
        <w:ind w:firstLine="480"/>
        <w:contextualSpacing/>
      </w:pPr>
      <w:r>
        <w:t>5</w:t>
      </w:r>
      <w:r>
        <w:rPr>
          <w:rFonts w:hint="eastAsia"/>
        </w:rPr>
        <w:t>）开展水库富营养化、水质风险防范关键技术研究</w:t>
      </w:r>
    </w:p>
    <w:p>
      <w:pPr>
        <w:ind w:firstLine="480"/>
        <w:contextualSpacing/>
      </w:pPr>
      <w:r>
        <w:rPr>
          <w:rFonts w:hint="eastAsia"/>
        </w:rPr>
        <w:t>水库运行单位积极开展水库富营养化、水质风险防范关键技术研究工作，加强自身能力建设，为库区水质保护提供科学依据。对《</w:t>
      </w:r>
      <w:r>
        <w:t>寒溪寺水库工程水源区水污染防治规划</w:t>
      </w:r>
      <w:r>
        <w:rPr>
          <w:rFonts w:hint="eastAsia"/>
        </w:rPr>
        <w:t>》实施效果进行跟踪评估，根据评估结果进一步提出有针对性的库区水污染防治措施，确保水库及供水水质安全。</w:t>
      </w:r>
    </w:p>
    <w:p>
      <w:pPr>
        <w:ind w:firstLine="480"/>
        <w:contextualSpacing/>
      </w:pPr>
      <w:r>
        <w:t>（5）灌区受水区水环境保护措施</w:t>
      </w:r>
    </w:p>
    <w:p>
      <w:pPr>
        <w:ind w:firstLine="480"/>
        <w:contextualSpacing/>
        <w:rPr>
          <w:bCs/>
        </w:rPr>
      </w:pPr>
      <w:r>
        <w:rPr>
          <w:bCs/>
        </w:rPr>
        <w:t>1）水资源管理措施</w:t>
      </w:r>
    </w:p>
    <w:p>
      <w:pPr>
        <w:ind w:firstLine="480"/>
        <w:contextualSpacing/>
        <w:rPr>
          <w:bCs/>
        </w:rPr>
      </w:pPr>
      <w:r>
        <w:rPr>
          <w:rFonts w:hint="eastAsia" w:ascii="宋体" w:hAnsi="宋体" w:cs="宋体"/>
          <w:bCs/>
        </w:rPr>
        <w:t>①</w:t>
      </w:r>
      <w:r>
        <w:rPr>
          <w:bCs/>
        </w:rPr>
        <w:t>采取有力措施控制灌区规模、实施最严格的水资源管理制度。</w:t>
      </w:r>
    </w:p>
    <w:p>
      <w:pPr>
        <w:ind w:firstLine="480"/>
        <w:contextualSpacing/>
        <w:rPr>
          <w:bCs/>
        </w:rPr>
      </w:pPr>
      <w:r>
        <w:rPr>
          <w:rFonts w:hint="eastAsia" w:ascii="宋体" w:hAnsi="宋体" w:cs="宋体"/>
          <w:bCs/>
        </w:rPr>
        <w:t>②</w:t>
      </w:r>
      <w:r>
        <w:rPr>
          <w:bCs/>
        </w:rPr>
        <w:t>在区域水量配置过程中，应优先考虑本流域生态用水需求；合理分配灌溉用水，避免灌溉用水所占份额过大挤占生态用水，以保证生态用水。</w:t>
      </w:r>
    </w:p>
    <w:p>
      <w:pPr>
        <w:ind w:firstLine="480"/>
        <w:contextualSpacing/>
        <w:rPr>
          <w:bCs/>
        </w:rPr>
      </w:pPr>
      <w:r>
        <w:rPr>
          <w:rFonts w:hint="eastAsia" w:ascii="宋体" w:hAnsi="宋体" w:cs="宋体"/>
          <w:bCs/>
        </w:rPr>
        <w:t>③</w:t>
      </w:r>
      <w:r>
        <w:rPr>
          <w:bCs/>
        </w:rPr>
        <w:t>建立用水效率控制制度。确立用水效率控制红线，坚决遏制用水浪费。加快制定流域各行业用水效率指标体系，加强用水定额和计划管理。加大灌区的节水改造力度。</w:t>
      </w:r>
    </w:p>
    <w:p>
      <w:pPr>
        <w:ind w:firstLine="480"/>
        <w:contextualSpacing/>
        <w:rPr>
          <w:bCs/>
        </w:rPr>
      </w:pPr>
      <w:r>
        <w:rPr>
          <w:rFonts w:hint="eastAsia"/>
          <w:bCs/>
        </w:rPr>
        <w:t>④</w:t>
      </w:r>
      <w:r>
        <w:rPr>
          <w:bCs/>
        </w:rPr>
        <w:t>建立健全水资源管理责任和考核制度。</w:t>
      </w:r>
    </w:p>
    <w:p>
      <w:pPr>
        <w:ind w:firstLine="480"/>
        <w:contextualSpacing/>
        <w:rPr>
          <w:bCs/>
        </w:rPr>
      </w:pPr>
      <w:r>
        <w:rPr>
          <w:rFonts w:hint="eastAsia"/>
          <w:bCs/>
        </w:rPr>
        <w:t>⑤开展受水区污</w:t>
      </w:r>
      <w:r>
        <w:rPr>
          <w:bCs/>
        </w:rPr>
        <w:t>染防治规划</w:t>
      </w:r>
      <w:r>
        <w:rPr>
          <w:rFonts w:hint="eastAsia"/>
          <w:bCs/>
        </w:rPr>
        <w:t>效果评估，确保河流水质达到要求。</w:t>
      </w:r>
    </w:p>
    <w:p>
      <w:pPr>
        <w:ind w:firstLine="480"/>
        <w:contextualSpacing/>
        <w:rPr>
          <w:bCs/>
        </w:rPr>
      </w:pPr>
      <w:r>
        <w:rPr>
          <w:bCs/>
        </w:rPr>
        <w:t>2）水污染防治措施</w:t>
      </w:r>
    </w:p>
    <w:p>
      <w:pPr>
        <w:ind w:firstLine="480"/>
        <w:contextualSpacing/>
        <w:rPr>
          <w:bCs/>
        </w:rPr>
      </w:pPr>
      <w:r>
        <w:rPr>
          <w:bCs/>
        </w:rPr>
        <w:t>以农业产业结构、种植结构调整为主导，减少耗水量大、经济效益较低的作物种植面积，增加耗水量小、经济效益较高的作物种植面积。积极调整农业产业结构，促进农民生产生活方式的转变。大力发展有机农业和生态农业，建设生态循环农业经济；全面禁止使用国家明令禁止生产和使用的剧毒高残留农药，在农作物病虫害防治上，坚持以生物防治为主，生物、化学农药防治相结合的手段，达到防治效果。积极推广择土施肥、平衡施肥，大力推广使用有机肥、复混肥，有针对性地施用微肥。逐步推广可降解塑料使用。</w:t>
      </w:r>
    </w:p>
    <w:p>
      <w:pPr>
        <w:ind w:firstLine="480"/>
        <w:contextualSpacing/>
        <w:rPr>
          <w:bCs/>
        </w:rPr>
      </w:pPr>
      <w:r>
        <w:rPr>
          <w:bCs/>
        </w:rPr>
        <w:t>（6）水库管理区生活污水处理</w:t>
      </w:r>
    </w:p>
    <w:p>
      <w:pPr>
        <w:ind w:firstLine="480"/>
        <w:contextualSpacing/>
      </w:pPr>
      <w:r>
        <w:t>寒溪寺水库建成运行后，水库管理机构工作人员生活污水规划通过成套生活污水处理设施处理后用于周边林地浇灌，不外排；</w:t>
      </w:r>
      <w:r>
        <w:rPr>
          <w:kern w:val="0"/>
        </w:rPr>
        <w:t>处理工艺同前述施工生活污水处理工艺</w:t>
      </w:r>
      <w:r>
        <w:t>。</w:t>
      </w:r>
    </w:p>
    <w:p>
      <w:pPr>
        <w:pStyle w:val="5"/>
        <w:ind w:firstLine="0" w:firstLineChars="0"/>
        <w:contextualSpacing/>
        <w:rPr>
          <w:rFonts w:ascii="Times New Roman" w:hAnsi="Times New Roman"/>
        </w:rPr>
      </w:pPr>
      <w:r>
        <w:rPr>
          <w:rFonts w:ascii="Times New Roman" w:hAnsi="Times New Roman"/>
        </w:rPr>
        <w:t>6.2.2地下水环境保护措施</w:t>
      </w:r>
    </w:p>
    <w:p>
      <w:pPr>
        <w:ind w:firstLine="0" w:firstLineChars="0"/>
        <w:contextualSpacing/>
        <w:outlineLvl w:val="3"/>
        <w:rPr>
          <w:b/>
          <w:bCs/>
        </w:rPr>
      </w:pPr>
      <w:r>
        <w:rPr>
          <w:b/>
          <w:bCs/>
        </w:rPr>
        <w:t>6.2.2.1施工期保护措施</w:t>
      </w:r>
    </w:p>
    <w:p>
      <w:pPr>
        <w:pStyle w:val="97"/>
        <w:tabs>
          <w:tab w:val="left" w:pos="1400"/>
        </w:tabs>
        <w:spacing w:before="0"/>
        <w:ind w:left="0" w:firstLine="480"/>
        <w:contextualSpacing/>
        <w:jc w:val="left"/>
        <w:rPr>
          <w:rFonts w:ascii="Times New Roman" w:hAnsi="Times New Roman" w:cs="Times New Roman"/>
        </w:rPr>
      </w:pPr>
      <w:r>
        <w:rPr>
          <w:rFonts w:ascii="Times New Roman" w:hAnsi="Times New Roman" w:cs="Times New Roman"/>
        </w:rPr>
        <w:t>（1）枢纽区地下水环境保护措施</w:t>
      </w:r>
    </w:p>
    <w:p>
      <w:pPr>
        <w:pStyle w:val="2"/>
        <w:spacing w:before="0"/>
        <w:ind w:left="0" w:firstLine="480"/>
        <w:contextualSpacing/>
        <w:rPr>
          <w:rFonts w:ascii="Times New Roman" w:hAnsi="Times New Roman"/>
        </w:rPr>
      </w:pPr>
      <w:r>
        <w:rPr>
          <w:rFonts w:ascii="Times New Roman" w:hAnsi="Times New Roman"/>
        </w:rPr>
        <w:t>加强超前地质预报工作，超前预报探测到断层时，以及发生小型涌泥时，需制定专项技术方案。对极其复杂的断层或向斜构造，应进行迂回绕避、注浆加固等方案的预设计，进行多方案比选。</w:t>
      </w:r>
    </w:p>
    <w:p>
      <w:pPr>
        <w:pStyle w:val="2"/>
        <w:spacing w:before="0"/>
        <w:ind w:left="0" w:firstLine="480"/>
        <w:contextualSpacing/>
        <w:rPr>
          <w:rFonts w:ascii="Times New Roman" w:hAnsi="Times New Roman"/>
        </w:rPr>
      </w:pPr>
      <w:r>
        <w:rPr>
          <w:rFonts w:ascii="Times New Roman" w:hAnsi="Times New Roman"/>
        </w:rPr>
        <w:t>通过勘探试验性工程，展开地下水封堵试验，探究将施工区与地下水体（储水构造等）隔离的可能途径。</w:t>
      </w:r>
    </w:p>
    <w:p>
      <w:pPr>
        <w:pStyle w:val="2"/>
        <w:spacing w:before="0"/>
        <w:ind w:left="0" w:firstLine="480"/>
        <w:contextualSpacing/>
        <w:rPr>
          <w:rFonts w:ascii="Times New Roman" w:hAnsi="Times New Roman"/>
        </w:rPr>
      </w:pPr>
      <w:r>
        <w:rPr>
          <w:rFonts w:ascii="Times New Roman" w:hAnsi="Times New Roman"/>
        </w:rPr>
        <w:t>断层或向斜构造富水性较强时，一般会对衬砌结构形成外水压力。施工中，应采取封闭和疏导相结合的方式进行处理，降低对地下水环境影响。</w:t>
      </w:r>
    </w:p>
    <w:p>
      <w:pPr>
        <w:pStyle w:val="97"/>
        <w:tabs>
          <w:tab w:val="left" w:pos="1400"/>
        </w:tabs>
        <w:spacing w:before="0"/>
        <w:ind w:left="0" w:firstLine="480"/>
        <w:contextualSpacing/>
        <w:jc w:val="left"/>
        <w:rPr>
          <w:rFonts w:ascii="Times New Roman" w:hAnsi="Times New Roman" w:cs="Times New Roman"/>
        </w:rPr>
      </w:pPr>
      <w:r>
        <w:rPr>
          <w:rFonts w:ascii="Times New Roman" w:hAnsi="Times New Roman" w:cs="Times New Roman"/>
        </w:rPr>
        <w:t>（2）库区地下水环境保护措施</w:t>
      </w:r>
    </w:p>
    <w:p>
      <w:pPr>
        <w:pStyle w:val="2"/>
        <w:spacing w:before="0"/>
        <w:ind w:left="0" w:firstLine="480"/>
        <w:contextualSpacing/>
        <w:rPr>
          <w:rFonts w:ascii="Times New Roman" w:hAnsi="Times New Roman"/>
        </w:rPr>
      </w:pPr>
      <w:r>
        <w:rPr>
          <w:rFonts w:ascii="Times New Roman" w:hAnsi="Times New Roman"/>
        </w:rPr>
        <w:t>水库施工期间，需要对周边地下水水位、水质进行监测，防止开挖对地下水水位、水质和附近生态环境造成不良影响，并做好防渗工作，，尽量减小对周围居民生活的影响。通过实行地下水动态监测可以全面了解由水库蓄水过程对地下水水环境影响，最大程度减缓地下水环境效应，在保障工程安全顺利建设的同时，保护好当地生态环境。</w:t>
      </w:r>
    </w:p>
    <w:p>
      <w:pPr>
        <w:ind w:firstLine="0" w:firstLineChars="0"/>
        <w:contextualSpacing/>
        <w:outlineLvl w:val="3"/>
        <w:rPr>
          <w:b/>
          <w:bCs/>
        </w:rPr>
      </w:pPr>
      <w:r>
        <w:rPr>
          <w:b/>
          <w:bCs/>
        </w:rPr>
        <w:t>6.2.2.2运行期保护措施</w:t>
      </w:r>
    </w:p>
    <w:p>
      <w:pPr>
        <w:pStyle w:val="2"/>
        <w:spacing w:before="0"/>
        <w:ind w:firstLine="480"/>
        <w:contextualSpacing/>
        <w:rPr>
          <w:rFonts w:ascii="Times New Roman" w:hAnsi="Times New Roman"/>
        </w:rPr>
      </w:pPr>
      <w:r>
        <w:rPr>
          <w:rFonts w:ascii="Times New Roman" w:hAnsi="Times New Roman"/>
        </w:rPr>
        <w:t>（1）水库蓄水将导致地下水水位上升、地表排水不畅引发盐渍化等问题会对地下水位、水质造成一定程度影响。</w:t>
      </w:r>
    </w:p>
    <w:p>
      <w:pPr>
        <w:ind w:firstLine="480"/>
        <w:contextualSpacing/>
      </w:pPr>
      <w:r>
        <w:t>水库下闸蓄水前，结合地灾隐患点和住户敏感点调查成果，采取排水或者拆除等必要措施；初期蓄水过程中，加强地下水敏感点的地下水位监测。通过采取上述措施，防范水库初期蓄水诱发库区地质灾害，确保库岸居民及房屋安全。</w:t>
      </w:r>
    </w:p>
    <w:p>
      <w:pPr>
        <w:ind w:firstLine="480"/>
        <w:contextualSpacing/>
      </w:pPr>
      <w:r>
        <w:t>运行期间，要结合水库调度特性及库岸地下水敏感点的高程，继续对水库影响区敏感点的地下水水位和水质进行动态监测。</w:t>
      </w:r>
    </w:p>
    <w:p>
      <w:pPr>
        <w:ind w:firstLine="480"/>
        <w:contextualSpacing/>
      </w:pPr>
      <w:r>
        <w:t>在寒溪寺水库工程地质环境及水文地质条件调查的基础上，依据《环境影响评价技术导则—地下水环境》（HJ610-2016）、《地下水环境监测技术规范》（HJ/T164-2004），并考虑人力、物力等因素，布置地下水环境监测点，可以及时了解水库蓄水引起的地下水环境问题，从而采取合适的防范措施。</w:t>
      </w:r>
    </w:p>
    <w:p>
      <w:pPr>
        <w:pStyle w:val="2"/>
        <w:spacing w:before="0"/>
        <w:ind w:firstLine="480"/>
        <w:contextualSpacing/>
        <w:rPr>
          <w:rFonts w:ascii="Times New Roman" w:hAnsi="Times New Roman"/>
        </w:rPr>
      </w:pPr>
      <w:r>
        <w:rPr>
          <w:rFonts w:ascii="Times New Roman" w:hAnsi="Times New Roman"/>
        </w:rPr>
        <w:t>（2）灌区退水含有氮、磷、有机物等，迁移到地表水中易造成水环境污染。</w:t>
      </w:r>
    </w:p>
    <w:p>
      <w:pPr>
        <w:ind w:firstLine="480"/>
        <w:contextualSpacing/>
      </w:pPr>
      <w:r>
        <w:t>完善灌区退水设施建设，形成完整的退水系统，及时掌握灌区退水水质状况。大力推广生态农业，减少化肥农药的施用量，禁止使用剧毒农药，调整肥料施用结构，优化肥料品种，积极引导农民因地、因时、因作物采用合理的施肥技术，提高土壤肥料利用率，以减少农药、化肥对地下水的污染。定期进行灌区地下水水质监测。本工程在灌面现状监测点水库坝址下游杨家咀村设一个地下水位监测点，运行期前3年每年灌溉时节及非灌溉时节分别对地下水水位及水质进行一次监测。为掌握水质状况及制订环保政策提供依据。</w:t>
      </w:r>
    </w:p>
    <w:bookmarkEnd w:id="815"/>
    <w:bookmarkEnd w:id="816"/>
    <w:p>
      <w:pPr>
        <w:pStyle w:val="5"/>
        <w:ind w:firstLine="0" w:firstLineChars="0"/>
        <w:contextualSpacing/>
        <w:rPr>
          <w:rFonts w:ascii="Times New Roman" w:hAnsi="Times New Roman"/>
        </w:rPr>
      </w:pPr>
      <w:bookmarkStart w:id="817" w:name="_Toc27774"/>
      <w:bookmarkStart w:id="818" w:name="_Toc5676"/>
      <w:r>
        <w:rPr>
          <w:rFonts w:ascii="Times New Roman" w:hAnsi="Times New Roman"/>
        </w:rPr>
        <w:t>6.2.3生态流量泄放措施</w:t>
      </w:r>
    </w:p>
    <w:p>
      <w:pPr>
        <w:ind w:firstLine="480"/>
        <w:contextualSpacing/>
        <w:rPr>
          <w:lang w:val="en-GB"/>
        </w:rPr>
      </w:pPr>
      <w:r>
        <w:rPr>
          <w:rFonts w:hint="eastAsia"/>
        </w:rPr>
        <w:t>为满足水库下泄0.0084m3/s的生态流量要求，需布置生态放水管。根据水库水温情况，为了避免引下部低温水，对下游生态环境影响，生态放水管进口采用分层取水。设置3个进水口，安装高程分别为：687.00m、677.00m和667.10m，各高程放水管均埋设于取水塔竖井内，独立布置，在闸室底板处汇合，沿隧洞底部铺设2根生态放水管，一备一用。放水管采用DN100PE管，进口设置DN100滤水网，单根放水管长300～320m，管道并排沿放空洞底板上部铺设，外包5cm厚C30混凝土，管道出口下游设阀门控制放水流量，出水后顺接泄槽跌坎。</w:t>
      </w:r>
    </w:p>
    <w:p>
      <w:pPr>
        <w:ind w:firstLine="480"/>
        <w:contextualSpacing/>
      </w:pPr>
      <w:r>
        <w:t>在寒溪寺水库生态放水管日常管理中提出以下要求：</w:t>
      </w:r>
      <w:r>
        <w:rPr>
          <w:rFonts w:hint="eastAsia" w:ascii="宋体" w:hAnsi="宋体" w:cs="宋体"/>
        </w:rPr>
        <w:t>①</w:t>
      </w:r>
      <w:r>
        <w:t>在下泄生态流量管处安装在线计量及视频监控设施用于监控下泄流量情况，在线监控系统应按相关部门要求联线运行，确保工程蓄水初期与运行期下泄生太流量，维持减水河段生态用水和农灌用水。</w:t>
      </w:r>
      <w:r>
        <w:rPr>
          <w:rFonts w:hint="eastAsia" w:ascii="宋体" w:hAnsi="宋体" w:cs="宋体"/>
        </w:rPr>
        <w:t>②</w:t>
      </w:r>
      <w:r>
        <w:t>制定生态流量下泄的管理规程。由水库运行调度人员负责监控水库蓄水、运行期下泄流量情况，并负责数据的存储、统计、整理。</w:t>
      </w:r>
      <w:r>
        <w:rPr>
          <w:rFonts w:hint="eastAsia" w:ascii="宋体" w:hAnsi="宋体" w:cs="宋体"/>
        </w:rPr>
        <w:t>③</w:t>
      </w:r>
      <w:r>
        <w:t>充分发挥当地村民监督，保证坝下河段足够水量，若一段发现断流现象及时向当地有关部门报告。</w:t>
      </w:r>
    </w:p>
    <w:p>
      <w:pPr>
        <w:pStyle w:val="5"/>
        <w:ind w:firstLine="0" w:firstLineChars="0"/>
        <w:contextualSpacing/>
        <w:rPr>
          <w:rFonts w:ascii="Times New Roman" w:hAnsi="Times New Roman"/>
          <w:bCs/>
        </w:rPr>
      </w:pPr>
      <w:r>
        <w:rPr>
          <w:rFonts w:ascii="Times New Roman" w:hAnsi="Times New Roman"/>
          <w:bCs/>
        </w:rPr>
        <w:t>6.2.4水温缓解措施</w:t>
      </w:r>
    </w:p>
    <w:p>
      <w:pPr>
        <w:ind w:firstLine="480"/>
        <w:contextualSpacing/>
      </w:pPr>
      <w:r>
        <w:t>在寒溪寺水库运行后，拟开展寒溪寺水库工程水温监测，在水库回水末端上游、坝下0.5km、坝下2km、坝下5km处设置表层水温观测点，同时在库区及坝前设置垂向水温观测点，开展连续的水温观测，以掌握寒溪寺水库水温结构以及下泄水温，确保出库水温不影响农作物生长、鱼类繁衍。</w:t>
      </w:r>
    </w:p>
    <w:bookmarkEnd w:id="817"/>
    <w:bookmarkEnd w:id="818"/>
    <w:p>
      <w:pPr>
        <w:pStyle w:val="5"/>
        <w:ind w:firstLine="0" w:firstLineChars="0"/>
        <w:contextualSpacing/>
        <w:rPr>
          <w:rFonts w:ascii="Times New Roman" w:hAnsi="Times New Roman"/>
        </w:rPr>
      </w:pPr>
      <w:bookmarkStart w:id="819" w:name="_Toc7647"/>
      <w:bookmarkStart w:id="820" w:name="_Toc25294"/>
      <w:r>
        <w:rPr>
          <w:rFonts w:ascii="Times New Roman" w:hAnsi="Times New Roman"/>
        </w:rPr>
        <w:t>6.2.5水资源保护措施</w:t>
      </w:r>
    </w:p>
    <w:p>
      <w:pPr>
        <w:ind w:firstLine="0" w:firstLineChars="0"/>
        <w:contextualSpacing/>
        <w:outlineLvl w:val="3"/>
        <w:rPr>
          <w:bCs/>
        </w:rPr>
      </w:pPr>
      <w:r>
        <w:rPr>
          <w:b/>
          <w:bCs/>
        </w:rPr>
        <w:t>6.2.5.1“三先三后”原则</w:t>
      </w:r>
    </w:p>
    <w:p>
      <w:pPr>
        <w:ind w:firstLine="480"/>
        <w:contextualSpacing/>
      </w:pPr>
      <w:r>
        <w:t>在工程建设运行中贯彻“先节水后调水，先治污后通水，先环保后用水”的“三先三后”原则，持续推进灌区的节水改造工作，为寒溪寺水库及灌区工程水量保障奠定基础，加强寒溪寺灌区节水减排规划，充分利用当地水量，尽可能减少设计引水量并减轻回归水影响；针对水源水质问题，采取有针对性的水污染防治措施，确保引水水质满足相关要求，引水过程中不产生二次污染；针对寒溪寺水库及灌区工程建设和运行采取全方位的环境保护措施，并推进全灌区的环境保护工作，确保工程正常运行，发挥应有的社会效益和环境效益。</w:t>
      </w:r>
    </w:p>
    <w:p>
      <w:pPr>
        <w:ind w:firstLine="0" w:firstLineChars="0"/>
        <w:contextualSpacing/>
        <w:outlineLvl w:val="3"/>
        <w:rPr>
          <w:bCs/>
        </w:rPr>
      </w:pPr>
      <w:bookmarkStart w:id="821" w:name="_Toc27564"/>
      <w:bookmarkStart w:id="822" w:name="_Toc95"/>
      <w:r>
        <w:rPr>
          <w:b/>
          <w:bCs/>
        </w:rPr>
        <w:t>6.2.5.2节水措施</w:t>
      </w:r>
      <w:bookmarkEnd w:id="821"/>
      <w:bookmarkEnd w:id="822"/>
    </w:p>
    <w:p>
      <w:pPr>
        <w:ind w:firstLine="480"/>
        <w:contextualSpacing/>
      </w:pPr>
      <w:r>
        <w:t>（1）城镇节水</w:t>
      </w:r>
    </w:p>
    <w:p>
      <w:pPr>
        <w:ind w:firstLine="480"/>
        <w:contextualSpacing/>
      </w:pPr>
      <w:r>
        <w:t>在城镇居民和企业中宣传节约用水意识，提高人们对节约使用水资源的重视程度，普及节水器具，采用先进的节水工艺和设备，更新改造城市供水管网，以减少水资源在供水过程中损失。针对灌区的现状用水状况，建议还采取以下节水措施：</w:t>
      </w:r>
    </w:p>
    <w:p>
      <w:pPr>
        <w:ind w:firstLine="480"/>
        <w:contextualSpacing/>
      </w:pPr>
      <w:r>
        <w:t>1）加强法制建设，把节约用水纳入法制管理；制定城市节约用水发展计划和规划，并纳入国民经济社会发展计划和规划；</w:t>
      </w:r>
    </w:p>
    <w:p>
      <w:pPr>
        <w:ind w:firstLine="480"/>
        <w:contextualSpacing/>
      </w:pPr>
      <w:r>
        <w:t>2）应大力宣传、依法实施节约用水和科学用水，研究和引进先进的节水技术，提高全民的节水意识，并从法规和政策上鼓励和支持节约用水；</w:t>
      </w:r>
    </w:p>
    <w:p>
      <w:pPr>
        <w:ind w:firstLine="480"/>
        <w:contextualSpacing/>
      </w:pPr>
      <w:r>
        <w:t>3）制定回用水（包括工业、建筑、园林市政、农业灌溉等）的水质标准，开发利用好高效低耗污水再生技术、工艺和设备；</w:t>
      </w:r>
    </w:p>
    <w:p>
      <w:pPr>
        <w:ind w:firstLine="480"/>
        <w:contextualSpacing/>
      </w:pPr>
      <w:r>
        <w:t>4）合理调整产业结构，推行节水型工艺技术；</w:t>
      </w:r>
    </w:p>
    <w:p>
      <w:pPr>
        <w:ind w:firstLine="480"/>
        <w:contextualSpacing/>
      </w:pPr>
      <w:r>
        <w:t>5）工业用水要制定不同类型行业、各种工业产品的单位用水定额，从水价方面采取一些行之有效的措施，促使工业企业从自身经济效益出发，提高工业用水重复利用率，</w:t>
      </w:r>
      <w:r>
        <w:rPr>
          <w:rFonts w:hint="eastAsia"/>
          <w:lang w:eastAsia="zh-CN"/>
        </w:rPr>
        <w:t>厉行节约</w:t>
      </w:r>
      <w:bookmarkStart w:id="1047" w:name="_GoBack"/>
      <w:bookmarkEnd w:id="1047"/>
      <w:r>
        <w:t>用水；</w:t>
      </w:r>
    </w:p>
    <w:p>
      <w:pPr>
        <w:ind w:firstLine="480"/>
        <w:contextualSpacing/>
      </w:pPr>
      <w:r>
        <w:t>6）生活用水水价要实行阶梯价格制度，以经济手段促进节约用水，推广和普及节水便器、淋浴器等节水设施；</w:t>
      </w:r>
    </w:p>
    <w:p>
      <w:pPr>
        <w:ind w:firstLine="480"/>
        <w:contextualSpacing/>
      </w:pPr>
      <w:r>
        <w:t>7）结合城市建设完善供水管网，减少跑、冒、滴、漏现象。</w:t>
      </w:r>
    </w:p>
    <w:p>
      <w:pPr>
        <w:ind w:firstLine="480"/>
        <w:contextualSpacing/>
      </w:pPr>
      <w:r>
        <w:t>（2）农村节水</w:t>
      </w:r>
    </w:p>
    <w:p>
      <w:pPr>
        <w:ind w:firstLine="480"/>
        <w:contextualSpacing/>
      </w:pPr>
      <w:r>
        <w:t>为实现水利现代化，开展灌区节水工作是十分必要，为此本灌区将全面开展节水型农业建设。</w:t>
      </w:r>
    </w:p>
    <w:p>
      <w:pPr>
        <w:ind w:firstLine="480"/>
        <w:contextualSpacing/>
      </w:pPr>
      <w:r>
        <w:t>1）渠道节水</w:t>
      </w:r>
    </w:p>
    <w:p>
      <w:pPr>
        <w:ind w:firstLine="480"/>
        <w:contextualSpacing/>
      </w:pPr>
      <w:r>
        <w:t>灌区渠系设计时拟采用工程措施对干、支渠采用砼护坡、护底，支渠以下采用“U”型渠槽、砼低压管道等先进输水工程。</w:t>
      </w:r>
    </w:p>
    <w:p>
      <w:pPr>
        <w:ind w:firstLine="480"/>
        <w:contextualSpacing/>
      </w:pPr>
      <w:r>
        <w:t>2）灌溉节水</w:t>
      </w:r>
    </w:p>
    <w:p>
      <w:pPr>
        <w:ind w:firstLine="480"/>
        <w:contextualSpacing/>
      </w:pPr>
      <w:r>
        <w:t>灌溉节水从两方面考虑：一为优化耕作制度、调整种植结构，采取间种、套种、立体种植等先进的农耕农艺措施；一为推广先进的灌水技术，吸取其他类似灌区先进的灌水经验，如水稻前期采取免耕、免泡田、灌溉期采取“薄、浅、湿、晒”的优化灌溉方式，旱作物广泛推广喷灌、软管浇灌等节水灌溉技术。</w:t>
      </w:r>
    </w:p>
    <w:p>
      <w:pPr>
        <w:ind w:firstLine="480"/>
        <w:contextualSpacing/>
      </w:pPr>
      <w:r>
        <w:t>3）农耕农艺节水措施采用合理的农业技术，先进的引种、改制等种植方法，减少水分蒸发，增加土壤水分贮存，也可有效地控制灌区农业用水总量。如水育秧改旱育秧可节水60%～70%；合理轮作、套作；合理密植、深耕；引进优良耐旱品种；合理使用保水剂、复合包衣剂；采用</w:t>
      </w:r>
      <w:r>
        <w:rPr>
          <w:rFonts w:hint="eastAsia"/>
          <w:lang w:eastAsia="zh-CN"/>
        </w:rPr>
        <w:t>秸秆</w:t>
      </w:r>
      <w:r>
        <w:t>还田，地膜栽培等均可增加地表覆盖，起到蓄水保墒的作用，从而提高水的利用效率。</w:t>
      </w:r>
    </w:p>
    <w:p>
      <w:pPr>
        <w:ind w:firstLine="480"/>
        <w:contextualSpacing/>
      </w:pPr>
      <w:r>
        <w:t>4）用水管理</w:t>
      </w:r>
    </w:p>
    <w:p>
      <w:pPr>
        <w:ind w:firstLine="480"/>
        <w:contextualSpacing/>
      </w:pPr>
      <w:r>
        <w:t>科学管理是控制灌区农业用水总量的根本措施，加强工程管理，减少渠、闸漏水；加强田间管理，杜绝串灌、串排，减少灌水过程中的水量损失；推行计划用水、科学用水、合理进行水量调配。实行按方收费，超用加价等管理措施，也是控制灌区农业用水量的有效措施。建立灌区管理信息系统和灌区管理自动化系统是灌区实现科学的水利现代化管理的根本性措施，是灌区控制灌溉用水总量必要手段。</w:t>
      </w:r>
    </w:p>
    <w:p>
      <w:pPr>
        <w:pStyle w:val="4"/>
        <w:ind w:firstLine="0" w:firstLineChars="0"/>
        <w:contextualSpacing/>
      </w:pPr>
      <w:bookmarkStart w:id="823" w:name="_Toc130753447"/>
      <w:r>
        <w:t>6.3生态保护措施</w:t>
      </w:r>
      <w:bookmarkEnd w:id="823"/>
    </w:p>
    <w:p>
      <w:pPr>
        <w:pStyle w:val="5"/>
        <w:ind w:firstLine="0" w:firstLineChars="0"/>
        <w:contextualSpacing/>
        <w:rPr>
          <w:rFonts w:ascii="Times New Roman" w:hAnsi="Times New Roman"/>
        </w:rPr>
      </w:pPr>
      <w:r>
        <w:rPr>
          <w:rFonts w:ascii="Times New Roman" w:hAnsi="Times New Roman"/>
        </w:rPr>
        <w:t>6.3.1陆生生态保护措施</w:t>
      </w:r>
    </w:p>
    <w:p>
      <w:pPr>
        <w:pStyle w:val="6"/>
        <w:spacing w:before="0" w:after="0" w:line="360" w:lineRule="auto"/>
        <w:ind w:firstLine="0" w:firstLineChars="0"/>
        <w:contextualSpacing/>
        <w:rPr>
          <w:rFonts w:ascii="Times New Roman" w:hAnsi="Times New Roman"/>
          <w:sz w:val="24"/>
          <w:szCs w:val="24"/>
        </w:rPr>
      </w:pPr>
      <w:r>
        <w:rPr>
          <w:rFonts w:ascii="Times New Roman" w:hAnsi="Times New Roman"/>
          <w:sz w:val="24"/>
          <w:szCs w:val="24"/>
        </w:rPr>
        <w:t>6.3.1.1 生态避让措施</w:t>
      </w:r>
    </w:p>
    <w:p>
      <w:pPr>
        <w:ind w:firstLine="480"/>
        <w:contextualSpacing/>
      </w:pPr>
      <w:r>
        <w:t>（1）陆生植物避让措施。</w:t>
      </w:r>
      <w:r>
        <w:rPr>
          <w:rFonts w:hint="eastAsia"/>
        </w:rPr>
        <w:t>加强施工环境管理，严格控制施工范围，设置生态环境保护警示牌，确保</w:t>
      </w:r>
      <w:r>
        <w:t>施工活动在征地范围内进行。施工便道和临时用地要采取“永临结合”的方式，尽量缩小范围，减少对林地和农田的占用。</w:t>
      </w:r>
    </w:p>
    <w:p>
      <w:pPr>
        <w:ind w:firstLine="480"/>
        <w:contextualSpacing/>
      </w:pPr>
      <w:r>
        <w:t>（2） 陆生动物避让措施。施工活动保证在征地范围内进行，尽量减少对陆生脊椎动物及其栖息地的破坏，施工中尽量避免破坏野生动物集中的洞穴、窝巢等，对工程建设区域内的各类生物群落予以保护。</w:t>
      </w:r>
      <w:r>
        <w:rPr>
          <w:rFonts w:hint="eastAsia"/>
        </w:rPr>
        <w:t>优化施工方案，控制爆破时间，</w:t>
      </w:r>
      <w:r>
        <w:t>防止爆破噪声对野生动物的惊扰。尽量根据动物是生物节律安排施工时间和施工方式。</w:t>
      </w:r>
    </w:p>
    <w:p>
      <w:pPr>
        <w:ind w:firstLine="480"/>
        <w:contextualSpacing/>
      </w:pPr>
      <w:r>
        <w:t>（3）结合灌区农业生态环境建设，积极开展植保知识的普及教育，健全植保队伍，建立病虫害防治和报告制度，发现问题及时解决。广泛采用各种农业防治和生物防治措施，进一步贯彻预防为主，综合防治和植保工作方针，控制灌区农药、化肥的施用量，提倡科学用药及适时用药，减少农药使用量，加强农药使用的有效管理，防止各类污染事故发生，使灌区农业生态环境将得到保护和改善。</w:t>
      </w:r>
    </w:p>
    <w:p>
      <w:pPr>
        <w:ind w:firstLine="480"/>
        <w:contextualSpacing/>
      </w:pPr>
      <w:r>
        <w:t>（4）</w:t>
      </w:r>
      <w:r>
        <w:rPr>
          <w:rFonts w:hint="eastAsia"/>
        </w:rPr>
        <w:t>加强施工人员的环境教育，</w:t>
      </w:r>
      <w:r>
        <w:t>对施工及管理人员普及生态保护知识，提高生态保护意识，并学习和掌握区域内可能分布的珍稀物种的鉴别方法，以便在施工中能自觉保护生态环境和珍稀物种。</w:t>
      </w:r>
      <w:r>
        <w:rPr>
          <w:rFonts w:hint="eastAsia"/>
        </w:rPr>
        <w:t>严禁施工人员随意砍伐工程区及附近的树木、捕猎野生动物。</w:t>
      </w:r>
    </w:p>
    <w:p>
      <w:pPr>
        <w:ind w:firstLine="480"/>
        <w:contextualSpacing/>
      </w:pPr>
      <w:r>
        <w:t>（5）在施工动土中，对表土要加以剥离、单独存放，用于受损区域的回填覆盖，植树种草。</w:t>
      </w:r>
    </w:p>
    <w:p>
      <w:pPr>
        <w:ind w:firstLine="480"/>
        <w:contextualSpacing/>
      </w:pPr>
      <w:r>
        <w:t>（6）由于项目区地处暴雨区，夏季多暴雨，春冬易旱，因此施工中凡是土石方开采量大的项目应避开暴雨，减少暴雨冲刷，减轻水土流失。</w:t>
      </w:r>
    </w:p>
    <w:p>
      <w:pPr>
        <w:pStyle w:val="6"/>
        <w:spacing w:before="0" w:after="0" w:line="360" w:lineRule="auto"/>
        <w:ind w:firstLine="0" w:firstLineChars="0"/>
        <w:contextualSpacing/>
        <w:rPr>
          <w:rFonts w:ascii="Times New Roman" w:hAnsi="Times New Roman"/>
          <w:sz w:val="24"/>
          <w:szCs w:val="24"/>
        </w:rPr>
      </w:pPr>
      <w:r>
        <w:rPr>
          <w:rFonts w:ascii="Times New Roman" w:hAnsi="Times New Roman"/>
          <w:sz w:val="24"/>
          <w:szCs w:val="24"/>
        </w:rPr>
        <w:t>6.3.1.2 影响减缓措施</w:t>
      </w:r>
    </w:p>
    <w:p>
      <w:pPr>
        <w:ind w:firstLine="480"/>
        <w:contextualSpacing/>
      </w:pPr>
      <w:r>
        <w:rPr>
          <w:rFonts w:hint="eastAsia"/>
          <w:bCs/>
        </w:rPr>
        <w:t>（</w:t>
      </w:r>
      <w:r>
        <w:rPr>
          <w:bCs/>
        </w:rPr>
        <w:t>1</w:t>
      </w:r>
      <w:r>
        <w:rPr>
          <w:rFonts w:hint="eastAsia"/>
          <w:bCs/>
        </w:rPr>
        <w:t>）针对陆生植物保护及管理措施</w:t>
      </w:r>
    </w:p>
    <w:p>
      <w:pPr>
        <w:ind w:firstLine="480"/>
        <w:contextualSpacing/>
      </w:pPr>
      <w:r>
        <w:t>在工程可研阶段优化调整了施工布置，减少工程占地扰动。弃渣场、临时道路充分利用了淹没区，最大程度减缓了对库区外植被的破坏。施工过程中，对物料堆放场应采取临时防风、防雨设施；对施工车辆应采取遮挡措施，尽量避免对周围农业土壤和灌溉水体的不利影响。临时用地在施工活动完成后，应尽快进行植被恢复。</w:t>
      </w:r>
    </w:p>
    <w:p>
      <w:pPr>
        <w:ind w:firstLine="480"/>
        <w:contextualSpacing/>
      </w:pPr>
      <w:r>
        <w:t>针对陆生动物保护及管理。工程建设过程中，将不可避免地对施工区的植被、动植物、景观和周围环境产生一定影响。有些影响是永久性的和不可逆的，如大坝建设的永久占地，有些影响是暂时性的，如施工临时占地。后者可通过采取自然或人工辅助措施的方法加以恢复与重建，前者可通过采取人工措施的方法改建或重建，使区域生态系统的结构和功能整体得到逐步改善。</w:t>
      </w:r>
    </w:p>
    <w:p>
      <w:pPr>
        <w:ind w:firstLine="480"/>
        <w:contextualSpacing/>
        <w:rPr>
          <w:bCs/>
        </w:rPr>
      </w:pPr>
      <w:r>
        <w:rPr>
          <w:rFonts w:hint="eastAsia"/>
          <w:bCs/>
        </w:rPr>
        <w:t>（</w:t>
      </w:r>
      <w:r>
        <w:rPr>
          <w:bCs/>
        </w:rPr>
        <w:t>3</w:t>
      </w:r>
      <w:r>
        <w:rPr>
          <w:rFonts w:hint="eastAsia"/>
          <w:bCs/>
        </w:rPr>
        <w:t>）针对两栖爬行动物保护</w:t>
      </w:r>
    </w:p>
    <w:p>
      <w:pPr>
        <w:ind w:firstLine="480"/>
        <w:contextualSpacing/>
      </w:pPr>
      <w:r>
        <w:t>加强对现有植被的保护，同时，要大力宣传两栖爬行动物对农林卫生业的作用。蛙类、蜥蜴类和蛇类要吃掉大量农林卫生业上的害虫、害鼠，对人类有益。应克服任意捕杀两栖爬行动物的恶习；施工期和施工结束后，对工程废物进行快速处理，防止对环境造成污染；加强对施工人员的监管力度，防止他们对两栖和爬行动物的捕食；减少夜间施工。施工期应尽量减少夜间作业，特别是超强的流动噪声源（如大型载重卡车），突然轰鸣的间歇噪声源（如爆破）和连续的固定噪声源（如石料加工厂）等，以便人、两栖类和爬行类动物通过得到调节，逐步适应；选择爆破时间。工程施工过程中，爆破、拆除等操作过程将影响周边地区野生动物的活动。因此，施工中，公路和隧道爆破工程开工最好在4～10月间，避开的两栖类和爬行类动物的冬眠期，以减轻因爆破造成对动物的危害。建议相对集中爆破时间，采用小剂量多点延时爆破方式，减少振动影响；最后，必须确保运行期下泄足够的生态流量，以保证减水河段的水量充足，保护生存在这个区域的两栖动物的栖息环境。</w:t>
      </w:r>
    </w:p>
    <w:p>
      <w:pPr>
        <w:ind w:firstLine="480"/>
        <w:contextualSpacing/>
        <w:rPr>
          <w:bCs/>
        </w:rPr>
      </w:pPr>
      <w:r>
        <w:rPr>
          <w:rFonts w:hint="eastAsia"/>
          <w:bCs/>
        </w:rPr>
        <w:t>（</w:t>
      </w:r>
      <w:r>
        <w:rPr>
          <w:bCs/>
        </w:rPr>
        <w:t>3</w:t>
      </w:r>
      <w:r>
        <w:rPr>
          <w:rFonts w:hint="eastAsia"/>
          <w:bCs/>
        </w:rPr>
        <w:t>）针对鸟类保护措施</w:t>
      </w:r>
    </w:p>
    <w:p>
      <w:pPr>
        <w:ind w:firstLine="480"/>
        <w:contextualSpacing/>
      </w:pPr>
      <w:r>
        <w:t>由于鸟类有较强扩散能力，工程施工期受到惊扰将使它们迁移到别处，相反水鸟数量会在运行期库区和灌区均有所增加。为保护当地鸟类生物多样性，减少施工对植被的破坏以及施工后植被的恢复；增强人们对鸟类的保护意识；保护水禽及其它鸟类资源。寒溪寺水库建成后形成较大水面，将逐步使该地区的水禽资源得到较大增长，应采取有效措施，保护利用这一资源；加强植树造林，保持水土，促进库周森林的发展，使鸟类的种群数量得到较大的增长，同时还可采取措施，保护、招引有益鸟类。</w:t>
      </w:r>
    </w:p>
    <w:p>
      <w:pPr>
        <w:ind w:firstLine="480"/>
        <w:contextualSpacing/>
        <w:rPr>
          <w:bCs/>
        </w:rPr>
      </w:pPr>
      <w:r>
        <w:rPr>
          <w:rFonts w:hint="eastAsia"/>
          <w:bCs/>
        </w:rPr>
        <w:t>（</w:t>
      </w:r>
      <w:r>
        <w:rPr>
          <w:bCs/>
        </w:rPr>
        <w:t>4</w:t>
      </w:r>
      <w:r>
        <w:rPr>
          <w:rFonts w:hint="eastAsia"/>
          <w:bCs/>
        </w:rPr>
        <w:t>）针对兽类保护措施</w:t>
      </w:r>
    </w:p>
    <w:p>
      <w:pPr>
        <w:ind w:firstLine="480"/>
        <w:contextualSpacing/>
      </w:pPr>
      <w:r>
        <w:t>由于工程区及周边环境绝大部分兽类都是小型动物，且均为广布种和常见种，分布范围广，因此工程不会对它们造成太大的影响。兽类等动物的栖息环境和分布规律与植被类型密切相关，因此施工期间对植被的破坏，待施工结束后，应及时采取措施，种植树木，使植被尽快恢复，力争在最短的时间内清除施工痕迹，对土层较薄的陡坡和弃土石渣堆积场所，将一时难以恢复林木，可先草后木，即先培育草灌植被，把地面覆盖起来，待土壤改善后，让乔木自然侵入或人工栽种。对工程废物和施工人员的生活垃圾进行快速处理，尽量避免废物为鼠类等疫源性兽类提供生活环境，同时也可减少工程对动物栖息地的破坏。加强施工人员环境和自然保护教育，杜绝一切不利于兽类生存繁衍的活动，特别是偷猎和破坏动物生境的活动。</w:t>
      </w:r>
    </w:p>
    <w:p>
      <w:pPr>
        <w:ind w:firstLine="480"/>
        <w:contextualSpacing/>
        <w:rPr>
          <w:bCs/>
        </w:rPr>
      </w:pPr>
      <w:r>
        <w:rPr>
          <w:rFonts w:hint="eastAsia"/>
          <w:bCs/>
        </w:rPr>
        <w:t>（</w:t>
      </w:r>
      <w:r>
        <w:rPr>
          <w:bCs/>
        </w:rPr>
        <w:t>5</w:t>
      </w:r>
      <w:r>
        <w:rPr>
          <w:rFonts w:hint="eastAsia"/>
          <w:bCs/>
        </w:rPr>
        <w:t>）针对珍稀保护动物保护措施</w:t>
      </w:r>
    </w:p>
    <w:p>
      <w:pPr>
        <w:ind w:firstLine="480"/>
        <w:contextualSpacing/>
      </w:pPr>
      <w:r>
        <w:t>对保护动物来说，施工期的工程占地、施工机械噪声、人员活动均会对其造成惊扰，使其远离，影响不可避免；运行期影响很小，对水鸟还有利。对于小鸊鹈，与水库和灌区沿线的水田均有一定的关系，且相对容易发现小的种群；鹰鹃在夏季在该区域可能进行繁殖，叫声响亮，容易发现。因此，对它们的保护措施是严禁捕捉，严禁掏鸟窝、拣鸟蛋、捉幼鸟的行为。</w:t>
      </w:r>
    </w:p>
    <w:p>
      <w:pPr>
        <w:ind w:firstLine="480"/>
        <w:contextualSpacing/>
        <w:rPr>
          <w:bCs/>
        </w:rPr>
      </w:pPr>
      <w:r>
        <w:rPr>
          <w:rFonts w:hint="eastAsia"/>
          <w:bCs/>
        </w:rPr>
        <w:t>（</w:t>
      </w:r>
      <w:r>
        <w:rPr>
          <w:bCs/>
        </w:rPr>
        <w:t>6</w:t>
      </w:r>
      <w:r>
        <w:rPr>
          <w:rFonts w:hint="eastAsia"/>
          <w:bCs/>
        </w:rPr>
        <w:t>）针对外来入侵植物防范措施</w:t>
      </w:r>
    </w:p>
    <w:p>
      <w:pPr>
        <w:ind w:firstLine="480"/>
        <w:contextualSpacing/>
      </w:pPr>
      <w:r>
        <w:rPr>
          <w:rFonts w:hint="eastAsia"/>
          <w:bCs/>
        </w:rPr>
        <w:t>针对新增灌区和改善灌区，</w:t>
      </w:r>
      <w:r>
        <w:t>目前防止外来物种入侵的方法主要有植物检疫、人工方法防治、化学方法防治、生物防治等。结合工程特点，要求加大宣传力度，对外来物种的危害以及传播途径向施工人员进行宣传；对现有的外来种，利用工程施工的机会，对有种子的植物要现场烧毁，以防种子扩散，在临时占地的地方要及时绿化等。在施工占地区或裸地绿化应采取相应的防范措施，在选择绿化树种和水土保持植物中不使用外来入侵植物，尽可能使用乡土树种。运行期，建设单位应配专人严格监视水库的水面，当水面出现外来入侵植物，一经发现应及时组织人工进行打捞或拔除。对入侵发生可能性较大的地区, 还必须加强入侵的监控力度, 如通往自然区域的公 、小径和河岸走廊都是入侵的早期发生地等.监控的频度是依据地理位置和当地的生态系统的类型来决定的。木本和多年生草本生长通常都比较缓慢，因此对它们的监控可以定为一年一次甚至更少.而一年生草本的监控为一年两次，分别为春季和晚夏———时值前一年的引入种发芽和本年的引入种发芽时间加强检疫,对可能导致入侵的物品严格取缔。</w:t>
      </w:r>
    </w:p>
    <w:p>
      <w:pPr>
        <w:ind w:firstLine="480"/>
        <w:contextualSpacing/>
        <w:rPr>
          <w:bCs/>
        </w:rPr>
      </w:pPr>
      <w:r>
        <w:rPr>
          <w:bCs/>
        </w:rPr>
        <w:t>（</w:t>
      </w:r>
      <w:r>
        <w:rPr>
          <w:rFonts w:hint="eastAsia"/>
          <w:bCs/>
        </w:rPr>
        <w:t>7</w:t>
      </w:r>
      <w:r>
        <w:rPr>
          <w:bCs/>
        </w:rPr>
        <w:t>）</w:t>
      </w:r>
      <w:r>
        <w:rPr>
          <w:rFonts w:hint="eastAsia"/>
          <w:bCs/>
        </w:rPr>
        <w:t>针对景观生态体系保护措施</w:t>
      </w:r>
    </w:p>
    <w:p>
      <w:pPr>
        <w:ind w:firstLine="480"/>
        <w:contextualSpacing/>
      </w:pPr>
      <w:r>
        <w:t>景观体系是一个紧密联系的动态体系。寒溪寺水库工程的建设，将造成景观类型在面积、斑块数方面发生微小变化，总体而言景观的破碎度升高。应对景观体系采取针对性的保护和恢复措施，减轻工程带来的占地、开挖、动土、填埋等影响。在工程施工期间及施工结束后，应从斑块、廊道、基质几个方面做好保护与恢复工作：</w:t>
      </w:r>
    </w:p>
    <w:p>
      <w:pPr>
        <w:ind w:firstLine="480"/>
        <w:contextualSpacing/>
      </w:pPr>
      <w:r>
        <w:t>1）斑块。从斑块的角度来看，水库项目实施后施工占地区景观斑块类型及面积组成改变，斑块破碎化程度略有上升。斑块保护与恢复工作重点如下：</w:t>
      </w:r>
      <w:r>
        <w:rPr>
          <w:rFonts w:hint="eastAsia" w:ascii="宋体" w:hAnsi="宋体" w:cs="宋体"/>
        </w:rPr>
        <w:t>①</w:t>
      </w:r>
      <w:r>
        <w:t>对除永久占地以外的所有施工迹地按原有植被类型进行恢复，以减少斑块类型改变和转化的面积；</w:t>
      </w:r>
      <w:r>
        <w:rPr>
          <w:rFonts w:hint="eastAsia" w:ascii="宋体" w:hAnsi="宋体" w:cs="宋体"/>
        </w:rPr>
        <w:t>②</w:t>
      </w:r>
      <w:r>
        <w:t>对施工废弃物进行全面清理，避免留下难以降解的物质；</w:t>
      </w:r>
      <w:r>
        <w:rPr>
          <w:rFonts w:hint="eastAsia" w:ascii="宋体" w:hAnsi="宋体" w:cs="宋体"/>
        </w:rPr>
        <w:t>③</w:t>
      </w:r>
      <w:r>
        <w:t>对施工迹地、临时料场等进行平整和植被恢复，以利于被分割破碎化的斑块能够重新合并，降低项目施工导致的斑块破碎度升高。</w:t>
      </w:r>
    </w:p>
    <w:p>
      <w:pPr>
        <w:ind w:firstLine="480"/>
        <w:contextualSpacing/>
      </w:pPr>
      <w:r>
        <w:t>2）廊道。评价区内的廊道主要为河流与公路，区内现存河道本身就较为宽阔，水流充沛，水库的建设及蓄水将使河流面积会有一定程度增大，但其阻断河流两岸的物质和能量交流、为水生动植物提供能量物质传输通道的功能并不会发生变化。对于河流廊道的保护措施主要有：减少区内沿河岸的施工活动，尽量保存河流沿岸的天然植被，从而减少水土流失，降低对其他生物栖息地的影响；坚决杜绝施工的工业废水直接向河流排放。项目建设完成后评价区的公路用地面积将有所增加，公路质量、通行效率和车流量都大大提升，公路对其他景观斑块的阻隔作用有所增强。对于公路廊道的保护应做好如下措施：合理设立交通警示牌，提醒在谨慎行车，提示急弯、谨慎驾驶、动物通道、禁止停留、爱护环境等多种信息；提示过往车辆安全行车，降低行车事故，保证区域生态安全；由于本项目沿途民居连续分布，禁止在公路沿线随意鸣笛，禁止丢弃废物；提示司机及早发现并避让穿越公路的野生动物等内容。</w:t>
      </w:r>
    </w:p>
    <w:p>
      <w:pPr>
        <w:ind w:firstLine="480"/>
        <w:contextualSpacing/>
      </w:pPr>
      <w:r>
        <w:t>3）基质。寒溪寺水库工程建设结束后，将新增永久占地和临时占地，而工程占地对整个评价区生态系统面积的改动程度很小，由于耕地、森林等在评价区内景观中的优势度值远大于其他类型，所以工程结束后景观基质仍然是耕地而没有变化。项目施工应严格划定最小施工范围及占地红线范围，减小植被和动物栖息地受影响范围，从而减缓项目建设和运行对景观基质的不利影响。同时，工程结束后应及时开展复垦及移民安置、恢复农业用地面积。</w:t>
      </w:r>
    </w:p>
    <w:p>
      <w:pPr>
        <w:pStyle w:val="6"/>
        <w:spacing w:before="0" w:after="0" w:line="360" w:lineRule="auto"/>
        <w:ind w:firstLine="0" w:firstLineChars="0"/>
        <w:contextualSpacing/>
        <w:rPr>
          <w:rFonts w:ascii="Times New Roman" w:hAnsi="Times New Roman"/>
          <w:sz w:val="24"/>
          <w:szCs w:val="24"/>
        </w:rPr>
      </w:pPr>
      <w:r>
        <w:rPr>
          <w:rFonts w:ascii="Times New Roman" w:hAnsi="Times New Roman"/>
          <w:sz w:val="24"/>
          <w:szCs w:val="24"/>
        </w:rPr>
        <w:t>6.3.1.3 植被恢复与补偿措施</w:t>
      </w:r>
    </w:p>
    <w:p>
      <w:pPr>
        <w:pStyle w:val="74"/>
        <w:ind w:firstLine="480"/>
        <w:contextualSpacing/>
        <w:rPr>
          <w:rFonts w:ascii="Times New Roman" w:hAnsi="Times New Roman" w:cs="Times New Roman"/>
        </w:rPr>
      </w:pPr>
      <w:r>
        <w:rPr>
          <w:rFonts w:ascii="Times New Roman" w:hAnsi="Times New Roman" w:cs="Times New Roman"/>
        </w:rPr>
        <w:t>陆生植被修复措施应遵循保护原有生态系统的原则，保护生物多样性，保护耕地资源。弃渣场生态修复，可选用碎石覆盖土壤表面，再用保水剂处理土壤，使其含水力增大；利用植孔营养法、生态袋等方法修复边坡。同时需要做好生态恢复初期的养护管理。同时根据水土保持方案，从水土流失防治分区与措施总体布局等方面做好水土流失防治工作。根据施工布置总体方案，寒溪寺水库临时用地区域包括渣场、施工公路等。</w:t>
      </w:r>
    </w:p>
    <w:p>
      <w:pPr>
        <w:pStyle w:val="65"/>
        <w:spacing w:line="360" w:lineRule="auto"/>
        <w:ind w:firstLine="480"/>
        <w:contextualSpacing/>
      </w:pPr>
      <w:r>
        <w:t>（1）表土剥离及堆放</w:t>
      </w:r>
    </w:p>
    <w:p>
      <w:pPr>
        <w:pStyle w:val="65"/>
        <w:spacing w:line="360" w:lineRule="auto"/>
        <w:ind w:firstLine="480"/>
        <w:contextualSpacing/>
      </w:pPr>
      <w:r>
        <w:t>临时用地区表土肥沃的腐殖质土壤是土地复垦成功与否的关键。建设单位用地前，必须首先将表土尽可能剥离，剥离厚度根据用地区土质条件和土层厚度确定，就近择址堆放；表土堆放场应选择地势较平缓、位置略高、排水通畅便利的场地；表土一般采用梯形双面破堆放，表面应采用草帘垫进行覆盖保护，表土外坡脚1～1.5m处布设截水沟，防止水土流失和剥离的表土混入其他岩石，表土剥离厚度耕地按平均厚度0.6m计。</w:t>
      </w:r>
    </w:p>
    <w:p>
      <w:pPr>
        <w:pStyle w:val="65"/>
        <w:spacing w:line="360" w:lineRule="auto"/>
        <w:ind w:firstLine="480"/>
        <w:contextualSpacing/>
      </w:pPr>
      <w:r>
        <w:t>（2）土地整理</w:t>
      </w:r>
    </w:p>
    <w:p>
      <w:pPr>
        <w:pStyle w:val="65"/>
        <w:spacing w:line="360" w:lineRule="auto"/>
        <w:ind w:firstLine="480"/>
        <w:contextualSpacing/>
      </w:pPr>
      <w:r>
        <w:t>根据临时用地时限和对原地貌破坏类型和程度不同，土地整理的内容和要求亦各不相同，分施工道路、渣场和管道3大类对土地整理要求如下：</w:t>
      </w:r>
    </w:p>
    <w:p>
      <w:pPr>
        <w:pStyle w:val="65"/>
        <w:spacing w:line="360" w:lineRule="auto"/>
        <w:ind w:firstLine="480"/>
        <w:contextualSpacing/>
      </w:pPr>
      <w:r>
        <w:t>1）施工道路</w:t>
      </w:r>
    </w:p>
    <w:p>
      <w:pPr>
        <w:pStyle w:val="65"/>
        <w:spacing w:line="360" w:lineRule="auto"/>
        <w:ind w:firstLine="480"/>
        <w:contextualSpacing/>
      </w:pPr>
      <w:r>
        <w:t>施工道路临时用地，对土地的破坏类型相似，均为压占破坏、破坏程度均为中等，土地复垦措施基本相似。</w:t>
      </w:r>
    </w:p>
    <w:p>
      <w:pPr>
        <w:pStyle w:val="65"/>
        <w:spacing w:line="360" w:lineRule="auto"/>
        <w:ind w:firstLine="480"/>
        <w:contextualSpacing/>
      </w:pPr>
      <w:r>
        <w:fldChar w:fldCharType="begin"/>
      </w:r>
      <w:r>
        <w:instrText xml:space="preserve"> = 1 \* GB3 </w:instrText>
      </w:r>
      <w:r>
        <w:fldChar w:fldCharType="separate"/>
      </w:r>
      <w:r>
        <w:rPr>
          <w:rFonts w:hint="eastAsia" w:ascii="宋体" w:hAnsi="宋体" w:cs="宋体"/>
        </w:rPr>
        <w:t>①</w:t>
      </w:r>
      <w:r>
        <w:fldChar w:fldCharType="end"/>
      </w:r>
      <w:r>
        <w:t>迹地清理</w:t>
      </w:r>
    </w:p>
    <w:p>
      <w:pPr>
        <w:pStyle w:val="65"/>
        <w:spacing w:line="360" w:lineRule="auto"/>
        <w:ind w:firstLine="480"/>
        <w:contextualSpacing/>
      </w:pPr>
      <w:r>
        <w:t>在主体工程完工后，由施工单位将地表以上构筑物全部清除，能用的砂石、砖块、木料尽可能二次利用，不能处理的垃圾及其它废物采用深度填埋进行处理，多余弃渣转运至弃渣场堆放，迹地清理由施工单位负责组织实施，其投资不纳入临时用地复垦规划。</w:t>
      </w:r>
    </w:p>
    <w:p>
      <w:pPr>
        <w:pStyle w:val="65"/>
        <w:spacing w:line="360" w:lineRule="auto"/>
        <w:ind w:firstLine="480"/>
        <w:contextualSpacing/>
      </w:pPr>
      <w:r>
        <w:rPr>
          <w:rFonts w:hint="eastAsia" w:ascii="宋体" w:hAnsi="宋体" w:cs="宋体"/>
        </w:rPr>
        <w:t>②</w:t>
      </w:r>
      <w:r>
        <w:t>土地翻松</w:t>
      </w:r>
    </w:p>
    <w:p>
      <w:pPr>
        <w:pStyle w:val="65"/>
        <w:spacing w:line="360" w:lineRule="auto"/>
        <w:ind w:firstLine="480"/>
        <w:contextualSpacing/>
      </w:pPr>
      <w:r>
        <w:t>由于施工人员、机具和车辆等碾压，施工场地板结，密实度较大，在迹地清理后，对占地范围进行深翻，根据当地土层厚度，翻松深度为50cm，以达到农耕要求。</w:t>
      </w:r>
    </w:p>
    <w:p>
      <w:pPr>
        <w:pStyle w:val="65"/>
        <w:spacing w:line="360" w:lineRule="auto"/>
        <w:ind w:firstLine="480"/>
        <w:contextualSpacing/>
      </w:pPr>
      <w:r>
        <w:rPr>
          <w:rFonts w:hint="eastAsia" w:ascii="宋体" w:hAnsi="宋体" w:cs="宋体"/>
        </w:rPr>
        <w:t>③</w:t>
      </w:r>
      <w:r>
        <w:t>表土回铺</w:t>
      </w:r>
    </w:p>
    <w:p>
      <w:pPr>
        <w:pStyle w:val="65"/>
        <w:spacing w:line="360" w:lineRule="auto"/>
        <w:ind w:firstLine="480"/>
        <w:contextualSpacing/>
      </w:pPr>
      <w:r>
        <w:t>由于施工碾压，短期内旱地很难恢复到原地表土地生产力，一方面是由于碾压后土壤团粒结构差，持水、保肥能力减弱，二是工区内部分砂卵石不能全部清除，使土壤中粗颗粒物质增加。因此在迹地翻松后，在其上覆盖50cm厚表土。</w:t>
      </w:r>
    </w:p>
    <w:p>
      <w:pPr>
        <w:pStyle w:val="65"/>
        <w:spacing w:line="360" w:lineRule="auto"/>
        <w:ind w:firstLine="480"/>
        <w:contextualSpacing/>
      </w:pPr>
      <w:r>
        <w:t>2）渣场</w:t>
      </w:r>
    </w:p>
    <w:p>
      <w:pPr>
        <w:pStyle w:val="65"/>
        <w:spacing w:line="360" w:lineRule="auto"/>
        <w:ind w:firstLine="480"/>
        <w:contextualSpacing/>
      </w:pPr>
      <w:r>
        <w:t>渣场复垦技术要求如下：</w:t>
      </w:r>
    </w:p>
    <w:p>
      <w:pPr>
        <w:pStyle w:val="65"/>
        <w:spacing w:line="360" w:lineRule="auto"/>
        <w:ind w:firstLine="480"/>
        <w:contextualSpacing/>
      </w:pPr>
      <w:r>
        <w:fldChar w:fldCharType="begin"/>
      </w:r>
      <w:r>
        <w:instrText xml:space="preserve"> = 1 \* GB3 </w:instrText>
      </w:r>
      <w:r>
        <w:fldChar w:fldCharType="separate"/>
      </w:r>
      <w:r>
        <w:rPr>
          <w:rFonts w:hint="eastAsia" w:ascii="宋体" w:hAnsi="宋体" w:cs="宋体"/>
        </w:rPr>
        <w:t>①</w:t>
      </w:r>
      <w:r>
        <w:fldChar w:fldCharType="end"/>
      </w:r>
      <w:r>
        <w:t>渣体压实</w:t>
      </w:r>
    </w:p>
    <w:p>
      <w:pPr>
        <w:pStyle w:val="65"/>
        <w:spacing w:line="360" w:lineRule="auto"/>
        <w:ind w:firstLine="480"/>
        <w:contextualSpacing/>
      </w:pPr>
      <w:r>
        <w:t>由于渣场弃渣质地松散，持水能力差，在渣体堆放完毕后应对渣体表层压实。</w:t>
      </w:r>
    </w:p>
    <w:p>
      <w:pPr>
        <w:pStyle w:val="65"/>
        <w:spacing w:line="360" w:lineRule="auto"/>
        <w:ind w:firstLine="480"/>
        <w:contextualSpacing/>
      </w:pPr>
      <w:r>
        <w:rPr>
          <w:rFonts w:hint="eastAsia" w:ascii="宋体" w:hAnsi="宋体" w:cs="宋体"/>
        </w:rPr>
        <w:t>②</w:t>
      </w:r>
      <w:r>
        <w:t>表土回铺</w:t>
      </w:r>
    </w:p>
    <w:p>
      <w:pPr>
        <w:pStyle w:val="65"/>
        <w:spacing w:line="360" w:lineRule="auto"/>
        <w:ind w:firstLine="480"/>
        <w:contextualSpacing/>
      </w:pPr>
      <w:r>
        <w:t>在渣体表层压实后，在其上覆盖50cm厚复垦土。复垦土分为3层结构：底土层（厚10cm）、心土层（厚10cm）、表土层（厚30cm）。</w:t>
      </w:r>
    </w:p>
    <w:p>
      <w:pPr>
        <w:pStyle w:val="65"/>
        <w:spacing w:line="360" w:lineRule="auto"/>
        <w:ind w:firstLine="480"/>
        <w:contextualSpacing/>
      </w:pPr>
      <w:r>
        <w:t>3）管道临时占地</w:t>
      </w:r>
    </w:p>
    <w:p>
      <w:pPr>
        <w:pStyle w:val="65"/>
        <w:spacing w:line="360" w:lineRule="auto"/>
        <w:ind w:firstLine="480"/>
        <w:contextualSpacing/>
      </w:pPr>
      <w:r>
        <w:t>本工程管道临时占地主要是用于埋管开挖占地。建设单位用地前，必须首先将表土尽可能剥离，剥离厚度根据用地区土质条件和土层厚度确定，就近择址堆放；用地完毕后，首先利用机械对大块碎石进行清理，然后利用机械压实整平；然后利用粘土垫层回填，回填厚度50cm；然后将预先剥离的耕植物土回填，回填厚度50cm。</w:t>
      </w:r>
    </w:p>
    <w:p>
      <w:pPr>
        <w:pStyle w:val="65"/>
        <w:spacing w:line="360" w:lineRule="auto"/>
        <w:ind w:firstLine="480"/>
        <w:contextualSpacing/>
      </w:pPr>
      <w:r>
        <w:t>（3）田间工程规划</w:t>
      </w:r>
    </w:p>
    <w:p>
      <w:pPr>
        <w:pStyle w:val="65"/>
        <w:spacing w:line="360" w:lineRule="auto"/>
        <w:ind w:firstLine="480"/>
        <w:contextualSpacing/>
      </w:pPr>
      <w:r>
        <w:fldChar w:fldCharType="begin"/>
      </w:r>
      <w:r>
        <w:instrText xml:space="preserve"> = 1 \* GB3 </w:instrText>
      </w:r>
      <w:r>
        <w:fldChar w:fldCharType="separate"/>
      </w:r>
      <w:r>
        <w:rPr>
          <w:rFonts w:hint="eastAsia" w:ascii="宋体" w:hAnsi="宋体" w:cs="宋体"/>
        </w:rPr>
        <w:t>①</w:t>
      </w:r>
      <w:r>
        <w:fldChar w:fldCharType="end"/>
      </w:r>
      <w:r>
        <w:t>布设排水沟</w:t>
      </w:r>
    </w:p>
    <w:p>
      <w:pPr>
        <w:pStyle w:val="65"/>
        <w:spacing w:line="360" w:lineRule="auto"/>
        <w:ind w:firstLine="480"/>
        <w:contextualSpacing/>
      </w:pPr>
      <w:r>
        <w:t>按灌排两用的设计思路，在区域边界设置C15砼灌排水沟，水沟宽×深=40cm×40cm，壁厚0.10 m，灌排渠道布设按进水口接现有渠道。</w:t>
      </w:r>
    </w:p>
    <w:p>
      <w:pPr>
        <w:pStyle w:val="65"/>
        <w:spacing w:line="360" w:lineRule="auto"/>
        <w:ind w:firstLine="480"/>
        <w:contextualSpacing/>
      </w:pPr>
      <w:r>
        <w:rPr>
          <w:rFonts w:hint="eastAsia" w:ascii="宋体" w:hAnsi="宋体" w:cs="宋体"/>
        </w:rPr>
        <w:t>②</w:t>
      </w:r>
      <w:r>
        <w:t>田（地）埂</w:t>
      </w:r>
    </w:p>
    <w:p>
      <w:pPr>
        <w:pStyle w:val="65"/>
        <w:spacing w:line="360" w:lineRule="auto"/>
        <w:ind w:firstLine="480"/>
        <w:contextualSpacing/>
      </w:pPr>
      <w:r>
        <w:t>因临时占地较零星，分块面积较小，需因地制宜根据地块面积需要设置田（地）埂。田埂按每亩10.0m考虑，顶宽0.3m，高0.3m，两侧边坡1:1，用土夹石填筑。</w:t>
      </w:r>
    </w:p>
    <w:p>
      <w:pPr>
        <w:pStyle w:val="65"/>
        <w:spacing w:line="360" w:lineRule="auto"/>
        <w:ind w:firstLine="480"/>
        <w:contextualSpacing/>
      </w:pPr>
      <w:r>
        <w:t>（4）土壤改良、培肥措施</w:t>
      </w:r>
    </w:p>
    <w:p>
      <w:pPr>
        <w:pStyle w:val="65"/>
        <w:spacing w:line="360" w:lineRule="auto"/>
        <w:ind w:firstLine="480"/>
        <w:contextualSpacing/>
      </w:pPr>
      <w:r>
        <w:t>1）深耕翻土，增厚土层</w:t>
      </w:r>
    </w:p>
    <w:p>
      <w:pPr>
        <w:pStyle w:val="65"/>
        <w:spacing w:line="360" w:lineRule="auto"/>
        <w:ind w:firstLine="480"/>
        <w:contextualSpacing/>
      </w:pPr>
      <w:r>
        <w:t>耕作层过浅，不利于作物根系深扎伸展，蓄水融肥性能差，作物生长不良，产量低。结合本工程临时用地区土层特点，规划通过再深耕翻土，增厚土层，扩大农作物物根层体积，积蓄更多的水肥，加强土壤的物理、化学和生物作用，加速土壤熟化，增加土壤的有效养分，提高土壤肥力，促使农作物根系生长健壮，向土层纵深发展，增强其吸收养分的能力。</w:t>
      </w:r>
    </w:p>
    <w:p>
      <w:pPr>
        <w:pStyle w:val="65"/>
        <w:spacing w:line="360" w:lineRule="auto"/>
        <w:ind w:firstLine="480"/>
        <w:contextualSpacing/>
      </w:pPr>
      <w:r>
        <w:t>2）用地与养地结合</w:t>
      </w:r>
    </w:p>
    <w:p>
      <w:pPr>
        <w:pStyle w:val="65"/>
        <w:spacing w:line="360" w:lineRule="auto"/>
        <w:ind w:firstLine="480"/>
        <w:contextualSpacing/>
      </w:pPr>
      <w:r>
        <w:t>在规划种植结构时，既要充分用地，又要积极养地。通过搭配种植豆科植物、绿肥作物及中耕作物，掌握深耕与浅耕作物、高杆与矮秆作物、禾本科与豆科作物的生长的规律性，使其相辅相成，相互促进，充分利用空间和地力，增加产量，改良土壤，提高地力。此外，为提高生物改良效果，对各种作物的种植制度应该进行合理的规划，如轮作、间作、套作、混作等。</w:t>
      </w:r>
    </w:p>
    <w:p>
      <w:pPr>
        <w:pStyle w:val="65"/>
        <w:spacing w:line="360" w:lineRule="auto"/>
        <w:ind w:firstLine="480"/>
        <w:contextualSpacing/>
      </w:pPr>
      <w:r>
        <w:t>3）土地熟化补助</w:t>
      </w:r>
    </w:p>
    <w:p>
      <w:pPr>
        <w:pStyle w:val="65"/>
        <w:spacing w:line="360" w:lineRule="auto"/>
        <w:ind w:firstLine="480"/>
        <w:contextualSpacing/>
      </w:pPr>
      <w:r>
        <w:t>临时占地复耕后，考虑土壤熟化有一定的过程，熟化期按三年考虑，熟化期补助费分别按耕地年产值的1倍计。</w:t>
      </w:r>
    </w:p>
    <w:p>
      <w:pPr>
        <w:pStyle w:val="65"/>
        <w:spacing w:line="360" w:lineRule="auto"/>
        <w:ind w:firstLine="480"/>
        <w:contextualSpacing/>
      </w:pPr>
      <w:r>
        <w:t>（5）消落带生态修复</w:t>
      </w:r>
    </w:p>
    <w:p>
      <w:pPr>
        <w:ind w:firstLine="480"/>
        <w:contextualSpacing/>
      </w:pPr>
      <w:r>
        <w:t>寒溪寺水库在稳定运行后，水库会形成约</w:t>
      </w:r>
      <w:r>
        <w:rPr>
          <w:rFonts w:hint="eastAsia"/>
        </w:rPr>
        <w:t>26</w:t>
      </w:r>
      <w:r>
        <w:t>m“消落带”的变化。结合寒溪寺库盆大的特点，可在平缓和开阔的河段种植湿地植物或季节性播撒草籽，以保护消落带的生态质量。</w:t>
      </w:r>
    </w:p>
    <w:p>
      <w:pPr>
        <w:pStyle w:val="6"/>
        <w:spacing w:before="0" w:after="0" w:line="360" w:lineRule="auto"/>
        <w:ind w:firstLine="0" w:firstLineChars="0"/>
        <w:contextualSpacing/>
        <w:rPr>
          <w:rFonts w:ascii="Times New Roman" w:hAnsi="Times New Roman"/>
          <w:sz w:val="24"/>
          <w:szCs w:val="24"/>
        </w:rPr>
      </w:pPr>
      <w:r>
        <w:rPr>
          <w:rFonts w:ascii="Times New Roman" w:hAnsi="Times New Roman"/>
          <w:sz w:val="24"/>
          <w:szCs w:val="24"/>
        </w:rPr>
        <w:t>6.3.1.4库区消落带生态治理</w:t>
      </w:r>
    </w:p>
    <w:p>
      <w:pPr>
        <w:pStyle w:val="2"/>
        <w:kinsoku w:val="0"/>
        <w:overflowPunct w:val="0"/>
        <w:spacing w:before="0"/>
        <w:ind w:left="0" w:firstLine="476"/>
        <w:contextualSpacing/>
        <w:rPr>
          <w:rFonts w:ascii="Times New Roman" w:hAnsi="Times New Roman"/>
        </w:rPr>
      </w:pPr>
      <w:r>
        <w:rPr>
          <w:rFonts w:ascii="Times New Roman" w:hAnsi="Times New Roman"/>
          <w:spacing w:val="-2"/>
        </w:rPr>
        <w:t>寒溪寺水库落差较大，可开展消落带治理，长远看既起到水土</w:t>
      </w:r>
      <w:r>
        <w:rPr>
          <w:rFonts w:ascii="Times New Roman" w:hAnsi="Times New Roman"/>
        </w:rPr>
        <w:t>保持的作用，也起到绿化美化的作用。</w:t>
      </w:r>
    </w:p>
    <w:p>
      <w:pPr>
        <w:pStyle w:val="2"/>
        <w:kinsoku w:val="0"/>
        <w:overflowPunct w:val="0"/>
        <w:spacing w:before="0"/>
        <w:ind w:left="0" w:firstLine="476"/>
        <w:contextualSpacing/>
        <w:rPr>
          <w:rFonts w:ascii="Times New Roman" w:hAnsi="Times New Roman"/>
        </w:rPr>
      </w:pPr>
      <w:r>
        <w:rPr>
          <w:rFonts w:ascii="Times New Roman" w:hAnsi="Times New Roman"/>
          <w:spacing w:val="-2"/>
        </w:rPr>
        <w:t>（1）水库消落带景观保护和植被恢复水库消落带又称涨落带或涨落区，是指水库因季节性水位涨落而使周边淹没土地周期性地出露于水面的一个特殊的区域。水库消落带在库区水体与陆岸之间形成一个巨大 的环库生态隔离带，是一种特殊的水陆交错湿地生态系统。其水位的周期性涨落将导致 水土流失、植被破坏、地质灾害等危害，威胁到水库工程功能的正常发挥及库区生态系 统的可持续发展。水库消落带的景观保护，一般通过植被恢复来实现。水库消落带植被恢复后，在水生生态系统和陆生生态系统之间形成一个植被缓冲 带，主要起到护岸，过滤径流、吸收养分、改善水库水质、改善小气候、为水生生物提 供栖息地、能量及食物，美化库区环境的功能。目前，我国三峡库区消落带对消落带恢复重建技术，可作为借鉴。植</w:t>
      </w:r>
      <w:r>
        <w:rPr>
          <w:rFonts w:ascii="Times New Roman" w:hAnsi="Times New Roman"/>
          <w:spacing w:val="4"/>
        </w:rPr>
        <w:t>被重建和恢复的基本要求是通过适应性植被结构来恢复消落带生态系统的基本生态功</w:t>
      </w:r>
      <w:r>
        <w:rPr>
          <w:rFonts w:ascii="Times New Roman" w:hAnsi="Times New Roman"/>
          <w:spacing w:val="-2"/>
        </w:rPr>
        <w:t>能，组成上没有外来物种，在应对水位反复涨落周期、耐淹时间、水位变化频率、人为</w:t>
      </w:r>
      <w:r>
        <w:rPr>
          <w:rFonts w:ascii="Times New Roman" w:hAnsi="Times New Roman"/>
        </w:rPr>
        <w:t>干扰和外来物种入侵上要具有弹性</w:t>
      </w:r>
      <w:r>
        <w:rPr>
          <w:rFonts w:ascii="Times New Roman" w:hAnsi="Times New Roman"/>
          <w:spacing w:val="-27"/>
        </w:rPr>
        <w:t>。</w:t>
      </w:r>
      <w:r>
        <w:rPr>
          <w:rFonts w:ascii="Times New Roman" w:hAnsi="Times New Roman"/>
        </w:rPr>
        <w:t>就目前研究状况来看</w:t>
      </w:r>
      <w:r>
        <w:rPr>
          <w:rFonts w:ascii="Times New Roman" w:hAnsi="Times New Roman"/>
          <w:spacing w:val="-24"/>
        </w:rPr>
        <w:t>，</w:t>
      </w:r>
      <w:r>
        <w:rPr>
          <w:rFonts w:ascii="Times New Roman" w:hAnsi="Times New Roman"/>
        </w:rPr>
        <w:t>应用乡土物种选择适生性两 栖植物进行种植模式的配置，且要保证消落带的基本生态功能运行良好。</w:t>
      </w:r>
    </w:p>
    <w:p>
      <w:pPr>
        <w:pStyle w:val="2"/>
        <w:kinsoku w:val="0"/>
        <w:overflowPunct w:val="0"/>
        <w:spacing w:before="0"/>
        <w:ind w:left="0" w:firstLine="476"/>
        <w:contextualSpacing/>
        <w:rPr>
          <w:rFonts w:ascii="Times New Roman" w:hAnsi="Times New Roman"/>
          <w:spacing w:val="-2"/>
        </w:rPr>
      </w:pPr>
      <w:r>
        <w:rPr>
          <w:rFonts w:ascii="Times New Roman" w:hAnsi="Times New Roman"/>
          <w:spacing w:val="-2"/>
        </w:rPr>
        <w:t>树种选择：可采用耐水湿树种为造林树种，分水位线高低选择树种栽植。</w:t>
      </w:r>
    </w:p>
    <w:p>
      <w:pPr>
        <w:pStyle w:val="2"/>
        <w:kinsoku w:val="0"/>
        <w:overflowPunct w:val="0"/>
        <w:spacing w:before="0"/>
        <w:ind w:left="0" w:firstLine="476"/>
        <w:contextualSpacing/>
        <w:rPr>
          <w:rFonts w:ascii="Times New Roman" w:hAnsi="Times New Roman"/>
          <w:spacing w:val="-2"/>
        </w:rPr>
      </w:pPr>
      <w:r>
        <w:rPr>
          <w:rFonts w:hint="eastAsia" w:cs="宋体"/>
          <w:spacing w:val="-2"/>
        </w:rPr>
        <w:t>①</w:t>
      </w:r>
      <w:r>
        <w:rPr>
          <w:rFonts w:ascii="Times New Roman" w:hAnsi="Times New Roman"/>
          <w:spacing w:val="-2"/>
        </w:rPr>
        <w:t>在设计标高水位线以下0～1m标段栽植湿地松、枫杨、桤木、垂柳等；</w:t>
      </w:r>
    </w:p>
    <w:p>
      <w:pPr>
        <w:pStyle w:val="2"/>
        <w:kinsoku w:val="0"/>
        <w:overflowPunct w:val="0"/>
        <w:spacing w:before="0"/>
        <w:ind w:left="0" w:firstLine="480"/>
        <w:contextualSpacing/>
        <w:rPr>
          <w:rFonts w:ascii="Times New Roman" w:hAnsi="Times New Roman"/>
          <w:spacing w:val="-1"/>
        </w:rPr>
      </w:pPr>
      <w:r>
        <w:rPr>
          <w:rFonts w:hint="eastAsia" w:cs="宋体"/>
        </w:rPr>
        <w:t>②</w:t>
      </w:r>
      <w:r>
        <w:rPr>
          <w:rFonts w:ascii="Times New Roman" w:hAnsi="Times New Roman"/>
          <w:spacing w:val="-1"/>
        </w:rPr>
        <w:t>在设计标高水位线以下1～2m标段栽植水杉、枫杨、桤木等；</w:t>
      </w:r>
    </w:p>
    <w:p>
      <w:pPr>
        <w:pStyle w:val="2"/>
        <w:kinsoku w:val="0"/>
        <w:overflowPunct w:val="0"/>
        <w:spacing w:before="0"/>
        <w:ind w:left="0" w:firstLine="476"/>
        <w:contextualSpacing/>
        <w:rPr>
          <w:rFonts w:ascii="Times New Roman" w:hAnsi="Times New Roman"/>
          <w:spacing w:val="-2"/>
        </w:rPr>
      </w:pPr>
      <w:r>
        <w:rPr>
          <w:rFonts w:hint="eastAsia" w:cs="宋体"/>
          <w:spacing w:val="-2"/>
        </w:rPr>
        <w:t>③</w:t>
      </w:r>
      <w:r>
        <w:rPr>
          <w:rFonts w:ascii="Times New Roman" w:hAnsi="Times New Roman"/>
          <w:spacing w:val="-2"/>
        </w:rPr>
        <w:t>在设计标高水位线以下2～3m时，宜选用水杉为造林树种。消落带治理位置选择：一般选择地势比较开阔的地带进行治理；</w:t>
      </w:r>
    </w:p>
    <w:p>
      <w:pPr>
        <w:pStyle w:val="2"/>
        <w:kinsoku w:val="0"/>
        <w:overflowPunct w:val="0"/>
        <w:spacing w:before="0"/>
        <w:ind w:left="0" w:firstLine="476"/>
        <w:contextualSpacing/>
        <w:rPr>
          <w:rFonts w:ascii="Times New Roman" w:hAnsi="Times New Roman"/>
        </w:rPr>
      </w:pPr>
      <w:r>
        <w:rPr>
          <w:rFonts w:ascii="Times New Roman" w:hAnsi="Times New Roman"/>
          <w:spacing w:val="-2"/>
        </w:rPr>
        <w:t>消落带治理推荐范围：水库设计标高水位线以下 3m 至设计标高水位线是造林绿化 较优越的地段，是一种可开发利用的土地资源。可采用耐水湿树种为造林树种，分标段 设计施工。当库尾设计标高水位线以下 2～3m，宜选用水杉为造林树种，采用人工配苗 法混交栽植技术各树种分布较均匀。在水库两侧山体及库尾设计标高水位线以下 0～ 1m，其土壤、水肥条件差，山体较陡，造林难度较大，此时宜选用枫杨、桤木、垂柳、 水杉等适应性强的造林树种。设计标高水位线以下 0～0.5m，栽植湿地松，同时混交 50％ 以上枫杨、桤木、垂柳等树种。树种选择要遵循适地适树、以乡土树种为主、兼顾生态 功能与景观效果的原则。结合树种的观赏特性、生态习性并根据水库消落区的立地条件 合理选择</w:t>
      </w:r>
      <w:r>
        <w:rPr>
          <w:rFonts w:ascii="Times New Roman" w:hAnsi="Times New Roman"/>
        </w:rPr>
        <w:t>树种进行配置</w:t>
      </w:r>
      <w:r>
        <w:rPr>
          <w:rFonts w:ascii="Times New Roman" w:hAnsi="Times New Roman"/>
          <w:spacing w:val="-27"/>
        </w:rPr>
        <w:t>，</w:t>
      </w:r>
      <w:r>
        <w:rPr>
          <w:rFonts w:ascii="Times New Roman" w:hAnsi="Times New Roman"/>
        </w:rPr>
        <w:t>最大限度的发挥耐水湿树种的综合效益</w:t>
      </w:r>
      <w:r>
        <w:rPr>
          <w:rFonts w:ascii="Times New Roman" w:hAnsi="Times New Roman"/>
          <w:spacing w:val="-24"/>
        </w:rPr>
        <w:t>。</w:t>
      </w:r>
      <w:r>
        <w:rPr>
          <w:rFonts w:ascii="Times New Roman" w:hAnsi="Times New Roman"/>
        </w:rPr>
        <w:t xml:space="preserve">充分发挥耐水湿生态 </w:t>
      </w:r>
      <w:r>
        <w:rPr>
          <w:rFonts w:ascii="Times New Roman" w:hAnsi="Times New Roman"/>
          <w:spacing w:val="-2"/>
        </w:rPr>
        <w:t>防护林树种在调节气候、环境保护、水源涵养、水土保持、防风固沙、观赏游憩和美化</w:t>
      </w:r>
      <w:r>
        <w:rPr>
          <w:rFonts w:ascii="Times New Roman" w:hAnsi="Times New Roman"/>
        </w:rPr>
        <w:t>环境等方面不可替代的重要作用。推荐的主要栽培技术：</w:t>
      </w:r>
    </w:p>
    <w:p>
      <w:pPr>
        <w:pStyle w:val="2"/>
        <w:kinsoku w:val="0"/>
        <w:overflowPunct w:val="0"/>
        <w:spacing w:before="0"/>
        <w:ind w:left="0" w:firstLine="480"/>
        <w:contextualSpacing/>
        <w:rPr>
          <w:rFonts w:ascii="Times New Roman" w:hAnsi="Times New Roman"/>
          <w:spacing w:val="-1"/>
        </w:rPr>
      </w:pPr>
      <w:r>
        <w:rPr>
          <w:rFonts w:hint="eastAsia" w:cs="宋体"/>
        </w:rPr>
        <w:t>①</w:t>
      </w:r>
      <w:r>
        <w:rPr>
          <w:rFonts w:ascii="Times New Roman" w:hAnsi="Times New Roman"/>
          <w:spacing w:val="-2"/>
        </w:rPr>
        <w:t xml:space="preserve">造林前平整好植树带，挖好树坑，一般应在 4 月中旬后进行。设计标高水位线以下0.0 ～ 0.1m 区 域 </w:t>
      </w:r>
      <w:r>
        <w:rPr>
          <w:rFonts w:ascii="Times New Roman" w:hAnsi="Times New Roman"/>
        </w:rPr>
        <w:t>，造林株行距2m</w:t>
      </w:r>
      <w:r>
        <w:rPr>
          <w:rFonts w:ascii="Times New Roman" w:hAnsi="Times New Roman"/>
          <w:spacing w:val="1"/>
        </w:rPr>
        <w:t>×</w:t>
      </w:r>
      <w:r>
        <w:rPr>
          <w:rFonts w:ascii="Times New Roman" w:hAnsi="Times New Roman"/>
        </w:rPr>
        <w:t>2</w:t>
      </w:r>
      <w:r>
        <w:rPr>
          <w:rFonts w:ascii="Times New Roman" w:hAnsi="Times New Roman"/>
          <w:spacing w:val="29"/>
        </w:rPr>
        <w:t>m</w:t>
      </w:r>
      <w:r>
        <w:rPr>
          <w:rFonts w:ascii="Times New Roman" w:hAnsi="Times New Roman"/>
        </w:rPr>
        <w:t>，初植密度2400株/hm</w:t>
      </w:r>
      <w:r>
        <w:rPr>
          <w:rFonts w:ascii="Times New Roman" w:hAnsi="Times New Roman"/>
          <w:position w:val="8"/>
          <w:sz w:val="15"/>
        </w:rPr>
        <w:t>2</w:t>
      </w:r>
      <w:r>
        <w:rPr>
          <w:rFonts w:ascii="Times New Roman" w:hAnsi="Times New Roman"/>
        </w:rPr>
        <w:t>，块状整地规格：</w:t>
      </w:r>
      <w:r>
        <w:rPr>
          <w:rFonts w:ascii="Times New Roman" w:hAnsi="Times New Roman"/>
          <w:spacing w:val="-1"/>
        </w:rPr>
        <w:t>60cm×60cm×15cm，造林穴规格40cm×40cm×30cm，捡除穴内石块。设计标高水位线以</w:t>
      </w:r>
      <w:r>
        <w:rPr>
          <w:rFonts w:ascii="Times New Roman" w:hAnsi="Times New Roman"/>
        </w:rPr>
        <w:t>下1.0～2.0m</w:t>
      </w:r>
      <w:r>
        <w:rPr>
          <w:rFonts w:ascii="Times New Roman" w:hAnsi="Times New Roman"/>
          <w:spacing w:val="14"/>
        </w:rPr>
        <w:t>区域，</w:t>
      </w:r>
      <w:r>
        <w:rPr>
          <w:rFonts w:ascii="Times New Roman" w:hAnsi="Times New Roman"/>
          <w:spacing w:val="17"/>
        </w:rPr>
        <w:t>造林株行距</w:t>
      </w:r>
      <w:r>
        <w:rPr>
          <w:rFonts w:ascii="Times New Roman" w:hAnsi="Times New Roman"/>
          <w:spacing w:val="3"/>
        </w:rPr>
        <w:t>2m×3m，</w:t>
      </w:r>
      <w:r>
        <w:rPr>
          <w:rFonts w:ascii="Times New Roman" w:hAnsi="Times New Roman"/>
          <w:spacing w:val="16"/>
        </w:rPr>
        <w:t>初植密度</w:t>
      </w:r>
      <w:r>
        <w:rPr>
          <w:rFonts w:ascii="Times New Roman" w:hAnsi="Times New Roman"/>
        </w:rPr>
        <w:t>1650</w:t>
      </w:r>
      <w:r>
        <w:rPr>
          <w:rFonts w:ascii="Times New Roman" w:hAnsi="Times New Roman"/>
          <w:spacing w:val="10"/>
        </w:rPr>
        <w:t>株／</w:t>
      </w:r>
      <w:r>
        <w:rPr>
          <w:rFonts w:ascii="Times New Roman" w:hAnsi="Times New Roman"/>
        </w:rPr>
        <w:t>hm</w:t>
      </w:r>
      <w:r>
        <w:rPr>
          <w:rFonts w:ascii="Times New Roman" w:hAnsi="Times New Roman"/>
          <w:position w:val="8"/>
          <w:sz w:val="15"/>
        </w:rPr>
        <w:t>2</w:t>
      </w:r>
      <w:r>
        <w:rPr>
          <w:rFonts w:ascii="Times New Roman" w:hAnsi="Times New Roman"/>
          <w:spacing w:val="18"/>
        </w:rPr>
        <w:t>，块状整地规格</w:t>
      </w:r>
      <w:r>
        <w:rPr>
          <w:rFonts w:ascii="Times New Roman" w:hAnsi="Times New Roman"/>
          <w:spacing w:val="-1"/>
        </w:rPr>
        <w:t>80cm×80cm×15cm，造林穴规格60cm×60cm×40cm，捡除穴内石块。设计标高水位线以</w:t>
      </w:r>
      <w:r>
        <w:rPr>
          <w:rFonts w:ascii="Times New Roman" w:hAnsi="Times New Roman"/>
        </w:rPr>
        <w:t>下2.0～3.0m</w:t>
      </w:r>
      <w:r>
        <w:rPr>
          <w:rFonts w:ascii="Times New Roman" w:hAnsi="Times New Roman"/>
          <w:spacing w:val="1"/>
        </w:rPr>
        <w:t>区域，造林株行距3m×4m，初植密度</w:t>
      </w:r>
      <w:r>
        <w:rPr>
          <w:rFonts w:ascii="Times New Roman" w:hAnsi="Times New Roman"/>
        </w:rPr>
        <w:t>825</w:t>
      </w:r>
      <w:r>
        <w:rPr>
          <w:rFonts w:ascii="Times New Roman" w:hAnsi="Times New Roman"/>
          <w:spacing w:val="1"/>
        </w:rPr>
        <w:t>株／hm</w:t>
      </w:r>
      <w:r>
        <w:rPr>
          <w:rFonts w:ascii="Times New Roman" w:hAnsi="Times New Roman"/>
          <w:position w:val="8"/>
          <w:sz w:val="15"/>
        </w:rPr>
        <w:t>2</w:t>
      </w:r>
      <w:r>
        <w:rPr>
          <w:rFonts w:ascii="Times New Roman" w:hAnsi="Times New Roman"/>
          <w:spacing w:val="1"/>
        </w:rPr>
        <w:t>，块状整地规格</w:t>
      </w:r>
      <w:r>
        <w:rPr>
          <w:rFonts w:ascii="Times New Roman" w:hAnsi="Times New Roman"/>
          <w:spacing w:val="-1"/>
        </w:rPr>
        <w:t>l00cm×l00cm×15cm，造林穴规格</w:t>
      </w:r>
      <w:r>
        <w:rPr>
          <w:rFonts w:ascii="Times New Roman" w:hAnsi="Times New Roman"/>
        </w:rPr>
        <w:t>70</w:t>
      </w:r>
      <w:r>
        <w:rPr>
          <w:rFonts w:ascii="Times New Roman" w:hAnsi="Times New Roman"/>
          <w:spacing w:val="-1"/>
        </w:rPr>
        <w:t>cm×70cm×40cm，捡除穴内石块。</w:t>
      </w:r>
    </w:p>
    <w:p>
      <w:pPr>
        <w:pStyle w:val="2"/>
        <w:kinsoku w:val="0"/>
        <w:overflowPunct w:val="0"/>
        <w:spacing w:before="0"/>
        <w:ind w:left="0" w:firstLine="480"/>
        <w:contextualSpacing/>
        <w:jc w:val="left"/>
        <w:rPr>
          <w:rFonts w:ascii="Times New Roman" w:hAnsi="Times New Roman"/>
        </w:rPr>
      </w:pPr>
      <w:r>
        <w:rPr>
          <w:rFonts w:hint="eastAsia" w:cs="宋体"/>
        </w:rPr>
        <w:t>②</w:t>
      </w:r>
      <w:r>
        <w:rPr>
          <w:rFonts w:ascii="Times New Roman" w:hAnsi="Times New Roman"/>
        </w:rPr>
        <w:t>造林密度、时间确定及混交技术 混交林的多种类树种造林技术可提高林分生态系统稳定</w:t>
      </w:r>
      <w:r>
        <w:rPr>
          <w:rFonts w:ascii="Times New Roman" w:hAnsi="Times New Roman"/>
          <w:spacing w:val="-1"/>
        </w:rPr>
        <w:t>性</w:t>
      </w:r>
      <w:r>
        <w:rPr>
          <w:rFonts w:ascii="Times New Roman" w:hAnsi="Times New Roman"/>
          <w:spacing w:val="-27"/>
        </w:rPr>
        <w:t>，</w:t>
      </w:r>
      <w:r>
        <w:rPr>
          <w:rFonts w:ascii="Times New Roman" w:hAnsi="Times New Roman"/>
        </w:rPr>
        <w:t>从而实现生态安全</w:t>
      </w:r>
      <w:r>
        <w:rPr>
          <w:rFonts w:ascii="Times New Roman" w:hAnsi="Times New Roman"/>
          <w:spacing w:val="-24"/>
        </w:rPr>
        <w:t>、</w:t>
      </w:r>
      <w:r>
        <w:rPr>
          <w:rFonts w:ascii="Times New Roman" w:hAnsi="Times New Roman"/>
        </w:rPr>
        <w:t>改</w:t>
      </w:r>
      <w:r>
        <w:rPr>
          <w:rFonts w:ascii="Times New Roman" w:hAnsi="Times New Roman"/>
          <w:spacing w:val="-2"/>
        </w:rPr>
        <w:t>善库区生态景观。根据造林目的要求，选择较合适的树种数量，确定造林比例。选择枫</w:t>
      </w:r>
      <w:r>
        <w:rPr>
          <w:rFonts w:ascii="Times New Roman" w:hAnsi="Times New Roman"/>
        </w:rPr>
        <w:t>香</w:t>
      </w:r>
      <w:r>
        <w:rPr>
          <w:rFonts w:ascii="Times New Roman" w:hAnsi="Times New Roman"/>
          <w:spacing w:val="-29"/>
        </w:rPr>
        <w:t>、</w:t>
      </w:r>
      <w:r>
        <w:rPr>
          <w:rFonts w:ascii="Times New Roman" w:hAnsi="Times New Roman"/>
        </w:rPr>
        <w:t>水杉等树种</w:t>
      </w:r>
      <w:r>
        <w:rPr>
          <w:rFonts w:ascii="Times New Roman" w:hAnsi="Times New Roman"/>
          <w:spacing w:val="2"/>
        </w:rPr>
        <w:t>混</w:t>
      </w:r>
      <w:r>
        <w:rPr>
          <w:rFonts w:ascii="Times New Roman" w:hAnsi="Times New Roman"/>
        </w:rPr>
        <w:t>交造林</w:t>
      </w:r>
      <w:r>
        <w:rPr>
          <w:rFonts w:ascii="Times New Roman" w:hAnsi="Times New Roman"/>
          <w:spacing w:val="-32"/>
        </w:rPr>
        <w:t>。</w:t>
      </w:r>
      <w:r>
        <w:rPr>
          <w:rFonts w:ascii="Times New Roman" w:hAnsi="Times New Roman"/>
        </w:rPr>
        <w:t>拟用E</w:t>
      </w:r>
      <w:r>
        <w:rPr>
          <w:rFonts w:ascii="Times New Roman" w:hAnsi="Times New Roman"/>
          <w:spacing w:val="-1"/>
        </w:rPr>
        <w:t>X</w:t>
      </w:r>
      <w:r>
        <w:rPr>
          <w:rFonts w:ascii="Times New Roman" w:hAnsi="Times New Roman"/>
        </w:rPr>
        <w:t>i</w:t>
      </w:r>
      <w:r>
        <w:rPr>
          <w:rFonts w:ascii="Times New Roman" w:hAnsi="Times New Roman"/>
          <w:spacing w:val="-11"/>
        </w:rPr>
        <w:t>Y</w:t>
      </w:r>
      <w:r>
        <w:rPr>
          <w:rFonts w:ascii="Times New Roman" w:hAnsi="Times New Roman"/>
        </w:rPr>
        <w:t>i公</w:t>
      </w:r>
      <w:r>
        <w:rPr>
          <w:rFonts w:ascii="Times New Roman" w:hAnsi="Times New Roman"/>
          <w:spacing w:val="-29"/>
        </w:rPr>
        <w:t>式</w:t>
      </w:r>
      <w:r>
        <w:rPr>
          <w:rFonts w:ascii="Times New Roman" w:hAnsi="Times New Roman"/>
        </w:rPr>
        <w:t>（</w:t>
      </w:r>
      <w:r>
        <w:rPr>
          <w:rFonts w:ascii="Times New Roman" w:hAnsi="Times New Roman"/>
          <w:spacing w:val="1"/>
        </w:rPr>
        <w:t>X</w:t>
      </w:r>
      <w:r>
        <w:rPr>
          <w:rFonts w:ascii="Times New Roman" w:hAnsi="Times New Roman"/>
        </w:rPr>
        <w:t>i代表第i 个树种的造</w:t>
      </w:r>
      <w:r>
        <w:rPr>
          <w:rFonts w:ascii="Times New Roman" w:hAnsi="Times New Roman"/>
          <w:spacing w:val="2"/>
        </w:rPr>
        <w:t>林</w:t>
      </w:r>
      <w:r>
        <w:rPr>
          <w:rFonts w:ascii="Times New Roman" w:hAnsi="Times New Roman"/>
        </w:rPr>
        <w:t>比</w:t>
      </w:r>
      <w:r>
        <w:rPr>
          <w:rFonts w:ascii="Times New Roman" w:hAnsi="Times New Roman"/>
          <w:spacing w:val="-3"/>
        </w:rPr>
        <w:t>例</w:t>
      </w:r>
      <w:r>
        <w:rPr>
          <w:rFonts w:ascii="Times New Roman" w:hAnsi="Times New Roman"/>
          <w:spacing w:val="-29"/>
        </w:rPr>
        <w:t>，</w:t>
      </w:r>
      <w:r>
        <w:rPr>
          <w:rFonts w:ascii="Times New Roman" w:hAnsi="Times New Roman"/>
          <w:spacing w:val="-11"/>
        </w:rPr>
        <w:t>Y</w:t>
      </w:r>
      <w:r>
        <w:rPr>
          <w:rFonts w:ascii="Times New Roman" w:hAnsi="Times New Roman"/>
        </w:rPr>
        <w:t>i表示第 i个树种国家或地方标准密</w:t>
      </w:r>
      <w:r>
        <w:rPr>
          <w:rFonts w:ascii="Times New Roman" w:hAnsi="Times New Roman"/>
          <w:spacing w:val="2"/>
        </w:rPr>
        <w:t>度</w:t>
      </w:r>
      <w:r>
        <w:rPr>
          <w:rFonts w:ascii="Times New Roman" w:hAnsi="Times New Roman"/>
          <w:spacing w:val="-120"/>
        </w:rPr>
        <w:t>）</w:t>
      </w:r>
      <w:r>
        <w:rPr>
          <w:rFonts w:ascii="Times New Roman" w:hAnsi="Times New Roman"/>
          <w:spacing w:val="-20"/>
        </w:rPr>
        <w:t>，</w:t>
      </w:r>
      <w:r>
        <w:rPr>
          <w:rFonts w:ascii="Times New Roman" w:hAnsi="Times New Roman"/>
        </w:rPr>
        <w:t>计算多树种混交造林密度</w:t>
      </w:r>
      <w:r>
        <w:rPr>
          <w:rFonts w:ascii="Times New Roman" w:hAnsi="Times New Roman"/>
          <w:spacing w:val="-20"/>
        </w:rPr>
        <w:t>，</w:t>
      </w:r>
      <w:r>
        <w:rPr>
          <w:rFonts w:ascii="Times New Roman" w:hAnsi="Times New Roman"/>
        </w:rPr>
        <w:t>经过科学计算</w:t>
      </w:r>
      <w:r>
        <w:rPr>
          <w:rFonts w:ascii="Times New Roman" w:hAnsi="Times New Roman"/>
          <w:spacing w:val="-20"/>
        </w:rPr>
        <w:t>，</w:t>
      </w:r>
      <w:r>
        <w:rPr>
          <w:rFonts w:ascii="Times New Roman" w:hAnsi="Times New Roman"/>
        </w:rPr>
        <w:t>在上述地区 造林密度宜采用2400株／hm</w:t>
      </w:r>
      <w:r>
        <w:rPr>
          <w:rFonts w:ascii="Times New Roman" w:hAnsi="Times New Roman"/>
          <w:position w:val="8"/>
          <w:sz w:val="15"/>
        </w:rPr>
        <w:t>2</w:t>
      </w:r>
      <w:r>
        <w:rPr>
          <w:rFonts w:ascii="Times New Roman" w:hAnsi="Times New Roman"/>
        </w:rPr>
        <w:t>，按</w:t>
      </w:r>
      <w:r>
        <w:rPr>
          <w:rFonts w:ascii="Times New Roman" w:hAnsi="Times New Roman"/>
          <w:spacing w:val="-1"/>
        </w:rPr>
        <w:t xml:space="preserve">2m×2m </w:t>
      </w:r>
      <w:r>
        <w:rPr>
          <w:rFonts w:ascii="Times New Roman" w:hAnsi="Times New Roman"/>
        </w:rPr>
        <w:t>造林配置，把各树种苗木按比例分发给栽植</w:t>
      </w:r>
      <w:r>
        <w:rPr>
          <w:rFonts w:ascii="Times New Roman" w:hAnsi="Times New Roman"/>
          <w:spacing w:val="-2"/>
        </w:rPr>
        <w:t>人员进行人工定植，必要时可作适当调整，达到适地适树，各树种在林地分布较均匀的</w:t>
      </w:r>
      <w:r>
        <w:rPr>
          <w:rFonts w:ascii="Times New Roman" w:hAnsi="Times New Roman"/>
        </w:rPr>
        <w:t>目的</w:t>
      </w:r>
      <w:r>
        <w:rPr>
          <w:rFonts w:ascii="Times New Roman" w:hAnsi="Times New Roman"/>
          <w:spacing w:val="-44"/>
        </w:rPr>
        <w:t>，</w:t>
      </w:r>
      <w:r>
        <w:rPr>
          <w:rFonts w:ascii="Times New Roman" w:hAnsi="Times New Roman"/>
        </w:rPr>
        <w:t>避免机械混交的不足</w:t>
      </w:r>
      <w:r>
        <w:rPr>
          <w:rFonts w:ascii="Times New Roman" w:hAnsi="Times New Roman"/>
          <w:spacing w:val="-44"/>
        </w:rPr>
        <w:t>。</w:t>
      </w:r>
      <w:r>
        <w:rPr>
          <w:rFonts w:ascii="Times New Roman" w:hAnsi="Times New Roman"/>
        </w:rPr>
        <w:t>选择1年生</w:t>
      </w:r>
      <w:r>
        <w:rPr>
          <w:rFonts w:ascii="Times New Roman" w:hAnsi="Times New Roman"/>
          <w:spacing w:val="-41"/>
        </w:rPr>
        <w:t>、</w:t>
      </w:r>
      <w:r>
        <w:rPr>
          <w:rFonts w:ascii="Times New Roman" w:hAnsi="Times New Roman"/>
        </w:rPr>
        <w:t>具有较好的稳定性</w:t>
      </w:r>
      <w:r>
        <w:rPr>
          <w:rFonts w:ascii="Times New Roman" w:hAnsi="Times New Roman"/>
          <w:spacing w:val="-44"/>
        </w:rPr>
        <w:t>、</w:t>
      </w:r>
      <w:r>
        <w:rPr>
          <w:rFonts w:ascii="Times New Roman" w:hAnsi="Times New Roman"/>
        </w:rPr>
        <w:t>抗病虫害能力强的树</w:t>
      </w:r>
      <w:r>
        <w:rPr>
          <w:rFonts w:ascii="Times New Roman" w:hAnsi="Times New Roman"/>
          <w:spacing w:val="2"/>
        </w:rPr>
        <w:t>种</w:t>
      </w:r>
      <w:r>
        <w:rPr>
          <w:rFonts w:ascii="Times New Roman" w:hAnsi="Times New Roman"/>
        </w:rPr>
        <w:t>， 在每年的夏天排水后水位降到最低、消落带完全裸露时造林为最佳时间。</w:t>
      </w:r>
    </w:p>
    <w:p>
      <w:pPr>
        <w:pStyle w:val="2"/>
        <w:kinsoku w:val="0"/>
        <w:overflowPunct w:val="0"/>
        <w:spacing w:before="0"/>
        <w:ind w:left="0" w:firstLine="480"/>
        <w:contextualSpacing/>
        <w:rPr>
          <w:rFonts w:ascii="Times New Roman" w:hAnsi="Times New Roman"/>
        </w:rPr>
      </w:pPr>
      <w:r>
        <w:rPr>
          <w:rFonts w:hint="eastAsia" w:cs="宋体"/>
        </w:rPr>
        <w:t>③</w:t>
      </w:r>
      <w:r>
        <w:rPr>
          <w:rFonts w:ascii="Times New Roman" w:hAnsi="Times New Roman"/>
        </w:rPr>
        <w:t>在设计标高水位线以下0.0～1.0m区域，可用裸根苗造林。晴天造林采用磷肥拌泥</w:t>
      </w:r>
      <w:r>
        <w:rPr>
          <w:rFonts w:ascii="Times New Roman" w:hAnsi="Times New Roman"/>
          <w:spacing w:val="-2"/>
        </w:rPr>
        <w:t>浆蘸根。先回填表土、细土，分层回填分层敲实，切实做到根舒、苗直，壅土至幼树根</w:t>
      </w:r>
      <w:r>
        <w:rPr>
          <w:rFonts w:ascii="Times New Roman" w:hAnsi="Times New Roman"/>
          <w:spacing w:val="-1"/>
        </w:rPr>
        <w:t>际部略成“馒头状”以固定幼树。幼树栽植后梢顶必须高出设计标高水位线，否则造林难</w:t>
      </w:r>
      <w:r>
        <w:rPr>
          <w:rFonts w:ascii="Times New Roman" w:hAnsi="Times New Roman"/>
          <w:spacing w:val="1"/>
        </w:rPr>
        <w:t>以成功。设计标高水位线以下</w:t>
      </w:r>
      <w:r>
        <w:rPr>
          <w:rFonts w:ascii="Times New Roman" w:hAnsi="Times New Roman"/>
        </w:rPr>
        <w:t>1.0～2.0m</w:t>
      </w:r>
      <w:r>
        <w:rPr>
          <w:rFonts w:ascii="Times New Roman" w:hAnsi="Times New Roman"/>
          <w:spacing w:val="1"/>
        </w:rPr>
        <w:t>区域，选用的耐水湿树种宜在</w:t>
      </w:r>
      <w:r>
        <w:rPr>
          <w:rFonts w:ascii="Times New Roman" w:hAnsi="Times New Roman"/>
        </w:rPr>
        <w:t xml:space="preserve">2m </w:t>
      </w:r>
      <w:r>
        <w:rPr>
          <w:rFonts w:ascii="Times New Roman" w:hAnsi="Times New Roman"/>
          <w:spacing w:val="1"/>
        </w:rPr>
        <w:t>以上，必须</w:t>
      </w:r>
      <w:r>
        <w:rPr>
          <w:rFonts w:ascii="Times New Roman" w:hAnsi="Times New Roman"/>
        </w:rPr>
        <w:t>带土球移栽。每穴施入钙镁磷肥0.2 kg，且与穴内土壤拌均。把大苗移入栽植穴，解除</w:t>
      </w:r>
      <w:r>
        <w:rPr>
          <w:rFonts w:ascii="Times New Roman" w:hAnsi="Times New Roman"/>
          <w:spacing w:val="-1"/>
        </w:rPr>
        <w:t>不能降解的土球包裹物，竖直大苗，先回填表土、细土，用木棍插实土球底下的空隙，</w:t>
      </w:r>
      <w:r>
        <w:rPr>
          <w:rFonts w:ascii="Times New Roman" w:hAnsi="Times New Roman"/>
        </w:rPr>
        <w:t>分层回填</w:t>
      </w:r>
      <w:r>
        <w:rPr>
          <w:rFonts w:ascii="Times New Roman" w:hAnsi="Times New Roman"/>
          <w:spacing w:val="-27"/>
        </w:rPr>
        <w:t>、</w:t>
      </w:r>
      <w:r>
        <w:rPr>
          <w:rFonts w:ascii="Times New Roman" w:hAnsi="Times New Roman"/>
        </w:rPr>
        <w:t>分层敲实</w:t>
      </w:r>
      <w:r>
        <w:rPr>
          <w:rFonts w:ascii="Times New Roman" w:hAnsi="Times New Roman"/>
          <w:spacing w:val="-27"/>
        </w:rPr>
        <w:t>，</w:t>
      </w:r>
      <w:r>
        <w:rPr>
          <w:rFonts w:ascii="Times New Roman" w:hAnsi="Times New Roman"/>
        </w:rPr>
        <w:t>覆土高出土球15</w:t>
      </w:r>
      <w:r>
        <w:rPr>
          <w:rFonts w:ascii="Times New Roman" w:hAnsi="Times New Roman"/>
          <w:spacing w:val="-1"/>
        </w:rPr>
        <w:t>c</w:t>
      </w:r>
      <w:r>
        <w:rPr>
          <w:rFonts w:ascii="Times New Roman" w:hAnsi="Times New Roman"/>
        </w:rPr>
        <w:t>m 即可</w:t>
      </w:r>
      <w:r>
        <w:rPr>
          <w:rFonts w:ascii="Times New Roman" w:hAnsi="Times New Roman"/>
          <w:spacing w:val="-27"/>
        </w:rPr>
        <w:t>。</w:t>
      </w:r>
      <w:r>
        <w:rPr>
          <w:rFonts w:ascii="Times New Roman" w:hAnsi="Times New Roman"/>
        </w:rPr>
        <w:t>定植后24 小时内浇透水1 次</w:t>
      </w:r>
      <w:r>
        <w:rPr>
          <w:rFonts w:ascii="Times New Roman" w:hAnsi="Times New Roman"/>
          <w:spacing w:val="-27"/>
        </w:rPr>
        <w:t>。</w:t>
      </w:r>
      <w:r>
        <w:rPr>
          <w:rFonts w:ascii="Times New Roman" w:hAnsi="Times New Roman"/>
        </w:rPr>
        <w:t>设计标 高水位线以下2.0～3.0m区域的大苗移栽技术同</w:t>
      </w:r>
      <w:r>
        <w:rPr>
          <w:rFonts w:ascii="Times New Roman" w:hAnsi="Times New Roman"/>
          <w:spacing w:val="2"/>
        </w:rPr>
        <w:t>上</w:t>
      </w:r>
      <w:r>
        <w:rPr>
          <w:rFonts w:ascii="Times New Roman" w:hAnsi="Times New Roman"/>
          <w:spacing w:val="-92"/>
        </w:rPr>
        <w:t>，</w:t>
      </w:r>
      <w:r>
        <w:rPr>
          <w:rFonts w:ascii="Times New Roman" w:hAnsi="Times New Roman"/>
        </w:rPr>
        <w:t>但树高必须达到3m以</w:t>
      </w:r>
      <w:r>
        <w:rPr>
          <w:rFonts w:ascii="Times New Roman" w:hAnsi="Times New Roman"/>
          <w:spacing w:val="-1"/>
        </w:rPr>
        <w:t>上</w:t>
      </w:r>
      <w:r>
        <w:rPr>
          <w:rFonts w:ascii="Times New Roman" w:hAnsi="Times New Roman"/>
          <w:spacing w:val="-89"/>
        </w:rPr>
        <w:t>、</w:t>
      </w:r>
      <w:r>
        <w:rPr>
          <w:rFonts w:ascii="Times New Roman" w:hAnsi="Times New Roman"/>
        </w:rPr>
        <w:t>胸径3</w:t>
      </w:r>
      <w:r>
        <w:rPr>
          <w:rFonts w:ascii="Times New Roman" w:hAnsi="Times New Roman"/>
          <w:spacing w:val="1"/>
        </w:rPr>
        <w:t>c</w:t>
      </w:r>
      <w:r>
        <w:rPr>
          <w:rFonts w:ascii="Times New Roman" w:hAnsi="Times New Roman"/>
        </w:rPr>
        <w:t>m以上，带土球。</w:t>
      </w:r>
    </w:p>
    <w:p>
      <w:pPr>
        <w:pStyle w:val="2"/>
        <w:kinsoku w:val="0"/>
        <w:overflowPunct w:val="0"/>
        <w:spacing w:before="0"/>
        <w:ind w:left="0" w:firstLine="480"/>
        <w:contextualSpacing/>
        <w:rPr>
          <w:rFonts w:ascii="Times New Roman" w:hAnsi="Times New Roman"/>
        </w:rPr>
      </w:pPr>
      <w:r>
        <w:rPr>
          <w:rFonts w:hint="eastAsia" w:cs="宋体"/>
        </w:rPr>
        <w:t>④</w:t>
      </w:r>
      <w:r>
        <w:rPr>
          <w:rFonts w:ascii="Times New Roman" w:hAnsi="Times New Roman"/>
        </w:rPr>
        <w:t>移栽后幼龄林要进行及时和适时抚育</w:t>
      </w:r>
      <w:r>
        <w:rPr>
          <w:rFonts w:ascii="Times New Roman" w:hAnsi="Times New Roman"/>
          <w:spacing w:val="-27"/>
        </w:rPr>
        <w:t>，</w:t>
      </w:r>
      <w:r>
        <w:rPr>
          <w:rFonts w:ascii="Times New Roman" w:hAnsi="Times New Roman"/>
        </w:rPr>
        <w:t>加强肥水管理</w:t>
      </w:r>
      <w:r>
        <w:rPr>
          <w:rFonts w:ascii="Times New Roman" w:hAnsi="Times New Roman"/>
          <w:spacing w:val="-24"/>
        </w:rPr>
        <w:t>，</w:t>
      </w:r>
      <w:r>
        <w:rPr>
          <w:rFonts w:ascii="Times New Roman" w:hAnsi="Times New Roman"/>
        </w:rPr>
        <w:t>幼林期必须有足够的养分供</w:t>
      </w:r>
      <w:r>
        <w:rPr>
          <w:rFonts w:ascii="Times New Roman" w:hAnsi="Times New Roman"/>
          <w:spacing w:val="-2"/>
        </w:rPr>
        <w:t>给，合理松土、除草，加快其生长势和年生长量。幼中林部分林木个体的抚育、消落带的扩展造林等可同步进行，以减少造林绿化建设费用，改善优化库区旅游资源，遏制水</w:t>
      </w:r>
      <w:r>
        <w:rPr>
          <w:rFonts w:ascii="Times New Roman" w:hAnsi="Times New Roman"/>
        </w:rPr>
        <w:t>土流失，增加生物多样性，从而达到库区的生态安全。</w:t>
      </w:r>
    </w:p>
    <w:p>
      <w:pPr>
        <w:pStyle w:val="5"/>
        <w:ind w:firstLine="0" w:firstLineChars="0"/>
        <w:contextualSpacing/>
        <w:rPr>
          <w:rFonts w:ascii="Times New Roman" w:hAnsi="Times New Roman"/>
        </w:rPr>
      </w:pPr>
      <w:r>
        <w:rPr>
          <w:rFonts w:ascii="Times New Roman" w:hAnsi="Times New Roman"/>
        </w:rPr>
        <w:t>6.3.2水生生态保护措施</w:t>
      </w:r>
    </w:p>
    <w:p>
      <w:pPr>
        <w:ind w:firstLine="0" w:firstLineChars="0"/>
        <w:contextualSpacing/>
        <w:outlineLvl w:val="3"/>
        <w:rPr>
          <w:bCs/>
        </w:rPr>
      </w:pPr>
      <w:r>
        <w:rPr>
          <w:b/>
          <w:bCs/>
        </w:rPr>
        <w:t>6.3.2.1优化工程设计、施工工艺及调度</w:t>
      </w:r>
    </w:p>
    <w:p>
      <w:pPr>
        <w:ind w:firstLine="480"/>
        <w:contextualSpacing/>
        <w:rPr>
          <w:kern w:val="0"/>
        </w:rPr>
      </w:pPr>
      <w:r>
        <w:rPr>
          <w:kern w:val="0"/>
          <w:lang w:val="zh-CN"/>
        </w:rPr>
        <w:t>工程开工前，可采用多种驱鱼技术手段，对施工区及其邻近水域尤其鱼类分布较密集的深潭、回水沱进行驱鱼作业，将鱼类驱离施工区。合理调整施工进度和施工期，以减小工程施工对鱼类繁殖活动的影响，并严格控制夜间施工时间。</w:t>
      </w:r>
      <w:r>
        <w:rPr>
          <w:kern w:val="0"/>
        </w:rPr>
        <w:t>涉水施工应选择在枯水期施工，以避开鱼类繁殖期。</w:t>
      </w:r>
      <w:r>
        <w:rPr>
          <w:kern w:val="0"/>
          <w:lang w:val="zh-CN"/>
        </w:rPr>
        <w:t>同时，通过选择低噪音机械降低施工噪音，选择最佳弃渣地点，以减少施工作业对水质及混浊度的影响。</w:t>
      </w:r>
      <w:r>
        <w:rPr>
          <w:kern w:val="0"/>
        </w:rPr>
        <w:t>保证取水口下游河段生态流量，满足鱼类及其它水生生物生存需要。进一步优化了生态流量下泄。在鱼类繁殖期，可下泄流量可适当增加。</w:t>
      </w:r>
    </w:p>
    <w:p>
      <w:pPr>
        <w:ind w:firstLine="0" w:firstLineChars="0"/>
        <w:contextualSpacing/>
        <w:outlineLvl w:val="3"/>
        <w:rPr>
          <w:bCs/>
        </w:rPr>
      </w:pPr>
      <w:r>
        <w:rPr>
          <w:b/>
          <w:bCs/>
        </w:rPr>
        <w:t>6.3.2.2保护对象及保护措施体系</w:t>
      </w:r>
    </w:p>
    <w:p>
      <w:pPr>
        <w:ind w:firstLine="480"/>
        <w:contextualSpacing/>
        <w:rPr>
          <w:kern w:val="0"/>
          <w:lang w:val="zh-CN"/>
        </w:rPr>
      </w:pPr>
      <w:r>
        <w:rPr>
          <w:rFonts w:hint="eastAsia"/>
          <w:kern w:val="0"/>
          <w:lang w:val="zh-CN"/>
        </w:rPr>
        <w:t>根据调查，流域内已不存在洄游性鱼类和洄游通道。现场调查结果显示，蔡家河流域内也无珍稀特有保护鱼类，现场捕捉到鱼类以小型鱼类为主，产漂流性卵鱼类均为养殖逃逸种，也未调查到产漂流性卵产卵场。综合蔡家河水文条件</w:t>
      </w:r>
      <w:r>
        <w:rPr>
          <w:rFonts w:hint="eastAsia"/>
          <w:kern w:val="0"/>
        </w:rPr>
        <w:t>以及鱼类资源分布情况</w:t>
      </w:r>
      <w:r>
        <w:rPr>
          <w:rFonts w:hint="eastAsia"/>
          <w:kern w:val="0"/>
          <w:lang w:val="zh-CN"/>
        </w:rPr>
        <w:t>，分析寒溪寺水库无需修建过鱼设施。</w:t>
      </w:r>
    </w:p>
    <w:p>
      <w:pPr>
        <w:ind w:firstLine="480"/>
        <w:contextualSpacing/>
        <w:rPr>
          <w:rFonts w:hint="eastAsia"/>
        </w:rPr>
      </w:pPr>
      <w:r>
        <w:rPr>
          <w:rFonts w:hint="eastAsia"/>
        </w:rPr>
        <w:t>为保护蔡家河流域的鱼类资料，需</w:t>
      </w:r>
      <w:r>
        <w:t>受工程影响的鱼类均应作为</w:t>
      </w:r>
      <w:r>
        <w:rPr>
          <w:rFonts w:hint="eastAsia"/>
        </w:rPr>
        <w:t>水生</w:t>
      </w:r>
      <w:r>
        <w:t>保护对象，</w:t>
      </w:r>
      <w:r>
        <w:rPr>
          <w:rFonts w:hint="eastAsia"/>
        </w:rPr>
        <w:t>考虑鱼类</w:t>
      </w:r>
      <w:r>
        <w:t>不同种类的分布、资源量、 生活史等特点不同，对工程影响的敏感性有较大差异，受到的影响程度也不一致。寒溪寺水库建成后，库区环境由河流转变为河谷型水库，适应流水生活的鱼类对工程影响较为敏感</w:t>
      </w:r>
      <w:r>
        <w:rPr>
          <w:rFonts w:hint="eastAsia"/>
        </w:rPr>
        <w:t>。</w:t>
      </w:r>
    </w:p>
    <w:p>
      <w:pPr>
        <w:ind w:firstLine="480"/>
        <w:contextualSpacing/>
      </w:pPr>
      <w:r>
        <w:t>结合寒溪寺水库工程河段鱼类生物学及生态学特性（见附表），提出包括增殖放流、分层取水、下泄生态流量、栖息地保护、水生生态监测及渔政管理的鱼类保护措施体系。</w:t>
      </w:r>
    </w:p>
    <w:p>
      <w:pPr>
        <w:pStyle w:val="2"/>
        <w:kinsoku w:val="0"/>
        <w:overflowPunct w:val="0"/>
        <w:spacing w:before="0"/>
        <w:ind w:left="0" w:firstLine="0" w:firstLineChars="0"/>
        <w:contextualSpacing/>
        <w:jc w:val="center"/>
        <w:rPr>
          <w:rFonts w:ascii="Times New Roman" w:hAnsi="Times New Roman"/>
          <w:b/>
          <w:bCs/>
        </w:rPr>
      </w:pPr>
      <w:r>
        <w:rPr>
          <w:rFonts w:ascii="Times New Roman" w:hAnsi="Times New Roman"/>
          <w:b/>
          <w:bCs/>
        </w:rPr>
        <w:t>表6.3.2-1  评价区河段鱼类保护措施体系一览表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161"/>
        <w:gridCol w:w="1560"/>
        <w:gridCol w:w="2408"/>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序号</w:t>
            </w:r>
          </w:p>
        </w:tc>
        <w:tc>
          <w:tcPr>
            <w:tcW w:w="6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保护目的</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保护措施</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保护对象</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1</w:t>
            </w:r>
          </w:p>
        </w:tc>
        <w:tc>
          <w:tcPr>
            <w:tcW w:w="681" w:type="pct"/>
            <w:vAlign w:val="center"/>
          </w:tcPr>
          <w:p>
            <w:pPr>
              <w:widowControl/>
              <w:spacing w:line="240" w:lineRule="auto"/>
              <w:ind w:firstLine="0" w:firstLineChars="0"/>
              <w:contextualSpacing/>
              <w:jc w:val="center"/>
              <w:textAlignment w:val="bottom"/>
              <w:rPr>
                <w:kern w:val="0"/>
                <w:sz w:val="21"/>
                <w:szCs w:val="21"/>
              </w:rPr>
            </w:pPr>
            <w:r>
              <w:rPr>
                <w:sz w:val="21"/>
                <w:szCs w:val="21"/>
              </w:rPr>
              <w:t>减缓低温水</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分层取水</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繁殖对温度敏感的物种</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改善特有鱼类繁殖期水温条件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2</w:t>
            </w:r>
          </w:p>
        </w:tc>
        <w:tc>
          <w:tcPr>
            <w:tcW w:w="6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保证生态流量</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下泄生态流量</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减水河段水生物</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保证减水河段生态需水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3</w:t>
            </w:r>
          </w:p>
        </w:tc>
        <w:tc>
          <w:tcPr>
            <w:tcW w:w="681" w:type="pct"/>
            <w:vAlign w:val="center"/>
          </w:tcPr>
          <w:p>
            <w:pPr>
              <w:widowControl/>
              <w:spacing w:line="240" w:lineRule="auto"/>
              <w:ind w:firstLine="0" w:firstLineChars="0"/>
              <w:contextualSpacing/>
              <w:jc w:val="center"/>
              <w:textAlignment w:val="bottom"/>
              <w:rPr>
                <w:kern w:val="0"/>
                <w:sz w:val="21"/>
                <w:szCs w:val="21"/>
              </w:rPr>
            </w:pPr>
            <w:r>
              <w:rPr>
                <w:sz w:val="21"/>
                <w:szCs w:val="21"/>
              </w:rPr>
              <w:t>栖息地保护</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设置栖息地保护河段</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半䱗、黑尾䱗、光泽黄颡、长吻鮠、白缘䱀等</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通过保护鱼类生境，达到保护鱼类 资源的目的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4</w:t>
            </w:r>
          </w:p>
        </w:tc>
        <w:tc>
          <w:tcPr>
            <w:tcW w:w="6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水生生态监测</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对鱼类栖息地环境和人工增殖放流效果监测计划。</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评价区河段所有鱼 类</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保护鱼类资源及其重要生境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5</w:t>
            </w:r>
          </w:p>
        </w:tc>
        <w:tc>
          <w:tcPr>
            <w:tcW w:w="681"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渔政管理</w:t>
            </w:r>
          </w:p>
        </w:tc>
        <w:tc>
          <w:tcPr>
            <w:tcW w:w="915"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加强地方渔政管理投入和力度</w:t>
            </w:r>
          </w:p>
        </w:tc>
        <w:tc>
          <w:tcPr>
            <w:tcW w:w="1413"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评价区河段所有鱼 类</w:t>
            </w:r>
          </w:p>
        </w:tc>
        <w:tc>
          <w:tcPr>
            <w:tcW w:w="1610" w:type="pct"/>
            <w:vAlign w:val="center"/>
          </w:tcPr>
          <w:p>
            <w:pPr>
              <w:widowControl/>
              <w:spacing w:line="240" w:lineRule="auto"/>
              <w:ind w:firstLine="0" w:firstLineChars="0"/>
              <w:contextualSpacing/>
              <w:jc w:val="center"/>
              <w:textAlignment w:val="bottom"/>
              <w:rPr>
                <w:kern w:val="0"/>
                <w:sz w:val="21"/>
                <w:szCs w:val="21"/>
              </w:rPr>
            </w:pPr>
            <w:r>
              <w:rPr>
                <w:kern w:val="0"/>
                <w:sz w:val="21"/>
                <w:szCs w:val="21"/>
              </w:rPr>
              <w:t>保护鱼类资源及其重要生境</w:t>
            </w:r>
          </w:p>
        </w:tc>
      </w:tr>
    </w:tbl>
    <w:p>
      <w:pPr>
        <w:ind w:firstLine="0" w:firstLineChars="0"/>
        <w:contextualSpacing/>
        <w:outlineLvl w:val="3"/>
        <w:rPr>
          <w:b/>
          <w:bCs/>
        </w:rPr>
      </w:pPr>
      <w:r>
        <w:rPr>
          <w:b/>
          <w:bCs/>
        </w:rPr>
        <w:t>6.3.2.4鱼类栖息地保护</w:t>
      </w:r>
    </w:p>
    <w:p>
      <w:pPr>
        <w:widowControl/>
        <w:ind w:firstLine="480"/>
        <w:contextualSpacing/>
        <w:jc w:val="left"/>
      </w:pPr>
      <w:r>
        <w:rPr>
          <w:kern w:val="0"/>
        </w:rPr>
        <w:t>栖息地保护是保护鱼类自然资源的有效措施。由于蔡家河上已建</w:t>
      </w:r>
      <w:r>
        <w:rPr>
          <w:rFonts w:hint="eastAsia"/>
          <w:kern w:val="0"/>
        </w:rPr>
        <w:t>寒溪寺水库</w:t>
      </w:r>
      <w:r>
        <w:rPr>
          <w:kern w:val="0"/>
        </w:rPr>
        <w:t xml:space="preserve">，寒溪寺水库工程的建设可能进一步加剧阻隔和生境片段化的影响。因此需要选择适宜的河段加以重点保护，以减缓工程建设对区域水生生物生境的破坏。保护未受工程开发影响的河段对于保护水生生物生境和水生生态系统完整性及其功能方面具有特别意义。 </w:t>
      </w:r>
    </w:p>
    <w:p>
      <w:pPr>
        <w:widowControl/>
        <w:ind w:firstLine="480"/>
        <w:contextualSpacing/>
        <w:jc w:val="left"/>
        <w:rPr>
          <w:kern w:val="0"/>
        </w:rPr>
      </w:pPr>
      <w:r>
        <w:rPr>
          <w:kern w:val="0"/>
        </w:rPr>
        <w:t xml:space="preserve">（1）栖息地选取原则 </w:t>
      </w:r>
    </w:p>
    <w:p>
      <w:pPr>
        <w:widowControl/>
        <w:ind w:firstLine="480"/>
        <w:contextualSpacing/>
        <w:jc w:val="left"/>
        <w:rPr>
          <w:kern w:val="0"/>
        </w:rPr>
      </w:pPr>
      <w:r>
        <w:rPr>
          <w:kern w:val="0"/>
        </w:rPr>
        <w:t>栖息地选取原则有：</w:t>
      </w:r>
      <w:r>
        <w:rPr>
          <w:rFonts w:hint="eastAsia" w:ascii="宋体" w:hAnsi="宋体" w:cs="宋体"/>
          <w:kern w:val="0"/>
        </w:rPr>
        <w:t>①</w:t>
      </w:r>
      <w:r>
        <w:rPr>
          <w:kern w:val="0"/>
        </w:rPr>
        <w:t>生态环境好，接近自然环境，人为干扰少；</w:t>
      </w:r>
      <w:r>
        <w:rPr>
          <w:rFonts w:hint="eastAsia" w:ascii="宋体" w:hAnsi="宋体" w:cs="宋体"/>
          <w:kern w:val="0"/>
        </w:rPr>
        <w:t>②</w:t>
      </w:r>
      <w:r>
        <w:rPr>
          <w:kern w:val="0"/>
        </w:rPr>
        <w:t>具备保护鱼类栖息繁育所需要的基本生境，如：水流平缓，无连续多级大落差自然跌水；</w:t>
      </w:r>
      <w:r>
        <w:rPr>
          <w:rFonts w:hint="eastAsia" w:ascii="宋体" w:hAnsi="宋体" w:cs="宋体"/>
          <w:kern w:val="0"/>
        </w:rPr>
        <w:t>③</w:t>
      </w:r>
      <w:r>
        <w:rPr>
          <w:kern w:val="0"/>
        </w:rPr>
        <w:t>鱼类组成与影响河段基本一致。</w:t>
      </w:r>
    </w:p>
    <w:p>
      <w:pPr>
        <w:widowControl/>
        <w:ind w:firstLine="480"/>
        <w:contextualSpacing/>
        <w:jc w:val="left"/>
        <w:rPr>
          <w:kern w:val="0"/>
        </w:rPr>
      </w:pPr>
      <w:r>
        <w:rPr>
          <w:kern w:val="0"/>
        </w:rPr>
        <w:t>（2）栖息地保护河段选择</w:t>
      </w:r>
    </w:p>
    <w:p>
      <w:pPr>
        <w:widowControl/>
        <w:ind w:firstLine="480"/>
        <w:contextualSpacing/>
        <w:jc w:val="left"/>
        <w:rPr>
          <w:rFonts w:hint="eastAsia"/>
          <w:kern w:val="0"/>
        </w:rPr>
      </w:pPr>
      <w:r>
        <w:rPr>
          <w:kern w:val="0"/>
        </w:rPr>
        <w:t>栖息地保护是保护鱼类自然资源的有效措施。评价河段物种多样性最多的是鲤形目，占绝对优势；鲤科是调查水域的优势类群。评价河段不存在大规模的鱼类“三场”，只零星分布有小型的索饵、越冬、产卵地点，</w:t>
      </w:r>
      <w:r>
        <w:rPr>
          <w:rFonts w:hint="eastAsia"/>
          <w:kern w:val="0"/>
        </w:rPr>
        <w:t>寒溪寺水库</w:t>
      </w:r>
      <w:r>
        <w:rPr>
          <w:kern w:val="0"/>
        </w:rPr>
        <w:t>库区区域是重要的鱼类栖息地。同时，寒溪寺水库建成后，库区也可作为重要的鱼类栖息地。</w:t>
      </w:r>
      <w:r>
        <w:rPr>
          <w:rFonts w:hint="eastAsia"/>
          <w:kern w:val="0"/>
        </w:rPr>
        <w:t xml:space="preserve">  </w:t>
      </w:r>
    </w:p>
    <w:p>
      <w:pPr>
        <w:widowControl/>
        <w:ind w:firstLine="480"/>
        <w:contextualSpacing/>
        <w:jc w:val="left"/>
        <w:rPr>
          <w:rFonts w:hint="eastAsia"/>
        </w:rPr>
      </w:pPr>
      <w:r>
        <w:rPr>
          <w:rFonts w:hint="eastAsia"/>
          <w:kern w:val="0"/>
        </w:rPr>
        <w:t>评价范围内，</w:t>
      </w:r>
      <w:r>
        <w:rPr>
          <w:kern w:val="0"/>
        </w:rPr>
        <w:t>流域面积</w:t>
      </w:r>
      <w:r>
        <w:rPr>
          <w:rFonts w:hint="eastAsia"/>
          <w:kern w:val="0"/>
        </w:rPr>
        <w:t>18.04</w:t>
      </w:r>
      <w:r>
        <w:rPr>
          <w:kern w:val="0"/>
        </w:rPr>
        <w:t>km</w:t>
      </w:r>
      <w:r>
        <w:rPr>
          <w:kern w:val="0"/>
          <w:vertAlign w:val="superscript"/>
        </w:rPr>
        <w:t>2</w:t>
      </w:r>
      <w:r>
        <w:rPr>
          <w:kern w:val="0"/>
        </w:rPr>
        <w:t>，河口多年平均流量</w:t>
      </w:r>
      <w:r>
        <w:rPr>
          <w:rFonts w:hint="eastAsia"/>
        </w:rPr>
        <w:t>0.084</w:t>
      </w:r>
      <w:r>
        <w:t>m</w:t>
      </w:r>
      <w:r>
        <w:rPr>
          <w:vertAlign w:val="superscript"/>
        </w:rPr>
        <w:t>3</w:t>
      </w:r>
      <w:r>
        <w:t>/s</w:t>
      </w:r>
      <w:r>
        <w:rPr>
          <w:kern w:val="0"/>
        </w:rPr>
        <w:t>，</w:t>
      </w:r>
      <w:r>
        <w:rPr>
          <w:rFonts w:hint="eastAsia"/>
          <w:kern w:val="0"/>
        </w:rPr>
        <w:t>上游无大</w:t>
      </w:r>
      <w:r>
        <w:rPr>
          <w:kern w:val="0"/>
        </w:rPr>
        <w:t>的水利水电工程分布，</w:t>
      </w:r>
      <w:r>
        <w:rPr>
          <w:rFonts w:hint="eastAsia"/>
          <w:kern w:val="0"/>
        </w:rPr>
        <w:t>径流基本未受到人工调控影响，</w:t>
      </w:r>
      <w:r>
        <w:rPr>
          <w:kern w:val="0"/>
        </w:rPr>
        <w:t>下游河段基本维持了天然状态，</w:t>
      </w:r>
      <w:r>
        <w:rPr>
          <w:rFonts w:hint="eastAsia"/>
          <w:kern w:val="0"/>
        </w:rPr>
        <w:t>生境条件与蔡家河天然状况类似，</w:t>
      </w:r>
      <w:r>
        <w:rPr>
          <w:kern w:val="0"/>
        </w:rPr>
        <w:t>寒溪寺水库建成后，对</w:t>
      </w:r>
      <w:r>
        <w:rPr>
          <w:rFonts w:hint="eastAsia"/>
          <w:kern w:val="0"/>
        </w:rPr>
        <w:t>蔡家</w:t>
      </w:r>
      <w:r>
        <w:rPr>
          <w:kern w:val="0"/>
        </w:rPr>
        <w:t>河径流影响较小。同时，灌区分散分布在</w:t>
      </w:r>
      <w:r>
        <w:rPr>
          <w:rFonts w:hint="eastAsia"/>
          <w:kern w:val="0"/>
        </w:rPr>
        <w:t>蔡家</w:t>
      </w:r>
      <w:r>
        <w:rPr>
          <w:kern w:val="0"/>
        </w:rPr>
        <w:t>河流域多个支流或支沟，且退水流量非集中瞬时排放，则灌溉退水对</w:t>
      </w:r>
      <w:r>
        <w:rPr>
          <w:rFonts w:hint="eastAsia"/>
          <w:kern w:val="0"/>
        </w:rPr>
        <w:t>蔡家河</w:t>
      </w:r>
      <w:r>
        <w:rPr>
          <w:kern w:val="0"/>
        </w:rPr>
        <w:t>干流的整体水文情势影响有限。根据调查结果，</w:t>
      </w:r>
      <w:r>
        <w:rPr>
          <w:rFonts w:hint="eastAsia"/>
        </w:rPr>
        <w:t>寒溪寺水库建设所影响的鱼类种类在</w:t>
      </w:r>
      <w:r>
        <w:rPr>
          <w:rFonts w:hint="eastAsia"/>
          <w:kern w:val="0"/>
        </w:rPr>
        <w:t>蔡家</w:t>
      </w:r>
      <w:r>
        <w:rPr>
          <w:kern w:val="0"/>
        </w:rPr>
        <w:t>河</w:t>
      </w:r>
      <w:r>
        <w:rPr>
          <w:rFonts w:hint="eastAsia"/>
        </w:rPr>
        <w:t>均有分布。</w:t>
      </w:r>
    </w:p>
    <w:p>
      <w:pPr>
        <w:widowControl/>
        <w:ind w:firstLine="480"/>
        <w:contextualSpacing/>
        <w:jc w:val="left"/>
        <w:rPr>
          <w:kern w:val="0"/>
        </w:rPr>
      </w:pPr>
      <w:r>
        <w:rPr>
          <w:kern w:val="0"/>
        </w:rPr>
        <w:t>因此，</w:t>
      </w:r>
      <w:r>
        <w:rPr>
          <w:rFonts w:hint="eastAsia"/>
          <w:kern w:val="0"/>
        </w:rPr>
        <w:t>本次环评拟选择蔡家河</w:t>
      </w:r>
      <w:r>
        <w:rPr>
          <w:kern w:val="0"/>
        </w:rPr>
        <w:t>作为</w:t>
      </w:r>
      <w:r>
        <w:rPr>
          <w:rFonts w:hint="eastAsia"/>
          <w:kern w:val="0"/>
        </w:rPr>
        <w:t>本项目</w:t>
      </w:r>
      <w:r>
        <w:rPr>
          <w:kern w:val="0"/>
        </w:rPr>
        <w:t>鱼类栖息地保护的主要河段。</w:t>
      </w:r>
    </w:p>
    <w:p>
      <w:pPr>
        <w:widowControl/>
        <w:numPr>
          <w:ilvl w:val="0"/>
          <w:numId w:val="2"/>
        </w:numPr>
        <w:ind w:firstLine="480"/>
        <w:contextualSpacing/>
        <w:jc w:val="left"/>
        <w:rPr>
          <w:kern w:val="0"/>
        </w:rPr>
      </w:pPr>
      <w:r>
        <w:rPr>
          <w:kern w:val="0"/>
        </w:rPr>
        <w:t>栖息地保护</w:t>
      </w:r>
    </w:p>
    <w:p>
      <w:pPr>
        <w:widowControl/>
        <w:ind w:firstLine="480"/>
        <w:contextualSpacing/>
        <w:jc w:val="left"/>
        <w:rPr>
          <w:kern w:val="0"/>
        </w:rPr>
      </w:pPr>
      <w:r>
        <w:rPr>
          <w:rFonts w:hint="eastAsia"/>
          <w:kern w:val="0"/>
        </w:rPr>
        <w:t>鱼类栖息地保护工程措施和管理措施主要包括：</w:t>
      </w:r>
    </w:p>
    <w:p>
      <w:pPr>
        <w:widowControl/>
        <w:ind w:firstLine="480"/>
        <w:contextualSpacing/>
        <w:jc w:val="left"/>
        <w:rPr>
          <w:kern w:val="0"/>
        </w:rPr>
      </w:pPr>
      <w:r>
        <w:rPr>
          <w:kern w:val="0"/>
        </w:rPr>
        <w:t>1）河道整治措施：寒溪寺水库建成以后，对河道进行</w:t>
      </w:r>
      <w:r>
        <w:rPr>
          <w:rFonts w:hint="eastAsia"/>
          <w:kern w:val="0"/>
        </w:rPr>
        <w:t>适当的</w:t>
      </w:r>
      <w:r>
        <w:rPr>
          <w:kern w:val="0"/>
        </w:rPr>
        <w:t>生态恢复，增加水底生境条件</w:t>
      </w:r>
      <w:r>
        <w:rPr>
          <w:rFonts w:hint="eastAsia"/>
          <w:kern w:val="0"/>
        </w:rPr>
        <w:t>，并禁止修建改变河流水文情势的拦河设施，</w:t>
      </w:r>
      <w:r>
        <w:rPr>
          <w:kern w:val="0"/>
        </w:rPr>
        <w:t>加强栖息地的生态连通性。</w:t>
      </w:r>
    </w:p>
    <w:p>
      <w:pPr>
        <w:widowControl/>
        <w:ind w:firstLine="480"/>
        <w:contextualSpacing/>
        <w:jc w:val="left"/>
        <w:rPr>
          <w:kern w:val="0"/>
        </w:rPr>
      </w:pPr>
      <w:r>
        <w:rPr>
          <w:rFonts w:hint="eastAsia"/>
          <w:kern w:val="0"/>
        </w:rPr>
        <w:t>2</w:t>
      </w:r>
      <w:r>
        <w:rPr>
          <w:kern w:val="0"/>
        </w:rPr>
        <w:t>）</w:t>
      </w:r>
      <w:r>
        <w:rPr>
          <w:bCs/>
        </w:rPr>
        <w:t>打击违法捕鱼，如电捕鱼、炸鱼、毒鱼等，加强《渔业法》的宣传，严禁在禁渔期捕鱼，发动群众参与鱼类资源的保护。</w:t>
      </w:r>
      <w:r>
        <w:rPr>
          <w:kern w:val="0"/>
        </w:rPr>
        <w:t>库区禁止对水质有影响的网箱养鱼和肥水养鱼等养殖行为。</w:t>
      </w:r>
    </w:p>
    <w:p>
      <w:pPr>
        <w:widowControl/>
        <w:ind w:firstLine="480"/>
        <w:contextualSpacing/>
        <w:jc w:val="left"/>
        <w:rPr>
          <w:kern w:val="0"/>
        </w:rPr>
      </w:pPr>
      <w:r>
        <w:rPr>
          <w:rFonts w:hint="eastAsia"/>
          <w:kern w:val="0"/>
        </w:rPr>
        <w:t>3</w:t>
      </w:r>
      <w:r>
        <w:rPr>
          <w:kern w:val="0"/>
        </w:rPr>
        <w:t>）寒溪寺水库和化成库区由水库管理部门在渔政监督下进行定期或不定期捕捞鲢、鳙（不能繁殖），再投放新的苗种。</w:t>
      </w:r>
    </w:p>
    <w:p>
      <w:pPr>
        <w:ind w:firstLine="0" w:firstLineChars="0"/>
        <w:contextualSpacing/>
        <w:outlineLvl w:val="3"/>
        <w:rPr>
          <w:b/>
          <w:bCs/>
        </w:rPr>
      </w:pPr>
      <w:r>
        <w:rPr>
          <w:b/>
          <w:bCs/>
        </w:rPr>
        <w:t>6.3.2.6水生生态监测</w:t>
      </w:r>
    </w:p>
    <w:p>
      <w:pPr>
        <w:ind w:firstLine="480"/>
        <w:contextualSpacing/>
      </w:pPr>
      <w:r>
        <w:t>见章节8.3.6水生生态监测计划。</w:t>
      </w:r>
    </w:p>
    <w:p>
      <w:pPr>
        <w:ind w:firstLine="0" w:firstLineChars="0"/>
        <w:contextualSpacing/>
        <w:outlineLvl w:val="3"/>
        <w:rPr>
          <w:bCs/>
        </w:rPr>
      </w:pPr>
      <w:r>
        <w:rPr>
          <w:b/>
          <w:bCs/>
        </w:rPr>
        <w:t>6.3.2.7管理措施</w:t>
      </w:r>
    </w:p>
    <w:p>
      <w:pPr>
        <w:ind w:firstLine="480"/>
        <w:contextualSpacing/>
        <w:rPr>
          <w:bCs/>
        </w:rPr>
      </w:pPr>
      <w:r>
        <w:rPr>
          <w:bCs/>
        </w:rPr>
        <w:t>水生生态保护不但要运用工程措施，还要建立制度和内部用水规范等综合措施，以达到有效保护水资源和水生生物的目的。</w:t>
      </w:r>
    </w:p>
    <w:p>
      <w:pPr>
        <w:ind w:firstLine="480"/>
        <w:contextualSpacing/>
        <w:rPr>
          <w:bCs/>
        </w:rPr>
      </w:pPr>
      <w:r>
        <w:rPr>
          <w:bCs/>
        </w:rPr>
        <w:t>（1）加强渔政管理</w:t>
      </w:r>
    </w:p>
    <w:p>
      <w:pPr>
        <w:ind w:firstLine="480"/>
        <w:contextualSpacing/>
        <w:rPr>
          <w:bCs/>
        </w:rPr>
      </w:pPr>
      <w:r>
        <w:rPr>
          <w:bCs/>
        </w:rPr>
        <w:t>在寒溪寺水库工程的施工期和运营期，渔业主管部门应当加强监督管理，确保施工期生产废水和生活污水处理达标后排放；渣场、料场和生活垃圾按相关措施处理，减小固体废弃物对水环境的影响；同时还应加强渔政管理，打击违法捕鱼，加强《渔业法》的宣传，严禁在禁渔期捕鱼，发动群众参与鱼类资源的保护。在工程影响区域加大宣传力度，设立宣传和警示牌，并加强对施工人员的管理和环境保护的宣传力度；特别在寒溪寺水库工程建成后，在灌区内大力宣传和推广使用绿肥和环保型农药，保护河流水质。因此建议建设单位与渔政主管部门建立协调小组，加强施工期和营运期对影响区域的管理，特别是施工期的渔政监管尤为重要。由于为保证此项工作的有效开展，提高工作效率，并解决监管范围大的问题，项目承担单位应提供一定的经费以强化管理。</w:t>
      </w:r>
    </w:p>
    <w:p>
      <w:pPr>
        <w:ind w:firstLine="480"/>
        <w:contextualSpacing/>
        <w:rPr>
          <w:bCs/>
        </w:rPr>
      </w:pPr>
      <w:r>
        <w:rPr>
          <w:bCs/>
        </w:rPr>
        <w:t>（2）流域管理</w:t>
      </w:r>
    </w:p>
    <w:p>
      <w:pPr>
        <w:ind w:firstLine="480"/>
        <w:contextualSpacing/>
        <w:rPr>
          <w:bCs/>
        </w:rPr>
      </w:pPr>
      <w:r>
        <w:rPr>
          <w:bCs/>
        </w:rPr>
        <w:t>协调防洪、建设、水污染和水土保持监测等各方面的管理办法，抓好落实，加强河道用水管理，减少水污染，</w:t>
      </w:r>
      <w:r>
        <w:rPr>
          <w:rFonts w:hint="eastAsia"/>
          <w:bCs/>
        </w:rPr>
        <w:t>确保寒溪寺水库库区及坝下河流水质达到管理</w:t>
      </w:r>
      <w:r>
        <w:rPr>
          <w:bCs/>
        </w:rPr>
        <w:t>目标。</w:t>
      </w:r>
    </w:p>
    <w:p>
      <w:pPr>
        <w:ind w:firstLine="480"/>
        <w:contextualSpacing/>
        <w:rPr>
          <w:bCs/>
        </w:rPr>
      </w:pPr>
      <w:r>
        <w:rPr>
          <w:bCs/>
        </w:rPr>
        <w:t>（3）水库水源保护</w:t>
      </w:r>
    </w:p>
    <w:p>
      <w:pPr>
        <w:ind w:firstLine="480"/>
        <w:contextualSpacing/>
        <w:rPr>
          <w:bCs/>
        </w:rPr>
      </w:pPr>
      <w:r>
        <w:rPr>
          <w:bCs/>
        </w:rPr>
        <w:t>加强水政及环保法规宣传教育，使水库库周及渠道沿线居民依法保护库区和渠道水质。工程建成后应加强库区周边及渠道沿线各乡镇的废污水排放控制，做到库周不新增污染源，并防止将废污水排入渠道。</w:t>
      </w:r>
    </w:p>
    <w:p>
      <w:pPr>
        <w:ind w:firstLine="480"/>
        <w:contextualSpacing/>
        <w:rPr>
          <w:bCs/>
        </w:rPr>
      </w:pPr>
      <w:r>
        <w:rPr>
          <w:bCs/>
        </w:rPr>
        <w:t>为加强水库水源地保护，建议报请政府划定饮用水水源地保护区范围，定期对水源进行水质监测，做好水源区域保护，杜绝源头污染，确保供水安全。</w:t>
      </w:r>
    </w:p>
    <w:p>
      <w:pPr>
        <w:ind w:firstLine="480"/>
        <w:contextualSpacing/>
        <w:rPr>
          <w:bCs/>
        </w:rPr>
      </w:pPr>
      <w:r>
        <w:rPr>
          <w:bCs/>
        </w:rPr>
        <w:t>（4）灌区水体保护</w:t>
      </w:r>
    </w:p>
    <w:p>
      <w:pPr>
        <w:ind w:firstLine="480"/>
        <w:contextualSpacing/>
        <w:rPr>
          <w:bCs/>
        </w:rPr>
      </w:pPr>
      <w:r>
        <w:rPr>
          <w:bCs/>
        </w:rPr>
        <w:t>为防止对沿渠水质污染，应加强水政宣传教育，不得在渠道内淘洗、抛弃有毒有害和污秽物品。灌区大力推广生态农业，减少化肥农药的施用量，禁止使用剧毒农药，以减少面污染负荷及其危害。通过水土保持措施的实施，进行渠堤绿化，避免灌区小流域汇流增加渠道内污染物及泥沙含量。定期进行水质监测，为掌握水质状况及制定环保政策提供依据。</w:t>
      </w:r>
    </w:p>
    <w:p>
      <w:pPr>
        <w:ind w:firstLine="480"/>
        <w:contextualSpacing/>
        <w:rPr>
          <w:bCs/>
        </w:rPr>
      </w:pPr>
      <w:r>
        <w:rPr>
          <w:bCs/>
        </w:rPr>
        <w:t>（5）加强法律保护</w:t>
      </w:r>
    </w:p>
    <w:p>
      <w:pPr>
        <w:ind w:firstLine="480"/>
        <w:contextualSpacing/>
        <w:rPr>
          <w:bCs/>
        </w:rPr>
      </w:pPr>
      <w:r>
        <w:rPr>
          <w:bCs/>
        </w:rPr>
        <w:t>加强水资源保护政策法规的建设；依法行政，建立水资源保护法规体系和执法体系，进行统一检测和管理。</w:t>
      </w:r>
    </w:p>
    <w:p>
      <w:pPr>
        <w:ind w:firstLine="480"/>
        <w:contextualSpacing/>
        <w:rPr>
          <w:bCs/>
        </w:rPr>
      </w:pPr>
      <w:r>
        <w:rPr>
          <w:bCs/>
        </w:rPr>
        <w:t>（6）加强水资源宣传力度</w:t>
      </w:r>
    </w:p>
    <w:p>
      <w:pPr>
        <w:ind w:firstLine="480"/>
        <w:contextualSpacing/>
        <w:rPr>
          <w:bCs/>
        </w:rPr>
      </w:pPr>
      <w:r>
        <w:rPr>
          <w:bCs/>
        </w:rPr>
        <w:t>深入开展水资源保护宣传，增加全民的水忧患意识，形成一个人人爱水、保护水的氛围。</w:t>
      </w:r>
    </w:p>
    <w:p>
      <w:pPr>
        <w:pStyle w:val="4"/>
        <w:ind w:firstLine="0" w:firstLineChars="0"/>
        <w:contextualSpacing/>
      </w:pPr>
      <w:bookmarkStart w:id="824" w:name="_Toc130753448"/>
      <w:r>
        <w:t>6.4大气环境保护措施</w:t>
      </w:r>
      <w:bookmarkEnd w:id="819"/>
      <w:bookmarkEnd w:id="820"/>
      <w:bookmarkEnd w:id="824"/>
    </w:p>
    <w:p>
      <w:pPr>
        <w:pStyle w:val="5"/>
        <w:ind w:firstLine="0" w:firstLineChars="0"/>
        <w:contextualSpacing/>
      </w:pPr>
      <w:r>
        <w:rPr>
          <w:rFonts w:ascii="Times New Roman" w:hAnsi="Times New Roman"/>
        </w:rPr>
        <w:t>6.4.1</w:t>
      </w:r>
      <w:r>
        <w:rPr>
          <w:rFonts w:hint="eastAsia" w:ascii="Times New Roman" w:hAnsi="Times New Roman"/>
        </w:rPr>
        <w:t>污染源控制措施</w:t>
      </w:r>
    </w:p>
    <w:p>
      <w:pPr>
        <w:ind w:firstLine="480" w:firstLineChars="0"/>
        <w:contextualSpacing/>
      </w:pPr>
      <w:r>
        <w:rPr>
          <w:rFonts w:hint="eastAsia"/>
        </w:rPr>
        <w:t>（</w:t>
      </w:r>
      <w:r>
        <w:t>1</w:t>
      </w:r>
      <w:r>
        <w:rPr>
          <w:rFonts w:hint="eastAsia"/>
        </w:rPr>
        <w:t>）优化施工布置，根据地形条件合理布置施工生产设施，避免施工过程中产生的粉尘、废气影响施工人员及附近居民的居住环境。</w:t>
      </w:r>
    </w:p>
    <w:p>
      <w:pPr>
        <w:ind w:firstLine="480" w:firstLineChars="0"/>
        <w:contextualSpacing/>
      </w:pPr>
      <w:r>
        <w:rPr>
          <w:rFonts w:hint="eastAsia"/>
        </w:rPr>
        <w:t>（</w:t>
      </w:r>
      <w:r>
        <w:t>2</w:t>
      </w:r>
      <w:r>
        <w:rPr>
          <w:rFonts w:hint="eastAsia"/>
        </w:rPr>
        <w:t>）加工施工环境管理及施工人员的教育，要求施工人员按照规定开展生产系统的施工作业，控制施工对大气的污染。</w:t>
      </w:r>
    </w:p>
    <w:p>
      <w:pPr>
        <w:ind w:firstLine="480" w:firstLineChars="0"/>
        <w:contextualSpacing/>
      </w:pPr>
      <w:r>
        <w:rPr>
          <w:rFonts w:hint="eastAsia"/>
        </w:rPr>
        <w:t>（</w:t>
      </w:r>
      <w:r>
        <w:t>3</w:t>
      </w:r>
      <w:r>
        <w:rPr>
          <w:rFonts w:hint="eastAsia"/>
        </w:rPr>
        <w:t>）定期开展环境监测，掌握寒溪寺水库施工对区域空气质量的影响及范围。</w:t>
      </w:r>
    </w:p>
    <w:p>
      <w:pPr>
        <w:pStyle w:val="5"/>
        <w:ind w:firstLine="0" w:firstLineChars="0"/>
        <w:contextualSpacing/>
        <w:rPr>
          <w:rFonts w:ascii="Times New Roman" w:hAnsi="Times New Roman"/>
        </w:rPr>
      </w:pPr>
      <w:bookmarkStart w:id="825" w:name="_Toc30188"/>
      <w:bookmarkStart w:id="826" w:name="_Toc25574"/>
      <w:r>
        <w:rPr>
          <w:rFonts w:ascii="Times New Roman" w:hAnsi="Times New Roman"/>
        </w:rPr>
        <w:t>6.4.</w:t>
      </w:r>
      <w:r>
        <w:rPr>
          <w:rFonts w:hint="eastAsia" w:ascii="Times New Roman" w:hAnsi="Times New Roman"/>
        </w:rPr>
        <w:t>2</w:t>
      </w:r>
      <w:r>
        <w:rPr>
          <w:rFonts w:ascii="Times New Roman" w:hAnsi="Times New Roman"/>
        </w:rPr>
        <w:t>混凝土拌和系统粉尘控制</w:t>
      </w:r>
      <w:bookmarkEnd w:id="825"/>
      <w:bookmarkEnd w:id="826"/>
    </w:p>
    <w:p>
      <w:pPr>
        <w:ind w:firstLine="480"/>
        <w:contextualSpacing/>
      </w:pPr>
      <w:r>
        <w:t>（1）水泥和掺合料运输必须采用封闭措施，避免在运输过程中的扬尘。水泥和掺合料装卸要实行封闭作业。</w:t>
      </w:r>
    </w:p>
    <w:p>
      <w:pPr>
        <w:ind w:firstLine="480"/>
        <w:contextualSpacing/>
      </w:pPr>
      <w:r>
        <w:t>（2）混凝土拌和系统采用具有除尘设备的装置。应采用全封闭混凝土生产系统，选用自动化拌和楼以减少粉尘的飞扬，水泥输送选用螺旋输送机，管道接口密封，在袋装水泥（粉煤灰）仓库和贮罐顶部装设脉冲袋式除尘器作为除尘设备，以降低现场粉尘，并在现场及附近洒水降尘，降低粉尘影响时间和范围。</w:t>
      </w:r>
    </w:p>
    <w:p>
      <w:pPr>
        <w:ind w:firstLine="480"/>
        <w:contextualSpacing/>
      </w:pPr>
      <w:r>
        <w:t>（3）混凝土拌和系统设备要符合国家有关标准，加工系统附近采用洒水降尘的方法，结合水土保持中的绿化措施，以降低粉尘污染的程度。</w:t>
      </w:r>
    </w:p>
    <w:p>
      <w:pPr>
        <w:ind w:firstLine="480"/>
        <w:contextualSpacing/>
      </w:pPr>
      <w:r>
        <w:t>（4）细骨料堆应设简易棚，骨料堆积的边坡角度应稳定，细骨料堆应适当加湿，防止细骨料被风吹散。</w:t>
      </w:r>
    </w:p>
    <w:p>
      <w:pPr>
        <w:pStyle w:val="5"/>
        <w:ind w:firstLine="0" w:firstLineChars="0"/>
        <w:contextualSpacing/>
        <w:rPr>
          <w:rFonts w:ascii="Times New Roman" w:hAnsi="Times New Roman"/>
        </w:rPr>
      </w:pPr>
      <w:bookmarkStart w:id="827" w:name="_Toc24955"/>
      <w:bookmarkStart w:id="828" w:name="_Toc1588"/>
      <w:r>
        <w:rPr>
          <w:rFonts w:ascii="Times New Roman" w:hAnsi="Times New Roman"/>
        </w:rPr>
        <w:t>6.4.</w:t>
      </w:r>
      <w:r>
        <w:rPr>
          <w:rFonts w:hint="eastAsia" w:ascii="Times New Roman" w:hAnsi="Times New Roman"/>
        </w:rPr>
        <w:t>3</w:t>
      </w:r>
      <w:r>
        <w:rPr>
          <w:rFonts w:ascii="Times New Roman" w:hAnsi="Times New Roman"/>
        </w:rPr>
        <w:t>施工开挖、爆破粉尘防治</w:t>
      </w:r>
      <w:bookmarkEnd w:id="827"/>
      <w:bookmarkEnd w:id="828"/>
    </w:p>
    <w:p>
      <w:pPr>
        <w:ind w:firstLine="480"/>
        <w:contextualSpacing/>
      </w:pPr>
      <w:r>
        <w:t>（1）选用低尘工艺，工程爆破方式应优先选择凿裂爆破、预裂爆破、光面爆破和缓冲爆破技术等，以减少粉尘产生量。</w:t>
      </w:r>
    </w:p>
    <w:p>
      <w:pPr>
        <w:ind w:firstLine="480"/>
        <w:contextualSpacing/>
      </w:pPr>
      <w:r>
        <w:t>（2）凿裂、钻孔、爆破应采用湿法作业，以降低粉尘。</w:t>
      </w:r>
    </w:p>
    <w:p>
      <w:pPr>
        <w:ind w:firstLine="480"/>
        <w:contextualSpacing/>
      </w:pPr>
      <w:r>
        <w:t>（3）爆破钻孔设备要选用带除尘器的钻机，爆破时应尽量采用草袋覆盖爆破面，减少粉尘的排放量。</w:t>
      </w:r>
    </w:p>
    <w:p>
      <w:pPr>
        <w:ind w:firstLine="480"/>
        <w:contextualSpacing/>
      </w:pPr>
      <w:r>
        <w:t>（4）配置洒水车，在大坝、进场道路等多粉尘作业面配备人员及设备，非雨日每日洒水降尘，加速粉尘沉降，减小粉尘影响时间与范围。</w:t>
      </w:r>
    </w:p>
    <w:p>
      <w:pPr>
        <w:ind w:firstLine="480"/>
        <w:contextualSpacing/>
      </w:pPr>
      <w:r>
        <w:t>（5）施工弃土弃渣等及时清运至弃渣场堆放处理。</w:t>
      </w:r>
    </w:p>
    <w:p>
      <w:pPr>
        <w:ind w:firstLine="480"/>
        <w:contextualSpacing/>
      </w:pPr>
      <w:r>
        <w:t>（6）加强施工人员个人防护，佩戴防尘口罩等。定期对施工人员进行身体检查，提高健康意识，积极有效地强调施工人员的个人自我保护效用，并按照有关劳动保护的规定，加强劳动保护。</w:t>
      </w:r>
    </w:p>
    <w:p>
      <w:pPr>
        <w:pStyle w:val="5"/>
        <w:ind w:firstLine="0" w:firstLineChars="0"/>
        <w:contextualSpacing/>
        <w:rPr>
          <w:rFonts w:ascii="Times New Roman" w:hAnsi="Times New Roman"/>
        </w:rPr>
      </w:pPr>
      <w:bookmarkStart w:id="829" w:name="_Toc31097"/>
      <w:bookmarkStart w:id="830" w:name="_Toc16421"/>
      <w:r>
        <w:rPr>
          <w:rFonts w:ascii="Times New Roman" w:hAnsi="Times New Roman"/>
        </w:rPr>
        <w:t>6.4.</w:t>
      </w:r>
      <w:r>
        <w:rPr>
          <w:rFonts w:hint="eastAsia" w:ascii="Times New Roman" w:hAnsi="Times New Roman"/>
        </w:rPr>
        <w:t>4</w:t>
      </w:r>
      <w:r>
        <w:rPr>
          <w:rFonts w:ascii="Times New Roman" w:hAnsi="Times New Roman"/>
        </w:rPr>
        <w:t>交通扬尘、尾气与机械燃油废气防治</w:t>
      </w:r>
      <w:bookmarkEnd w:id="829"/>
      <w:bookmarkEnd w:id="830"/>
    </w:p>
    <w:p>
      <w:pPr>
        <w:ind w:firstLine="480"/>
        <w:contextualSpacing/>
      </w:pPr>
      <w:r>
        <w:t>（1）在运输水泥、粉煤灰等材料时采取储罐、密封运输方式，运送渣土等应遮盖运输，防止沿程遗撒；严禁超载。</w:t>
      </w:r>
    </w:p>
    <w:p>
      <w:pPr>
        <w:ind w:firstLine="480"/>
        <w:contextualSpacing/>
      </w:pPr>
      <w:r>
        <w:t>（2）提高公路路面等级、及时清扫路面粉尘，定时进行洒水降尘工作。特别是大坝进场路段，需对其洒水降尘及清扫路面的力度应加大，建议成立公路养护、清扫专业队伍，施工阶段在无雨日对汽车行驶路面勤洒水，每天3～4次，可减少扬尘70%左右。</w:t>
      </w:r>
    </w:p>
    <w:p>
      <w:pPr>
        <w:ind w:firstLine="480"/>
        <w:contextualSpacing/>
      </w:pPr>
      <w:r>
        <w:t>（3）降低车速，在进场道路入口区域设置限速标志，以减轻交通扬尘对附近居民点的影响。</w:t>
      </w:r>
    </w:p>
    <w:p>
      <w:pPr>
        <w:ind w:firstLine="480"/>
        <w:contextualSpacing/>
      </w:pPr>
      <w:r>
        <w:t>（4）结合水土保持措施，依不同路段情况，在可绿化区段栽植乔木、灌木等。</w:t>
      </w:r>
    </w:p>
    <w:p>
      <w:pPr>
        <w:ind w:firstLine="480"/>
        <w:contextualSpacing/>
      </w:pPr>
      <w:r>
        <w:t>（5）车辆尾气：安装尾气净化器，保证尾气达标排放；确保执行汽车报废标准，推行强制更新报废制度，对于发动机耗油多、效率低、尾气排放严重超标的老、旧车辆，及时更新。</w:t>
      </w:r>
    </w:p>
    <w:p>
      <w:pPr>
        <w:ind w:firstLine="480"/>
        <w:contextualSpacing/>
      </w:pPr>
      <w:r>
        <w:t>（6）燃油机械废气：在下一阶段进一步优化工艺，减少油料量；同时定期维修、保养机械设备，排污量大的燃油设备需配置尾气净化装置。每年11月至次年4月，加强对燃油机械废气的削减力度。</w:t>
      </w:r>
    </w:p>
    <w:p>
      <w:pPr>
        <w:ind w:firstLine="480"/>
        <w:contextualSpacing/>
      </w:pPr>
      <w:r>
        <w:t>（7）敏感目标防护措施：</w:t>
      </w:r>
    </w:p>
    <w:p>
      <w:pPr>
        <w:ind w:firstLine="480"/>
        <w:contextualSpacing/>
      </w:pPr>
      <w:r>
        <w:t>除落实（2）中所列的环境空气保护措施外，对环境空气保护目标还应采取以下保护措施：</w:t>
      </w:r>
    </w:p>
    <w:p>
      <w:pPr>
        <w:ind w:firstLine="480"/>
        <w:contextualSpacing/>
      </w:pPr>
      <w:r>
        <w:t>1）对受施工交通扬尘影响的居民点，通过密闭运输、保持路面湿润清洁等措施，可以有效减轻扬尘影响。</w:t>
      </w:r>
    </w:p>
    <w:p>
      <w:pPr>
        <w:ind w:firstLine="480"/>
        <w:contextualSpacing/>
      </w:pPr>
      <w:r>
        <w:t>2）对受渣场扬尘和施工生产生活区扬尘影响的范围，应加强洒水次数和绿化覆盖，如裸露地表播撒草籽或土工布覆盖、场界处加强乔灌草隔离带建设等。对距离枢纽施工区较近的居民点一侧设不低于1.8m的施工围栏，灌区各渣场及施工围栏长度为50m。</w:t>
      </w:r>
    </w:p>
    <w:p>
      <w:pPr>
        <w:pStyle w:val="4"/>
        <w:ind w:firstLine="0" w:firstLineChars="0"/>
        <w:contextualSpacing/>
      </w:pPr>
      <w:bookmarkStart w:id="831" w:name="_Toc4619"/>
      <w:bookmarkStart w:id="832" w:name="_Toc28752"/>
      <w:bookmarkStart w:id="833" w:name="_Toc130753449"/>
      <w:r>
        <w:t>6.5声环境保护措施</w:t>
      </w:r>
      <w:bookmarkEnd w:id="831"/>
      <w:bookmarkEnd w:id="832"/>
      <w:bookmarkEnd w:id="833"/>
    </w:p>
    <w:p>
      <w:pPr>
        <w:pStyle w:val="5"/>
        <w:ind w:firstLine="0" w:firstLineChars="0"/>
        <w:contextualSpacing/>
        <w:rPr>
          <w:rFonts w:ascii="Times New Roman" w:hAnsi="Times New Roman"/>
        </w:rPr>
      </w:pPr>
      <w:bookmarkStart w:id="834" w:name="_Toc15432"/>
      <w:bookmarkStart w:id="835" w:name="_Toc17582"/>
      <w:r>
        <w:rPr>
          <w:rFonts w:ascii="Times New Roman" w:hAnsi="Times New Roman"/>
        </w:rPr>
        <w:t>6.5.1施工期噪声防治措施</w:t>
      </w:r>
      <w:bookmarkEnd w:id="834"/>
      <w:bookmarkEnd w:id="835"/>
    </w:p>
    <w:p>
      <w:pPr>
        <w:ind w:firstLine="0" w:firstLineChars="0"/>
        <w:contextualSpacing/>
        <w:outlineLvl w:val="3"/>
        <w:rPr>
          <w:b/>
          <w:bCs/>
        </w:rPr>
      </w:pPr>
      <w:r>
        <w:rPr>
          <w:b/>
          <w:bCs/>
        </w:rPr>
        <w:t>6.5.1.1噪声源控制措施</w:t>
      </w:r>
    </w:p>
    <w:p>
      <w:pPr>
        <w:ind w:firstLine="480"/>
        <w:contextualSpacing/>
      </w:pPr>
      <w:r>
        <w:t>（1）选用低噪声机械设备，同时加强施工设备的维护和保养，对振动大的机械设备使用减振基座或减振垫，从根本上降低噪声源强。</w:t>
      </w:r>
    </w:p>
    <w:p>
      <w:pPr>
        <w:ind w:firstLine="480"/>
        <w:contextualSpacing/>
      </w:pPr>
      <w:r>
        <w:t>（2）选用符合国家有关环保标准的施工车辆，如运输车辆噪声应符合《汽车定置噪声限值》（GB16170-1996）和《汽车加速行驶车外噪声限值及测量方法》（GB1495-2002）等。</w:t>
      </w:r>
    </w:p>
    <w:p>
      <w:pPr>
        <w:ind w:firstLine="480"/>
        <w:contextualSpacing/>
      </w:pPr>
      <w:r>
        <w:t>（3）优化施工布置</w:t>
      </w:r>
      <w:r>
        <w:rPr>
          <w:rFonts w:hint="eastAsia"/>
        </w:rPr>
        <w:t>和施工工艺</w:t>
      </w:r>
      <w:r>
        <w:t>，施工强噪声源尽量远离居民点布置。</w:t>
      </w:r>
    </w:p>
    <w:p>
      <w:pPr>
        <w:ind w:firstLine="480"/>
        <w:contextualSpacing/>
      </w:pPr>
      <w:r>
        <w:t>（4）合理规划施工时间，特别是受施工噪声影响较大的路段，禁止夜间施工。须连续施工作业的施工点，施工单位应与当地环境保护部门联系，按规定申领夜间施工证，同时发布公告，最大限度地争取民众支持，并采取移动式或临时声屏障等防噪措施。</w:t>
      </w:r>
    </w:p>
    <w:p>
      <w:pPr>
        <w:ind w:firstLine="480"/>
        <w:contextualSpacing/>
      </w:pPr>
      <w:r>
        <w:t>（5）尽量缩短高噪声意机械设备的使用时间，配备减震坐垫和隔音装置，降低噪声源的声级强度。加强施工机械的保养，做好机械设备使用前的检修，使设备性能处于良好状态。</w:t>
      </w:r>
    </w:p>
    <w:p>
      <w:pPr>
        <w:ind w:firstLine="480"/>
        <w:contextualSpacing/>
      </w:pPr>
      <w:r>
        <w:t>（6）对高噪声设备施工，通过安装消声管、消声器、隔声罩进行降噪；产生噪声的部件可以部分或完全封闭，并用减振垫、防振座等手段减少振动面板的振幅。</w:t>
      </w:r>
    </w:p>
    <w:p>
      <w:pPr>
        <w:ind w:firstLine="480"/>
        <w:contextualSpacing/>
      </w:pPr>
      <w:r>
        <w:t>（7）施工爆破采用先进的爆破技术，炮眼分散，不集中放炮，控制加药量，禁止夜间爆破；施工过程尽量避免打干钻，湿钻可使噪声降低 30dB（A）左右。</w:t>
      </w:r>
    </w:p>
    <w:p>
      <w:pPr>
        <w:ind w:firstLine="0" w:firstLineChars="0"/>
        <w:contextualSpacing/>
        <w:outlineLvl w:val="3"/>
        <w:rPr>
          <w:b/>
          <w:bCs/>
        </w:rPr>
      </w:pPr>
      <w:r>
        <w:rPr>
          <w:b/>
          <w:bCs/>
        </w:rPr>
        <w:t>6.5.1.2传播途径降噪措施</w:t>
      </w:r>
    </w:p>
    <w:p>
      <w:pPr>
        <w:ind w:firstLine="480"/>
        <w:contextualSpacing/>
      </w:pPr>
      <w:r>
        <w:t>（1）大坝区生产系统施工噪声防治</w:t>
      </w:r>
    </w:p>
    <w:p>
      <w:pPr>
        <w:ind w:firstLine="480"/>
        <w:contextualSpacing/>
      </w:pPr>
      <w:r>
        <w:t>根据预测，大坝右岸混凝土拌和系统对大坝上游敏感点造成影响。由于超标敏感点均属于淹没区内移民搬迁户，因此，评价要求在大坝施工前，完成移民搬迁工作，可完全避免对其产生的噪声影响。</w:t>
      </w:r>
    </w:p>
    <w:p>
      <w:pPr>
        <w:ind w:firstLine="480"/>
        <w:contextualSpacing/>
      </w:pPr>
      <w:r>
        <w:t>（2）大坝区进场交通噪声防治</w:t>
      </w:r>
    </w:p>
    <w:p>
      <w:pPr>
        <w:ind w:firstLine="480"/>
        <w:contextualSpacing/>
      </w:pPr>
      <w:r>
        <w:t>进场道路口外零星居民点受施工噪声影响不大，通过优化施工组织设计、加强施工管理、管制昼夜间施工强度等措施来减免影响。</w:t>
      </w:r>
    </w:p>
    <w:p>
      <w:pPr>
        <w:ind w:firstLine="480"/>
        <w:contextualSpacing/>
      </w:pPr>
      <w:r>
        <w:t>坝址东侧、西侧进场道路口处两侧的零星居民点受施工交通运输噪声影响相对较大，除采取减速行驶、禁止夜间施工等噪声源控制措施外。应对临路最近的居民屋前根据实际情况布设移动式隔声屏障，隔声屏障高3.0m，采用金属和复合材料结构，可拆卸重复使用。</w:t>
      </w:r>
    </w:p>
    <w:p>
      <w:pPr>
        <w:ind w:firstLine="480"/>
        <w:contextualSpacing/>
      </w:pPr>
      <w:r>
        <w:t>（3）灌区混凝土拌和系统噪声防治</w:t>
      </w:r>
    </w:p>
    <w:p>
      <w:pPr>
        <w:ind w:firstLine="480"/>
        <w:contextualSpacing/>
      </w:pPr>
      <w:r>
        <w:rPr>
          <w:rFonts w:hint="eastAsia"/>
        </w:rPr>
        <w:t>灌区沿线布置的</w:t>
      </w:r>
      <w:r>
        <w:t>混凝土拌和</w:t>
      </w:r>
      <w:r>
        <w:rPr>
          <w:rFonts w:hint="eastAsia"/>
        </w:rPr>
        <w:t>机</w:t>
      </w:r>
      <w:r>
        <w:t>，应设临时工棚，将生产设施置于工棚内进行。同时，施工区四周增设硬质围挡，以减轻施工对敏感点的噪声影响。</w:t>
      </w:r>
    </w:p>
    <w:p>
      <w:pPr>
        <w:pStyle w:val="5"/>
        <w:ind w:firstLine="0" w:firstLineChars="0"/>
        <w:contextualSpacing/>
        <w:rPr>
          <w:rFonts w:ascii="Times New Roman" w:hAnsi="Times New Roman"/>
        </w:rPr>
      </w:pPr>
      <w:bookmarkStart w:id="836" w:name="_Toc8084"/>
      <w:bookmarkStart w:id="837" w:name="_Toc14100"/>
      <w:r>
        <w:rPr>
          <w:rFonts w:ascii="Times New Roman" w:hAnsi="Times New Roman"/>
        </w:rPr>
        <w:t>6.5.2运营期噪声防护措施</w:t>
      </w:r>
      <w:bookmarkEnd w:id="836"/>
      <w:bookmarkEnd w:id="837"/>
    </w:p>
    <w:p>
      <w:pPr>
        <w:ind w:firstLine="480"/>
        <w:contextualSpacing/>
      </w:pPr>
      <w:r>
        <w:t>提水泵房灌、供水水泵（含电机）等优先选择低噪声设备；设备基础采取减振措施。</w:t>
      </w:r>
    </w:p>
    <w:p>
      <w:pPr>
        <w:ind w:firstLine="0" w:firstLineChars="0"/>
        <w:contextualSpacing/>
        <w:rPr>
          <w:b/>
          <w:bCs/>
        </w:rPr>
      </w:pPr>
      <w:r>
        <w:rPr>
          <w:b/>
          <w:bCs/>
        </w:rPr>
        <w:t>6.5.2.1传播途径降噪措施</w:t>
      </w:r>
    </w:p>
    <w:p>
      <w:pPr>
        <w:ind w:firstLine="480"/>
        <w:contextualSpacing/>
      </w:pPr>
      <w:r>
        <w:t>泵房位于室内，泵房采用隔声性能好的建筑材料，在房间四周、房顶增设吸音棉等消声隔声材料</w:t>
      </w:r>
    </w:p>
    <w:p>
      <w:pPr>
        <w:pStyle w:val="5"/>
        <w:ind w:firstLine="0" w:firstLineChars="0"/>
        <w:contextualSpacing/>
        <w:rPr>
          <w:rFonts w:ascii="Times New Roman" w:hAnsi="Times New Roman"/>
        </w:rPr>
      </w:pPr>
      <w:bookmarkStart w:id="838" w:name="_Toc30463"/>
      <w:r>
        <w:rPr>
          <w:rFonts w:ascii="Times New Roman" w:hAnsi="Times New Roman"/>
        </w:rPr>
        <w:t>6.5.3个人防护措施</w:t>
      </w:r>
      <w:bookmarkEnd w:id="838"/>
    </w:p>
    <w:p>
      <w:pPr>
        <w:ind w:firstLine="480"/>
        <w:contextualSpacing/>
      </w:pPr>
      <w:r>
        <w:t>工程施工噪声主要影响对象为场内施工人员，可采取配备使用耳塞、耳罩、防声头盔等个人防护措施进行保护。</w:t>
      </w:r>
    </w:p>
    <w:p>
      <w:pPr>
        <w:pStyle w:val="5"/>
        <w:ind w:firstLine="0" w:firstLineChars="0"/>
        <w:contextualSpacing/>
        <w:rPr>
          <w:rFonts w:ascii="Times New Roman" w:hAnsi="Times New Roman"/>
        </w:rPr>
      </w:pPr>
      <w:bookmarkStart w:id="839" w:name="_Toc27096"/>
      <w:r>
        <w:rPr>
          <w:rFonts w:ascii="Times New Roman" w:hAnsi="Times New Roman"/>
        </w:rPr>
        <w:t>6.5.4敏感点保护措施</w:t>
      </w:r>
      <w:bookmarkEnd w:id="839"/>
    </w:p>
    <w:p>
      <w:pPr>
        <w:ind w:firstLine="480"/>
        <w:contextualSpacing/>
      </w:pPr>
      <w:r>
        <w:t>根据预测结果，本工程区分布的部分居民点昼间和夜间噪声均存在不同程度的超标现象，需增加对敏感点的防护措施。</w:t>
      </w:r>
    </w:p>
    <w:p>
      <w:pPr>
        <w:ind w:firstLine="480"/>
        <w:contextualSpacing/>
      </w:pPr>
      <w:r>
        <w:t>（1）优化施工布置，将高噪声混凝土拌和系统远离居民点布置；合理安排施工时间，禁止夜间施工；</w:t>
      </w:r>
    </w:p>
    <w:p>
      <w:pPr>
        <w:ind w:firstLine="480"/>
        <w:contextualSpacing/>
      </w:pPr>
      <w:r>
        <w:t>（2）合理安排施工强度，合理布置机械设备，避免在同一地点集中布置过多强噪声设备；</w:t>
      </w:r>
    </w:p>
    <w:p>
      <w:pPr>
        <w:ind w:firstLine="480"/>
        <w:contextualSpacing/>
      </w:pPr>
      <w:r>
        <w:t>（3）对受噪声影响程度最大的是蔡家河西岸（与隧洞施工</w:t>
      </w:r>
      <w:r>
        <w:rPr>
          <w:rFonts w:hint="eastAsia"/>
        </w:rPr>
        <w:t>区域</w:t>
      </w:r>
      <w:r>
        <w:t>相邻）的盐井坡及距离渣场2#45m的老房子居民点，采取设置移动式声屏障降噪，底部采用滑轮形式，便于移动和重复利用。声屏障材料选择金属和复合材料结构，下部可采用穿孔铝合金板内包离心玻璃棉，上部采用双效微穿孔板共振吸声结构，中部使用双钢化夹胶玻璃板。声屏障高度3m，倒L型声屏障结构。</w:t>
      </w:r>
    </w:p>
    <w:p>
      <w:pPr>
        <w:ind w:firstLine="480"/>
        <w:contextualSpacing/>
      </w:pPr>
      <w:r>
        <w:t>（4）对夜间超标的敏感点，施工前及时告知受影响居民，做好宣传工作，取得其理解和支持，合理安排施工时间，尽量避开午间居民休息时段施工。</w:t>
      </w:r>
    </w:p>
    <w:p>
      <w:pPr>
        <w:pStyle w:val="4"/>
        <w:ind w:firstLine="0" w:firstLineChars="0"/>
        <w:contextualSpacing/>
      </w:pPr>
      <w:bookmarkStart w:id="840" w:name="_Toc22019"/>
      <w:bookmarkStart w:id="841" w:name="_Toc32511"/>
      <w:bookmarkStart w:id="842" w:name="_Toc130753450"/>
      <w:r>
        <w:t>6.6固体废物处置措施</w:t>
      </w:r>
      <w:bookmarkEnd w:id="840"/>
      <w:bookmarkEnd w:id="841"/>
      <w:bookmarkEnd w:id="842"/>
    </w:p>
    <w:p>
      <w:pPr>
        <w:pStyle w:val="5"/>
        <w:ind w:firstLine="0" w:firstLineChars="0"/>
        <w:contextualSpacing/>
        <w:rPr>
          <w:rFonts w:ascii="Times New Roman" w:hAnsi="Times New Roman"/>
        </w:rPr>
      </w:pPr>
      <w:bookmarkStart w:id="843" w:name="_Toc12272"/>
      <w:bookmarkStart w:id="844" w:name="_Toc4189"/>
      <w:r>
        <w:rPr>
          <w:rFonts w:ascii="Times New Roman" w:hAnsi="Times New Roman"/>
        </w:rPr>
        <w:t>6.6.1工程弃渣处理措施</w:t>
      </w:r>
      <w:bookmarkEnd w:id="843"/>
      <w:bookmarkEnd w:id="844"/>
    </w:p>
    <w:p>
      <w:pPr>
        <w:ind w:firstLine="480"/>
        <w:contextualSpacing/>
      </w:pPr>
      <w:r>
        <w:t>施工弃渣必须堆放至规定的渣场，施工中严禁随意弃渣。</w:t>
      </w:r>
      <w:r>
        <w:rPr>
          <w:kern w:val="0"/>
        </w:rPr>
        <w:t xml:space="preserve">为了防止弃渣增加水土流失量，应该对土石弃渣采取妥善处理措施。堆渣前，先拦后弃，在弃渣的过程中要逐层压实，始终保持渣场平整，并且根据弃渣场的现状，修建完善的排水沟、砌筑挡墙等防护设施，避免环境污染和水土流失。施工完毕后要对弃渣场进行迹地恢复，加强植树种草等绿化措施，防治水土流失。 </w:t>
      </w:r>
    </w:p>
    <w:p>
      <w:pPr>
        <w:pStyle w:val="5"/>
        <w:ind w:firstLine="0" w:firstLineChars="0"/>
        <w:contextualSpacing/>
        <w:rPr>
          <w:rFonts w:ascii="Times New Roman" w:hAnsi="Times New Roman"/>
        </w:rPr>
      </w:pPr>
      <w:bookmarkStart w:id="845" w:name="_Toc13928"/>
      <w:bookmarkStart w:id="846" w:name="_Toc2912"/>
      <w:r>
        <w:rPr>
          <w:rFonts w:ascii="Times New Roman" w:hAnsi="Times New Roman"/>
        </w:rPr>
        <w:t>6.6.2生活垃圾处理措施</w:t>
      </w:r>
      <w:bookmarkEnd w:id="845"/>
      <w:bookmarkEnd w:id="846"/>
    </w:p>
    <w:p>
      <w:pPr>
        <w:ind w:firstLine="480"/>
        <w:contextualSpacing/>
      </w:pPr>
      <w:r>
        <w:t>施工期生活垃圾总产量约312.6t。施工期生活垃圾处理属于临时工程，生活垃圾总量不大，拟采取生活垃圾统一收集后，委托环卫部门统一清运至城市垃圾填埋场进行处理。</w:t>
      </w:r>
    </w:p>
    <w:p>
      <w:pPr>
        <w:ind w:firstLine="480"/>
        <w:contextualSpacing/>
      </w:pPr>
      <w:r>
        <w:t>生活垃圾处理具体操作如下：施工期，在生活营地附近设置垃圾收集池，并在各施工生活区设置垃圾桶，清扫后的生活垃圾集中至垃圾桶内，垃圾桶内的垃圾由清洁人员集中至垃圾收集池，再由相邻场镇环卫部门定期清运至生活垃圾处理场进行处理。</w:t>
      </w:r>
    </w:p>
    <w:p>
      <w:pPr>
        <w:ind w:firstLine="480"/>
        <w:contextualSpacing/>
      </w:pPr>
      <w:r>
        <w:t>运行期水库管理处生产人员生活垃圾集中堆放、及时清运、统一处理，可以合同形式委托当地环卫部门实施，纳入市政管理系统。</w:t>
      </w:r>
    </w:p>
    <w:p>
      <w:pPr>
        <w:pStyle w:val="5"/>
        <w:ind w:firstLine="0" w:firstLineChars="0"/>
        <w:contextualSpacing/>
        <w:rPr>
          <w:rFonts w:ascii="Times New Roman" w:hAnsi="Times New Roman"/>
        </w:rPr>
      </w:pPr>
      <w:bookmarkStart w:id="847" w:name="_Toc147"/>
      <w:bookmarkStart w:id="848" w:name="_Toc26693"/>
      <w:r>
        <w:rPr>
          <w:rFonts w:ascii="Times New Roman" w:hAnsi="Times New Roman"/>
        </w:rPr>
        <w:t>6.6.3清库固体废物</w:t>
      </w:r>
      <w:bookmarkEnd w:id="847"/>
      <w:bookmarkEnd w:id="848"/>
    </w:p>
    <w:p>
      <w:pPr>
        <w:ind w:firstLine="480"/>
        <w:contextualSpacing/>
      </w:pPr>
      <w:r>
        <w:t>淹没区范围内库底各类建（构）筑物、生活垃圾、林木严格按照“无害化”、“减量化”、“资源化”的原则对清库垃圾实行分类处置或回收利用。各类垃圾回收、处置应符合《中华人民共和国固体废物污染防治办法》相关规定。</w:t>
      </w:r>
    </w:p>
    <w:p>
      <w:pPr>
        <w:ind w:firstLine="480"/>
        <w:contextualSpacing/>
      </w:pPr>
      <w:r>
        <w:t>淹没区内</w:t>
      </w:r>
      <w:r>
        <w:rPr>
          <w:rFonts w:hint="eastAsia"/>
        </w:rPr>
        <w:t>1</w:t>
      </w:r>
      <w:r>
        <w:t>家生产企业固体废物的处置，应按照“谁污染、谁治理”的原则。对生产过程产生的有毒有害、危险废物、一般工业固废采取妥善处理，危险废物交由有危险废物经营许可证的专业单位进行安全处置。工业场址土壤污染，由建设单位在与企业签订赔偿协议时应明确土壤修复的责任与义务，并预留一定资金作备用。在工程清库时委托有资质监测机构开展土壤监测，一旦发生土壤污染应立即委托相应资质机构开展场地风险评估和土壤修复，待土壤修复符合《土壤环境质量建设用地土壤污染风险管控标准（试行）》（GB 36600-2018）中风险管制值后，方可蓄水。</w:t>
      </w:r>
    </w:p>
    <w:p>
      <w:pPr>
        <w:pStyle w:val="5"/>
        <w:ind w:firstLine="0" w:firstLineChars="0"/>
        <w:contextualSpacing/>
        <w:rPr>
          <w:rFonts w:ascii="Times New Roman" w:hAnsi="Times New Roman"/>
        </w:rPr>
      </w:pPr>
      <w:bookmarkStart w:id="849" w:name="_Toc30302"/>
      <w:bookmarkStart w:id="850" w:name="_Toc20215"/>
      <w:r>
        <w:rPr>
          <w:rFonts w:ascii="Times New Roman" w:hAnsi="Times New Roman"/>
        </w:rPr>
        <w:t>6.6.4危险废物处理</w:t>
      </w:r>
      <w:bookmarkEnd w:id="849"/>
      <w:bookmarkEnd w:id="850"/>
    </w:p>
    <w:p>
      <w:pPr>
        <w:widowControl/>
        <w:ind w:firstLine="480"/>
        <w:contextualSpacing/>
        <w:jc w:val="left"/>
      </w:pPr>
      <w:r>
        <w:rPr>
          <w:kern w:val="0"/>
        </w:rPr>
        <w:t>施工期建设单位拟将废油池设置在综合加工厂，按照《建设项目危险废物环境影响评价指南》在危险废物管理中应做到以下几点：</w:t>
      </w:r>
      <w:r>
        <w:rPr>
          <w:rFonts w:hint="eastAsia" w:ascii="宋体" w:hAnsi="宋体" w:cs="宋体"/>
          <w:kern w:val="0"/>
        </w:rPr>
        <w:t>①</w:t>
      </w:r>
      <w:r>
        <w:rPr>
          <w:kern w:val="0"/>
        </w:rPr>
        <w:t>在施 工过程中建立危险废物定期巡视制度，要求有巡检、维护制度；</w:t>
      </w:r>
      <w:r>
        <w:rPr>
          <w:rFonts w:hint="eastAsia" w:ascii="宋体" w:hAnsi="宋体" w:cs="宋体"/>
          <w:kern w:val="0"/>
        </w:rPr>
        <w:t>②</w:t>
      </w:r>
      <w:r>
        <w:rPr>
          <w:kern w:val="0"/>
        </w:rPr>
        <w:t>配备足够的消防设施（如：干粉灭火器、二氧化碳灭火器及砂石等）；</w:t>
      </w:r>
      <w:r>
        <w:rPr>
          <w:rFonts w:hint="eastAsia" w:ascii="宋体" w:hAnsi="宋体" w:cs="宋体"/>
          <w:kern w:val="0"/>
        </w:rPr>
        <w:t>③</w:t>
      </w:r>
      <w:r>
        <w:rPr>
          <w:kern w:val="0"/>
        </w:rPr>
        <w:t xml:space="preserve">在危险废物贮存处设置明显标识牌，暂存间地面做好防渗措施，并建立危险废物暂存场所的管理制度。 委托有资质的单位对寒溪寺水库施工过程中产生的废油及其包装物统一收集、运输及后续处理，并与委托单位签订《危险废物处置协议》，严格执行危险废物经营许可制度和转移联单制度。 </w:t>
      </w:r>
    </w:p>
    <w:p>
      <w:pPr>
        <w:widowControl/>
        <w:ind w:firstLine="480"/>
        <w:contextualSpacing/>
        <w:jc w:val="left"/>
      </w:pPr>
      <w:r>
        <w:rPr>
          <w:kern w:val="0"/>
        </w:rPr>
        <w:t xml:space="preserve">水库蓄水前，按照《危险废物处置工程技术导则》（HJ2042-2014）、《医疗废物集中处置技术规范》等相关要求，对水库淹没区范围尚未发现的危险废物及受污染土壤等应委托有资质的单位进行处理。 </w:t>
      </w:r>
    </w:p>
    <w:p>
      <w:pPr>
        <w:widowControl/>
        <w:ind w:firstLine="480"/>
        <w:contextualSpacing/>
        <w:jc w:val="left"/>
      </w:pPr>
      <w:r>
        <w:rPr>
          <w:kern w:val="0"/>
        </w:rPr>
        <w:t>运行期危险废物应与生活垃圾分类收集。该部分危险固废应由业主委托有资质的危废处理单位按时回收，统一收集，应设置专门的危险废物暂存间，并设置警示标志，暂存间地面应做好防渗措施，满足《危险废物贮存污染控制标准》（GB18597-2001）。</w:t>
      </w:r>
    </w:p>
    <w:p>
      <w:pPr>
        <w:pStyle w:val="4"/>
        <w:ind w:firstLine="0" w:firstLineChars="0"/>
        <w:contextualSpacing/>
      </w:pPr>
      <w:bookmarkStart w:id="851" w:name="_Toc130753451"/>
      <w:bookmarkStart w:id="852" w:name="_Toc9159"/>
      <w:bookmarkStart w:id="853" w:name="_Toc27467"/>
      <w:r>
        <w:t>6.7土壤环境保护措施</w:t>
      </w:r>
      <w:bookmarkEnd w:id="851"/>
    </w:p>
    <w:p>
      <w:pPr>
        <w:widowControl/>
        <w:ind w:firstLine="480"/>
        <w:contextualSpacing/>
        <w:jc w:val="left"/>
      </w:pPr>
      <w:r>
        <w:t xml:space="preserve">（1）施工开始，应先将工程占地区的土壤进行采样监测，土壤符合《土壤环境质量农用地土壤污染风险管控标准》（GB15618-2018）筛选值情况下，将表土进行剥离、保护用于工程后期进行生态恢复。 </w:t>
      </w:r>
    </w:p>
    <w:p>
      <w:pPr>
        <w:widowControl/>
        <w:ind w:firstLine="480"/>
        <w:contextualSpacing/>
        <w:jc w:val="left"/>
      </w:pPr>
      <w:r>
        <w:t xml:space="preserve">（2）施工期严格按照《寒溪寺水库工程水土保持专题报告》提出的相应水土保持要求，采取拦挡、苫盖、截排水等措施，减少土壤侵蚀。 </w:t>
      </w:r>
    </w:p>
    <w:p>
      <w:pPr>
        <w:widowControl/>
        <w:ind w:firstLine="480"/>
        <w:contextualSpacing/>
        <w:jc w:val="left"/>
      </w:pPr>
      <w:r>
        <w:t xml:space="preserve">（3）施工期生产废水及生活污水，应严格按照本工程中相应水环境保护措施中的要求进行处理，合理利用。 </w:t>
      </w:r>
    </w:p>
    <w:p>
      <w:pPr>
        <w:widowControl/>
        <w:ind w:firstLine="480"/>
        <w:contextualSpacing/>
        <w:jc w:val="left"/>
      </w:pPr>
      <w:r>
        <w:t xml:space="preserve">（4）施工期生产的固废废物应严格按照本工程中相应固体废物环境保护措施中的要求进行收集、处理及处置。 </w:t>
      </w:r>
    </w:p>
    <w:p>
      <w:pPr>
        <w:widowControl/>
        <w:ind w:firstLine="480"/>
        <w:contextualSpacing/>
        <w:jc w:val="left"/>
      </w:pPr>
      <w:r>
        <w:t xml:space="preserve">（5）运行期定期开展水库库区周边的土壤调查和监控，发现沼泽化、盐渍化倾向应及时采取降水措施，保护土壤环境，保护区域植被。 </w:t>
      </w:r>
    </w:p>
    <w:p>
      <w:pPr>
        <w:pStyle w:val="4"/>
        <w:ind w:firstLine="0" w:firstLineChars="0"/>
        <w:contextualSpacing/>
      </w:pPr>
      <w:bookmarkStart w:id="854" w:name="_Toc130753452"/>
      <w:r>
        <w:t>6.8移民安置环境保护措施</w:t>
      </w:r>
      <w:bookmarkEnd w:id="852"/>
      <w:bookmarkEnd w:id="853"/>
      <w:bookmarkEnd w:id="854"/>
    </w:p>
    <w:p>
      <w:pPr>
        <w:pStyle w:val="5"/>
        <w:ind w:firstLine="0" w:firstLineChars="0"/>
        <w:contextualSpacing/>
        <w:rPr>
          <w:rFonts w:ascii="Times New Roman" w:hAnsi="Times New Roman"/>
        </w:rPr>
      </w:pPr>
      <w:bookmarkStart w:id="855" w:name="_Toc23641"/>
      <w:bookmarkStart w:id="856" w:name="_Toc9040"/>
      <w:bookmarkStart w:id="857" w:name="_Toc18864"/>
      <w:bookmarkStart w:id="858" w:name="_Toc24115"/>
      <w:r>
        <w:rPr>
          <w:rFonts w:ascii="Times New Roman" w:hAnsi="Times New Roman"/>
        </w:rPr>
        <w:t>6.8.1移民安置环境保护措施</w:t>
      </w:r>
    </w:p>
    <w:bookmarkEnd w:id="855"/>
    <w:bookmarkEnd w:id="856"/>
    <w:p>
      <w:pPr>
        <w:ind w:firstLine="480"/>
        <w:contextualSpacing/>
      </w:pPr>
      <w:r>
        <w:t>（1）生产废水处理措施</w:t>
      </w:r>
    </w:p>
    <w:p>
      <w:pPr>
        <w:ind w:firstLine="480"/>
        <w:contextualSpacing/>
      </w:pPr>
      <w:r>
        <w:t>在居民点新址基础设施建设及专项设施复建过程中，施工期生产废水主要是砼拌机冲洗废水，水量较少，污染物主要为SS。拟采取中和沉淀法处理，废水经中和沉淀后回用于系统或用于洒水降尘和场地清洁。定期清理沉砂并运往渣场处理。沉淀池在施工结束后利用场平弃渣填平。</w:t>
      </w:r>
    </w:p>
    <w:p>
      <w:pPr>
        <w:ind w:firstLine="480"/>
        <w:contextualSpacing/>
      </w:pPr>
      <w:r>
        <w:t>（2）生活污水处理措施</w:t>
      </w:r>
    </w:p>
    <w:p>
      <w:pPr>
        <w:ind w:firstLine="480"/>
        <w:contextualSpacing/>
      </w:pPr>
      <w:r>
        <w:t>根据《农村生活污染控制技术规范》（HJ 574-2010）等国家对新农村建设中的环境保护相关要求及相关规定和指导，本阶段结合移民安置规划设计，考虑对分散安置移民等独立住户的生活污水，采取就地处理的方式，避免新建大规模的收集系统。</w:t>
      </w:r>
    </w:p>
    <w:p>
      <w:pPr>
        <w:ind w:firstLine="480"/>
        <w:contextualSpacing/>
      </w:pPr>
      <w:r>
        <w:t>工程周边农村居民目前生活污水主要通过直排、蒸发、土地吸收等方式回归自然环境，部分居民家中建有旱厕或沼气池，对部分生活污水进行收集或处理后用作农家肥。</w:t>
      </w:r>
    </w:p>
    <w:p>
      <w:pPr>
        <w:ind w:firstLine="480"/>
        <w:contextualSpacing/>
      </w:pPr>
      <w:r>
        <w:t>（3）固体废物处理措施</w:t>
      </w:r>
    </w:p>
    <w:p>
      <w:pPr>
        <w:ind w:firstLine="480"/>
        <w:contextualSpacing/>
      </w:pPr>
      <w:r>
        <w:t>根据涉及各乡镇现有设施及垃圾处理措施现状情况，以及农村污染防治技术规范等的要求，考虑依据减量化、资源化、无害化的原则，对生活垃圾实施分类收集。对农业果蔬、厨余等有机垃圾，用于家禽及牲畜饲养、堆肥原料还田或采用入户沼气池处理利用，剩余无机垃圾进入周边乡镇垃圾处理系统。执行“户分类、村收集、镇转运、县市处置”的收集运输处理模式，最终有机垃圾回用，无机垃圾由乡镇负责实施垃圾转运，再由具有资质的处理单位进行最终处置。根据各移民安置规划，在各分散移民安置的区域内道路两侧每间隔150m设置一处垃圾桶，并在必要的位置设置垃圾收集转运站，实行集中倾倒，并定时定点收集，并按照城镇总体规划进行统一安排填埋。垃圾清理搬运管理办法由村委会制定，指定专人或村民轮流管理。</w:t>
      </w:r>
    </w:p>
    <w:p>
      <w:pPr>
        <w:ind w:firstLine="480"/>
        <w:contextualSpacing/>
      </w:pPr>
      <w:r>
        <w:t>（4）生态环境保护措施</w:t>
      </w:r>
    </w:p>
    <w:p>
      <w:pPr>
        <w:ind w:firstLine="480"/>
        <w:contextualSpacing/>
      </w:pPr>
      <w:r>
        <w:t>根据本工程移民安置的特点，对分散移民安置的生态环境保护措施，采取工程措施与生物措施相结合的原则，合理利用土地资源。具体包括以下方面：</w:t>
      </w:r>
    </w:p>
    <w:p>
      <w:pPr>
        <w:ind w:firstLine="480"/>
        <w:contextualSpacing/>
      </w:pPr>
      <w:r>
        <w:t>1）植被保护措施</w:t>
      </w:r>
    </w:p>
    <w:p>
      <w:pPr>
        <w:ind w:firstLine="480"/>
        <w:contextualSpacing/>
      </w:pPr>
      <w:r>
        <w:rPr>
          <w:rFonts w:hint="eastAsia" w:ascii="宋体" w:hAnsi="宋体" w:cs="宋体"/>
        </w:rPr>
        <w:t>①</w:t>
      </w:r>
      <w:r>
        <w:t>移民安置开挖宅基地、园地、耕地时，禁止毁林开荒，禁止在25°以上的陡坡地和水土流失严重、政府明令禁止开垦的地区开荒造地；土石方要进行合理的堆放，以减少对环境影响的范围和程度。</w:t>
      </w:r>
    </w:p>
    <w:p>
      <w:pPr>
        <w:ind w:firstLine="480"/>
        <w:contextualSpacing/>
      </w:pPr>
      <w:r>
        <w:rPr>
          <w:rFonts w:hint="eastAsia" w:ascii="宋体" w:hAnsi="宋体" w:cs="宋体"/>
        </w:rPr>
        <w:t>②</w:t>
      </w:r>
      <w:r>
        <w:t>对于移民安置中新开垦耕地以及配套建设的村道等，均需要在工程设计中同时考虑水土保持措施；对不可避免要破坏天然植被的区域在工程结束后应结合水土保持方案进行植被恢复。</w:t>
      </w:r>
    </w:p>
    <w:p>
      <w:pPr>
        <w:ind w:firstLine="480"/>
        <w:contextualSpacing/>
      </w:pPr>
      <w:r>
        <w:rPr>
          <w:rFonts w:hint="eastAsia" w:ascii="宋体" w:hAnsi="宋体" w:cs="宋体"/>
        </w:rPr>
        <w:t>③</w:t>
      </w:r>
      <w:r>
        <w:t>移民安置搬迁期，要防止少数就地后靠移民在不经过规划审批许可的情况下毁林开荒，特别是防止周围民众趁水库库底清理时对水库周边森林植被进行滥砍滥伐。应在工程实施期间对整个水库区域加强管护，对植被较差的局部地区和安置区的水源林区要实行封山育林、育草。</w:t>
      </w:r>
    </w:p>
    <w:p>
      <w:pPr>
        <w:ind w:firstLine="480"/>
        <w:contextualSpacing/>
      </w:pPr>
      <w:r>
        <w:rPr>
          <w:rFonts w:hint="eastAsia" w:ascii="宋体" w:hAnsi="宋体" w:cs="宋体"/>
        </w:rPr>
        <w:t>④</w:t>
      </w:r>
      <w:r>
        <w:t>移民搬迁后应对所有的牲畜实行圈养，可减少对天然植被的践踏、啃食和破坏。</w:t>
      </w:r>
    </w:p>
    <w:p>
      <w:pPr>
        <w:ind w:firstLine="480"/>
        <w:contextualSpacing/>
      </w:pPr>
      <w:r>
        <w:t>2）陆生动植物保护措施</w:t>
      </w:r>
    </w:p>
    <w:p>
      <w:pPr>
        <w:ind w:firstLine="480"/>
        <w:contextualSpacing/>
      </w:pPr>
      <w:r>
        <w:t>大力开展生态环境保护宣传工作，重点加强野生动物保护法规、条例的宣传和执行，防止随意捕杀野生动物的行为发生。一方面加强宣传教育，禁止人为捕杀，另一方面，控制农药化肥的使用量，减少对其生境的影响。</w:t>
      </w:r>
    </w:p>
    <w:p>
      <w:pPr>
        <w:ind w:firstLine="480"/>
        <w:contextualSpacing/>
      </w:pPr>
      <w:r>
        <w:t>（4）人群健康保护措施</w:t>
      </w:r>
    </w:p>
    <w:p>
      <w:pPr>
        <w:ind w:firstLine="480"/>
        <w:contextualSpacing/>
      </w:pPr>
      <w:r>
        <w:t>移民的健康应采取下列综合防治措施：</w:t>
      </w:r>
    </w:p>
    <w:p>
      <w:pPr>
        <w:ind w:firstLine="480"/>
        <w:contextualSpacing/>
      </w:pPr>
      <w:r>
        <w:t>1）分散安置的住宅应采取消毒、杀虫、灭鼠等卫生措施，动员群众进行经常性的灭蚊、灭蝇和灭鼠等卫生运动；</w:t>
      </w:r>
    </w:p>
    <w:p>
      <w:pPr>
        <w:ind w:firstLine="480"/>
        <w:contextualSpacing/>
      </w:pPr>
      <w:r>
        <w:t>2）对规划的移民饮用水水源进行分析化验，确保水质达到《生活饮用水水质卫生规范》，集中供水设施应定期消毒；</w:t>
      </w:r>
    </w:p>
    <w:p>
      <w:pPr>
        <w:ind w:firstLine="480"/>
        <w:contextualSpacing/>
      </w:pPr>
      <w:r>
        <w:t>3）水库蓄水前，严格按《水库库底清理办法》的要求做好水库淹没区卫生清理工作，特别对厕所、粪坑、坟墓等污染源，必须根据具体情况进行消毒、深埋、焚烧或迁出库区，一方面保护库区及下游河道水质，同时减少传染病病源的传播。</w:t>
      </w:r>
    </w:p>
    <w:p>
      <w:pPr>
        <w:pStyle w:val="5"/>
        <w:ind w:firstLine="0" w:firstLineChars="0"/>
        <w:contextualSpacing/>
        <w:rPr>
          <w:rFonts w:ascii="Times New Roman" w:hAnsi="Times New Roman"/>
        </w:rPr>
      </w:pPr>
      <w:r>
        <w:rPr>
          <w:rFonts w:ascii="Times New Roman" w:hAnsi="Times New Roman"/>
        </w:rPr>
        <w:t>6.8.</w:t>
      </w:r>
      <w:bookmarkEnd w:id="857"/>
      <w:bookmarkEnd w:id="858"/>
      <w:r>
        <w:rPr>
          <w:rFonts w:ascii="Times New Roman" w:hAnsi="Times New Roman"/>
        </w:rPr>
        <w:t>2专项设施复建环境保护措施</w:t>
      </w:r>
    </w:p>
    <w:p>
      <w:pPr>
        <w:ind w:firstLine="480"/>
        <w:contextualSpacing/>
      </w:pPr>
      <w:r>
        <w:rPr>
          <w:rFonts w:hint="eastAsia"/>
        </w:rPr>
        <w:t>不涉及。</w:t>
      </w:r>
    </w:p>
    <w:p>
      <w:pPr>
        <w:pStyle w:val="4"/>
        <w:ind w:firstLine="0" w:firstLineChars="0"/>
        <w:contextualSpacing/>
      </w:pPr>
      <w:bookmarkStart w:id="859" w:name="_Toc28407"/>
      <w:bookmarkStart w:id="860" w:name="_Toc130753453"/>
      <w:bookmarkStart w:id="861" w:name="_Toc23451"/>
      <w:r>
        <w:t>6.9人群健康保护措施</w:t>
      </w:r>
      <w:bookmarkEnd w:id="859"/>
      <w:bookmarkEnd w:id="860"/>
      <w:bookmarkEnd w:id="861"/>
    </w:p>
    <w:p>
      <w:pPr>
        <w:pStyle w:val="5"/>
        <w:ind w:firstLine="0" w:firstLineChars="0"/>
        <w:contextualSpacing/>
        <w:rPr>
          <w:rFonts w:ascii="Times New Roman" w:hAnsi="Times New Roman"/>
        </w:rPr>
      </w:pPr>
      <w:bookmarkStart w:id="862" w:name="_Toc10235"/>
      <w:bookmarkStart w:id="863" w:name="_Toc10958"/>
      <w:r>
        <w:rPr>
          <w:rFonts w:ascii="Times New Roman" w:hAnsi="Times New Roman"/>
        </w:rPr>
        <w:t>6.9.1施工人员劳动保护</w:t>
      </w:r>
      <w:bookmarkEnd w:id="862"/>
      <w:bookmarkEnd w:id="863"/>
    </w:p>
    <w:p>
      <w:pPr>
        <w:ind w:firstLine="480"/>
        <w:contextualSpacing/>
      </w:pPr>
      <w:r>
        <w:t>在施工过程中，为减轻废气、粉尘及噪声等对施工人员健康造成的不良影响，应按照国家有关劳动保护的规定，对施工人员加强个人保护措施，发放防尘口罩等必要的劳动保护用品及装备。施工中采用的各类施工机械和运输工具应符合国家的有关规定，废气排放量需达标。爆破时施工人员远离现场。当施工人员进入强噪声环境中作业时，如凿岩、钻孔、开挖、机械检修工等，应给每位上岗施工人员配戴防噪声耳塞、耳罩、防声棉、防噪声头盔等个人防护工具，具体的防护工具根据不同岗位择优选取使用。</w:t>
      </w:r>
    </w:p>
    <w:p>
      <w:pPr>
        <w:pStyle w:val="5"/>
        <w:ind w:firstLine="0" w:firstLineChars="0"/>
        <w:contextualSpacing/>
        <w:rPr>
          <w:rFonts w:ascii="Times New Roman" w:hAnsi="Times New Roman"/>
        </w:rPr>
      </w:pPr>
      <w:bookmarkStart w:id="864" w:name="_Toc17536"/>
      <w:bookmarkStart w:id="865" w:name="_Toc15930"/>
      <w:r>
        <w:rPr>
          <w:rFonts w:ascii="Times New Roman" w:hAnsi="Times New Roman"/>
        </w:rPr>
        <w:t>6.9.2施工期环境卫生管理</w:t>
      </w:r>
      <w:bookmarkEnd w:id="864"/>
      <w:bookmarkEnd w:id="865"/>
    </w:p>
    <w:p>
      <w:pPr>
        <w:ind w:firstLine="480"/>
        <w:contextualSpacing/>
      </w:pPr>
      <w:r>
        <w:t>施工期加强对各施工人员生活区、办公区饮用水源、公共餐饮场所、垃圾堆放点、公共厕所等地的环境卫生管理，定期进行卫生检查，除日常清理外，每月至少集中清理2次。</w:t>
      </w:r>
      <w:r>
        <w:rPr>
          <w:kern w:val="0"/>
        </w:rPr>
        <w:t>施工区生活用水需作消毒净化处理，达到《生活饮用水卫生标准》（GB5749-2006）后方可作为生活用水。</w:t>
      </w:r>
      <w:r>
        <w:t>从事餐饮工作的人员必须取得卫生许可证，并定期进行体检，有传染病带菌者要撤离其岗位。</w:t>
      </w:r>
    </w:p>
    <w:p>
      <w:pPr>
        <w:ind w:firstLine="480"/>
        <w:contextualSpacing/>
      </w:pPr>
      <w:r>
        <w:t>加强在施工区的卫生管理和卫生宣传教育，普及卫生常识。定期检查和消灭与传播疾病有关的媒介生物，如蚊虫、鼠、苍蝇等。特别要加强灭鼠工作，每季度进行一次，选用灭害灵灭蚊、灭蝇，每年两次。施工区的厕所应经常清扫，定期清运到处理场所，并用杀虫剂喷洒，进行灭蚊灭蝇，避免传染病流行。成立专门的清洁队伍，负责施工区、办公区、生活区的清扫工作，并根据办公生活区的布置，分设垃圾桶（箱）。</w:t>
      </w:r>
    </w:p>
    <w:p>
      <w:pPr>
        <w:pStyle w:val="5"/>
        <w:ind w:firstLine="0" w:firstLineChars="0"/>
        <w:contextualSpacing/>
        <w:rPr>
          <w:rFonts w:ascii="Times New Roman" w:hAnsi="Times New Roman"/>
        </w:rPr>
      </w:pPr>
      <w:bookmarkStart w:id="866" w:name="_Toc2331"/>
      <w:bookmarkStart w:id="867" w:name="_Toc1474"/>
      <w:r>
        <w:rPr>
          <w:rFonts w:ascii="Times New Roman" w:hAnsi="Times New Roman"/>
        </w:rPr>
        <w:t>6.9.3施工期卫生防疫措施</w:t>
      </w:r>
      <w:bookmarkEnd w:id="866"/>
      <w:bookmarkEnd w:id="867"/>
    </w:p>
    <w:p>
      <w:pPr>
        <w:ind w:firstLine="480"/>
        <w:contextualSpacing/>
      </w:pPr>
      <w:r>
        <w:t>施工人员进场前必须进行卫生检疫，如发现新入境传染病患者，须对患者隔离治疗，切断传播途径；对10%的施工人员进行体检，在工程施工高峰年对10%的施工人群抽查检疫，以了解施工人员健康状况，预防疾病流行；在施工人员相对集中的地点设立医疗点，配备常用的治疗药品，开展简单治疗和工伤事故紧急处理。</w:t>
      </w:r>
    </w:p>
    <w:p>
      <w:pPr>
        <w:ind w:firstLine="480"/>
        <w:contextualSpacing/>
      </w:pPr>
      <w:r>
        <w:t>施工区各施工单位和工程管理部门应明确卫生防疫责任人，负责管理范围内的卫生防疫工作并通过广播、墙报、印发宣传手册等多种形式，对施工人员进行饮食卫生宣传教育，提高施工人员自我预防疾病的健康意识。</w:t>
      </w:r>
    </w:p>
    <w:p>
      <w:pPr>
        <w:pStyle w:val="5"/>
        <w:ind w:firstLine="0" w:firstLineChars="0"/>
        <w:contextualSpacing/>
        <w:rPr>
          <w:rFonts w:ascii="Times New Roman" w:hAnsi="Times New Roman"/>
        </w:rPr>
      </w:pPr>
      <w:bookmarkStart w:id="868" w:name="_Toc16510"/>
      <w:bookmarkStart w:id="869" w:name="_Toc378"/>
      <w:r>
        <w:rPr>
          <w:rFonts w:ascii="Times New Roman" w:hAnsi="Times New Roman"/>
        </w:rPr>
        <w:t>6.9.4运行期</w:t>
      </w:r>
      <w:bookmarkEnd w:id="868"/>
      <w:r>
        <w:rPr>
          <w:rFonts w:ascii="Times New Roman" w:hAnsi="Times New Roman"/>
        </w:rPr>
        <w:t>卫生管理</w:t>
      </w:r>
      <w:bookmarkEnd w:id="869"/>
    </w:p>
    <w:p>
      <w:pPr>
        <w:ind w:firstLine="480"/>
        <w:contextualSpacing/>
      </w:pPr>
      <w:r>
        <w:t>本工程建成运行后，寒溪寺水库周边浅水环境增多，有利于蚊虫的生长繁殖，如不采取相应的防治措施，可能会引起库周居民疾病的传播和扩散。为防止居民发病率的提高，应注意清除库周浅水区杂草，以减少蚊蝇孳生环境，并用药物喷洒消灭成虫。发生洪水的地区应注意监控鼠类及蚊蝇密度，并向群众宣传自我防护知识，防止疾病流行。</w:t>
      </w:r>
    </w:p>
    <w:p>
      <w:pPr>
        <w:pStyle w:val="4"/>
        <w:ind w:firstLine="0" w:firstLineChars="0"/>
        <w:contextualSpacing/>
      </w:pPr>
      <w:bookmarkStart w:id="870" w:name="_Toc130753454"/>
      <w:r>
        <w:t>6.10环境保护措施进度安排</w:t>
      </w:r>
      <w:bookmarkEnd w:id="870"/>
    </w:p>
    <w:p>
      <w:pPr>
        <w:ind w:firstLine="480"/>
        <w:contextualSpacing/>
        <w:rPr>
          <w:snapToGrid w:val="0"/>
          <w:spacing w:val="4"/>
        </w:rPr>
      </w:pPr>
      <w:r>
        <w:rPr>
          <w:snapToGrid w:val="0"/>
        </w:rPr>
        <w:t>本工程的环境保护措施随主体工程同步进行实施，根据主体工程施工进度安排，寒溪寺</w:t>
      </w:r>
      <w:r>
        <w:rPr>
          <w:snapToGrid w:val="0"/>
          <w:spacing w:val="4"/>
        </w:rPr>
        <w:t>水库工程环境保护措施及实施进度见表6.10。</w:t>
      </w:r>
    </w:p>
    <w:p>
      <w:pPr>
        <w:pStyle w:val="110"/>
        <w:spacing w:line="360" w:lineRule="auto"/>
        <w:contextualSpacing/>
        <w:rPr>
          <w:rFonts w:eastAsia="宋体"/>
          <w:u w:val="none"/>
        </w:rPr>
      </w:pPr>
      <w:r>
        <w:rPr>
          <w:rFonts w:eastAsia="宋体"/>
          <w:u w:val="none"/>
        </w:rPr>
        <w:t>表6.10  寒溪寺水库工程环境保护措施及进度一览表</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4"/>
        <w:gridCol w:w="2083"/>
        <w:gridCol w:w="368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667" w:type="dxa"/>
            <w:gridSpan w:val="2"/>
            <w:vAlign w:val="center"/>
          </w:tcPr>
          <w:p>
            <w:pPr>
              <w:spacing w:line="240" w:lineRule="auto"/>
              <w:ind w:firstLine="0" w:firstLineChars="0"/>
              <w:contextualSpacing/>
              <w:jc w:val="center"/>
              <w:rPr>
                <w:sz w:val="21"/>
                <w:szCs w:val="21"/>
              </w:rPr>
            </w:pPr>
            <w:r>
              <w:rPr>
                <w:sz w:val="21"/>
                <w:szCs w:val="21"/>
              </w:rPr>
              <w:t>环境保护措施项目</w:t>
            </w:r>
          </w:p>
        </w:tc>
        <w:tc>
          <w:tcPr>
            <w:tcW w:w="3685" w:type="dxa"/>
            <w:vAlign w:val="center"/>
          </w:tcPr>
          <w:p>
            <w:pPr>
              <w:spacing w:line="240" w:lineRule="auto"/>
              <w:ind w:firstLine="0" w:firstLineChars="0"/>
              <w:contextualSpacing/>
              <w:jc w:val="center"/>
              <w:rPr>
                <w:sz w:val="21"/>
                <w:szCs w:val="21"/>
              </w:rPr>
            </w:pPr>
            <w:r>
              <w:rPr>
                <w:sz w:val="21"/>
                <w:szCs w:val="21"/>
              </w:rPr>
              <w:t>主要措施内容</w:t>
            </w:r>
          </w:p>
        </w:tc>
        <w:tc>
          <w:tcPr>
            <w:tcW w:w="1900" w:type="dxa"/>
            <w:vAlign w:val="center"/>
          </w:tcPr>
          <w:p>
            <w:pPr>
              <w:spacing w:line="240" w:lineRule="auto"/>
              <w:ind w:firstLine="0" w:firstLineChars="0"/>
              <w:contextualSpacing/>
              <w:jc w:val="center"/>
              <w:rPr>
                <w:sz w:val="21"/>
                <w:szCs w:val="21"/>
              </w:rPr>
            </w:pPr>
            <w:r>
              <w:rPr>
                <w:sz w:val="21"/>
                <w:szCs w:val="21"/>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水环境</w:t>
            </w:r>
          </w:p>
        </w:tc>
        <w:tc>
          <w:tcPr>
            <w:tcW w:w="2083" w:type="dxa"/>
            <w:vAlign w:val="center"/>
          </w:tcPr>
          <w:p>
            <w:pPr>
              <w:spacing w:line="240" w:lineRule="auto"/>
              <w:ind w:firstLine="0" w:firstLineChars="0"/>
              <w:contextualSpacing/>
              <w:rPr>
                <w:sz w:val="21"/>
                <w:szCs w:val="21"/>
              </w:rPr>
            </w:pPr>
            <w:r>
              <w:rPr>
                <w:sz w:val="21"/>
                <w:szCs w:val="21"/>
              </w:rPr>
              <w:t>施工混凝土生产废水污染防治</w:t>
            </w:r>
          </w:p>
        </w:tc>
        <w:tc>
          <w:tcPr>
            <w:tcW w:w="3685" w:type="dxa"/>
            <w:vAlign w:val="center"/>
          </w:tcPr>
          <w:p>
            <w:pPr>
              <w:spacing w:line="240" w:lineRule="auto"/>
              <w:ind w:firstLine="0" w:firstLineChars="0"/>
              <w:contextualSpacing/>
              <w:rPr>
                <w:sz w:val="21"/>
                <w:szCs w:val="21"/>
              </w:rPr>
            </w:pPr>
            <w:r>
              <w:rPr>
                <w:sz w:val="21"/>
                <w:szCs w:val="21"/>
              </w:rPr>
              <w:t>采用混凝沉淀法进行处理</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含油废水污染防治</w:t>
            </w:r>
          </w:p>
        </w:tc>
        <w:tc>
          <w:tcPr>
            <w:tcW w:w="3685" w:type="dxa"/>
            <w:vAlign w:val="center"/>
          </w:tcPr>
          <w:p>
            <w:pPr>
              <w:spacing w:line="240" w:lineRule="auto"/>
              <w:ind w:firstLine="0" w:firstLineChars="0"/>
              <w:contextualSpacing/>
              <w:rPr>
                <w:sz w:val="21"/>
                <w:szCs w:val="21"/>
              </w:rPr>
            </w:pPr>
            <w:r>
              <w:rPr>
                <w:sz w:val="21"/>
                <w:szCs w:val="21"/>
              </w:rPr>
              <w:t>采用隔油池进行处理</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基坑排水污染防治</w:t>
            </w:r>
          </w:p>
        </w:tc>
        <w:tc>
          <w:tcPr>
            <w:tcW w:w="3685" w:type="dxa"/>
            <w:vAlign w:val="center"/>
          </w:tcPr>
          <w:p>
            <w:pPr>
              <w:spacing w:line="240" w:lineRule="auto"/>
              <w:ind w:firstLine="0" w:firstLineChars="0"/>
              <w:contextualSpacing/>
              <w:rPr>
                <w:sz w:val="21"/>
                <w:szCs w:val="21"/>
              </w:rPr>
            </w:pPr>
            <w:r>
              <w:rPr>
                <w:sz w:val="21"/>
                <w:szCs w:val="21"/>
              </w:rPr>
              <w:t>抽排前先进行沉淀处理</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生活污水污染防治</w:t>
            </w:r>
          </w:p>
        </w:tc>
        <w:tc>
          <w:tcPr>
            <w:tcW w:w="3685" w:type="dxa"/>
            <w:vAlign w:val="center"/>
          </w:tcPr>
          <w:p>
            <w:pPr>
              <w:spacing w:line="240" w:lineRule="auto"/>
              <w:ind w:firstLine="0" w:firstLineChars="0"/>
              <w:contextualSpacing/>
              <w:rPr>
                <w:sz w:val="21"/>
                <w:szCs w:val="21"/>
              </w:rPr>
            </w:pPr>
            <w:r>
              <w:rPr>
                <w:sz w:val="21"/>
                <w:szCs w:val="21"/>
              </w:rPr>
              <w:t>枢纽区采用一体化污水处理系统处理，灌区采用化粪池处理</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蓄水期库底污染防治</w:t>
            </w:r>
          </w:p>
        </w:tc>
        <w:tc>
          <w:tcPr>
            <w:tcW w:w="3685" w:type="dxa"/>
            <w:vAlign w:val="center"/>
          </w:tcPr>
          <w:p>
            <w:pPr>
              <w:spacing w:line="240" w:lineRule="auto"/>
              <w:ind w:firstLine="0" w:firstLineChars="0"/>
              <w:contextualSpacing/>
              <w:rPr>
                <w:sz w:val="21"/>
                <w:szCs w:val="21"/>
              </w:rPr>
            </w:pPr>
            <w:r>
              <w:rPr>
                <w:sz w:val="21"/>
                <w:szCs w:val="21"/>
              </w:rPr>
              <w:t>对库底构筑物、植被、污染物进行清理</w:t>
            </w:r>
          </w:p>
        </w:tc>
        <w:tc>
          <w:tcPr>
            <w:tcW w:w="1900" w:type="dxa"/>
            <w:vAlign w:val="center"/>
          </w:tcPr>
          <w:p>
            <w:pPr>
              <w:spacing w:line="240" w:lineRule="auto"/>
              <w:ind w:firstLine="0" w:firstLineChars="0"/>
              <w:contextualSpacing/>
              <w:jc w:val="center"/>
              <w:rPr>
                <w:sz w:val="21"/>
                <w:szCs w:val="21"/>
              </w:rPr>
            </w:pPr>
            <w:r>
              <w:rPr>
                <w:sz w:val="21"/>
                <w:szCs w:val="21"/>
              </w:rPr>
              <w:t>初期蓄水期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运行期生态流量泄放</w:t>
            </w:r>
          </w:p>
        </w:tc>
        <w:tc>
          <w:tcPr>
            <w:tcW w:w="3685" w:type="dxa"/>
            <w:vAlign w:val="center"/>
          </w:tcPr>
          <w:p>
            <w:pPr>
              <w:spacing w:line="240" w:lineRule="auto"/>
              <w:ind w:firstLine="0" w:firstLineChars="0"/>
              <w:contextualSpacing/>
              <w:rPr>
                <w:sz w:val="21"/>
                <w:szCs w:val="21"/>
              </w:rPr>
            </w:pPr>
            <w:r>
              <w:rPr>
                <w:sz w:val="21"/>
                <w:szCs w:val="21"/>
              </w:rPr>
              <w:t>生态放水管</w:t>
            </w:r>
          </w:p>
        </w:tc>
        <w:tc>
          <w:tcPr>
            <w:tcW w:w="1900" w:type="dxa"/>
            <w:vAlign w:val="center"/>
          </w:tcPr>
          <w:p>
            <w:pPr>
              <w:spacing w:line="240" w:lineRule="auto"/>
              <w:ind w:firstLine="0" w:firstLineChars="0"/>
              <w:contextualSpacing/>
              <w:jc w:val="center"/>
              <w:rPr>
                <w:sz w:val="21"/>
                <w:szCs w:val="21"/>
              </w:rPr>
            </w:pPr>
            <w:r>
              <w:rPr>
                <w:sz w:val="21"/>
                <w:szCs w:val="21"/>
              </w:rPr>
              <w:t>初期蓄水期、运行期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水源地保护</w:t>
            </w:r>
          </w:p>
        </w:tc>
        <w:tc>
          <w:tcPr>
            <w:tcW w:w="3685" w:type="dxa"/>
            <w:vAlign w:val="center"/>
          </w:tcPr>
          <w:p>
            <w:pPr>
              <w:spacing w:line="240" w:lineRule="auto"/>
              <w:ind w:firstLine="0" w:firstLineChars="0"/>
              <w:contextualSpacing/>
              <w:rPr>
                <w:sz w:val="21"/>
                <w:szCs w:val="21"/>
              </w:rPr>
            </w:pPr>
            <w:r>
              <w:rPr>
                <w:sz w:val="21"/>
                <w:szCs w:val="21"/>
              </w:rPr>
              <w:t>划定饮用水源保护区，加强水源地保护和管理</w:t>
            </w:r>
          </w:p>
        </w:tc>
        <w:tc>
          <w:tcPr>
            <w:tcW w:w="1900" w:type="dxa"/>
            <w:vAlign w:val="center"/>
          </w:tcPr>
          <w:p>
            <w:pPr>
              <w:spacing w:line="240" w:lineRule="auto"/>
              <w:ind w:firstLine="0" w:firstLineChars="0"/>
              <w:contextualSpacing/>
              <w:jc w:val="center"/>
              <w:rPr>
                <w:sz w:val="21"/>
                <w:szCs w:val="21"/>
              </w:rPr>
            </w:pPr>
            <w:r>
              <w:rPr>
                <w:sz w:val="21"/>
                <w:szCs w:val="21"/>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大气</w:t>
            </w:r>
          </w:p>
          <w:p>
            <w:pPr>
              <w:spacing w:line="240" w:lineRule="auto"/>
              <w:ind w:firstLine="0" w:firstLineChars="0"/>
              <w:contextualSpacing/>
              <w:jc w:val="center"/>
              <w:rPr>
                <w:sz w:val="21"/>
                <w:szCs w:val="21"/>
              </w:rPr>
            </w:pPr>
            <w:r>
              <w:rPr>
                <w:sz w:val="21"/>
                <w:szCs w:val="21"/>
              </w:rPr>
              <w:t>环境</w:t>
            </w:r>
          </w:p>
        </w:tc>
        <w:tc>
          <w:tcPr>
            <w:tcW w:w="2083" w:type="dxa"/>
            <w:vAlign w:val="center"/>
          </w:tcPr>
          <w:p>
            <w:pPr>
              <w:spacing w:line="240" w:lineRule="auto"/>
              <w:ind w:firstLine="0" w:firstLineChars="0"/>
              <w:contextualSpacing/>
              <w:rPr>
                <w:sz w:val="21"/>
                <w:szCs w:val="21"/>
              </w:rPr>
            </w:pPr>
            <w:r>
              <w:rPr>
                <w:sz w:val="21"/>
                <w:szCs w:val="21"/>
              </w:rPr>
              <w:t>混凝土拌和系统粉尘污染防治</w:t>
            </w:r>
          </w:p>
        </w:tc>
        <w:tc>
          <w:tcPr>
            <w:tcW w:w="3685" w:type="dxa"/>
            <w:vAlign w:val="center"/>
          </w:tcPr>
          <w:p>
            <w:pPr>
              <w:spacing w:line="240" w:lineRule="auto"/>
              <w:ind w:firstLine="0" w:firstLineChars="0"/>
              <w:contextualSpacing/>
              <w:rPr>
                <w:sz w:val="21"/>
                <w:szCs w:val="21"/>
              </w:rPr>
            </w:pPr>
            <w:r>
              <w:rPr>
                <w:sz w:val="21"/>
                <w:szCs w:val="21"/>
              </w:rPr>
              <w:t>采用封闭式系统，优化施工和采取洒水措施</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交通运输系统废气和扬尘防治</w:t>
            </w:r>
          </w:p>
        </w:tc>
        <w:tc>
          <w:tcPr>
            <w:tcW w:w="3685" w:type="dxa"/>
            <w:vAlign w:val="center"/>
          </w:tcPr>
          <w:p>
            <w:pPr>
              <w:spacing w:line="240" w:lineRule="auto"/>
              <w:ind w:firstLine="0" w:firstLineChars="0"/>
              <w:contextualSpacing/>
              <w:rPr>
                <w:sz w:val="21"/>
                <w:szCs w:val="21"/>
              </w:rPr>
            </w:pPr>
            <w:r>
              <w:rPr>
                <w:sz w:val="21"/>
                <w:szCs w:val="21"/>
              </w:rPr>
              <w:t>封闭式运输，路面养护和洒水</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施工人员保护</w:t>
            </w:r>
          </w:p>
        </w:tc>
        <w:tc>
          <w:tcPr>
            <w:tcW w:w="3685" w:type="dxa"/>
            <w:vAlign w:val="center"/>
          </w:tcPr>
          <w:p>
            <w:pPr>
              <w:spacing w:line="240" w:lineRule="auto"/>
              <w:ind w:firstLine="0" w:firstLineChars="0"/>
              <w:contextualSpacing/>
              <w:rPr>
                <w:sz w:val="21"/>
                <w:szCs w:val="21"/>
              </w:rPr>
            </w:pPr>
            <w:r>
              <w:rPr>
                <w:sz w:val="21"/>
                <w:szCs w:val="21"/>
              </w:rPr>
              <w:t>施工人员佩戴防尘口罩</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声环境</w:t>
            </w:r>
          </w:p>
        </w:tc>
        <w:tc>
          <w:tcPr>
            <w:tcW w:w="2083" w:type="dxa"/>
            <w:vAlign w:val="center"/>
          </w:tcPr>
          <w:p>
            <w:pPr>
              <w:spacing w:line="240" w:lineRule="auto"/>
              <w:ind w:firstLine="0" w:firstLineChars="0"/>
              <w:contextualSpacing/>
              <w:rPr>
                <w:sz w:val="21"/>
                <w:szCs w:val="21"/>
              </w:rPr>
            </w:pPr>
            <w:r>
              <w:rPr>
                <w:sz w:val="21"/>
                <w:szCs w:val="21"/>
              </w:rPr>
              <w:t>交通噪声污染防治</w:t>
            </w:r>
          </w:p>
        </w:tc>
        <w:tc>
          <w:tcPr>
            <w:tcW w:w="3685" w:type="dxa"/>
            <w:vAlign w:val="center"/>
          </w:tcPr>
          <w:p>
            <w:pPr>
              <w:spacing w:line="240" w:lineRule="auto"/>
              <w:ind w:firstLine="0" w:firstLineChars="0"/>
              <w:contextualSpacing/>
              <w:rPr>
                <w:sz w:val="21"/>
                <w:szCs w:val="21"/>
              </w:rPr>
            </w:pPr>
            <w:r>
              <w:rPr>
                <w:sz w:val="21"/>
                <w:szCs w:val="21"/>
              </w:rPr>
              <w:t>控制车速，设置移动式隔声屏障</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噪声受体防护防治</w:t>
            </w:r>
          </w:p>
        </w:tc>
        <w:tc>
          <w:tcPr>
            <w:tcW w:w="3685" w:type="dxa"/>
            <w:vAlign w:val="center"/>
          </w:tcPr>
          <w:p>
            <w:pPr>
              <w:spacing w:line="240" w:lineRule="auto"/>
              <w:ind w:firstLine="0" w:firstLineChars="0"/>
              <w:contextualSpacing/>
              <w:rPr>
                <w:sz w:val="21"/>
                <w:szCs w:val="21"/>
              </w:rPr>
            </w:pPr>
            <w:r>
              <w:rPr>
                <w:sz w:val="21"/>
                <w:szCs w:val="21"/>
              </w:rPr>
              <w:t>施工人员配戴防声用具，设移动式声屏障</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生态</w:t>
            </w:r>
          </w:p>
          <w:p>
            <w:pPr>
              <w:spacing w:line="240" w:lineRule="auto"/>
              <w:ind w:firstLine="0" w:firstLineChars="0"/>
              <w:contextualSpacing/>
              <w:jc w:val="center"/>
              <w:rPr>
                <w:sz w:val="21"/>
                <w:szCs w:val="21"/>
              </w:rPr>
            </w:pPr>
            <w:r>
              <w:rPr>
                <w:sz w:val="21"/>
                <w:szCs w:val="21"/>
              </w:rPr>
              <w:t>环境</w:t>
            </w:r>
          </w:p>
        </w:tc>
        <w:tc>
          <w:tcPr>
            <w:tcW w:w="2083" w:type="dxa"/>
            <w:vAlign w:val="center"/>
          </w:tcPr>
          <w:p>
            <w:pPr>
              <w:spacing w:line="240" w:lineRule="auto"/>
              <w:ind w:firstLine="0" w:firstLineChars="0"/>
              <w:contextualSpacing/>
              <w:rPr>
                <w:sz w:val="21"/>
                <w:szCs w:val="21"/>
              </w:rPr>
            </w:pPr>
            <w:r>
              <w:rPr>
                <w:sz w:val="21"/>
                <w:szCs w:val="21"/>
              </w:rPr>
              <w:t>植被恢复</w:t>
            </w:r>
          </w:p>
        </w:tc>
        <w:tc>
          <w:tcPr>
            <w:tcW w:w="3685" w:type="dxa"/>
            <w:vAlign w:val="center"/>
          </w:tcPr>
          <w:p>
            <w:pPr>
              <w:spacing w:line="240" w:lineRule="auto"/>
              <w:ind w:firstLine="0" w:firstLineChars="0"/>
              <w:contextualSpacing/>
              <w:rPr>
                <w:sz w:val="21"/>
                <w:szCs w:val="21"/>
              </w:rPr>
            </w:pPr>
            <w:r>
              <w:rPr>
                <w:sz w:val="21"/>
                <w:szCs w:val="21"/>
              </w:rPr>
              <w:t>保存永久占地和临时占地的熟化土，对临时占地区进行植被恢复</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鱼类保护</w:t>
            </w:r>
          </w:p>
        </w:tc>
        <w:tc>
          <w:tcPr>
            <w:tcW w:w="3685" w:type="dxa"/>
            <w:vAlign w:val="center"/>
          </w:tcPr>
          <w:p>
            <w:pPr>
              <w:spacing w:line="240" w:lineRule="auto"/>
              <w:ind w:firstLine="0" w:firstLineChars="0"/>
              <w:contextualSpacing/>
              <w:rPr>
                <w:spacing w:val="-3"/>
                <w:sz w:val="21"/>
                <w:szCs w:val="21"/>
              </w:rPr>
            </w:pPr>
            <w:r>
              <w:rPr>
                <w:spacing w:val="-3"/>
                <w:sz w:val="21"/>
                <w:szCs w:val="21"/>
              </w:rPr>
              <w:t>栖息地保护</w:t>
            </w:r>
          </w:p>
        </w:tc>
        <w:tc>
          <w:tcPr>
            <w:tcW w:w="1900" w:type="dxa"/>
            <w:vAlign w:val="center"/>
          </w:tcPr>
          <w:p>
            <w:pPr>
              <w:spacing w:line="240" w:lineRule="auto"/>
              <w:ind w:firstLine="0" w:firstLineChars="0"/>
              <w:contextualSpacing/>
              <w:jc w:val="center"/>
              <w:rPr>
                <w:sz w:val="21"/>
                <w:szCs w:val="21"/>
              </w:rPr>
            </w:pPr>
            <w:r>
              <w:rPr>
                <w:sz w:val="21"/>
                <w:szCs w:val="21"/>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社会</w:t>
            </w:r>
          </w:p>
          <w:p>
            <w:pPr>
              <w:spacing w:line="240" w:lineRule="auto"/>
              <w:ind w:firstLine="0" w:firstLineChars="0"/>
              <w:contextualSpacing/>
              <w:jc w:val="center"/>
              <w:rPr>
                <w:sz w:val="21"/>
                <w:szCs w:val="21"/>
              </w:rPr>
            </w:pPr>
            <w:r>
              <w:rPr>
                <w:sz w:val="21"/>
                <w:szCs w:val="21"/>
              </w:rPr>
              <w:t>环境</w:t>
            </w:r>
          </w:p>
        </w:tc>
        <w:tc>
          <w:tcPr>
            <w:tcW w:w="2083" w:type="dxa"/>
            <w:vAlign w:val="center"/>
          </w:tcPr>
          <w:p>
            <w:pPr>
              <w:spacing w:line="240" w:lineRule="auto"/>
              <w:ind w:firstLine="0" w:firstLineChars="0"/>
              <w:contextualSpacing/>
              <w:rPr>
                <w:sz w:val="21"/>
                <w:szCs w:val="21"/>
              </w:rPr>
            </w:pPr>
            <w:r>
              <w:rPr>
                <w:sz w:val="21"/>
                <w:szCs w:val="21"/>
              </w:rPr>
              <w:t>环境卫生</w:t>
            </w:r>
          </w:p>
        </w:tc>
        <w:tc>
          <w:tcPr>
            <w:tcW w:w="3685" w:type="dxa"/>
            <w:vAlign w:val="center"/>
          </w:tcPr>
          <w:p>
            <w:pPr>
              <w:spacing w:line="240" w:lineRule="auto"/>
              <w:ind w:firstLine="0" w:firstLineChars="0"/>
              <w:contextualSpacing/>
              <w:rPr>
                <w:spacing w:val="-4"/>
                <w:sz w:val="21"/>
                <w:szCs w:val="21"/>
              </w:rPr>
            </w:pPr>
            <w:r>
              <w:rPr>
                <w:sz w:val="21"/>
                <w:szCs w:val="21"/>
              </w:rPr>
              <w:t>生活垃圾及粪便定时清运</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人群健康保护</w:t>
            </w:r>
          </w:p>
        </w:tc>
        <w:tc>
          <w:tcPr>
            <w:tcW w:w="3685" w:type="dxa"/>
            <w:vAlign w:val="center"/>
          </w:tcPr>
          <w:p>
            <w:pPr>
              <w:spacing w:line="240" w:lineRule="auto"/>
              <w:ind w:firstLine="0" w:firstLineChars="0"/>
              <w:contextualSpacing/>
              <w:rPr>
                <w:sz w:val="21"/>
                <w:szCs w:val="21"/>
              </w:rPr>
            </w:pPr>
            <w:r>
              <w:rPr>
                <w:sz w:val="21"/>
                <w:szCs w:val="21"/>
              </w:rPr>
              <w:t>施工人员进行卫生检疫，设置公厕，</w:t>
            </w:r>
            <w:r>
              <w:rPr>
                <w:snapToGrid w:val="0"/>
                <w:sz w:val="21"/>
                <w:szCs w:val="21"/>
              </w:rPr>
              <w:t>垃圾筒（箱）、果皮箱，对搬迁居民新址进行</w:t>
            </w:r>
            <w:r>
              <w:rPr>
                <w:sz w:val="21"/>
                <w:szCs w:val="21"/>
              </w:rPr>
              <w:t>消杀灭</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restart"/>
            <w:vAlign w:val="center"/>
          </w:tcPr>
          <w:p>
            <w:pPr>
              <w:spacing w:line="240" w:lineRule="auto"/>
              <w:ind w:firstLine="0" w:firstLineChars="0"/>
              <w:contextualSpacing/>
              <w:jc w:val="center"/>
              <w:rPr>
                <w:sz w:val="21"/>
                <w:szCs w:val="21"/>
              </w:rPr>
            </w:pPr>
            <w:r>
              <w:rPr>
                <w:sz w:val="21"/>
                <w:szCs w:val="21"/>
              </w:rPr>
              <w:t>环境</w:t>
            </w:r>
          </w:p>
          <w:p>
            <w:pPr>
              <w:spacing w:line="240" w:lineRule="auto"/>
              <w:ind w:firstLine="0" w:firstLineChars="0"/>
              <w:contextualSpacing/>
              <w:jc w:val="center"/>
              <w:rPr>
                <w:sz w:val="21"/>
                <w:szCs w:val="21"/>
              </w:rPr>
            </w:pPr>
            <w:r>
              <w:rPr>
                <w:sz w:val="21"/>
                <w:szCs w:val="21"/>
              </w:rPr>
              <w:t>监测</w:t>
            </w:r>
          </w:p>
        </w:tc>
        <w:tc>
          <w:tcPr>
            <w:tcW w:w="2083" w:type="dxa"/>
            <w:vAlign w:val="center"/>
          </w:tcPr>
          <w:p>
            <w:pPr>
              <w:spacing w:line="240" w:lineRule="auto"/>
              <w:ind w:firstLine="0" w:firstLineChars="0"/>
              <w:contextualSpacing/>
              <w:rPr>
                <w:sz w:val="21"/>
                <w:szCs w:val="21"/>
              </w:rPr>
            </w:pPr>
            <w:r>
              <w:rPr>
                <w:sz w:val="21"/>
                <w:szCs w:val="21"/>
              </w:rPr>
              <w:t>地表水监测</w:t>
            </w:r>
          </w:p>
        </w:tc>
        <w:tc>
          <w:tcPr>
            <w:tcW w:w="3685" w:type="dxa"/>
            <w:vAlign w:val="center"/>
          </w:tcPr>
          <w:p>
            <w:pPr>
              <w:spacing w:line="240" w:lineRule="auto"/>
              <w:ind w:firstLine="0" w:firstLineChars="0"/>
              <w:contextualSpacing/>
              <w:rPr>
                <w:sz w:val="21"/>
                <w:szCs w:val="21"/>
              </w:rPr>
            </w:pPr>
            <w:r>
              <w:rPr>
                <w:sz w:val="21"/>
                <w:szCs w:val="21"/>
              </w:rPr>
              <w:t>饮用水水质、地表水水质监测</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水温监测</w:t>
            </w:r>
          </w:p>
        </w:tc>
        <w:tc>
          <w:tcPr>
            <w:tcW w:w="3685" w:type="dxa"/>
            <w:vAlign w:val="center"/>
          </w:tcPr>
          <w:p>
            <w:pPr>
              <w:spacing w:line="240" w:lineRule="auto"/>
              <w:ind w:firstLine="0" w:firstLineChars="0"/>
              <w:contextualSpacing/>
              <w:rPr>
                <w:sz w:val="21"/>
                <w:szCs w:val="21"/>
              </w:rPr>
            </w:pPr>
            <w:r>
              <w:rPr>
                <w:sz w:val="21"/>
                <w:szCs w:val="21"/>
              </w:rPr>
              <w:t>库区垂向水温监测、坝下水温监测</w:t>
            </w:r>
          </w:p>
        </w:tc>
        <w:tc>
          <w:tcPr>
            <w:tcW w:w="1900" w:type="dxa"/>
            <w:vAlign w:val="center"/>
          </w:tcPr>
          <w:p>
            <w:pPr>
              <w:spacing w:line="240" w:lineRule="auto"/>
              <w:ind w:firstLine="0" w:firstLineChars="0"/>
              <w:contextualSpacing/>
              <w:jc w:val="center"/>
              <w:rPr>
                <w:sz w:val="21"/>
                <w:szCs w:val="21"/>
              </w:rPr>
            </w:pPr>
            <w:r>
              <w:rPr>
                <w:sz w:val="21"/>
                <w:szCs w:val="21"/>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地下水监测</w:t>
            </w:r>
          </w:p>
        </w:tc>
        <w:tc>
          <w:tcPr>
            <w:tcW w:w="3685" w:type="dxa"/>
            <w:vAlign w:val="center"/>
          </w:tcPr>
          <w:p>
            <w:pPr>
              <w:spacing w:line="240" w:lineRule="auto"/>
              <w:ind w:firstLine="0" w:firstLineChars="0"/>
              <w:contextualSpacing/>
              <w:rPr>
                <w:sz w:val="21"/>
                <w:szCs w:val="21"/>
              </w:rPr>
            </w:pPr>
            <w:r>
              <w:rPr>
                <w:sz w:val="21"/>
                <w:szCs w:val="21"/>
              </w:rPr>
              <w:t>地下水水质监测</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废（污）水质监测</w:t>
            </w:r>
          </w:p>
        </w:tc>
        <w:tc>
          <w:tcPr>
            <w:tcW w:w="3685" w:type="dxa"/>
            <w:vAlign w:val="center"/>
          </w:tcPr>
          <w:p>
            <w:pPr>
              <w:spacing w:line="240" w:lineRule="auto"/>
              <w:ind w:firstLine="0" w:firstLineChars="0"/>
              <w:contextualSpacing/>
              <w:rPr>
                <w:sz w:val="21"/>
                <w:szCs w:val="21"/>
              </w:rPr>
            </w:pPr>
            <w:r>
              <w:rPr>
                <w:snapToGrid w:val="0"/>
                <w:sz w:val="21"/>
                <w:szCs w:val="21"/>
              </w:rPr>
              <w:t>混凝土系统废水、</w:t>
            </w:r>
            <w:r>
              <w:rPr>
                <w:rFonts w:hint="eastAsia"/>
                <w:snapToGrid w:val="0"/>
                <w:sz w:val="21"/>
                <w:szCs w:val="21"/>
              </w:rPr>
              <w:t>含油</w:t>
            </w:r>
            <w:r>
              <w:rPr>
                <w:snapToGrid w:val="0"/>
                <w:sz w:val="21"/>
                <w:szCs w:val="21"/>
              </w:rPr>
              <w:t>废水等</w:t>
            </w:r>
            <w:r>
              <w:rPr>
                <w:sz w:val="21"/>
                <w:szCs w:val="21"/>
              </w:rPr>
              <w:t>生产废水处理监测，生活污水处理监测</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大气污染监测</w:t>
            </w:r>
          </w:p>
        </w:tc>
        <w:tc>
          <w:tcPr>
            <w:tcW w:w="3685" w:type="dxa"/>
            <w:vAlign w:val="center"/>
          </w:tcPr>
          <w:p>
            <w:pPr>
              <w:spacing w:line="240" w:lineRule="auto"/>
              <w:ind w:firstLine="0" w:firstLineChars="0"/>
              <w:contextualSpacing/>
              <w:rPr>
                <w:sz w:val="21"/>
                <w:szCs w:val="21"/>
              </w:rPr>
            </w:pPr>
            <w:r>
              <w:rPr>
                <w:sz w:val="21"/>
                <w:szCs w:val="21"/>
              </w:rPr>
              <w:t>施工区大气环境监测</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噪声污染监测</w:t>
            </w:r>
          </w:p>
        </w:tc>
        <w:tc>
          <w:tcPr>
            <w:tcW w:w="3685" w:type="dxa"/>
            <w:vAlign w:val="center"/>
          </w:tcPr>
          <w:p>
            <w:pPr>
              <w:spacing w:line="240" w:lineRule="auto"/>
              <w:ind w:firstLine="0" w:firstLineChars="0"/>
              <w:contextualSpacing/>
              <w:rPr>
                <w:sz w:val="21"/>
                <w:szCs w:val="21"/>
              </w:rPr>
            </w:pPr>
            <w:r>
              <w:rPr>
                <w:sz w:val="21"/>
                <w:szCs w:val="21"/>
              </w:rPr>
              <w:t>施工区声环境监测</w:t>
            </w:r>
          </w:p>
        </w:tc>
        <w:tc>
          <w:tcPr>
            <w:tcW w:w="1900" w:type="dxa"/>
            <w:vAlign w:val="center"/>
          </w:tcPr>
          <w:p>
            <w:pPr>
              <w:spacing w:line="240" w:lineRule="auto"/>
              <w:ind w:firstLine="0" w:firstLineChars="0"/>
              <w:contextualSpacing/>
              <w:jc w:val="center"/>
              <w:rPr>
                <w:sz w:val="21"/>
                <w:szCs w:val="21"/>
              </w:rPr>
            </w:pPr>
            <w:r>
              <w:rPr>
                <w:sz w:val="21"/>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生态监测</w:t>
            </w:r>
          </w:p>
        </w:tc>
        <w:tc>
          <w:tcPr>
            <w:tcW w:w="3685" w:type="dxa"/>
            <w:vAlign w:val="center"/>
          </w:tcPr>
          <w:p>
            <w:pPr>
              <w:spacing w:line="240" w:lineRule="auto"/>
              <w:ind w:firstLine="0" w:firstLineChars="0"/>
              <w:contextualSpacing/>
              <w:rPr>
                <w:sz w:val="21"/>
                <w:szCs w:val="21"/>
              </w:rPr>
            </w:pPr>
            <w:r>
              <w:rPr>
                <w:snapToGrid w:val="0"/>
                <w:sz w:val="21"/>
                <w:szCs w:val="21"/>
              </w:rPr>
              <w:t>水生生态及陆生生态监测</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4" w:type="dxa"/>
            <w:vMerge w:val="continue"/>
            <w:vAlign w:val="center"/>
          </w:tcPr>
          <w:p>
            <w:pPr>
              <w:spacing w:line="240" w:lineRule="auto"/>
              <w:ind w:firstLine="0" w:firstLineChars="0"/>
              <w:contextualSpacing/>
              <w:jc w:val="center"/>
              <w:rPr>
                <w:sz w:val="21"/>
                <w:szCs w:val="21"/>
              </w:rPr>
            </w:pPr>
          </w:p>
        </w:tc>
        <w:tc>
          <w:tcPr>
            <w:tcW w:w="2083" w:type="dxa"/>
            <w:vAlign w:val="center"/>
          </w:tcPr>
          <w:p>
            <w:pPr>
              <w:spacing w:line="240" w:lineRule="auto"/>
              <w:ind w:firstLine="0" w:firstLineChars="0"/>
              <w:contextualSpacing/>
              <w:rPr>
                <w:sz w:val="21"/>
                <w:szCs w:val="21"/>
              </w:rPr>
            </w:pPr>
            <w:r>
              <w:rPr>
                <w:sz w:val="21"/>
                <w:szCs w:val="21"/>
              </w:rPr>
              <w:t>水土流失监测</w:t>
            </w:r>
          </w:p>
        </w:tc>
        <w:tc>
          <w:tcPr>
            <w:tcW w:w="3685" w:type="dxa"/>
            <w:vAlign w:val="center"/>
          </w:tcPr>
          <w:p>
            <w:pPr>
              <w:spacing w:line="240" w:lineRule="auto"/>
              <w:ind w:firstLine="0" w:firstLineChars="0"/>
              <w:contextualSpacing/>
              <w:rPr>
                <w:spacing w:val="4"/>
                <w:sz w:val="21"/>
                <w:szCs w:val="21"/>
              </w:rPr>
            </w:pPr>
            <w:r>
              <w:rPr>
                <w:snapToGrid w:val="0"/>
                <w:spacing w:val="4"/>
                <w:sz w:val="21"/>
                <w:szCs w:val="21"/>
              </w:rPr>
              <w:t>枢纽工程区、弃渣场区、交通设施区等区域开展水土流失监测</w:t>
            </w:r>
          </w:p>
        </w:tc>
        <w:tc>
          <w:tcPr>
            <w:tcW w:w="1900" w:type="dxa"/>
            <w:vAlign w:val="center"/>
          </w:tcPr>
          <w:p>
            <w:pPr>
              <w:spacing w:line="240" w:lineRule="auto"/>
              <w:ind w:firstLine="0" w:firstLineChars="0"/>
              <w:contextualSpacing/>
              <w:jc w:val="center"/>
              <w:rPr>
                <w:sz w:val="21"/>
                <w:szCs w:val="21"/>
              </w:rPr>
            </w:pPr>
            <w:r>
              <w:rPr>
                <w:sz w:val="21"/>
                <w:szCs w:val="21"/>
              </w:rPr>
              <w:t>施工期、运行期</w:t>
            </w:r>
          </w:p>
        </w:tc>
      </w:tr>
    </w:tbl>
    <w:p>
      <w:pPr>
        <w:spacing w:line="80" w:lineRule="exact"/>
        <w:ind w:firstLine="480"/>
        <w:contextualSpacing/>
      </w:pPr>
    </w:p>
    <w:p>
      <w:pPr>
        <w:spacing w:line="80" w:lineRule="exact"/>
        <w:ind w:firstLine="480"/>
        <w:contextualSpacing/>
        <w:sectPr>
          <w:pgSz w:w="11906" w:h="16838"/>
          <w:pgMar w:top="1440" w:right="1800" w:bottom="1440" w:left="1800" w:header="851" w:footer="992" w:gutter="0"/>
          <w:cols w:space="720" w:num="1"/>
          <w:docGrid w:type="lines" w:linePitch="312" w:charSpace="0"/>
        </w:sectPr>
      </w:pPr>
    </w:p>
    <w:p>
      <w:pPr>
        <w:pStyle w:val="3"/>
        <w:ind w:firstLine="0" w:firstLineChars="0"/>
        <w:contextualSpacing/>
        <w:rPr>
          <w:rFonts w:ascii="Times New Roman" w:hAnsi="Times New Roman"/>
        </w:rPr>
      </w:pPr>
      <w:bookmarkStart w:id="871" w:name="_Toc130753455"/>
      <w:bookmarkStart w:id="872" w:name="_Toc11601"/>
      <w:bookmarkStart w:id="873" w:name="_Toc30439"/>
      <w:r>
        <w:rPr>
          <w:rFonts w:ascii="Times New Roman" w:hAnsi="Times New Roman"/>
        </w:rPr>
        <w:t>7环境风险分析</w:t>
      </w:r>
      <w:bookmarkEnd w:id="871"/>
      <w:bookmarkEnd w:id="872"/>
    </w:p>
    <w:p>
      <w:pPr>
        <w:pStyle w:val="4"/>
        <w:ind w:firstLine="0" w:firstLineChars="0"/>
        <w:contextualSpacing/>
      </w:pPr>
      <w:bookmarkStart w:id="874" w:name="_Toc9857"/>
      <w:bookmarkStart w:id="875" w:name="_Toc130753456"/>
      <w:r>
        <w:t>7.1评价目的与程序</w:t>
      </w:r>
      <w:bookmarkEnd w:id="874"/>
      <w:bookmarkEnd w:id="875"/>
    </w:p>
    <w:p>
      <w:pPr>
        <w:ind w:firstLine="480"/>
        <w:contextualSpacing/>
      </w:pPr>
      <w:r>
        <w:t>环境风险是指突发性事故对环境（或健康）的危害程度。环境风险评价的目的是分析和预测建设项目存在的潜在危险、有害因素，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pPr>
        <w:ind w:firstLine="480"/>
        <w:contextualSpacing/>
      </w:pPr>
      <w:r>
        <w:t>根据环境保护部环发〔2012〕77号文《关于进一步加强环境影响评价管理防范</w:t>
      </w:r>
    </w:p>
    <w:p>
      <w:pPr>
        <w:ind w:firstLine="0" w:firstLineChars="0"/>
        <w:contextualSpacing/>
      </w:pPr>
      <w:r>
        <w:t>环境风险的通知》的要求，依据《建设项目环境风险评价技术导则》（HJ/T169-2018）和《外来物种环境风险评估技术导则》（HJ 624-2011），通过风险调查、风险识别、风险事故分析和风险预测与评价等开展环境风险评价，为工程设计和环境管理提供资料和依据，以达到降低危险，减少危害的目的。</w:t>
      </w:r>
    </w:p>
    <w:p>
      <w:pPr>
        <w:ind w:firstLine="480"/>
        <w:contextualSpacing/>
      </w:pPr>
      <w:r>
        <w:t>评价工作程序如下：</w:t>
      </w:r>
    </w:p>
    <w:p>
      <w:pPr>
        <w:ind w:firstLine="480"/>
        <w:contextualSpacing/>
        <w:jc w:val="center"/>
      </w:pPr>
      <w:r>
        <w:drawing>
          <wp:inline distT="0" distB="0" distL="0" distR="0">
            <wp:extent cx="4164965" cy="4241800"/>
            <wp:effectExtent l="0" t="0" r="0" b="0"/>
            <wp:docPr id="118" name="图片 57" descr="1c915013fe9bceace64e375bfba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7" descr="1c915013fe9bceace64e375bfba50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4164965" cy="4241800"/>
                    </a:xfrm>
                    <a:prstGeom prst="rect">
                      <a:avLst/>
                    </a:prstGeom>
                    <a:noFill/>
                    <a:ln>
                      <a:noFill/>
                    </a:ln>
                  </pic:spPr>
                </pic:pic>
              </a:graphicData>
            </a:graphic>
          </wp:inline>
        </w:drawing>
      </w:r>
    </w:p>
    <w:p>
      <w:pPr>
        <w:pStyle w:val="2"/>
        <w:spacing w:before="0"/>
        <w:ind w:left="136" w:firstLine="422"/>
        <w:contextualSpacing/>
        <w:jc w:val="center"/>
        <w:rPr>
          <w:rFonts w:ascii="Times New Roman" w:hAnsi="Times New Roman"/>
          <w:b/>
          <w:bCs/>
          <w:sz w:val="21"/>
          <w:szCs w:val="21"/>
        </w:rPr>
      </w:pPr>
      <w:r>
        <w:rPr>
          <w:rFonts w:ascii="Times New Roman" w:hAnsi="Times New Roman"/>
          <w:b/>
          <w:bCs/>
          <w:sz w:val="21"/>
          <w:szCs w:val="21"/>
        </w:rPr>
        <w:t>图7.1  评价工作程序</w:t>
      </w:r>
    </w:p>
    <w:p>
      <w:pPr>
        <w:pStyle w:val="4"/>
        <w:ind w:firstLine="0" w:firstLineChars="0"/>
        <w:contextualSpacing/>
      </w:pPr>
      <w:bookmarkStart w:id="876" w:name="_Toc28603"/>
      <w:bookmarkStart w:id="877" w:name="_Toc130753457"/>
      <w:r>
        <w:t>7.2环境风险潜势初判</w:t>
      </w:r>
      <w:bookmarkEnd w:id="876"/>
      <w:bookmarkEnd w:id="877"/>
    </w:p>
    <w:p>
      <w:pPr>
        <w:pStyle w:val="5"/>
        <w:ind w:firstLine="0" w:firstLineChars="0"/>
        <w:contextualSpacing/>
        <w:rPr>
          <w:rFonts w:ascii="Times New Roman" w:hAnsi="Times New Roman"/>
        </w:rPr>
      </w:pPr>
      <w:r>
        <w:rPr>
          <w:rFonts w:ascii="Times New Roman" w:hAnsi="Times New Roman"/>
        </w:rPr>
        <w:t>7.2.1环境风险识别</w:t>
      </w:r>
    </w:p>
    <w:p>
      <w:pPr>
        <w:ind w:firstLine="0" w:firstLineChars="0"/>
        <w:contextualSpacing/>
        <w:rPr>
          <w:b/>
          <w:bCs/>
        </w:rPr>
      </w:pPr>
      <w:r>
        <w:rPr>
          <w:b/>
          <w:bCs/>
        </w:rPr>
        <w:t>7.2.1.1 施工期</w:t>
      </w:r>
    </w:p>
    <w:p>
      <w:pPr>
        <w:pStyle w:val="2"/>
        <w:spacing w:before="0"/>
        <w:ind w:left="0" w:firstLine="480"/>
        <w:contextualSpacing/>
        <w:rPr>
          <w:rFonts w:ascii="Times New Roman" w:hAnsi="Times New Roman"/>
        </w:rPr>
      </w:pPr>
      <w:r>
        <w:rPr>
          <w:rFonts w:ascii="Times New Roman" w:hAnsi="Times New Roman"/>
        </w:rPr>
        <w:t>施工期的环境风险主要有危险品运输风险、废水事故排放、森林火灾。</w:t>
      </w:r>
    </w:p>
    <w:p>
      <w:pPr>
        <w:pStyle w:val="2"/>
        <w:spacing w:before="0"/>
        <w:ind w:left="0" w:firstLine="480"/>
        <w:contextualSpacing/>
        <w:rPr>
          <w:rFonts w:ascii="Times New Roman" w:hAnsi="Times New Roman"/>
        </w:rPr>
      </w:pPr>
      <w:r>
        <w:rPr>
          <w:rFonts w:ascii="Times New Roman" w:hAnsi="Times New Roman"/>
        </w:rPr>
        <w:t>（1）危险品运输</w:t>
      </w:r>
    </w:p>
    <w:p>
      <w:pPr>
        <w:pStyle w:val="2"/>
        <w:spacing w:before="0"/>
        <w:ind w:left="0" w:firstLine="480"/>
        <w:contextualSpacing/>
        <w:rPr>
          <w:rFonts w:ascii="Times New Roman" w:hAnsi="Times New Roman"/>
        </w:rPr>
      </w:pPr>
      <w:r>
        <w:rPr>
          <w:rFonts w:ascii="Times New Roman" w:hAnsi="Times New Roman"/>
        </w:rPr>
        <w:t>项目建设过程中由外界运入并使用大量炸药、油料，工程施工区进驻大量施工人员，可能发生爆炸、油料泄漏等事故，并引发生态破坏和水质污染等次生灾害。根据本项目初步设计，项目不设油库、炸药库；项目所使用汽油、柴油采用及时配送方式；炸药从当地公安部门定点公司外购，每次外购炸药由销售公司配送。引发事故的可能性减小。</w:t>
      </w:r>
    </w:p>
    <w:p>
      <w:pPr>
        <w:pStyle w:val="2"/>
        <w:spacing w:before="0"/>
        <w:ind w:left="0" w:firstLine="480"/>
        <w:contextualSpacing/>
        <w:rPr>
          <w:rFonts w:ascii="Times New Roman" w:hAnsi="Times New Roman"/>
        </w:rPr>
      </w:pPr>
      <w:r>
        <w:rPr>
          <w:rFonts w:ascii="Times New Roman" w:hAnsi="Times New Roman"/>
        </w:rPr>
        <w:t>（2）废水事故排放</w:t>
      </w:r>
    </w:p>
    <w:p>
      <w:pPr>
        <w:pStyle w:val="2"/>
        <w:spacing w:before="0"/>
        <w:ind w:left="0" w:firstLine="480"/>
        <w:contextualSpacing/>
        <w:rPr>
          <w:rFonts w:ascii="Times New Roman" w:hAnsi="Times New Roman"/>
        </w:rPr>
      </w:pPr>
      <w:r>
        <w:rPr>
          <w:rFonts w:ascii="Times New Roman" w:hAnsi="Times New Roman"/>
        </w:rPr>
        <w:t>施工期间将产生一定的生产废水和生活污水，污废水经过一定处理后回用。在各处理系统正常运行下，对蔡家河水体水质的影响很小。</w:t>
      </w:r>
    </w:p>
    <w:p>
      <w:pPr>
        <w:pStyle w:val="2"/>
        <w:spacing w:before="0"/>
        <w:ind w:left="0" w:firstLine="480"/>
        <w:contextualSpacing/>
        <w:rPr>
          <w:rFonts w:ascii="Times New Roman" w:hAnsi="Times New Roman"/>
        </w:rPr>
      </w:pPr>
      <w:r>
        <w:rPr>
          <w:rFonts w:ascii="Times New Roman" w:hAnsi="Times New Roman"/>
        </w:rPr>
        <w:t>（3）森林火灾</w:t>
      </w:r>
    </w:p>
    <w:p>
      <w:pPr>
        <w:pStyle w:val="2"/>
        <w:spacing w:before="0"/>
        <w:ind w:left="0" w:firstLine="480"/>
        <w:contextualSpacing/>
        <w:rPr>
          <w:rFonts w:ascii="Times New Roman" w:hAnsi="Times New Roman"/>
        </w:rPr>
      </w:pPr>
      <w:r>
        <w:rPr>
          <w:rFonts w:ascii="Times New Roman" w:hAnsi="Times New Roman"/>
        </w:rPr>
        <w:t>工程施工区附近有林地分布，在非雨季节，遇到雷电、静电、电气火花、自燃、人为因素等很容易引发火灾。</w:t>
      </w:r>
    </w:p>
    <w:p>
      <w:pPr>
        <w:ind w:firstLine="0" w:firstLineChars="0"/>
        <w:contextualSpacing/>
        <w:rPr>
          <w:b/>
          <w:bCs/>
        </w:rPr>
      </w:pPr>
      <w:r>
        <w:rPr>
          <w:b/>
          <w:bCs/>
        </w:rPr>
        <w:t>7.2.1.2运行期</w:t>
      </w:r>
    </w:p>
    <w:p>
      <w:pPr>
        <w:pStyle w:val="2"/>
        <w:spacing w:before="0"/>
        <w:ind w:left="0" w:firstLine="480"/>
        <w:contextualSpacing/>
        <w:rPr>
          <w:rFonts w:ascii="Times New Roman" w:hAnsi="Times New Roman"/>
        </w:rPr>
      </w:pPr>
      <w:r>
        <w:rPr>
          <w:rFonts w:ascii="Times New Roman" w:hAnsi="Times New Roman"/>
        </w:rPr>
        <w:t>运行期环境风险主要是库区水质污染风险。</w:t>
      </w:r>
    </w:p>
    <w:p>
      <w:pPr>
        <w:pStyle w:val="5"/>
        <w:ind w:firstLine="0" w:firstLineChars="0"/>
        <w:contextualSpacing/>
        <w:rPr>
          <w:rFonts w:ascii="Times New Roman" w:hAnsi="Times New Roman"/>
        </w:rPr>
      </w:pPr>
      <w:r>
        <w:rPr>
          <w:rFonts w:ascii="Times New Roman" w:hAnsi="Times New Roman"/>
        </w:rPr>
        <w:t>7.2.2风险潜势初判</w:t>
      </w:r>
    </w:p>
    <w:p>
      <w:pPr>
        <w:ind w:firstLine="480"/>
        <w:contextualSpacing/>
      </w:pPr>
      <w:r>
        <w:t>根据《建设项目环境风险评价技术导则》（HJ/T169－2018）附录C，危险物质数量与临界量的比值（Q）按下式进行计算：</w:t>
      </w:r>
    </w:p>
    <w:p>
      <w:pPr>
        <w:ind w:firstLine="0" w:firstLineChars="0"/>
        <w:contextualSpacing/>
        <w:jc w:val="center"/>
        <w:rPr>
          <w:snapToGrid w:val="0"/>
        </w:rPr>
      </w:pPr>
      <w:r>
        <w:object>
          <v:shape id="_x0000_i1100" o:spt="75" type="#_x0000_t75" style="height:34.7pt;width:147.95pt;" o:ole="t" filled="f" o:preferrelative="t" stroked="f" coordsize="21600,21600">
            <v:path/>
            <v:fill on="f" focussize="0,0"/>
            <v:stroke on="f" joinstyle="miter"/>
            <v:imagedata r:id="rId227" o:title=""/>
            <o:lock v:ext="edit" aspectratio="t"/>
            <w10:wrap type="none"/>
            <w10:anchorlock/>
          </v:shape>
          <o:OLEObject Type="Embed" ProgID="Equation.DSMT4" ShapeID="_x0000_i1100" DrawAspect="Content" ObjectID="_1468075799" r:id="rId226">
            <o:LockedField>false</o:LockedField>
          </o:OLEObject>
        </w:object>
      </w:r>
    </w:p>
    <w:p>
      <w:pPr>
        <w:spacing w:line="460" w:lineRule="exact"/>
        <w:ind w:firstLine="480"/>
        <w:contextualSpacing/>
        <w:rPr>
          <w:snapToGrid w:val="0"/>
        </w:rPr>
      </w:pPr>
      <w:r>
        <w:rPr>
          <w:snapToGrid w:val="0"/>
        </w:rPr>
        <w:t>式中：q</w:t>
      </w:r>
      <w:r>
        <w:rPr>
          <w:snapToGrid w:val="0"/>
          <w:vertAlign w:val="subscript"/>
        </w:rPr>
        <w:t>1</w:t>
      </w:r>
      <w:r>
        <w:rPr>
          <w:snapToGrid w:val="0"/>
        </w:rPr>
        <w:t>，q</w:t>
      </w:r>
      <w:r>
        <w:rPr>
          <w:snapToGrid w:val="0"/>
          <w:vertAlign w:val="subscript"/>
        </w:rPr>
        <w:t>2</w:t>
      </w:r>
      <w:r>
        <w:rPr>
          <w:snapToGrid w:val="0"/>
        </w:rPr>
        <w:t>，…，q</w:t>
      </w:r>
      <w:r>
        <w:rPr>
          <w:snapToGrid w:val="0"/>
          <w:vertAlign w:val="subscript"/>
        </w:rPr>
        <w:t>n</w:t>
      </w:r>
      <w:r>
        <w:rPr>
          <w:snapToGrid w:val="0"/>
        </w:rPr>
        <w:t>—每种危险物质的最大存在量，t；</w:t>
      </w:r>
    </w:p>
    <w:p>
      <w:pPr>
        <w:spacing w:line="460" w:lineRule="exact"/>
        <w:ind w:firstLine="480"/>
        <w:contextualSpacing/>
        <w:rPr>
          <w:snapToGrid w:val="0"/>
        </w:rPr>
      </w:pPr>
      <w:r>
        <w:rPr>
          <w:snapToGrid w:val="0"/>
        </w:rPr>
        <w:t>Q</w:t>
      </w:r>
      <w:r>
        <w:rPr>
          <w:snapToGrid w:val="0"/>
          <w:vertAlign w:val="subscript"/>
        </w:rPr>
        <w:t>1</w:t>
      </w:r>
      <w:r>
        <w:rPr>
          <w:snapToGrid w:val="0"/>
        </w:rPr>
        <w:t>，Q</w:t>
      </w:r>
      <w:r>
        <w:rPr>
          <w:snapToGrid w:val="0"/>
          <w:vertAlign w:val="subscript"/>
        </w:rPr>
        <w:t>2</w:t>
      </w:r>
      <w:r>
        <w:rPr>
          <w:snapToGrid w:val="0"/>
        </w:rPr>
        <w:t>，…Q</w:t>
      </w:r>
      <w:r>
        <w:rPr>
          <w:snapToGrid w:val="0"/>
          <w:vertAlign w:val="subscript"/>
        </w:rPr>
        <w:t>n</w:t>
      </w:r>
      <w:r>
        <w:rPr>
          <w:snapToGrid w:val="0"/>
        </w:rPr>
        <w:t>—每种危险物质的临界量，t。</w:t>
      </w:r>
    </w:p>
    <w:p>
      <w:pPr>
        <w:spacing w:line="460" w:lineRule="exact"/>
        <w:ind w:firstLine="480"/>
        <w:contextualSpacing/>
        <w:rPr>
          <w:bCs/>
        </w:rPr>
      </w:pPr>
      <w:r>
        <w:rPr>
          <w:snapToGrid w:val="0"/>
        </w:rPr>
        <w:t>当Q＜1时，该项目环境风险潜势为I。本工程</w:t>
      </w:r>
      <w:r>
        <w:t>施工期将使用炸药343t，油料2.6t；工程区离县城较近，不设炸药库和油库，均由地方按需配送，工程环境风险潜势为I。</w:t>
      </w:r>
      <w:bookmarkStart w:id="878" w:name="_Toc49959169"/>
    </w:p>
    <w:bookmarkEnd w:id="878"/>
    <w:p>
      <w:pPr>
        <w:pStyle w:val="4"/>
        <w:ind w:firstLine="0" w:firstLineChars="0"/>
        <w:contextualSpacing/>
      </w:pPr>
      <w:bookmarkStart w:id="879" w:name="_Toc130753458"/>
      <w:r>
        <w:t>7.3环境风险评价等级</w:t>
      </w:r>
      <w:bookmarkEnd w:id="879"/>
    </w:p>
    <w:p>
      <w:pPr>
        <w:spacing w:line="460" w:lineRule="exact"/>
        <w:ind w:firstLine="480"/>
        <w:contextualSpacing/>
      </w:pPr>
      <w:r>
        <w:t>根据《建设项目环境风险评价技术导则》（HJ/T169-2018）评价工作等级划分要求，对寒溪寺水库工程环境风险进行了潜势初判，工程环境风险潜势为I级，确定本项目环境风险进行简要分析。</w:t>
      </w:r>
    </w:p>
    <w:p>
      <w:pPr>
        <w:pStyle w:val="4"/>
        <w:ind w:firstLine="0" w:firstLineChars="0"/>
        <w:contextualSpacing/>
      </w:pPr>
      <w:bookmarkStart w:id="880" w:name="_Toc130753459"/>
      <w:r>
        <w:t>7.4施工期环境风险分析</w:t>
      </w:r>
      <w:bookmarkEnd w:id="880"/>
    </w:p>
    <w:p>
      <w:pPr>
        <w:pStyle w:val="5"/>
        <w:ind w:firstLine="0" w:firstLineChars="0"/>
        <w:contextualSpacing/>
        <w:rPr>
          <w:rFonts w:ascii="Times New Roman" w:hAnsi="Times New Roman"/>
        </w:rPr>
      </w:pPr>
      <w:r>
        <w:rPr>
          <w:rFonts w:ascii="Times New Roman" w:hAnsi="Times New Roman"/>
        </w:rPr>
        <w:t>7.4.1危险品运输风险分析</w:t>
      </w:r>
    </w:p>
    <w:p>
      <w:pPr>
        <w:ind w:firstLine="480"/>
        <w:contextualSpacing/>
      </w:pPr>
      <w:r>
        <w:t>（1）风险识别</w:t>
      </w:r>
    </w:p>
    <w:p>
      <w:pPr>
        <w:ind w:firstLine="480"/>
        <w:contextualSpacing/>
      </w:pPr>
      <w:r>
        <w:t>本工程危险品运输主要涉及油料及炸药的运输，涉及的场地包括场外运输公路和场内施工道路。危险品运输可能出现的环境危害的风险类型是交通事故、火灾和爆炸。</w:t>
      </w:r>
    </w:p>
    <w:p>
      <w:pPr>
        <w:ind w:firstLine="480"/>
        <w:contextualSpacing/>
      </w:pPr>
      <w:r>
        <w:t>（2）源项分析</w:t>
      </w:r>
    </w:p>
    <w:p>
      <w:pPr>
        <w:ind w:firstLine="480"/>
        <w:contextualSpacing/>
      </w:pPr>
      <w:r>
        <w:t>本工程施工所需的汽油、柴油以及炸药主要</w:t>
      </w:r>
      <w:r>
        <w:rPr>
          <w:rFonts w:hint="eastAsia"/>
        </w:rPr>
        <w:t>为</w:t>
      </w:r>
      <w:r>
        <w:t>采购，运输道路主要布置在蔡家河附近，在危险品运输过程中如发生交通事故，导致危险品泄露，将对沿线村镇、水体造成影响。</w:t>
      </w:r>
    </w:p>
    <w:p>
      <w:pPr>
        <w:ind w:firstLine="480"/>
        <w:contextualSpacing/>
      </w:pPr>
      <w:r>
        <w:t>运输罐车发生倾覆事故导致罐体破损，物质散逸，进而污染周围环境空气及水体，直接影响到附近生物生存的环境及周围村庄人员身体健康和人身安全。当危险品运输车辆出现事故，使运送的固态危险品或液态危险品泄漏，将流入地表水体，污染河流水质。</w:t>
      </w:r>
    </w:p>
    <w:p>
      <w:pPr>
        <w:ind w:firstLine="480"/>
        <w:contextualSpacing/>
      </w:pPr>
      <w:r>
        <w:t>（3）风险评价</w:t>
      </w:r>
    </w:p>
    <w:p>
      <w:pPr>
        <w:ind w:firstLine="480"/>
        <w:contextualSpacing/>
      </w:pPr>
      <w:r>
        <w:t>随着施工开工建设，区内机动车辆将迅速增加。一般来说，发生的交通事故中，一般性事故比重最大，重大事故较少，特大事故发生几率最小。尽管危险品运输事故中重大事故发生概率很小，但此类事故一旦发生后果严重，将引起危险品泄露，应引起高度重视。</w:t>
      </w:r>
    </w:p>
    <w:p>
      <w:pPr>
        <w:ind w:firstLine="480"/>
        <w:contextualSpacing/>
      </w:pPr>
      <w:r>
        <w:t>（4）风险防范措施</w:t>
      </w:r>
    </w:p>
    <w:p>
      <w:pPr>
        <w:ind w:firstLine="480"/>
        <w:contextualSpacing/>
        <w:rPr>
          <w:b/>
          <w:bCs/>
        </w:rPr>
      </w:pPr>
      <w:r>
        <w:t>针对危险品运输事故，要求公路管理部门做好应急计划，通过加强监控管理，并制定合理的危机应急处理机制体系，使污染风险降为最低。采取的风险防范措施有：</w:t>
      </w:r>
      <w:r>
        <w:rPr>
          <w:rFonts w:hint="eastAsia" w:ascii="宋体" w:hAnsi="宋体" w:cs="宋体"/>
        </w:rPr>
        <w:t>①</w:t>
      </w:r>
      <w:r>
        <w:t>加强交通运输安全管理，在路口等交通事故高发地段设置警示标志；</w:t>
      </w:r>
      <w:r>
        <w:rPr>
          <w:rFonts w:hint="eastAsia" w:ascii="宋体" w:hAnsi="宋体" w:cs="宋体"/>
        </w:rPr>
        <w:t>②</w:t>
      </w:r>
      <w:r>
        <w:t>险品运输采用全封闭运输，防治散落；</w:t>
      </w:r>
      <w:r>
        <w:rPr>
          <w:rFonts w:hint="eastAsia" w:ascii="宋体" w:hAnsi="宋体" w:cs="宋体"/>
        </w:rPr>
        <w:t>③</w:t>
      </w:r>
      <w:r>
        <w:t>针对主要跨江桥梁，设置防撞栏、排水沟、事故收集池；</w:t>
      </w:r>
      <w:r>
        <w:rPr>
          <w:rFonts w:hint="eastAsia" w:ascii="宋体" w:hAnsi="宋体" w:cs="宋体"/>
        </w:rPr>
        <w:t>④</w:t>
      </w:r>
      <w:r>
        <w:t>加强安全教育、宣传；</w:t>
      </w:r>
      <w:r>
        <w:rPr>
          <w:rFonts w:hint="eastAsia" w:ascii="宋体" w:hAnsi="宋体" w:cs="宋体"/>
        </w:rPr>
        <w:t>⑤</w:t>
      </w:r>
      <w:r>
        <w:t>制定事故应急预案，在事故发生时将影响降至最低。</w:t>
      </w:r>
    </w:p>
    <w:p>
      <w:pPr>
        <w:pStyle w:val="5"/>
        <w:ind w:firstLine="0" w:firstLineChars="0"/>
        <w:contextualSpacing/>
        <w:rPr>
          <w:rFonts w:ascii="Times New Roman" w:hAnsi="Times New Roman"/>
        </w:rPr>
      </w:pPr>
      <w:r>
        <w:rPr>
          <w:rFonts w:ascii="Times New Roman" w:hAnsi="Times New Roman"/>
        </w:rPr>
        <w:t>7.4.2施工期森林火灾风险分析</w:t>
      </w:r>
    </w:p>
    <w:p>
      <w:pPr>
        <w:ind w:firstLine="480"/>
        <w:contextualSpacing/>
      </w:pPr>
      <w:r>
        <w:t xml:space="preserve">（1）后果估算 </w:t>
      </w:r>
    </w:p>
    <w:p>
      <w:pPr>
        <w:ind w:firstLine="480"/>
        <w:contextualSpacing/>
      </w:pPr>
      <w:r>
        <w:t xml:space="preserve">枢纽施工区周边植被较好，材积量较高，一旦发生爆炸或燃油泄漏事故，极易引发火灾，可能造成较大的损失。 </w:t>
      </w:r>
    </w:p>
    <w:p>
      <w:pPr>
        <w:ind w:firstLine="480"/>
        <w:contextualSpacing/>
      </w:pPr>
      <w:r>
        <w:t>（2）源项分析</w:t>
      </w:r>
    </w:p>
    <w:p>
      <w:pPr>
        <w:ind w:firstLine="480"/>
        <w:contextualSpacing/>
      </w:pPr>
      <w:r>
        <w:t>根据以往经验，引起森林火灾的最主要危害因素为雷电和人为因素，其中人为因素主要是在林区吸烟、野外生活等。另外，工程施工区爆破器材的使用，也是引起森林火灾的危害因素之一。</w:t>
      </w:r>
    </w:p>
    <w:p>
      <w:pPr>
        <w:ind w:firstLine="480"/>
        <w:contextualSpacing/>
      </w:pPr>
      <w:r>
        <w:t>（3）风险评价</w:t>
      </w:r>
    </w:p>
    <w:p>
      <w:pPr>
        <w:ind w:firstLine="480"/>
        <w:contextualSpacing/>
      </w:pPr>
      <w:r>
        <w:t>根据工程区以往实际情况，自然因素发生森林火灾的可能性较小；工程施工期间，不允许施工人员进入施工占地范围外的林区，爆破器材管理严格，事故防范措施严密，易燃易爆器材使用时也规定了一定的安全防火范围，因此，工程施工的人为行为引起森林火灾的概率也较小。</w:t>
      </w:r>
    </w:p>
    <w:p>
      <w:pPr>
        <w:ind w:firstLine="480"/>
        <w:contextualSpacing/>
      </w:pPr>
      <w:r>
        <w:t>（4）风险防范措施</w:t>
      </w:r>
    </w:p>
    <w:p>
      <w:pPr>
        <w:ind w:firstLine="480"/>
        <w:contextualSpacing/>
      </w:pPr>
      <w:r>
        <w:t>虽然发生森林火灾的概率较小，但若一旦引发火灾，将造成不可估量的损失，因此在工程施工过程中，必须采取有效的防范措施，警钟长鸣，防患于未然。主要防范措施有：</w:t>
      </w:r>
      <w:r>
        <w:rPr>
          <w:rFonts w:hint="eastAsia" w:ascii="宋体" w:hAnsi="宋体" w:cs="宋体"/>
        </w:rPr>
        <w:t>①</w:t>
      </w:r>
      <w:r>
        <w:t>严格执行野外用火和爆破的相关报批制度；</w:t>
      </w:r>
      <w:r>
        <w:rPr>
          <w:rFonts w:hint="eastAsia" w:ascii="宋体" w:hAnsi="宋体" w:cs="宋体"/>
        </w:rPr>
        <w:t>②</w:t>
      </w:r>
      <w:r>
        <w:t>严禁施工人员私自野外用火；</w:t>
      </w:r>
      <w:r>
        <w:rPr>
          <w:rFonts w:hint="eastAsia" w:ascii="宋体" w:hAnsi="宋体" w:cs="宋体"/>
        </w:rPr>
        <w:t>③</w:t>
      </w:r>
      <w:r>
        <w:t>严格控制易燃易爆器材的使用；</w:t>
      </w:r>
      <w:r>
        <w:rPr>
          <w:rFonts w:hint="eastAsia" w:ascii="宋体" w:hAnsi="宋体" w:cs="宋体"/>
        </w:rPr>
        <w:t>④</w:t>
      </w:r>
      <w:r>
        <w:t>制定和执行严格的爆破规程，爆破时采取有效隔离措施。</w:t>
      </w:r>
    </w:p>
    <w:p>
      <w:pPr>
        <w:widowControl/>
        <w:ind w:firstLine="0" w:firstLineChars="0"/>
        <w:contextualSpacing/>
        <w:jc w:val="left"/>
      </w:pPr>
      <w:r>
        <w:rPr>
          <w:b/>
          <w:bCs/>
        </w:rPr>
        <w:t xml:space="preserve">7.2.2.2 施工期废水事故排放风险分析 </w:t>
      </w:r>
    </w:p>
    <w:p>
      <w:pPr>
        <w:ind w:firstLine="480"/>
        <w:contextualSpacing/>
      </w:pPr>
      <w:r>
        <w:t xml:space="preserve">（1）后果估算 </w:t>
      </w:r>
    </w:p>
    <w:p>
      <w:pPr>
        <w:ind w:firstLine="480"/>
        <w:contextualSpacing/>
      </w:pPr>
      <w:r>
        <w:t>如果坝区发生施工废水事故泄漏排放，可能对坝区及下游河段水质和水功能造成不利影响。</w:t>
      </w:r>
    </w:p>
    <w:p>
      <w:pPr>
        <w:ind w:firstLine="480"/>
        <w:contextualSpacing/>
      </w:pPr>
      <w:r>
        <w:t>（2）源项分析</w:t>
      </w:r>
    </w:p>
    <w:p>
      <w:pPr>
        <w:ind w:firstLine="480"/>
        <w:contextualSpacing/>
      </w:pPr>
      <w:r>
        <w:t xml:space="preserve">坝区施工人员不多，混凝土拌和系统场地较平缓且生产废水量不大，但直接排入蔡家河会对河流水质带来一定影响。 </w:t>
      </w:r>
    </w:p>
    <w:p>
      <w:pPr>
        <w:ind w:firstLine="480"/>
        <w:contextualSpacing/>
      </w:pPr>
      <w:r>
        <w:t>（3）风险评价</w:t>
      </w:r>
    </w:p>
    <w:p>
      <w:pPr>
        <w:ind w:firstLine="480"/>
        <w:contextualSpacing/>
      </w:pPr>
      <w:r>
        <w:t xml:space="preserve">施工废水事故排放的原因主要是处理系统运行故障，或处理设施运行管理不善、闲置等，导致废水不经处理直排入蔡家河。本工程混施工废水适当沉淀后全部回用于生产，发生废水事故排放的概率均较低。 </w:t>
      </w:r>
    </w:p>
    <w:p>
      <w:pPr>
        <w:ind w:firstLine="480"/>
        <w:contextualSpacing/>
      </w:pPr>
      <w:r>
        <w:t>（4）风险防范措施</w:t>
      </w:r>
    </w:p>
    <w:p>
      <w:pPr>
        <w:ind w:firstLine="480"/>
        <w:contextualSpacing/>
      </w:pPr>
      <w:r>
        <w:t>针对废水事故排放，要求相关部门做好应急计划，通过加强监控管理，并制定合理的危机应急处理机制体系，使污染风险降为最低。主要防范措施有：</w:t>
      </w:r>
      <w:r>
        <w:rPr>
          <w:rFonts w:hint="eastAsia" w:ascii="宋体" w:hAnsi="宋体" w:cs="宋体"/>
        </w:rPr>
        <w:t>①</w:t>
      </w:r>
      <w:r>
        <w:t>按照环境保护措施设计，严格执行废污水处理措施，并保生产过程、废污水产生量与废污水处理能力合理匹配；</w:t>
      </w:r>
      <w:r>
        <w:rPr>
          <w:rFonts w:hint="eastAsia" w:ascii="宋体" w:hAnsi="宋体" w:cs="宋体"/>
        </w:rPr>
        <w:t>②</w:t>
      </w:r>
      <w:r>
        <w:t>加强对废污水处理设备设施及管道的维护、管理、保证水处理系统正常运行，发现故障及时修复；</w:t>
      </w:r>
      <w:r>
        <w:rPr>
          <w:rFonts w:hint="eastAsia" w:ascii="宋体" w:hAnsi="宋体" w:cs="宋体"/>
        </w:rPr>
        <w:t>③</w:t>
      </w:r>
      <w:r>
        <w:t>落实环境监测，一旦发现监测因子异常及时处理；</w:t>
      </w:r>
      <w:r>
        <w:rPr>
          <w:rFonts w:hint="eastAsia" w:ascii="宋体" w:hAnsi="宋体" w:cs="宋体"/>
        </w:rPr>
        <w:t>④</w:t>
      </w:r>
      <w:r>
        <w:t>定期清理污水池的污泥，并妥善存放、转运；</w:t>
      </w:r>
      <w:r>
        <w:rPr>
          <w:rFonts w:hint="eastAsia" w:ascii="宋体" w:hAnsi="宋体" w:cs="宋体"/>
        </w:rPr>
        <w:t>⑤</w:t>
      </w:r>
      <w:r>
        <w:t>废污水处理系统的运行管理人员应加强对处理系统的巡视和水质监控，定期检查，确保各处理池能够正常蓄水，并及时清理各池，确保有足够容积处理来水；保证各类废水的处理设施都能正常运转发挥作用。</w:t>
      </w:r>
    </w:p>
    <w:p>
      <w:pPr>
        <w:pStyle w:val="4"/>
        <w:ind w:firstLine="0" w:firstLineChars="0"/>
        <w:contextualSpacing/>
      </w:pPr>
      <w:bookmarkStart w:id="881" w:name="_Toc130753460"/>
      <w:r>
        <w:t>7.5运行期环境风险分析</w:t>
      </w:r>
      <w:bookmarkEnd w:id="881"/>
    </w:p>
    <w:p>
      <w:pPr>
        <w:ind w:firstLine="480"/>
        <w:contextualSpacing/>
      </w:pPr>
      <w:r>
        <w:t>（1）风险识别</w:t>
      </w:r>
    </w:p>
    <w:p>
      <w:pPr>
        <w:ind w:firstLine="480"/>
        <w:contextualSpacing/>
      </w:pPr>
      <w:r>
        <w:t>水体富营养化导致“水华”现象的发生主要与水体中氮磷等营养盐水平、水力条件、气候条件等因素有关。一般发生富营养化的水域要同时具备以下特征：氮磷营养物水平达到湖泊富营养化标准水平；水深不超过10m，平均流速小于0.05m/s；水温在10~25℃之间，气候温暖、日照充足等。目前国际上一般认为水体中总磷和总氮浓度分别达到0.02mg/L和0.2mg/L时，从营养盐单因子考虑，就有可能发生藻类暴长的“水华”现象。</w:t>
      </w:r>
    </w:p>
    <w:p>
      <w:pPr>
        <w:widowControl/>
        <w:ind w:firstLine="480"/>
        <w:contextualSpacing/>
        <w:jc w:val="left"/>
        <w:rPr>
          <w:kern w:val="0"/>
        </w:rPr>
      </w:pPr>
      <w:r>
        <w:t>寒溪寺水库成库后，虽然有水温温和、光照强、库区水体营养盐含量充足等强诱发因子，但是由于本库区干、支流不明显，干支流流量差别不大，主库区内没有明显的缓流区域，并且具有可有效抑制水体浮游植物光合作用的足够的水体混浊度。</w:t>
      </w:r>
      <w:r>
        <w:rPr>
          <w:kern w:val="0"/>
        </w:rPr>
        <w:t>随着水源保护区的划定，设计水平年水库水质能达到Ⅲ类水体要求；根据水库富营养化预测，运行期水库富营养化程度属于中营养程度，加强上游面源污染控制以及水质监测等相应污染防治措施，</w:t>
      </w:r>
      <w:r>
        <w:t>主库区富营养化问题相对不大</w:t>
      </w:r>
      <w:r>
        <w:rPr>
          <w:kern w:val="0"/>
        </w:rPr>
        <w:t>。</w:t>
      </w:r>
    </w:p>
    <w:p>
      <w:pPr>
        <w:ind w:firstLine="480"/>
        <w:contextualSpacing/>
      </w:pPr>
      <w:r>
        <w:t>（3）风险防范措施</w:t>
      </w:r>
    </w:p>
    <w:p>
      <w:pPr>
        <w:ind w:firstLine="480"/>
        <w:contextualSpacing/>
      </w:pPr>
      <w:r>
        <w:t>针对寒溪寺水库运行期的风险，可采取的措施有：</w:t>
      </w:r>
      <w:r>
        <w:rPr>
          <w:rFonts w:hint="eastAsia" w:ascii="宋体" w:hAnsi="宋体" w:cs="宋体"/>
        </w:rPr>
        <w:t>①</w:t>
      </w:r>
      <w:r>
        <w:t>在水库库区及周边区域划定饮用水源保护区，依法实施保护。编制水源保护区规划，报当地政府批准，并严格落实规划的各项环保措施。应严格环境准入，禁止高排污项目，并禁止各类污染物入河。</w:t>
      </w:r>
      <w:r>
        <w:rPr>
          <w:rFonts w:hint="eastAsia" w:ascii="宋体" w:hAnsi="宋体" w:cs="宋体"/>
        </w:rPr>
        <w:t>②</w:t>
      </w:r>
      <w:r>
        <w:t>将本次环评划定保护水域的水环境监测与污染源监督纳入地方环境管理体系中，一旦发现无法满足保护区规定水质的要求，应及时调整适当扩大保护区范围；</w:t>
      </w:r>
      <w:r>
        <w:rPr>
          <w:rFonts w:hint="eastAsia" w:ascii="宋体" w:hAnsi="宋体" w:cs="宋体"/>
        </w:rPr>
        <w:t>③</w:t>
      </w:r>
      <w:r>
        <w:t>建立在线监测系统。加强工程管理的现代化水平，具备处理突发性污染等紧急事务的能力，建立水质预警预报系统；</w:t>
      </w:r>
      <w:r>
        <w:rPr>
          <w:rFonts w:hint="eastAsia" w:ascii="宋体" w:hAnsi="宋体" w:cs="宋体"/>
        </w:rPr>
        <w:t>④</w:t>
      </w:r>
      <w:r>
        <w:t>成立事故应急小组，一旦发现库区水质劣变情况，立即发布公告，停止一切引水活动，同时停止向外区域调水。</w:t>
      </w:r>
    </w:p>
    <w:p>
      <w:pPr>
        <w:pStyle w:val="4"/>
        <w:ind w:firstLine="0" w:firstLineChars="0"/>
        <w:contextualSpacing/>
      </w:pPr>
      <w:bookmarkStart w:id="882" w:name="_Toc130753461"/>
      <w:r>
        <w:t>7.6应急预案</w:t>
      </w:r>
      <w:bookmarkEnd w:id="882"/>
    </w:p>
    <w:p>
      <w:pPr>
        <w:pStyle w:val="5"/>
        <w:ind w:firstLine="0" w:firstLineChars="0"/>
        <w:contextualSpacing/>
        <w:rPr>
          <w:rFonts w:ascii="Times New Roman" w:hAnsi="Times New Roman"/>
        </w:rPr>
      </w:pPr>
      <w:r>
        <w:rPr>
          <w:rFonts w:ascii="Times New Roman" w:hAnsi="Times New Roman"/>
        </w:rPr>
        <w:t>7.6.1体系定位及应急处置程序</w:t>
      </w:r>
    </w:p>
    <w:p>
      <w:pPr>
        <w:ind w:firstLine="480"/>
        <w:contextualSpacing/>
      </w:pPr>
      <w:r>
        <w:t>根据国务院《国家突发公共事件总体应急预案》、《四川省人民政府突发公共事件总体应急预案》确定的全国突发公共事件应急预案体系的划分原则，本工程应急预案体系为突发公共事件地方应急预案和环境污染和生态破坏事故应急预案。</w:t>
      </w:r>
    </w:p>
    <w:p>
      <w:pPr>
        <w:ind w:firstLine="480"/>
        <w:contextualSpacing/>
      </w:pPr>
      <w:r>
        <w:t>应急程序见图7.6.1，主要包括以下4个方面：</w:t>
      </w:r>
    </w:p>
    <w:p>
      <w:pPr>
        <w:ind w:firstLine="480"/>
        <w:contextualSpacing/>
      </w:pPr>
      <w:r>
        <w:t>（1）信息报告</w:t>
      </w:r>
    </w:p>
    <w:p>
      <w:pPr>
        <w:ind w:firstLine="480"/>
        <w:contextualSpacing/>
      </w:pPr>
      <w:r>
        <w:t>特别重大或者重大突发公共事件发生后，要立即报告上级应急指挥机构并通报有关地区和部门，最迟不得超过4小时。应急处置过程中，要及时续报有关情况。</w:t>
      </w:r>
    </w:p>
    <w:p>
      <w:pPr>
        <w:ind w:firstLine="480"/>
        <w:contextualSpacing/>
      </w:pPr>
      <w:r>
        <w:t>（2）先期处置</w:t>
      </w:r>
    </w:p>
    <w:p>
      <w:pPr>
        <w:ind w:firstLine="480"/>
        <w:contextualSpacing/>
      </w:pPr>
      <w:r>
        <w:t>突发公共事件发生后，在报告特别重大、重大突发公共事件信息的同时，要根据职责和规定的权限启动相关应急预案，及时、有效地进行处置，控制事态。</w:t>
      </w:r>
    </w:p>
    <w:p>
      <w:pPr>
        <w:ind w:firstLine="480"/>
        <w:contextualSpacing/>
      </w:pPr>
      <w:r>
        <w:t>（3）应急响应</w:t>
      </w:r>
    </w:p>
    <w:p>
      <w:pPr>
        <w:ind w:firstLine="480"/>
        <w:contextualSpacing/>
      </w:pPr>
      <w:r>
        <w:t>对于先期处置未能有效控制事态的特别重大突发公共事件，要及时启动相关预案，由上一级应急指挥机构统一指挥或指导有关地区、部门开展处置工作。现场应急指挥机构负责现场的应急处置工作。需要多个相关部门共同参与处置的突发公共事件，由该类突发公共事件的业务主管部门牵头，其他部门予以协助。</w:t>
      </w:r>
    </w:p>
    <w:p>
      <w:pPr>
        <w:ind w:firstLine="480"/>
        <w:contextualSpacing/>
      </w:pPr>
      <w:r>
        <w:t>（4）应急结束</w:t>
      </w:r>
    </w:p>
    <w:p>
      <w:pPr>
        <w:ind w:firstLine="480"/>
        <w:contextualSpacing/>
      </w:pPr>
      <w:r>
        <w:t>特别重大突发公共事件应急处置工作结束，或者相关危险因素消除后，现场应急指挥机构予以撤销。</w:t>
      </w:r>
    </w:p>
    <w:p>
      <w:pPr>
        <w:pStyle w:val="2"/>
        <w:spacing w:before="0"/>
        <w:ind w:left="0" w:firstLine="0" w:firstLineChars="0"/>
        <w:contextualSpacing/>
        <w:jc w:val="center"/>
        <w:rPr>
          <w:rFonts w:ascii="Times New Roman" w:hAnsi="Times New Roman"/>
        </w:rPr>
      </w:pPr>
      <w:r>
        <w:rPr>
          <w:rFonts w:ascii="Times New Roman" w:hAnsi="Times New Roman"/>
          <w:sz w:val="20"/>
        </w:rPr>
        <w:drawing>
          <wp:inline distT="0" distB="0" distL="0" distR="0">
            <wp:extent cx="3799840" cy="4838700"/>
            <wp:effectExtent l="0" t="0" r="0" b="0"/>
            <wp:docPr id="120" name="图片 58" descr="C:\Users\fanxiaolin\Documents\Tencent Files\54591851\Image\C2C\R2{P9$~GPT9Q(T$CQGFD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8" descr="C:\Users\fanxiaolin\Documents\Tencent Files\54591851\Image\C2C\R2{P9$~GPT9Q(T$CQGFDW(4.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3799840" cy="4838700"/>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图7.6.1 事故应急程序图</w:t>
      </w:r>
    </w:p>
    <w:p>
      <w:pPr>
        <w:pStyle w:val="5"/>
        <w:ind w:firstLine="0" w:firstLineChars="0"/>
        <w:contextualSpacing/>
        <w:rPr>
          <w:rFonts w:ascii="Times New Roman" w:hAnsi="Times New Roman"/>
        </w:rPr>
      </w:pPr>
      <w:r>
        <w:rPr>
          <w:rFonts w:ascii="Times New Roman" w:hAnsi="Times New Roman"/>
        </w:rPr>
        <w:t>7.6.2应急预案</w:t>
      </w:r>
    </w:p>
    <w:p>
      <w:pPr>
        <w:ind w:firstLine="480"/>
        <w:contextualSpacing/>
      </w:pPr>
      <w:r>
        <w:t>一旦发生事故，需要采取上述工程应急防范措施，控制和减小事故危害。并需制订应急预案，实施相关措施。</w:t>
      </w:r>
    </w:p>
    <w:p>
      <w:pPr>
        <w:ind w:firstLine="480"/>
        <w:contextualSpacing/>
      </w:pPr>
      <w:r>
        <w:t>本工程突发事故主要涉及</w:t>
      </w:r>
      <w:r>
        <w:rPr>
          <w:rFonts w:hint="eastAsia"/>
        </w:rPr>
        <w:t>巴州区</w:t>
      </w:r>
      <w:r>
        <w:t>，根据《国家突发公共事件总体应急预案》、《四川省人民政府突发公共事件总体应急预案》等相关要求和说明，本工程事故应急应纳入省突发公共事件应急预案体系中，并据此确定本工程应急预案。</w:t>
      </w:r>
    </w:p>
    <w:p>
      <w:pPr>
        <w:ind w:firstLine="480"/>
        <w:contextualSpacing/>
      </w:pPr>
      <w:r>
        <w:t>（1）应急计划区和应急事件</w:t>
      </w:r>
    </w:p>
    <w:p>
      <w:pPr>
        <w:ind w:firstLine="480"/>
        <w:contextualSpacing/>
      </w:pPr>
      <w:r>
        <w:t>本工程应急计划区包括施工区以及环境保护目标区，后者主要是周边居民点、植被和水域。应急事件包括火灾、爆炸事故、地表水体污染等。</w:t>
      </w:r>
    </w:p>
    <w:p>
      <w:pPr>
        <w:ind w:firstLine="480"/>
        <w:contextualSpacing/>
      </w:pPr>
      <w:r>
        <w:t>（2）应急组织机构、人员</w:t>
      </w:r>
    </w:p>
    <w:p>
      <w:pPr>
        <w:ind w:firstLine="480"/>
        <w:contextualSpacing/>
      </w:pPr>
      <w:r>
        <w:t>1）应急领导机构</w:t>
      </w:r>
    </w:p>
    <w:p>
      <w:pPr>
        <w:ind w:firstLine="480"/>
        <w:contextualSpacing/>
      </w:pPr>
      <w:r>
        <w:t>应急总领导机构为省人民政府突发公共事件应急委员会，作为协调指挥机构，统一领导突发公共事件的应急处置工作。</w:t>
      </w:r>
    </w:p>
    <w:p>
      <w:pPr>
        <w:ind w:firstLine="480"/>
        <w:contextualSpacing/>
      </w:pPr>
      <w:r>
        <w:t>地方应急领导机构由涉及的</w:t>
      </w:r>
      <w:r>
        <w:rPr>
          <w:rFonts w:hint="eastAsia"/>
        </w:rPr>
        <w:t>巴州区</w:t>
      </w:r>
      <w:r>
        <w:t>分管环保的市/县长、环保主管部门、环境监测站及其它相关各协作部门负责人组成。</w:t>
      </w:r>
    </w:p>
    <w:p>
      <w:pPr>
        <w:ind w:firstLine="480"/>
        <w:contextualSpacing/>
      </w:pPr>
      <w:r>
        <w:t>现场应急领导机构由建设单位分管环保的领导、环境保护管理办公室负责人、承包商单位分管环保的领导组成。</w:t>
      </w:r>
    </w:p>
    <w:p>
      <w:pPr>
        <w:ind w:firstLine="480"/>
        <w:contextualSpacing/>
      </w:pPr>
      <w:r>
        <w:t>2）现场指挥</w:t>
      </w:r>
    </w:p>
    <w:p>
      <w:pPr>
        <w:ind w:firstLine="480"/>
        <w:contextualSpacing/>
      </w:pPr>
      <w:r>
        <w:t>由应急领导机构指定现场指挥，火灾、爆炸时一般由消防队长担任现场指挥负责指挥应急反应行动的全过程；水质污染事故应急行动由分管环保的县长负责指挥。</w:t>
      </w:r>
    </w:p>
    <w:p>
      <w:pPr>
        <w:ind w:firstLine="480"/>
        <w:contextualSpacing/>
      </w:pPr>
      <w:r>
        <w:t>3）应急救援人员</w:t>
      </w:r>
    </w:p>
    <w:p>
      <w:pPr>
        <w:ind w:firstLine="480"/>
        <w:contextualSpacing/>
      </w:pPr>
      <w:r>
        <w:t>应急救援人员包括：</w:t>
      </w:r>
    </w:p>
    <w:p>
      <w:pPr>
        <w:ind w:firstLine="480"/>
        <w:contextualSpacing/>
      </w:pPr>
      <w:r>
        <w:rPr>
          <w:rFonts w:hint="eastAsia" w:ascii="宋体" w:hAnsi="宋体" w:cs="宋体"/>
        </w:rPr>
        <w:t>①</w:t>
      </w:r>
      <w:r>
        <w:t>危险源控制组，主要是负责在紧急状态下的现场抢险作业，及时控制危险源，由建设单位和承包商单位消防、安全部门组成，必要时包括地方专业防护队伍；</w:t>
      </w:r>
    </w:p>
    <w:p>
      <w:pPr>
        <w:ind w:firstLine="480"/>
        <w:contextualSpacing/>
      </w:pPr>
      <w:r>
        <w:rPr>
          <w:rFonts w:hint="eastAsia" w:ascii="宋体" w:hAnsi="宋体" w:cs="宋体"/>
        </w:rPr>
        <w:t>②</w:t>
      </w:r>
      <w:r>
        <w:t>伤员抢救组，负责现场伤员的搜救和紧急处理，并护送伤员到医疗点救治，由事故责任单位和施工区医疗机构负责；</w:t>
      </w:r>
    </w:p>
    <w:p>
      <w:pPr>
        <w:ind w:firstLine="480"/>
        <w:contextualSpacing/>
      </w:pPr>
      <w:r>
        <w:rPr>
          <w:rFonts w:hint="eastAsia" w:ascii="宋体" w:hAnsi="宋体" w:cs="宋体"/>
        </w:rPr>
        <w:t>③</w:t>
      </w:r>
      <w:r>
        <w:t>医疗救护组，负责对受伤人员进行紧急救治并护送重伤人员至医院作进一步治疗，由施工区医疗机构负责，当地医院协作；</w:t>
      </w:r>
    </w:p>
    <w:p>
      <w:pPr>
        <w:ind w:firstLine="480"/>
        <w:contextualSpacing/>
      </w:pPr>
      <w:r>
        <w:rPr>
          <w:rFonts w:hint="eastAsia" w:ascii="宋体" w:hAnsi="宋体" w:cs="宋体"/>
        </w:rPr>
        <w:t>④</w:t>
      </w:r>
      <w:r>
        <w:t>消防组，负责现场灭火、设备容器的冷却、喷水隔爆、抢救伤员及事故后对被污染区域的清洗工作，人员由建设单位、承包商消防人员和当地公安消防队伍组成；</w:t>
      </w:r>
    </w:p>
    <w:p>
      <w:pPr>
        <w:ind w:firstLine="480"/>
        <w:contextualSpacing/>
      </w:pPr>
      <w:r>
        <w:rPr>
          <w:rFonts w:hint="eastAsia" w:ascii="宋体" w:hAnsi="宋体" w:cs="宋体"/>
        </w:rPr>
        <w:t>⑤</w:t>
      </w:r>
      <w:r>
        <w:t>安全疏散组，负责对现场及周围人员进行防护指导、疏散人员、现场周围物资的转移，由建设单位和承包商安全监督部门、安全保卫人员和当地政府人员组成；</w:t>
      </w:r>
    </w:p>
    <w:p>
      <w:pPr>
        <w:ind w:firstLine="480"/>
        <w:contextualSpacing/>
      </w:pPr>
      <w:r>
        <w:rPr>
          <w:rFonts w:hint="eastAsia" w:ascii="宋体" w:hAnsi="宋体" w:cs="宋体"/>
        </w:rPr>
        <w:t>⑥</w:t>
      </w:r>
      <w:r>
        <w:t>安全警戒组，负责布置安全警戒，禁止无关人员、车辆进入危险区域，在人员疏散区域进行治安巡逻，由建设单位和承包商安全保卫人员、当地公安部门负责；</w:t>
      </w:r>
    </w:p>
    <w:p>
      <w:pPr>
        <w:ind w:firstLine="480"/>
        <w:contextualSpacing/>
      </w:pPr>
      <w:r>
        <w:rPr>
          <w:rFonts w:hint="eastAsia" w:ascii="宋体" w:hAnsi="宋体" w:cs="宋体"/>
        </w:rPr>
        <w:t>⑦</w:t>
      </w:r>
      <w:r>
        <w:t>物资供应组，负责组织抢险物资、工器具和后勤生活物资的市场供应，组织运送抢险物资和人员，由建设单位和当地县区政府负责；</w:t>
      </w:r>
    </w:p>
    <w:p>
      <w:pPr>
        <w:ind w:firstLine="480"/>
        <w:contextualSpacing/>
      </w:pPr>
      <w:r>
        <w:rPr>
          <w:rFonts w:hint="eastAsia" w:ascii="宋体" w:hAnsi="宋体" w:cs="宋体"/>
        </w:rPr>
        <w:t>⑧</w:t>
      </w:r>
      <w:r>
        <w:t>环境监测组，负责对大气、水质、土壤等进行环境应急监测，确定影响区域范围和危险物质浓度，对事故造成的环境影响做出正确评估，为指挥人员决策和消除事故污染提供依据，并负责对事故现场危险物质的处置，由建设单位和承包商单位环境保护管理办公室和当地环保局负责；</w:t>
      </w:r>
    </w:p>
    <w:p>
      <w:pPr>
        <w:ind w:firstLine="480"/>
        <w:contextualSpacing/>
      </w:pPr>
      <w:r>
        <w:rPr>
          <w:rFonts w:hint="eastAsia" w:ascii="宋体" w:hAnsi="宋体" w:cs="宋体"/>
        </w:rPr>
        <w:t>⑨</w:t>
      </w:r>
      <w:r>
        <w:t>专家咨询组，负责对事故应急救援提出方案和安全措施，现场指导救援工作，参与事故的调查分析并制定防范措施，由建设单位和承包商单位安全监督部门、当地各相关部门技术专家组成，由领导机构负责组织；</w:t>
      </w:r>
    </w:p>
    <w:p>
      <w:pPr>
        <w:ind w:firstLine="480"/>
        <w:contextualSpacing/>
      </w:pPr>
      <w:r>
        <w:rPr>
          <w:rFonts w:hint="eastAsia" w:ascii="宋体" w:hAnsi="宋体" w:cs="宋体"/>
        </w:rPr>
        <w:t>⑩</w:t>
      </w:r>
      <w:r>
        <w:t>综合协调组，负责综合协调、信息沟通、事故新闻和应急公告发布，由建设单位、当地宣传部门组成；</w:t>
      </w:r>
    </w:p>
    <w:p>
      <w:pPr>
        <w:ind w:firstLine="480"/>
        <w:contextualSpacing/>
      </w:pPr>
      <w:r>
        <w:t>善后处理组，负责现场处置、伤亡善后工作，由建设单位、当地政府相关部门组成。</w:t>
      </w:r>
    </w:p>
    <w:p>
      <w:pPr>
        <w:ind w:firstLine="480"/>
        <w:contextualSpacing/>
      </w:pPr>
      <w:r>
        <w:t>4）预案分级响应</w:t>
      </w:r>
    </w:p>
    <w:p>
      <w:pPr>
        <w:ind w:firstLine="480"/>
        <w:contextualSpacing/>
      </w:pPr>
      <w:r>
        <w:t>事故分为以下：特别重大（Ⅰ级），重大（Ⅱ级），较大（Ⅲ级），一般（Ⅳ级）等4个等级。针对不同事故等级，实行分级响应。</w:t>
      </w:r>
    </w:p>
    <w:p>
      <w:pPr>
        <w:ind w:firstLine="480"/>
        <w:contextualSpacing/>
      </w:pPr>
      <w:r>
        <w:t>Ⅰ级、Ⅱ级响应：现场指挥在事故应急领导机构的统一领导下，具体安排组织重、特大事故应急救援预案的组织和实施；组织所有应急力量按照应急救援预案迅速开展抢险救援工作；根据事故险情，对应急工作中发生的争议采取紧急处理措施；根据预案实施过程中存在的问题和险情的变化，及时对预案进行调整、修订、补充和完善，确保人员各尽其职、救援工作灵活开展；根据现场险情，在技术支撑下，科学组织人员和物资疏散工作；现场应急指挥与应急领导机构要保持密切联系，定期通报事故现场的态势，配合上级部门进行事故调查处理工作，做好稳定社会秩序和伤亡人员的善后及安抚工作，适时发布公告，将危机的原因责任及处理决定公布于众，接受社会的监督。</w:t>
      </w:r>
    </w:p>
    <w:p>
      <w:pPr>
        <w:ind w:firstLine="480"/>
        <w:contextualSpacing/>
      </w:pPr>
      <w:r>
        <w:t>Ⅲ级、Ⅳ级响应：各相关职能部门按照各自职责开展应急处置工作，防止事故扩大、蔓延，保证信息渠道畅通，及时向领导机构通报情况。因环境污染事故存在不可预见、作用时间较长、容易衍生发展的特点，现场指挥可根据现场实际情况随时将响应等级升级或降级。</w:t>
      </w:r>
    </w:p>
    <w:p>
      <w:pPr>
        <w:ind w:firstLine="480"/>
        <w:contextualSpacing/>
      </w:pPr>
      <w:r>
        <w:t>5）应急救援保障</w:t>
      </w:r>
    </w:p>
    <w:p>
      <w:pPr>
        <w:ind w:firstLine="480"/>
        <w:contextualSpacing/>
      </w:pPr>
      <w:r>
        <w:t>燃油火灾和爆炸应急设备主要包括消防水池、消火栓、消防车、灭火器，消防水收集系统、溢油控制应急设备和器材。</w:t>
      </w:r>
    </w:p>
    <w:p>
      <w:pPr>
        <w:ind w:firstLine="480"/>
        <w:contextualSpacing/>
      </w:pPr>
      <w:r>
        <w:t>6）报警、通讯联络方式</w:t>
      </w:r>
    </w:p>
    <w:p>
      <w:pPr>
        <w:ind w:firstLine="480"/>
        <w:contextualSpacing/>
      </w:pPr>
      <w:r>
        <w:t>报警方式：在施工管理区内设置报警电话，设置施工区火灾警报器；当地火警电话119。</w:t>
      </w:r>
    </w:p>
    <w:p>
      <w:pPr>
        <w:ind w:firstLine="480"/>
        <w:contextualSpacing/>
      </w:pPr>
      <w:r>
        <w:t>应急通讯：应急领导机构与现场指挥通过对讲机、电话进行联系；现场指挥与应急救援人员通过对讲机进行联系；应急过程中对讲机均使用一频道（消防频道）；如无线通讯中断，应急领导机构和现场指挥可组织人员进行人工联络。</w:t>
      </w:r>
    </w:p>
    <w:p>
      <w:pPr>
        <w:ind w:firstLine="480"/>
        <w:contextualSpacing/>
      </w:pPr>
      <w:r>
        <w:t>信息报送程序：发生环境风险事故时，必须及时上报，按程序报建设单位环境保护管理办公室和安全监督部门后，报告应急领导机构和其它相关部门、上级部门，报送方式可采用电话、传真、直接派人、书面文件等。</w:t>
      </w:r>
    </w:p>
    <w:p>
      <w:pPr>
        <w:ind w:firstLine="480"/>
        <w:contextualSpacing/>
      </w:pPr>
      <w:r>
        <w:t>7）应急监测、救援及控制措施</w:t>
      </w:r>
    </w:p>
    <w:p>
      <w:pPr>
        <w:ind w:firstLine="480"/>
        <w:contextualSpacing/>
      </w:pPr>
      <w:r>
        <w:t>环境监测组负责人带领环境监测人员及应急查询资料到达现场，对事故原因、性质进行初步分析、取样、送样、并做好样品快速检测工作，及时提供监测数据、污染物种类、性质、控制方法及防护、处理意见，并发布应急监测简报，对事故出现后周围的安全防护距离、应急人员进出现场的要求、群众的疏散范围和路线等提供科学依据，确保群众和救援人员的安全防护。</w:t>
      </w:r>
    </w:p>
    <w:p>
      <w:pPr>
        <w:ind w:firstLine="480"/>
        <w:contextualSpacing/>
      </w:pPr>
      <w:r>
        <w:t>8）应急防护措施</w:t>
      </w:r>
    </w:p>
    <w:p>
      <w:pPr>
        <w:ind w:firstLine="480"/>
        <w:contextualSpacing/>
      </w:pPr>
      <w:r>
        <w:t>危险源控制组和消防组对事故现场进行调查取证，对事故类型、发生时间、污染源、主要污染物、影响范围和程度等进行调查分析，形成初步意见，反馈现场指挥和应急领导机构。安全警戒组在事故区域设置警戒标识，禁止无关人员进入。各小组协作，由专业人员负责，及时控制危险源，切断其传播途径，控制防火、防爆区域，对污染源及时进行处置，防止污染扩散，物资供应组及时提供所需各项物资和设备。</w:t>
      </w:r>
    </w:p>
    <w:p>
      <w:pPr>
        <w:ind w:firstLine="480"/>
        <w:contextualSpacing/>
      </w:pPr>
      <w:r>
        <w:t>9）人员疏散、撤离组织计划</w:t>
      </w:r>
    </w:p>
    <w:p>
      <w:pPr>
        <w:ind w:firstLine="480"/>
        <w:contextualSpacing/>
      </w:pPr>
      <w:r>
        <w:t>受灾区域内被围困人员由安全疏散组负责搜救；警戒区域内无关人员由建设单位配合安全疏散组实施紧急疏散。</w:t>
      </w:r>
    </w:p>
    <w:p>
      <w:pPr>
        <w:ind w:firstLine="480"/>
        <w:contextualSpacing/>
      </w:pPr>
      <w:r>
        <w:t>当事故可能危及周边地区较大范围人员安全时，现场指挥应综合专家组及有关部门的意见，及时向领导小组提出实施群体性人员紧急疏散的建议，建议应当明确疏散的范围、时间与方向。</w:t>
      </w:r>
    </w:p>
    <w:p>
      <w:pPr>
        <w:ind w:firstLine="480"/>
        <w:contextualSpacing/>
      </w:pPr>
      <w:r>
        <w:t>现场指挥应当及时发布事故信息，经领导小组批准，及时发布周边地区人员紧急疏散的公告；当地政府及各有关部门，应当按照领导小组的指令，及时、有序、全面、安全地实施人员疏散，妥善解决疏散人员的临时生活保障问题。</w:t>
      </w:r>
    </w:p>
    <w:p>
      <w:pPr>
        <w:ind w:firstLine="480"/>
        <w:contextualSpacing/>
      </w:pPr>
      <w:r>
        <w:t>10）事故应急救援关闭程序与恢复措施</w:t>
      </w:r>
    </w:p>
    <w:p>
      <w:pPr>
        <w:ind w:firstLine="480"/>
        <w:contextualSpacing/>
      </w:pPr>
      <w:r>
        <w:t>整个应急处置和救援工作完成后，即事件现场得到控制，事件条件已经消除；污染源的泄漏或释放已降至规定限值以内；事件所造成的危害已被彻底消除，无续发可能；事件现场的各种专业应急处置行动已无继续的必要；采取了必要的防护措施已能保证公众免受再次危害，并使事件可能引起的中长期影响趋于合理且尽量低的水平。经现场指挥提议、领导小组批准，由现场指挥宣布解除应急状态，并发布有关信息。建设单位协同有关部门做好现场清洁与清理，消除危害因素。</w:t>
      </w:r>
    </w:p>
    <w:p>
      <w:pPr>
        <w:ind w:firstLine="0" w:firstLineChars="0"/>
        <w:contextualSpacing/>
      </w:pPr>
      <w:r>
        <w:t>善后处理组针对事故对人体、动植物、土壤、水体、空气造成的现实危害和可能的危害，提供处置建议等相关技术支持，并对事故现场和周边环境进行跟踪监测，直至符合国家环境保护标准。做好事故调查处理。</w:t>
      </w:r>
    </w:p>
    <w:p>
      <w:pPr>
        <w:ind w:firstLine="480"/>
        <w:contextualSpacing/>
      </w:pPr>
      <w:r>
        <w:t>11）应急培训计划</w:t>
      </w:r>
    </w:p>
    <w:p>
      <w:pPr>
        <w:ind w:firstLine="480"/>
        <w:contextualSpacing/>
      </w:pPr>
      <w:r>
        <w:t>为了确保应急计划的有效性和可操作性，必须预先对计划中所涉及的人员、设备器材进行训练和保养，使参加应急行动的每一个人都能做到应知应会、熟练掌握。每年定期组织应急人员培训，使受培训人员能掌握使用和维护、保养各种应急设备和器材，并具有在指挥人员指导下完成应急反应的能力。</w:t>
      </w:r>
    </w:p>
    <w:p>
      <w:pPr>
        <w:ind w:firstLine="480"/>
        <w:contextualSpacing/>
      </w:pPr>
      <w:r>
        <w:t>定期进行一次应急演习，在模拟的事故状态下，检查应急机构，应急队伍，应急设备和器材，应急通讯等各方面的实战船能力。通过演习，发现工作中薄弱环节，并修改、完善应急计划。</w:t>
      </w:r>
    </w:p>
    <w:p>
      <w:pPr>
        <w:ind w:firstLine="480"/>
        <w:contextualSpacing/>
      </w:pPr>
      <w:r>
        <w:t>12）公众教育和信息</w:t>
      </w:r>
    </w:p>
    <w:p>
      <w:pPr>
        <w:ind w:firstLine="480"/>
        <w:contextualSpacing/>
      </w:pPr>
      <w:r>
        <w:t>对可能发生事故的附近区域居民进行宣传教育，并发布相关信息。</w:t>
      </w:r>
    </w:p>
    <w:p>
      <w:pPr>
        <w:pStyle w:val="5"/>
        <w:ind w:firstLine="0" w:firstLineChars="0"/>
        <w:contextualSpacing/>
        <w:rPr>
          <w:rFonts w:ascii="Times New Roman" w:hAnsi="Times New Roman"/>
        </w:rPr>
      </w:pPr>
      <w:r>
        <w:rPr>
          <w:rFonts w:ascii="Times New Roman" w:hAnsi="Times New Roman"/>
        </w:rPr>
        <w:t>7.6.3生态风险事故应急预案</w:t>
      </w:r>
    </w:p>
    <w:p>
      <w:pPr>
        <w:ind w:firstLine="480"/>
        <w:contextualSpacing/>
      </w:pPr>
      <w:r>
        <w:t>（1）领导机构</w:t>
      </w:r>
    </w:p>
    <w:p>
      <w:pPr>
        <w:ind w:firstLine="480"/>
        <w:contextualSpacing/>
      </w:pPr>
      <w:r>
        <w:t>生态环境主管部门、水务主管部门、自然资源主管部门及本工程建设单位共同成立应急小组作为领导机构，在建设单位内设立应急办公室，作为日常办事和执行机构。</w:t>
      </w:r>
    </w:p>
    <w:p>
      <w:pPr>
        <w:ind w:firstLine="480"/>
        <w:contextualSpacing/>
      </w:pPr>
      <w:r>
        <w:t>（2）现场处置</w:t>
      </w:r>
    </w:p>
    <w:p>
      <w:pPr>
        <w:ind w:firstLine="480"/>
        <w:contextualSpacing/>
      </w:pPr>
      <w:r>
        <w:t>重大生态用水、生态风险事故应急处置由应急小组或办公室及有关单位调集人员组成，受应急领导小组和办公室的调度派遣，负责事故现场的指挥、协调、调查等工作。</w:t>
      </w:r>
    </w:p>
    <w:p>
      <w:pPr>
        <w:ind w:firstLine="480"/>
        <w:contextualSpacing/>
      </w:pPr>
      <w:r>
        <w:t>（3）信息联络</w:t>
      </w:r>
    </w:p>
    <w:p>
      <w:pPr>
        <w:ind w:firstLine="480"/>
        <w:contextualSpacing/>
      </w:pPr>
      <w:r>
        <w:t>重大生态用水、生态风险事故应急信息联络由应急办公室负责，开展与现场监理通信联系、保障信息传递畅通、及时将相关信息报告至应急领导小组和应急办公室的领导。</w:t>
      </w:r>
    </w:p>
    <w:p>
      <w:pPr>
        <w:ind w:firstLine="480"/>
        <w:contextualSpacing/>
      </w:pPr>
      <w:r>
        <w:t>（4）应急处置</w:t>
      </w:r>
    </w:p>
    <w:p>
      <w:pPr>
        <w:ind w:firstLine="480"/>
        <w:contextualSpacing/>
      </w:pPr>
      <w:r>
        <w:t>重大生态用水、生态风险事故发生后，应急办公室立即行动，做好汇报及各部门信息联络工作。水质污染发生时应及时通知下游各用水户，寒溪寺水库及时响应，加大泄放流量；生态用水不足时，需要优先保障河道生态用水；在施工及清库过程中发现珍稀保护动植物，立即停止相关作业，汇报应急小组领导；发现入侵生物种，及时汇报应急小组领导和自然资源主管部门，采取专业应急措施。</w:t>
      </w:r>
    </w:p>
    <w:p>
      <w:pPr>
        <w:ind w:firstLine="480"/>
        <w:contextualSpacing/>
      </w:pPr>
      <w:r>
        <w:t>向上级部门汇报的内容主要包括事故类型、发生时间、地点、原因、危害程度和损失情况等。应急结束后，应在10个工作日内向上级单位汇报处理结果、采取的措施和效果、潜在的风险、社会影响和有关遗留问题。</w:t>
      </w:r>
    </w:p>
    <w:p>
      <w:pPr>
        <w:pStyle w:val="4"/>
        <w:ind w:firstLine="0" w:firstLineChars="0"/>
        <w:contextualSpacing/>
      </w:pPr>
      <w:bookmarkStart w:id="883" w:name="_Toc8053"/>
      <w:bookmarkStart w:id="884" w:name="_Toc130753462"/>
      <w:r>
        <w:t>7.7风险评价结论</w:t>
      </w:r>
      <w:bookmarkEnd w:id="883"/>
      <w:bookmarkEnd w:id="884"/>
    </w:p>
    <w:p>
      <w:pPr>
        <w:ind w:firstLine="480"/>
        <w:contextualSpacing/>
      </w:pPr>
      <w:r>
        <w:t>通过寒溪寺水库工程各类风险的分析，可能产生安全事故的风险有供水、生态、突发性污染事故和火灾爆炸风险，各种风险均可采取一定措施予以防范，事故一旦发生也可通过已制定的应急计划及时处理，减小事故产生后的损失。</w:t>
      </w:r>
    </w:p>
    <w:p>
      <w:pPr>
        <w:widowControl/>
        <w:ind w:firstLine="480"/>
        <w:contextualSpacing/>
        <w:jc w:val="left"/>
        <w:rPr>
          <w:kern w:val="0"/>
        </w:rPr>
      </w:pPr>
      <w:r>
        <w:rPr>
          <w:kern w:val="0"/>
        </w:rPr>
        <w:t>本项目汽油、柴油和炸药具有危险特性，项目生产工艺为涉及危险物质的使用。根据分析，项目不构成重大危险源，但应加强风险管理，认真落实各种风险防范措施，通过相应的技术手段降低风险发生概率，并在风险事故发生后，及时采取风险防范措施及应急预案，使风险事故对环境的危害得到有效控制，将事故风险控制在可以接受的范围内。</w:t>
      </w:r>
    </w:p>
    <w:p>
      <w:pPr>
        <w:ind w:firstLine="480"/>
        <w:contextualSpacing/>
      </w:pPr>
      <w:r>
        <w:rPr>
          <w:kern w:val="0"/>
        </w:rPr>
        <w:t>综上所述，</w:t>
      </w:r>
      <w:r>
        <w:t>上述各类环境风险均不构成影响工程能否建设或运行的关键因素。</w:t>
      </w:r>
    </w:p>
    <w:p>
      <w:pPr>
        <w:ind w:firstLine="480"/>
        <w:contextualSpacing/>
        <w:sectPr>
          <w:pgSz w:w="11906" w:h="16838"/>
          <w:pgMar w:top="1440" w:right="1800" w:bottom="1440" w:left="1800" w:header="851" w:footer="992" w:gutter="0"/>
          <w:cols w:space="720" w:num="1"/>
          <w:docGrid w:type="lines" w:linePitch="312" w:charSpace="0"/>
        </w:sectPr>
      </w:pPr>
    </w:p>
    <w:p>
      <w:pPr>
        <w:pStyle w:val="3"/>
        <w:ind w:firstLine="883"/>
        <w:contextualSpacing/>
        <w:rPr>
          <w:rFonts w:ascii="Times New Roman" w:hAnsi="Times New Roman"/>
        </w:rPr>
      </w:pPr>
      <w:bookmarkStart w:id="885" w:name="_Toc130753463"/>
      <w:r>
        <w:rPr>
          <w:rFonts w:ascii="Times New Roman" w:hAnsi="Times New Roman"/>
        </w:rPr>
        <w:t>8环境管理</w:t>
      </w:r>
      <w:bookmarkEnd w:id="873"/>
      <w:r>
        <w:rPr>
          <w:rFonts w:ascii="Times New Roman" w:hAnsi="Times New Roman"/>
        </w:rPr>
        <w:t>、监理和监测</w:t>
      </w:r>
      <w:bookmarkEnd w:id="885"/>
    </w:p>
    <w:p>
      <w:pPr>
        <w:pStyle w:val="4"/>
        <w:ind w:firstLine="0" w:firstLineChars="0"/>
        <w:contextualSpacing/>
      </w:pPr>
      <w:bookmarkStart w:id="886" w:name="_Toc6992"/>
      <w:bookmarkStart w:id="887" w:name="_Toc130753464"/>
      <w:r>
        <w:t>8.1环境管理</w:t>
      </w:r>
      <w:bookmarkEnd w:id="886"/>
      <w:bookmarkEnd w:id="887"/>
    </w:p>
    <w:p>
      <w:pPr>
        <w:pStyle w:val="5"/>
        <w:ind w:firstLine="0" w:firstLineChars="0"/>
        <w:contextualSpacing/>
        <w:rPr>
          <w:rFonts w:ascii="Times New Roman" w:hAnsi="Times New Roman"/>
        </w:rPr>
      </w:pPr>
      <w:bookmarkStart w:id="888" w:name="_Toc30659"/>
      <w:r>
        <w:rPr>
          <w:rFonts w:ascii="Times New Roman" w:hAnsi="Times New Roman"/>
        </w:rPr>
        <w:t>8.1.1环境管理目的</w:t>
      </w:r>
      <w:bookmarkEnd w:id="888"/>
    </w:p>
    <w:p>
      <w:pPr>
        <w:ind w:firstLine="480"/>
        <w:contextualSpacing/>
      </w:pPr>
      <w:r>
        <w:t>环境管理是工程管理的一部分，是工程环境保护工作有效实施的重要环节。寒溪寺水库工程环境管理目的在于保证内工程各项环境保护措施的顺利实施，使工程施工和运行产生的不利环境影响得到减免，以实现工程建设与生态环境保护、经济发展相协调。</w:t>
      </w:r>
    </w:p>
    <w:p>
      <w:pPr>
        <w:pStyle w:val="5"/>
        <w:ind w:firstLine="0" w:firstLineChars="0"/>
        <w:contextualSpacing/>
        <w:rPr>
          <w:rFonts w:ascii="Times New Roman" w:hAnsi="Times New Roman"/>
        </w:rPr>
      </w:pPr>
      <w:bookmarkStart w:id="889" w:name="_Toc10090"/>
      <w:bookmarkStart w:id="890" w:name="_Toc21709"/>
      <w:r>
        <w:rPr>
          <w:rFonts w:ascii="Times New Roman" w:hAnsi="Times New Roman"/>
        </w:rPr>
        <w:t>8.1.2环境管理原则</w:t>
      </w:r>
      <w:bookmarkEnd w:id="889"/>
      <w:bookmarkEnd w:id="890"/>
    </w:p>
    <w:p>
      <w:pPr>
        <w:ind w:firstLine="480"/>
        <w:contextualSpacing/>
      </w:pPr>
      <w:r>
        <w:t>（1）预防为主、防治结合的原则</w:t>
      </w:r>
    </w:p>
    <w:p>
      <w:pPr>
        <w:ind w:firstLine="480"/>
        <w:contextualSpacing/>
      </w:pPr>
      <w:r>
        <w:t>寒溪寺水库工程在施工和运行过程中，环境管理要预先采取防范措施，防止环境污染和生态破坏的现象发生，并把预防作为环境管理的重要原则。</w:t>
      </w:r>
    </w:p>
    <w:p>
      <w:pPr>
        <w:ind w:firstLine="480"/>
        <w:contextualSpacing/>
      </w:pPr>
      <w:r>
        <w:t>（2）分级管理原则</w:t>
      </w:r>
    </w:p>
    <w:p>
      <w:pPr>
        <w:ind w:firstLine="480"/>
        <w:contextualSpacing/>
      </w:pPr>
      <w:r>
        <w:t>工程建设和运行应接受各级环境保护行政主管部门的监督，而在内部则实行分级管理制，层层负责，责任明确。</w:t>
      </w:r>
    </w:p>
    <w:p>
      <w:pPr>
        <w:ind w:firstLine="480"/>
        <w:contextualSpacing/>
      </w:pPr>
      <w:r>
        <w:t>（3）相对独立性原则</w:t>
      </w:r>
    </w:p>
    <w:p>
      <w:pPr>
        <w:ind w:firstLine="480"/>
        <w:contextualSpacing/>
      </w:pPr>
      <w:r>
        <w:t>环境管理是工程管理的一部分，需要满足整个工程管理的要求。但同时环境管理又具有一定的独立性，必须依据环境保护法律法规体系，从环境保护的角度对工程进行监督管理，协调工程建设与环境保护的关系。</w:t>
      </w:r>
    </w:p>
    <w:p>
      <w:pPr>
        <w:ind w:firstLine="480"/>
        <w:contextualSpacing/>
      </w:pPr>
      <w:r>
        <w:t>（4）针对性原则</w:t>
      </w:r>
    </w:p>
    <w:p>
      <w:pPr>
        <w:ind w:firstLine="480"/>
        <w:contextualSpacing/>
      </w:pPr>
      <w:r>
        <w:t>工程建设的不同时期和不同区域可能会出现不同的环境问题，应通过建立合理的环境管理结构和管理制度，针对性地解决出现的问题。</w:t>
      </w:r>
    </w:p>
    <w:p>
      <w:pPr>
        <w:pStyle w:val="5"/>
        <w:ind w:firstLine="0" w:firstLineChars="0"/>
        <w:contextualSpacing/>
        <w:rPr>
          <w:rFonts w:ascii="Times New Roman" w:hAnsi="Times New Roman"/>
        </w:rPr>
      </w:pPr>
      <w:bookmarkStart w:id="891" w:name="_Toc11462"/>
      <w:r>
        <w:rPr>
          <w:rFonts w:ascii="Times New Roman" w:hAnsi="Times New Roman"/>
        </w:rPr>
        <w:t>8.1.3环境管理目标</w:t>
      </w:r>
      <w:bookmarkEnd w:id="891"/>
    </w:p>
    <w:p>
      <w:pPr>
        <w:ind w:firstLine="480"/>
        <w:contextualSpacing/>
      </w:pPr>
      <w:r>
        <w:t>（1）保证各项环境保护措施按照工程环境影响报告书及其批复、环境保护设计的要求实施，使各项环境保护设施正常、有效运行。</w:t>
      </w:r>
    </w:p>
    <w:p>
      <w:pPr>
        <w:ind w:firstLine="480"/>
        <w:contextualSpacing/>
      </w:pPr>
      <w:r>
        <w:t>（2）预防污染事故的发生，保证各类污染物达标排放、合理回用，使工程区及其附近的水环境、环境空气和声环境质量达到环境功能区划要求的标准。</w:t>
      </w:r>
    </w:p>
    <w:p>
      <w:pPr>
        <w:ind w:firstLine="480"/>
        <w:contextualSpacing/>
      </w:pPr>
      <w:r>
        <w:t>（3）水土流失和生态破坏得到有效控制，并通过采取措施恢复原有的水土保持功能和生态环境质量。</w:t>
      </w:r>
    </w:p>
    <w:p>
      <w:pPr>
        <w:ind w:firstLine="480"/>
        <w:contextualSpacing/>
      </w:pPr>
      <w:r>
        <w:t>（4）做好施工区卫生防疫工作，完善疫情管理体系，控制施工人群传染病发病率，避免传染病爆发和蔓延。</w:t>
      </w:r>
    </w:p>
    <w:p>
      <w:pPr>
        <w:ind w:firstLine="480"/>
        <w:contextualSpacing/>
      </w:pPr>
      <w:r>
        <w:t>（5）协调工程建设与环境保护的关系，保障工程建设的顺利进行，促进施工区环境美化，争创环保优秀工程。</w:t>
      </w:r>
    </w:p>
    <w:p>
      <w:pPr>
        <w:pStyle w:val="5"/>
        <w:ind w:firstLine="0" w:firstLineChars="0"/>
        <w:contextualSpacing/>
        <w:rPr>
          <w:rFonts w:ascii="Times New Roman" w:hAnsi="Times New Roman"/>
        </w:rPr>
      </w:pPr>
      <w:bookmarkStart w:id="892" w:name="_Toc18859"/>
      <w:r>
        <w:rPr>
          <w:rFonts w:ascii="Times New Roman" w:hAnsi="Times New Roman"/>
        </w:rPr>
        <w:t>8.1.4环境管理体系</w:t>
      </w:r>
      <w:bookmarkEnd w:id="892"/>
    </w:p>
    <w:p>
      <w:pPr>
        <w:ind w:firstLine="480"/>
        <w:contextualSpacing/>
      </w:pPr>
      <w:r>
        <w:t>寒溪寺水库工程环境管理分为外部管理和内部管理两大部分，并纳入整个寒溪寺水库工程环境管理体系之中。</w:t>
      </w:r>
    </w:p>
    <w:p>
      <w:pPr>
        <w:ind w:firstLine="480"/>
        <w:contextualSpacing/>
      </w:pPr>
      <w:r>
        <w:t>（1）外部管理</w:t>
      </w:r>
    </w:p>
    <w:p>
      <w:pPr>
        <w:ind w:firstLine="480"/>
        <w:contextualSpacing/>
      </w:pPr>
      <w:r>
        <w:t>指国家及地方环境保护行政主管部门，依据国家相关法律、法规和政策，按照工程需达到的环境标准与要求，依法对各工程建设阶段进行不定期监督、检查及环境保护竣工验收等活动。</w:t>
      </w:r>
    </w:p>
    <w:p>
      <w:pPr>
        <w:ind w:firstLine="480"/>
        <w:contextualSpacing/>
      </w:pPr>
      <w:r>
        <w:t>本工程外部环境管理体系由四川省生态环境厅和</w:t>
      </w:r>
      <w:r>
        <w:rPr>
          <w:rFonts w:hint="eastAsia"/>
        </w:rPr>
        <w:t>巴中</w:t>
      </w:r>
      <w:r>
        <w:t>市、</w:t>
      </w:r>
      <w:r>
        <w:rPr>
          <w:rFonts w:hint="eastAsia"/>
        </w:rPr>
        <w:t>巴州</w:t>
      </w:r>
      <w:r>
        <w:t>生态环境局组成。</w:t>
      </w:r>
    </w:p>
    <w:p>
      <w:pPr>
        <w:ind w:firstLine="480"/>
        <w:contextualSpacing/>
      </w:pPr>
      <w:r>
        <w:t>（2）内部管理</w:t>
      </w:r>
    </w:p>
    <w:p>
      <w:pPr>
        <w:ind w:firstLine="480"/>
        <w:contextualSpacing/>
      </w:pPr>
      <w:r>
        <w:t>内部管理指建设单位、施工单位和工程运行管理单位执行国家和地方有关环境保护的法律、法规、政策，贯彻环境保护标准，落实环境保护措施，保证达到国家建设项目环境保护要求和地方生态环境部门要求，并对工程的建设过程和活动按环保要求进行管理。</w:t>
      </w:r>
    </w:p>
    <w:p>
      <w:pPr>
        <w:ind w:firstLine="480"/>
        <w:contextualSpacing/>
      </w:pPr>
      <w:r>
        <w:t>内部管理分为工程施工期和运行期。工程施工期及运行期由建设单位负责组织实施，对工程环境保护措施进行优化、组织和实施，保证达到国家和地方对建设项目环境保护的要求。内部环境管理体系由建设单位和施工单位分级管理，分别成立专/兼职环境管理机构。</w:t>
      </w:r>
    </w:p>
    <w:p>
      <w:pPr>
        <w:pStyle w:val="5"/>
        <w:ind w:firstLine="0" w:firstLineChars="0"/>
        <w:contextualSpacing/>
        <w:rPr>
          <w:rFonts w:ascii="Times New Roman" w:hAnsi="Times New Roman"/>
        </w:rPr>
      </w:pPr>
      <w:bookmarkStart w:id="893" w:name="_Toc28219"/>
      <w:r>
        <w:rPr>
          <w:rFonts w:ascii="Times New Roman" w:hAnsi="Times New Roman"/>
        </w:rPr>
        <w:t>8.1.5环境管理机构设置及其职责</w:t>
      </w:r>
      <w:bookmarkEnd w:id="893"/>
    </w:p>
    <w:p>
      <w:pPr>
        <w:ind w:firstLine="480"/>
        <w:contextualSpacing/>
      </w:pPr>
      <w:r>
        <w:t>建设单位须设立环境管理机构，负责确定其环保方针、审查项目环境目标和指标、审批环保项目立项和投资投入报告、审批环保项目实施方案和管理方案、检查环境管理业绩、培养职工环境保护意识等工作。</w:t>
      </w:r>
    </w:p>
    <w:p>
      <w:pPr>
        <w:ind w:firstLine="480"/>
        <w:contextualSpacing/>
      </w:pPr>
      <w:r>
        <w:t>环境管理机构主要职责如下：</w:t>
      </w:r>
    </w:p>
    <w:p>
      <w:pPr>
        <w:ind w:firstLine="480"/>
        <w:contextualSpacing/>
      </w:pPr>
      <w:r>
        <w:t>（1）宣传、贯彻、执行国家和地方有关环境保护的政策、法律、法规，熟悉相关技术标准，确定工程环境保护方针和环境保护目标，制定环境保护管理办法；</w:t>
      </w:r>
    </w:p>
    <w:p>
      <w:pPr>
        <w:ind w:firstLine="480"/>
        <w:contextualSpacing/>
      </w:pPr>
      <w:r>
        <w:t>（2）负责落实环保经费，按照审批的设计文件要求和施工现场实际，按计划落实工程项目建设全过程的生态与环境保护工作，主要包括生态与环境保护工作计划的编制、环境监测与保护措施的落实、专题调查与研究、环境信息统计以及各阶段验收和专项验收等。</w:t>
      </w:r>
    </w:p>
    <w:p>
      <w:pPr>
        <w:ind w:firstLine="480"/>
        <w:contextualSpacing/>
      </w:pPr>
      <w:r>
        <w:t>（3）协调处理并配合国家、地方各级环境保护行政主管部门环境保护监督检查，协调处理各有关部门的环保工作，指导、检查、考核各施工承包单位环境保护管理机构的建设运行及施工期和运行期环保设施的实施、运行情况等；</w:t>
      </w:r>
    </w:p>
    <w:p>
      <w:pPr>
        <w:ind w:firstLine="480"/>
        <w:contextualSpacing/>
      </w:pPr>
      <w:r>
        <w:t>（4）及时处理施工和运行过程中出现的环境问题，建立建设单位内部、外部环境保护信息定期、不定期报送制度。</w:t>
      </w:r>
    </w:p>
    <w:p>
      <w:pPr>
        <w:pStyle w:val="5"/>
        <w:ind w:firstLine="0" w:firstLineChars="0"/>
        <w:contextualSpacing/>
        <w:rPr>
          <w:rFonts w:ascii="Times New Roman" w:hAnsi="Times New Roman"/>
        </w:rPr>
      </w:pPr>
      <w:bookmarkStart w:id="894" w:name="_Toc18493"/>
      <w:r>
        <w:rPr>
          <w:rFonts w:ascii="Times New Roman" w:hAnsi="Times New Roman"/>
        </w:rPr>
        <w:t>8.1.6环境管理制度</w:t>
      </w:r>
      <w:bookmarkEnd w:id="894"/>
    </w:p>
    <w:p>
      <w:pPr>
        <w:ind w:firstLine="480"/>
        <w:contextualSpacing/>
      </w:pPr>
      <w:r>
        <w:t>（1）环境保护责任制</w:t>
      </w:r>
    </w:p>
    <w:p>
      <w:pPr>
        <w:ind w:firstLine="480"/>
        <w:contextualSpacing/>
      </w:pPr>
      <w:r>
        <w:t>在环境保护管理体系中，建立环境保护责任制，明确各环境管理机构的环境保护责任。</w:t>
      </w:r>
    </w:p>
    <w:p>
      <w:pPr>
        <w:ind w:firstLine="480"/>
        <w:contextualSpacing/>
      </w:pPr>
      <w:r>
        <w:t>（2）分级管理制度</w:t>
      </w:r>
    </w:p>
    <w:p>
      <w:pPr>
        <w:ind w:firstLine="480"/>
        <w:contextualSpacing/>
      </w:pPr>
      <w:r>
        <w:t>建立由各参建单位分工负责的环境保护分级管理制度。在施工招标文件、承包合同中，明确污染防治和生态保护设施与措施条款，由各施工承包单位负责组织实施，建设单位环境保护办公室负责定期检查，并将检查结果上报建设单位，对检查中所发现的问题通报监理部门，由监理部门督促施工单位整改。在施工招标文件、承包合同中，明确污染防治和生态保护设施与措施条款，由各施工承包单位负责组织实施，环境监理联合工程监理进行日常监督检查，建设单位环境保护中心负责定期检查，对检查中所发现的问题通报监理部门，由监理部门督促施工单位整改。</w:t>
      </w:r>
    </w:p>
    <w:p>
      <w:pPr>
        <w:ind w:firstLine="480"/>
        <w:contextualSpacing/>
      </w:pPr>
      <w:r>
        <w:t>（3）监测和报告制度</w:t>
      </w:r>
    </w:p>
    <w:p>
      <w:pPr>
        <w:ind w:firstLine="480"/>
        <w:contextualSpacing/>
      </w:pPr>
      <w:r>
        <w:t>环境监测是环境管理部门获取施工区环境质量信息的重要手段，是进行环境管理的主要依据。委托具备相应监测资质的机构，按环境监测计划要求对工程区域及周围的环境质量进行定期监测，及时提交监测成果，并根据环境监测结果，适时优化调整环境保护措施。</w:t>
      </w:r>
    </w:p>
    <w:p>
      <w:pPr>
        <w:ind w:firstLine="480"/>
        <w:contextualSpacing/>
      </w:pPr>
      <w:r>
        <w:t>（4）“三同时”验收制度</w:t>
      </w:r>
    </w:p>
    <w:p>
      <w:pPr>
        <w:ind w:firstLine="480"/>
        <w:contextualSpacing/>
      </w:pPr>
      <w:r>
        <w:t>根据《建设项目环境保护“三同时”管理办法》，工程建设过程中的环境保护措施必须与建设项目同时设计、同时施工、同时投入运行。有关“三同时”项目必须按合同规定经有关部门验收合格后才能正式投入运行。</w:t>
      </w:r>
    </w:p>
    <w:p>
      <w:pPr>
        <w:ind w:firstLine="480"/>
        <w:contextualSpacing/>
      </w:pPr>
      <w:r>
        <w:t>（5）制定突发事故的处理措施</w:t>
      </w:r>
    </w:p>
    <w:p>
      <w:pPr>
        <w:ind w:firstLine="480"/>
        <w:contextualSpacing/>
      </w:pPr>
      <w:r>
        <w:t>工程施工期间，如发生污染事故及其它突发性环境事件，除应立即采取补救措施外，施工单位还要及时通报可能受到影响的地区和居民，并报建设单位环保部门与地方环境保护行政主管部门接受调查处理。同时，要调查事故原因、责任单位和责任人，对有关单位和个人给予行政或经济处罚，触犯国家有关法律者，移交司法部门处理。</w:t>
      </w:r>
    </w:p>
    <w:p>
      <w:pPr>
        <w:ind w:firstLine="480"/>
        <w:contextualSpacing/>
      </w:pPr>
      <w:r>
        <w:t>（6）宣传、培训制度</w:t>
      </w:r>
    </w:p>
    <w:p>
      <w:pPr>
        <w:ind w:firstLine="480"/>
        <w:contextualSpacing/>
      </w:pPr>
      <w:r>
        <w:t>为增强工程建设者（包括管理人员和施工人员）的环境保护意识，建设单位环境管理机构应经常采取广播、宣传栏、专题讲座等方法对工程参建人员进行环境保护宣传，提高环保意识，使其都能自觉地参与环境保护工作，让环境保护从单纯的行政干预和法律约束变成人们的自觉行为。</w:t>
      </w:r>
    </w:p>
    <w:p>
      <w:pPr>
        <w:ind w:firstLine="480"/>
        <w:contextualSpacing/>
      </w:pPr>
      <w:r>
        <w:t>对环境保护专业技术人员应定期进行业务培训，同时组织考察学习，以提高其业务水平。</w:t>
      </w:r>
    </w:p>
    <w:p>
      <w:pPr>
        <w:pStyle w:val="5"/>
        <w:ind w:firstLine="0" w:firstLineChars="0"/>
        <w:contextualSpacing/>
        <w:rPr>
          <w:rFonts w:ascii="Times New Roman" w:hAnsi="Times New Roman"/>
        </w:rPr>
      </w:pPr>
      <w:bookmarkStart w:id="895" w:name="_Toc30422"/>
      <w:r>
        <w:rPr>
          <w:rFonts w:ascii="Times New Roman" w:hAnsi="Times New Roman"/>
        </w:rPr>
        <w:t>8.1.7环境管理任务</w:t>
      </w:r>
      <w:bookmarkEnd w:id="895"/>
    </w:p>
    <w:p>
      <w:pPr>
        <w:ind w:firstLine="480"/>
        <w:contextualSpacing/>
      </w:pPr>
      <w:r>
        <w:t>本工程建设主要管理任务及其实施要求、实施时间、责任单位、业主责任等详见表8.1.7。</w:t>
      </w:r>
    </w:p>
    <w:p>
      <w:pPr>
        <w:ind w:firstLine="422"/>
        <w:contextualSpacing/>
        <w:jc w:val="center"/>
        <w:rPr>
          <w:b/>
          <w:bCs/>
          <w:sz w:val="21"/>
          <w:szCs w:val="21"/>
        </w:rPr>
      </w:pPr>
      <w:r>
        <w:rPr>
          <w:b/>
          <w:bCs/>
          <w:sz w:val="21"/>
          <w:szCs w:val="21"/>
        </w:rPr>
        <w:t>表8.1.7  施工及运行阶段环境管理任务一览表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00"/>
        <w:gridCol w:w="1610"/>
        <w:gridCol w:w="992"/>
        <w:gridCol w:w="1418"/>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spacing w:line="240" w:lineRule="auto"/>
              <w:ind w:firstLine="0" w:firstLineChars="0"/>
              <w:contextualSpacing/>
              <w:jc w:val="center"/>
              <w:rPr>
                <w:sz w:val="21"/>
                <w:szCs w:val="21"/>
              </w:rPr>
            </w:pPr>
            <w:r>
              <w:rPr>
                <w:sz w:val="21"/>
                <w:szCs w:val="21"/>
              </w:rPr>
              <w:t>环境因子</w:t>
            </w:r>
          </w:p>
        </w:tc>
        <w:tc>
          <w:tcPr>
            <w:tcW w:w="1500" w:type="dxa"/>
            <w:vAlign w:val="center"/>
          </w:tcPr>
          <w:p>
            <w:pPr>
              <w:spacing w:line="240" w:lineRule="auto"/>
              <w:ind w:firstLine="0" w:firstLineChars="0"/>
              <w:contextualSpacing/>
              <w:jc w:val="center"/>
              <w:rPr>
                <w:sz w:val="21"/>
                <w:szCs w:val="21"/>
              </w:rPr>
            </w:pPr>
            <w:r>
              <w:rPr>
                <w:sz w:val="21"/>
                <w:szCs w:val="21"/>
              </w:rPr>
              <w:t>管理方式</w:t>
            </w:r>
          </w:p>
        </w:tc>
        <w:tc>
          <w:tcPr>
            <w:tcW w:w="1610" w:type="dxa"/>
            <w:vAlign w:val="center"/>
          </w:tcPr>
          <w:p>
            <w:pPr>
              <w:spacing w:line="240" w:lineRule="auto"/>
              <w:ind w:firstLine="0" w:firstLineChars="0"/>
              <w:contextualSpacing/>
              <w:jc w:val="center"/>
              <w:rPr>
                <w:sz w:val="21"/>
                <w:szCs w:val="21"/>
              </w:rPr>
            </w:pPr>
            <w:r>
              <w:rPr>
                <w:sz w:val="21"/>
                <w:szCs w:val="21"/>
              </w:rPr>
              <w:t>实施方式</w:t>
            </w:r>
          </w:p>
        </w:tc>
        <w:tc>
          <w:tcPr>
            <w:tcW w:w="992" w:type="dxa"/>
            <w:vAlign w:val="center"/>
          </w:tcPr>
          <w:p>
            <w:pPr>
              <w:spacing w:line="240" w:lineRule="auto"/>
              <w:ind w:firstLine="0" w:firstLineChars="0"/>
              <w:contextualSpacing/>
              <w:jc w:val="center"/>
              <w:rPr>
                <w:sz w:val="21"/>
                <w:szCs w:val="21"/>
              </w:rPr>
            </w:pPr>
            <w:r>
              <w:rPr>
                <w:sz w:val="21"/>
                <w:szCs w:val="21"/>
              </w:rPr>
              <w:t>实施时间</w:t>
            </w:r>
          </w:p>
        </w:tc>
        <w:tc>
          <w:tcPr>
            <w:tcW w:w="1418" w:type="dxa"/>
            <w:vAlign w:val="center"/>
          </w:tcPr>
          <w:p>
            <w:pPr>
              <w:spacing w:line="240" w:lineRule="auto"/>
              <w:ind w:firstLine="0" w:firstLineChars="0"/>
              <w:contextualSpacing/>
              <w:jc w:val="center"/>
              <w:rPr>
                <w:sz w:val="21"/>
                <w:szCs w:val="21"/>
              </w:rPr>
            </w:pPr>
            <w:r>
              <w:rPr>
                <w:sz w:val="21"/>
                <w:szCs w:val="21"/>
              </w:rPr>
              <w:t>实施机构</w:t>
            </w:r>
          </w:p>
        </w:tc>
        <w:tc>
          <w:tcPr>
            <w:tcW w:w="2318" w:type="dxa"/>
            <w:vAlign w:val="center"/>
          </w:tcPr>
          <w:p>
            <w:pPr>
              <w:spacing w:line="240" w:lineRule="auto"/>
              <w:ind w:firstLine="0" w:firstLineChars="0"/>
              <w:contextualSpacing/>
              <w:jc w:val="center"/>
              <w:rPr>
                <w:sz w:val="21"/>
                <w:szCs w:val="21"/>
              </w:rPr>
            </w:pPr>
            <w:r>
              <w:rPr>
                <w:sz w:val="21"/>
                <w:szCs w:val="21"/>
              </w:rPr>
              <w:t>业主职责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水环境</w:t>
            </w:r>
          </w:p>
        </w:tc>
        <w:tc>
          <w:tcPr>
            <w:tcW w:w="1500" w:type="dxa"/>
            <w:vAlign w:val="center"/>
          </w:tcPr>
          <w:p>
            <w:pPr>
              <w:spacing w:line="240" w:lineRule="auto"/>
              <w:ind w:firstLine="0" w:firstLineChars="0"/>
              <w:contextualSpacing/>
              <w:jc w:val="center"/>
              <w:rPr>
                <w:sz w:val="21"/>
                <w:szCs w:val="21"/>
              </w:rPr>
            </w:pPr>
            <w:r>
              <w:rPr>
                <w:sz w:val="21"/>
                <w:szCs w:val="21"/>
              </w:rPr>
              <w:t>混凝土拌和系统废水处理</w:t>
            </w:r>
          </w:p>
        </w:tc>
        <w:tc>
          <w:tcPr>
            <w:tcW w:w="1610" w:type="dxa"/>
            <w:vAlign w:val="center"/>
          </w:tcPr>
          <w:p>
            <w:pPr>
              <w:spacing w:line="240" w:lineRule="auto"/>
              <w:ind w:firstLine="0" w:firstLineChars="0"/>
              <w:contextualSpacing/>
              <w:jc w:val="center"/>
              <w:rPr>
                <w:sz w:val="21"/>
                <w:szCs w:val="21"/>
              </w:rPr>
            </w:pPr>
            <w:r>
              <w:rPr>
                <w:sz w:val="21"/>
                <w:szCs w:val="21"/>
              </w:rPr>
              <w:t>处理后回用</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Merge w:val="restart"/>
            <w:vAlign w:val="center"/>
          </w:tcPr>
          <w:p>
            <w:pPr>
              <w:spacing w:line="240" w:lineRule="auto"/>
              <w:ind w:firstLine="0" w:firstLineChars="0"/>
              <w:contextualSpacing/>
              <w:jc w:val="center"/>
              <w:rPr>
                <w:sz w:val="21"/>
                <w:szCs w:val="21"/>
              </w:rPr>
            </w:pPr>
            <w:r>
              <w:rPr>
                <w:sz w:val="21"/>
                <w:szCs w:val="21"/>
              </w:rPr>
              <w:t>负责有关事务安排，拟定协议，支付费用，监督设施运行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施工工厂区废水处理</w:t>
            </w:r>
          </w:p>
        </w:tc>
        <w:tc>
          <w:tcPr>
            <w:tcW w:w="1610" w:type="dxa"/>
            <w:vAlign w:val="center"/>
          </w:tcPr>
          <w:p>
            <w:pPr>
              <w:spacing w:line="240" w:lineRule="auto"/>
              <w:ind w:firstLine="0" w:firstLineChars="0"/>
              <w:contextualSpacing/>
              <w:jc w:val="center"/>
              <w:rPr>
                <w:sz w:val="21"/>
                <w:szCs w:val="21"/>
              </w:rPr>
            </w:pPr>
            <w:r>
              <w:rPr>
                <w:sz w:val="21"/>
                <w:szCs w:val="21"/>
              </w:rPr>
              <w:t>处理后回用</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生活污水处理</w:t>
            </w:r>
          </w:p>
        </w:tc>
        <w:tc>
          <w:tcPr>
            <w:tcW w:w="1610" w:type="dxa"/>
            <w:vAlign w:val="center"/>
          </w:tcPr>
          <w:p>
            <w:pPr>
              <w:spacing w:line="240" w:lineRule="auto"/>
              <w:ind w:firstLine="0" w:firstLineChars="0"/>
              <w:contextualSpacing/>
              <w:jc w:val="center"/>
              <w:rPr>
                <w:sz w:val="21"/>
                <w:szCs w:val="21"/>
              </w:rPr>
            </w:pPr>
            <w:r>
              <w:rPr>
                <w:sz w:val="21"/>
                <w:szCs w:val="21"/>
              </w:rPr>
              <w:t>处理后回用</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承包商、业主</w:t>
            </w:r>
          </w:p>
        </w:tc>
        <w:tc>
          <w:tcPr>
            <w:tcW w:w="2318" w:type="dxa"/>
            <w:vAlign w:val="center"/>
          </w:tcPr>
          <w:p>
            <w:pPr>
              <w:spacing w:line="240" w:lineRule="auto"/>
              <w:ind w:firstLine="0" w:firstLineChars="0"/>
              <w:contextualSpacing/>
              <w:jc w:val="center"/>
              <w:rPr>
                <w:sz w:val="21"/>
                <w:szCs w:val="21"/>
              </w:rPr>
            </w:pPr>
            <w:r>
              <w:rPr>
                <w:sz w:val="21"/>
                <w:szCs w:val="21"/>
              </w:rPr>
              <w:t>负责承包商营地有关事务安排，拟定协议，支付费用，监督设施运行；业主营地措施的落实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水质保护</w:t>
            </w:r>
          </w:p>
        </w:tc>
        <w:tc>
          <w:tcPr>
            <w:tcW w:w="1610" w:type="dxa"/>
            <w:vAlign w:val="center"/>
          </w:tcPr>
          <w:p>
            <w:pPr>
              <w:spacing w:line="240" w:lineRule="auto"/>
              <w:ind w:firstLine="0" w:firstLineChars="0"/>
              <w:contextualSpacing/>
              <w:jc w:val="center"/>
              <w:rPr>
                <w:sz w:val="21"/>
                <w:szCs w:val="21"/>
              </w:rPr>
            </w:pPr>
            <w:r>
              <w:rPr>
                <w:sz w:val="21"/>
                <w:szCs w:val="21"/>
              </w:rPr>
              <w:t>划分保护区</w:t>
            </w:r>
          </w:p>
        </w:tc>
        <w:tc>
          <w:tcPr>
            <w:tcW w:w="992" w:type="dxa"/>
            <w:vAlign w:val="center"/>
          </w:tcPr>
          <w:p>
            <w:pPr>
              <w:spacing w:line="240" w:lineRule="auto"/>
              <w:ind w:firstLine="0" w:firstLineChars="0"/>
              <w:contextualSpacing/>
              <w:jc w:val="center"/>
              <w:rPr>
                <w:sz w:val="21"/>
                <w:szCs w:val="21"/>
              </w:rPr>
            </w:pPr>
            <w:r>
              <w:rPr>
                <w:sz w:val="21"/>
                <w:szCs w:val="21"/>
              </w:rPr>
              <w:t>运行期</w:t>
            </w:r>
          </w:p>
        </w:tc>
        <w:tc>
          <w:tcPr>
            <w:tcW w:w="1418" w:type="dxa"/>
            <w:vAlign w:val="center"/>
          </w:tcPr>
          <w:p>
            <w:pPr>
              <w:spacing w:line="240" w:lineRule="auto"/>
              <w:ind w:firstLine="0" w:firstLineChars="0"/>
              <w:contextualSpacing/>
              <w:jc w:val="center"/>
              <w:rPr>
                <w:sz w:val="21"/>
                <w:szCs w:val="21"/>
              </w:rPr>
            </w:pPr>
            <w:r>
              <w:rPr>
                <w:sz w:val="21"/>
                <w:szCs w:val="21"/>
              </w:rPr>
              <w:t>政府、业主</w:t>
            </w:r>
          </w:p>
        </w:tc>
        <w:tc>
          <w:tcPr>
            <w:tcW w:w="2318" w:type="dxa"/>
            <w:vAlign w:val="center"/>
          </w:tcPr>
          <w:p>
            <w:pPr>
              <w:spacing w:line="240" w:lineRule="auto"/>
              <w:ind w:firstLine="0" w:firstLineChars="0"/>
              <w:contextualSpacing/>
              <w:jc w:val="center"/>
              <w:rPr>
                <w:sz w:val="21"/>
                <w:szCs w:val="21"/>
              </w:rPr>
            </w:pPr>
            <w:r>
              <w:rPr>
                <w:sz w:val="21"/>
                <w:szCs w:val="21"/>
              </w:rPr>
              <w:t>配合实施和管理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陆生生态</w:t>
            </w:r>
          </w:p>
        </w:tc>
        <w:tc>
          <w:tcPr>
            <w:tcW w:w="1500" w:type="dxa"/>
            <w:vAlign w:val="center"/>
          </w:tcPr>
          <w:p>
            <w:pPr>
              <w:spacing w:line="240" w:lineRule="auto"/>
              <w:ind w:firstLine="0" w:firstLineChars="0"/>
              <w:contextualSpacing/>
              <w:jc w:val="center"/>
              <w:rPr>
                <w:sz w:val="21"/>
                <w:szCs w:val="21"/>
              </w:rPr>
            </w:pPr>
            <w:r>
              <w:rPr>
                <w:sz w:val="21"/>
                <w:szCs w:val="21"/>
              </w:rPr>
              <w:t>陆生生态修复</w:t>
            </w:r>
          </w:p>
        </w:tc>
        <w:tc>
          <w:tcPr>
            <w:tcW w:w="1610" w:type="dxa"/>
            <w:vAlign w:val="center"/>
          </w:tcPr>
          <w:p>
            <w:pPr>
              <w:spacing w:line="240" w:lineRule="auto"/>
              <w:ind w:firstLine="0" w:firstLineChars="0"/>
              <w:contextualSpacing/>
              <w:jc w:val="center"/>
              <w:rPr>
                <w:sz w:val="21"/>
                <w:szCs w:val="21"/>
              </w:rPr>
            </w:pPr>
            <w:r>
              <w:rPr>
                <w:sz w:val="21"/>
                <w:szCs w:val="21"/>
              </w:rPr>
              <w:t>结合水土保持植物措施，进行</w:t>
            </w:r>
          </w:p>
          <w:p>
            <w:pPr>
              <w:spacing w:line="240" w:lineRule="auto"/>
              <w:ind w:firstLine="0" w:firstLineChars="0"/>
              <w:contextualSpacing/>
              <w:jc w:val="center"/>
              <w:rPr>
                <w:sz w:val="21"/>
                <w:szCs w:val="21"/>
              </w:rPr>
            </w:pPr>
            <w:r>
              <w:rPr>
                <w:sz w:val="21"/>
                <w:szCs w:val="21"/>
              </w:rPr>
              <w:t>陆生生态修复。</w:t>
            </w:r>
          </w:p>
        </w:tc>
        <w:tc>
          <w:tcPr>
            <w:tcW w:w="992" w:type="dxa"/>
            <w:vAlign w:val="center"/>
          </w:tcPr>
          <w:p>
            <w:pPr>
              <w:spacing w:line="240" w:lineRule="auto"/>
              <w:ind w:firstLine="0" w:firstLineChars="0"/>
              <w:contextualSpacing/>
              <w:jc w:val="center"/>
              <w:rPr>
                <w:sz w:val="21"/>
                <w:szCs w:val="21"/>
              </w:rPr>
            </w:pPr>
            <w:r>
              <w:rPr>
                <w:sz w:val="21"/>
                <w:szCs w:val="21"/>
              </w:rPr>
              <w:t>整个施工期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根据工程进展及时实</w:t>
            </w:r>
          </w:p>
          <w:p>
            <w:pPr>
              <w:spacing w:line="240" w:lineRule="auto"/>
              <w:ind w:firstLine="0" w:firstLineChars="0"/>
              <w:contextualSpacing/>
              <w:jc w:val="center"/>
              <w:rPr>
                <w:sz w:val="21"/>
                <w:szCs w:val="21"/>
              </w:rPr>
            </w:pPr>
            <w:r>
              <w:rPr>
                <w:sz w:val="21"/>
                <w:szCs w:val="21"/>
              </w:rPr>
              <w:t>施生态修复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野生动物保护</w:t>
            </w:r>
          </w:p>
        </w:tc>
        <w:tc>
          <w:tcPr>
            <w:tcW w:w="1610" w:type="dxa"/>
            <w:vAlign w:val="center"/>
          </w:tcPr>
          <w:p>
            <w:pPr>
              <w:spacing w:line="240" w:lineRule="auto"/>
              <w:ind w:firstLine="0" w:firstLineChars="0"/>
              <w:contextualSpacing/>
              <w:jc w:val="center"/>
              <w:rPr>
                <w:sz w:val="21"/>
                <w:szCs w:val="21"/>
              </w:rPr>
            </w:pPr>
            <w:r>
              <w:rPr>
                <w:sz w:val="21"/>
                <w:szCs w:val="21"/>
              </w:rPr>
              <w:t>加强生态保护宣传，施工前对地块进行调查确认，发现动物的卵和幼体应进行保护，并报告野生动物</w:t>
            </w:r>
          </w:p>
        </w:tc>
        <w:tc>
          <w:tcPr>
            <w:tcW w:w="992" w:type="dxa"/>
            <w:vAlign w:val="center"/>
          </w:tcPr>
          <w:p>
            <w:pPr>
              <w:spacing w:line="240" w:lineRule="auto"/>
              <w:ind w:firstLine="0" w:firstLineChars="0"/>
              <w:contextualSpacing/>
              <w:jc w:val="center"/>
              <w:rPr>
                <w:sz w:val="21"/>
                <w:szCs w:val="21"/>
              </w:rPr>
            </w:pPr>
            <w:r>
              <w:rPr>
                <w:sz w:val="21"/>
                <w:szCs w:val="21"/>
              </w:rPr>
              <w:t>施工期</w:t>
            </w:r>
          </w:p>
        </w:tc>
        <w:tc>
          <w:tcPr>
            <w:tcW w:w="1418" w:type="dxa"/>
            <w:vAlign w:val="center"/>
          </w:tcPr>
          <w:p>
            <w:pPr>
              <w:spacing w:line="240" w:lineRule="auto"/>
              <w:ind w:firstLine="0" w:firstLineChars="0"/>
              <w:contextualSpacing/>
              <w:jc w:val="center"/>
              <w:rPr>
                <w:sz w:val="21"/>
                <w:szCs w:val="21"/>
              </w:rPr>
            </w:pPr>
            <w:r>
              <w:rPr>
                <w:sz w:val="21"/>
                <w:szCs w:val="21"/>
              </w:rPr>
              <w:t>承包商、业主</w:t>
            </w:r>
          </w:p>
        </w:tc>
        <w:tc>
          <w:tcPr>
            <w:tcW w:w="2318" w:type="dxa"/>
            <w:vAlign w:val="center"/>
          </w:tcPr>
          <w:p>
            <w:pPr>
              <w:spacing w:line="240" w:lineRule="auto"/>
              <w:ind w:firstLine="0" w:firstLineChars="0"/>
              <w:contextualSpacing/>
              <w:jc w:val="center"/>
              <w:rPr>
                <w:sz w:val="21"/>
                <w:szCs w:val="21"/>
              </w:rPr>
            </w:pPr>
            <w:r>
              <w:rPr>
                <w:sz w:val="21"/>
                <w:szCs w:val="21"/>
              </w:rPr>
              <w:t>监督管理、制定制度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水生生态</w:t>
            </w:r>
          </w:p>
        </w:tc>
        <w:tc>
          <w:tcPr>
            <w:tcW w:w="1500" w:type="dxa"/>
            <w:vAlign w:val="center"/>
          </w:tcPr>
          <w:p>
            <w:pPr>
              <w:spacing w:line="240" w:lineRule="auto"/>
              <w:ind w:firstLine="0" w:firstLineChars="0"/>
              <w:contextualSpacing/>
              <w:jc w:val="center"/>
              <w:rPr>
                <w:sz w:val="21"/>
                <w:szCs w:val="21"/>
              </w:rPr>
            </w:pPr>
            <w:r>
              <w:rPr>
                <w:sz w:val="21"/>
                <w:szCs w:val="21"/>
              </w:rPr>
              <w:t>鱼类栖息地保护</w:t>
            </w:r>
          </w:p>
        </w:tc>
        <w:tc>
          <w:tcPr>
            <w:tcW w:w="1610" w:type="dxa"/>
            <w:vAlign w:val="center"/>
          </w:tcPr>
          <w:p>
            <w:pPr>
              <w:spacing w:line="240" w:lineRule="auto"/>
              <w:ind w:firstLine="0" w:firstLineChars="0"/>
              <w:contextualSpacing/>
              <w:jc w:val="center"/>
              <w:rPr>
                <w:sz w:val="21"/>
                <w:szCs w:val="21"/>
              </w:rPr>
            </w:pPr>
            <w:r>
              <w:rPr>
                <w:sz w:val="21"/>
                <w:szCs w:val="21"/>
              </w:rPr>
              <w:t>开展栖息地保护</w:t>
            </w:r>
          </w:p>
        </w:tc>
        <w:tc>
          <w:tcPr>
            <w:tcW w:w="992" w:type="dxa"/>
            <w:vAlign w:val="center"/>
          </w:tcPr>
          <w:p>
            <w:pPr>
              <w:spacing w:line="240" w:lineRule="auto"/>
              <w:ind w:firstLine="0" w:firstLineChars="0"/>
              <w:contextualSpacing/>
              <w:jc w:val="center"/>
              <w:rPr>
                <w:sz w:val="21"/>
                <w:szCs w:val="21"/>
              </w:rPr>
            </w:pPr>
            <w:r>
              <w:rPr>
                <w:sz w:val="21"/>
                <w:szCs w:val="21"/>
              </w:rPr>
              <w:t>施工期、初期蓄水期、运行期</w:t>
            </w:r>
          </w:p>
        </w:tc>
        <w:tc>
          <w:tcPr>
            <w:tcW w:w="1418" w:type="dxa"/>
            <w:vAlign w:val="center"/>
          </w:tcPr>
          <w:p>
            <w:pPr>
              <w:spacing w:line="240" w:lineRule="auto"/>
              <w:ind w:firstLine="0" w:firstLineChars="0"/>
              <w:contextualSpacing/>
              <w:jc w:val="center"/>
              <w:rPr>
                <w:sz w:val="21"/>
                <w:szCs w:val="21"/>
              </w:rPr>
            </w:pPr>
            <w:r>
              <w:rPr>
                <w:sz w:val="21"/>
                <w:szCs w:val="21"/>
              </w:rPr>
              <w:t>业主及地方渔业主管部门</w:t>
            </w:r>
          </w:p>
        </w:tc>
        <w:tc>
          <w:tcPr>
            <w:tcW w:w="2318" w:type="dxa"/>
            <w:vAlign w:val="center"/>
          </w:tcPr>
          <w:p>
            <w:pPr>
              <w:spacing w:line="240" w:lineRule="auto"/>
              <w:ind w:firstLine="0" w:firstLineChars="0"/>
              <w:contextualSpacing/>
              <w:jc w:val="center"/>
              <w:rPr>
                <w:sz w:val="21"/>
                <w:szCs w:val="21"/>
              </w:rPr>
            </w:pPr>
            <w:r>
              <w:rPr>
                <w:sz w:val="21"/>
                <w:szCs w:val="21"/>
              </w:rPr>
              <w:t>委托专业机构进行设</w:t>
            </w:r>
          </w:p>
          <w:p>
            <w:pPr>
              <w:spacing w:line="240" w:lineRule="auto"/>
              <w:ind w:firstLine="0" w:firstLineChars="0"/>
              <w:contextualSpacing/>
              <w:jc w:val="center"/>
              <w:rPr>
                <w:sz w:val="21"/>
                <w:szCs w:val="21"/>
              </w:rPr>
            </w:pPr>
            <w:r>
              <w:rPr>
                <w:sz w:val="21"/>
                <w:szCs w:val="21"/>
              </w:rPr>
              <w:t>计，实施时拨付经费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下泄生态流量</w:t>
            </w:r>
          </w:p>
        </w:tc>
        <w:tc>
          <w:tcPr>
            <w:tcW w:w="1610" w:type="dxa"/>
            <w:vAlign w:val="center"/>
          </w:tcPr>
          <w:p>
            <w:pPr>
              <w:spacing w:line="240" w:lineRule="auto"/>
              <w:ind w:firstLine="0" w:firstLineChars="0"/>
              <w:contextualSpacing/>
              <w:jc w:val="center"/>
              <w:rPr>
                <w:sz w:val="21"/>
                <w:szCs w:val="21"/>
              </w:rPr>
            </w:pPr>
            <w:r>
              <w:rPr>
                <w:kern w:val="0"/>
                <w:sz w:val="21"/>
                <w:szCs w:val="21"/>
              </w:rPr>
              <w:t>施工期设临时泵站抽水；长征渠补水前按0.092m³/s、长征渠补水后按0.122m³/s下泄生态流量；</w:t>
            </w:r>
          </w:p>
        </w:tc>
        <w:tc>
          <w:tcPr>
            <w:tcW w:w="992" w:type="dxa"/>
            <w:vAlign w:val="center"/>
          </w:tcPr>
          <w:p>
            <w:pPr>
              <w:spacing w:line="240" w:lineRule="auto"/>
              <w:ind w:firstLine="0" w:firstLineChars="0"/>
              <w:contextualSpacing/>
              <w:jc w:val="center"/>
              <w:rPr>
                <w:sz w:val="21"/>
                <w:szCs w:val="21"/>
              </w:rPr>
            </w:pPr>
            <w:r>
              <w:rPr>
                <w:sz w:val="21"/>
                <w:szCs w:val="21"/>
              </w:rPr>
              <w:t>初期蓄水、运行期</w:t>
            </w:r>
          </w:p>
        </w:tc>
        <w:tc>
          <w:tcPr>
            <w:tcW w:w="1418" w:type="dxa"/>
            <w:vAlign w:val="center"/>
          </w:tcPr>
          <w:p>
            <w:pPr>
              <w:spacing w:line="240" w:lineRule="auto"/>
              <w:ind w:firstLine="0" w:firstLineChars="0"/>
              <w:contextualSpacing/>
              <w:jc w:val="center"/>
              <w:rPr>
                <w:sz w:val="21"/>
                <w:szCs w:val="21"/>
              </w:rPr>
            </w:pPr>
            <w:r>
              <w:rPr>
                <w:sz w:val="21"/>
                <w:szCs w:val="21"/>
              </w:rPr>
              <w:t>业主</w:t>
            </w:r>
          </w:p>
        </w:tc>
        <w:tc>
          <w:tcPr>
            <w:tcW w:w="2318" w:type="dxa"/>
            <w:vAlign w:val="center"/>
          </w:tcPr>
          <w:p>
            <w:pPr>
              <w:spacing w:line="240" w:lineRule="auto"/>
              <w:ind w:firstLine="0" w:firstLineChars="0"/>
              <w:contextualSpacing/>
              <w:jc w:val="center"/>
              <w:rPr>
                <w:sz w:val="21"/>
                <w:szCs w:val="21"/>
              </w:rPr>
            </w:pPr>
            <w:r>
              <w:rPr>
                <w:sz w:val="21"/>
                <w:szCs w:val="21"/>
              </w:rPr>
              <w:t>委托专业机构进行设</w:t>
            </w:r>
          </w:p>
          <w:p>
            <w:pPr>
              <w:spacing w:line="240" w:lineRule="auto"/>
              <w:ind w:firstLine="0" w:firstLineChars="0"/>
              <w:contextualSpacing/>
              <w:jc w:val="center"/>
              <w:rPr>
                <w:sz w:val="21"/>
                <w:szCs w:val="21"/>
              </w:rPr>
            </w:pPr>
            <w:r>
              <w:rPr>
                <w:sz w:val="21"/>
                <w:szCs w:val="21"/>
              </w:rPr>
              <w:t>计，实施时拨付经费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增殖放流</w:t>
            </w:r>
          </w:p>
        </w:tc>
        <w:tc>
          <w:tcPr>
            <w:tcW w:w="1610" w:type="dxa"/>
            <w:vAlign w:val="center"/>
          </w:tcPr>
          <w:p>
            <w:pPr>
              <w:spacing w:line="240" w:lineRule="auto"/>
              <w:ind w:firstLine="0" w:firstLineChars="0"/>
              <w:contextualSpacing/>
              <w:jc w:val="center"/>
              <w:rPr>
                <w:sz w:val="21"/>
                <w:szCs w:val="21"/>
              </w:rPr>
            </w:pPr>
            <w:r>
              <w:rPr>
                <w:sz w:val="21"/>
                <w:szCs w:val="21"/>
              </w:rPr>
              <w:t>进行鱼苗放</w:t>
            </w:r>
          </w:p>
          <w:p>
            <w:pPr>
              <w:spacing w:line="240" w:lineRule="auto"/>
              <w:ind w:firstLine="0" w:firstLineChars="0"/>
              <w:contextualSpacing/>
              <w:jc w:val="center"/>
              <w:rPr>
                <w:sz w:val="21"/>
                <w:szCs w:val="21"/>
              </w:rPr>
            </w:pPr>
            <w:r>
              <w:rPr>
                <w:sz w:val="21"/>
                <w:szCs w:val="21"/>
              </w:rPr>
              <w:t>流</w:t>
            </w:r>
          </w:p>
        </w:tc>
        <w:tc>
          <w:tcPr>
            <w:tcW w:w="992" w:type="dxa"/>
            <w:vAlign w:val="center"/>
          </w:tcPr>
          <w:p>
            <w:pPr>
              <w:spacing w:line="240" w:lineRule="auto"/>
              <w:ind w:firstLine="0" w:firstLineChars="0"/>
              <w:contextualSpacing/>
              <w:jc w:val="center"/>
              <w:rPr>
                <w:sz w:val="21"/>
                <w:szCs w:val="21"/>
              </w:rPr>
            </w:pPr>
            <w:r>
              <w:rPr>
                <w:sz w:val="21"/>
                <w:szCs w:val="21"/>
              </w:rPr>
              <w:t>工程截流前及以后</w:t>
            </w:r>
          </w:p>
        </w:tc>
        <w:tc>
          <w:tcPr>
            <w:tcW w:w="1418" w:type="dxa"/>
            <w:vAlign w:val="center"/>
          </w:tcPr>
          <w:p>
            <w:pPr>
              <w:spacing w:line="240" w:lineRule="auto"/>
              <w:ind w:firstLine="0" w:firstLineChars="0"/>
              <w:contextualSpacing/>
              <w:jc w:val="center"/>
              <w:rPr>
                <w:sz w:val="21"/>
                <w:szCs w:val="21"/>
              </w:rPr>
            </w:pPr>
            <w:r>
              <w:rPr>
                <w:sz w:val="21"/>
                <w:szCs w:val="21"/>
              </w:rPr>
              <w:t>业主</w:t>
            </w:r>
          </w:p>
        </w:tc>
        <w:tc>
          <w:tcPr>
            <w:tcW w:w="2318" w:type="dxa"/>
            <w:vAlign w:val="center"/>
          </w:tcPr>
          <w:p>
            <w:pPr>
              <w:spacing w:line="240" w:lineRule="auto"/>
              <w:ind w:firstLine="0" w:firstLineChars="0"/>
              <w:contextualSpacing/>
              <w:jc w:val="center"/>
              <w:rPr>
                <w:sz w:val="21"/>
                <w:szCs w:val="21"/>
              </w:rPr>
            </w:pPr>
            <w:r>
              <w:rPr>
                <w:sz w:val="21"/>
                <w:szCs w:val="21"/>
              </w:rPr>
              <w:t>委托专业机构进行设</w:t>
            </w:r>
          </w:p>
          <w:p>
            <w:pPr>
              <w:spacing w:line="240" w:lineRule="auto"/>
              <w:ind w:firstLine="0" w:firstLineChars="0"/>
              <w:contextualSpacing/>
              <w:jc w:val="center"/>
              <w:rPr>
                <w:sz w:val="21"/>
                <w:szCs w:val="21"/>
              </w:rPr>
            </w:pPr>
            <w:r>
              <w:rPr>
                <w:sz w:val="21"/>
                <w:szCs w:val="21"/>
              </w:rPr>
              <w:t>计，实施时拨付经费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分层取水</w:t>
            </w:r>
          </w:p>
        </w:tc>
        <w:tc>
          <w:tcPr>
            <w:tcW w:w="1610" w:type="dxa"/>
            <w:vAlign w:val="center"/>
          </w:tcPr>
          <w:p>
            <w:pPr>
              <w:spacing w:line="240" w:lineRule="auto"/>
              <w:ind w:firstLine="0" w:firstLineChars="0"/>
              <w:contextualSpacing/>
              <w:jc w:val="center"/>
              <w:rPr>
                <w:sz w:val="21"/>
                <w:szCs w:val="21"/>
              </w:rPr>
            </w:pPr>
            <w:r>
              <w:rPr>
                <w:sz w:val="21"/>
                <w:szCs w:val="21"/>
              </w:rPr>
              <w:t>叠梁门工程措施</w:t>
            </w:r>
          </w:p>
        </w:tc>
        <w:tc>
          <w:tcPr>
            <w:tcW w:w="992" w:type="dxa"/>
            <w:vAlign w:val="center"/>
          </w:tcPr>
          <w:p>
            <w:pPr>
              <w:spacing w:line="240" w:lineRule="auto"/>
              <w:ind w:firstLine="0" w:firstLineChars="0"/>
              <w:contextualSpacing/>
              <w:jc w:val="center"/>
              <w:rPr>
                <w:sz w:val="21"/>
                <w:szCs w:val="21"/>
              </w:rPr>
            </w:pPr>
            <w:r>
              <w:rPr>
                <w:sz w:val="21"/>
                <w:szCs w:val="21"/>
              </w:rPr>
              <w:t>初期蓄水、运行期</w:t>
            </w:r>
          </w:p>
        </w:tc>
        <w:tc>
          <w:tcPr>
            <w:tcW w:w="1418" w:type="dxa"/>
            <w:vAlign w:val="center"/>
          </w:tcPr>
          <w:p>
            <w:pPr>
              <w:spacing w:line="240" w:lineRule="auto"/>
              <w:ind w:firstLine="0" w:firstLineChars="0"/>
              <w:contextualSpacing/>
              <w:jc w:val="center"/>
              <w:rPr>
                <w:sz w:val="21"/>
                <w:szCs w:val="21"/>
              </w:rPr>
            </w:pPr>
            <w:r>
              <w:rPr>
                <w:sz w:val="21"/>
                <w:szCs w:val="21"/>
              </w:rPr>
              <w:t>业主</w:t>
            </w:r>
          </w:p>
        </w:tc>
        <w:tc>
          <w:tcPr>
            <w:tcW w:w="2318" w:type="dxa"/>
            <w:vAlign w:val="center"/>
          </w:tcPr>
          <w:p>
            <w:pPr>
              <w:spacing w:line="240" w:lineRule="auto"/>
              <w:ind w:firstLine="0" w:firstLineChars="0"/>
              <w:contextualSpacing/>
              <w:jc w:val="center"/>
              <w:rPr>
                <w:sz w:val="21"/>
                <w:szCs w:val="21"/>
              </w:rPr>
            </w:pPr>
            <w:r>
              <w:rPr>
                <w:sz w:val="21"/>
                <w:szCs w:val="21"/>
              </w:rPr>
              <w:t>委托专业机构进行设</w:t>
            </w:r>
          </w:p>
          <w:p>
            <w:pPr>
              <w:spacing w:line="240" w:lineRule="auto"/>
              <w:ind w:firstLine="0" w:firstLineChars="0"/>
              <w:contextualSpacing/>
              <w:jc w:val="center"/>
              <w:rPr>
                <w:sz w:val="21"/>
                <w:szCs w:val="21"/>
              </w:rPr>
            </w:pPr>
            <w:r>
              <w:rPr>
                <w:sz w:val="21"/>
                <w:szCs w:val="21"/>
              </w:rPr>
              <w:t>计，实施时拨付经费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其他鱼类保护措施</w:t>
            </w:r>
          </w:p>
        </w:tc>
        <w:tc>
          <w:tcPr>
            <w:tcW w:w="1610" w:type="dxa"/>
            <w:vAlign w:val="center"/>
          </w:tcPr>
          <w:p>
            <w:pPr>
              <w:spacing w:line="240" w:lineRule="auto"/>
              <w:ind w:firstLine="0" w:firstLineChars="0"/>
              <w:contextualSpacing/>
              <w:jc w:val="center"/>
              <w:rPr>
                <w:sz w:val="21"/>
                <w:szCs w:val="21"/>
              </w:rPr>
            </w:pPr>
            <w:r>
              <w:rPr>
                <w:sz w:val="21"/>
                <w:szCs w:val="21"/>
              </w:rPr>
              <w:t>加强渔政管理、水库水源管理、流域管理等</w:t>
            </w:r>
          </w:p>
        </w:tc>
        <w:tc>
          <w:tcPr>
            <w:tcW w:w="992" w:type="dxa"/>
            <w:vAlign w:val="center"/>
          </w:tcPr>
          <w:p>
            <w:pPr>
              <w:spacing w:line="240" w:lineRule="auto"/>
              <w:ind w:firstLine="0" w:firstLineChars="0"/>
              <w:contextualSpacing/>
              <w:jc w:val="center"/>
              <w:rPr>
                <w:sz w:val="21"/>
                <w:szCs w:val="21"/>
              </w:rPr>
            </w:pPr>
            <w:r>
              <w:rPr>
                <w:sz w:val="21"/>
                <w:szCs w:val="21"/>
              </w:rPr>
              <w:t>施工期及以后</w:t>
            </w:r>
          </w:p>
        </w:tc>
        <w:tc>
          <w:tcPr>
            <w:tcW w:w="1418" w:type="dxa"/>
            <w:vAlign w:val="center"/>
          </w:tcPr>
          <w:p>
            <w:pPr>
              <w:spacing w:line="240" w:lineRule="auto"/>
              <w:ind w:firstLine="0" w:firstLineChars="0"/>
              <w:contextualSpacing/>
              <w:jc w:val="center"/>
              <w:rPr>
                <w:sz w:val="21"/>
                <w:szCs w:val="21"/>
              </w:rPr>
            </w:pPr>
            <w:r>
              <w:rPr>
                <w:sz w:val="21"/>
                <w:szCs w:val="21"/>
              </w:rPr>
              <w:t>地方渔政部门、业主</w:t>
            </w:r>
          </w:p>
        </w:tc>
        <w:tc>
          <w:tcPr>
            <w:tcW w:w="2318" w:type="dxa"/>
            <w:vAlign w:val="center"/>
          </w:tcPr>
          <w:p>
            <w:pPr>
              <w:spacing w:line="240" w:lineRule="auto"/>
              <w:ind w:firstLine="0" w:firstLineChars="0"/>
              <w:contextualSpacing/>
              <w:jc w:val="center"/>
              <w:rPr>
                <w:sz w:val="21"/>
                <w:szCs w:val="21"/>
              </w:rPr>
            </w:pPr>
            <w:r>
              <w:rPr>
                <w:sz w:val="21"/>
                <w:szCs w:val="21"/>
              </w:rPr>
              <w:t>配合地方政府开展相</w:t>
            </w:r>
          </w:p>
          <w:p>
            <w:pPr>
              <w:spacing w:line="240" w:lineRule="auto"/>
              <w:ind w:firstLine="0" w:firstLineChars="0"/>
              <w:contextualSpacing/>
              <w:jc w:val="center"/>
              <w:rPr>
                <w:sz w:val="21"/>
                <w:szCs w:val="21"/>
              </w:rPr>
            </w:pPr>
            <w:r>
              <w:rPr>
                <w:sz w:val="21"/>
                <w:szCs w:val="21"/>
              </w:rPr>
              <w:t>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环境空气</w:t>
            </w:r>
          </w:p>
        </w:tc>
        <w:tc>
          <w:tcPr>
            <w:tcW w:w="1500" w:type="dxa"/>
            <w:vAlign w:val="center"/>
          </w:tcPr>
          <w:p>
            <w:pPr>
              <w:spacing w:line="240" w:lineRule="auto"/>
              <w:ind w:firstLine="0" w:firstLineChars="0"/>
              <w:contextualSpacing/>
              <w:jc w:val="center"/>
              <w:rPr>
                <w:sz w:val="21"/>
                <w:szCs w:val="21"/>
              </w:rPr>
            </w:pPr>
            <w:r>
              <w:rPr>
                <w:sz w:val="21"/>
                <w:szCs w:val="21"/>
              </w:rPr>
              <w:t>混凝土系统粉尘削减与控制</w:t>
            </w:r>
          </w:p>
        </w:tc>
        <w:tc>
          <w:tcPr>
            <w:tcW w:w="1610" w:type="dxa"/>
            <w:vAlign w:val="center"/>
          </w:tcPr>
          <w:p>
            <w:pPr>
              <w:spacing w:line="240" w:lineRule="auto"/>
              <w:ind w:firstLine="0" w:firstLineChars="0"/>
              <w:contextualSpacing/>
              <w:jc w:val="center"/>
              <w:rPr>
                <w:sz w:val="21"/>
                <w:szCs w:val="21"/>
              </w:rPr>
            </w:pPr>
            <w:r>
              <w:rPr>
                <w:sz w:val="21"/>
                <w:szCs w:val="21"/>
              </w:rPr>
              <w:t>封闭运输装卸、除尘设备、洒水、堆场防风</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拟定管理要求和质量标准，监督进行情况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交通扬尘、尾气、机械燃油废气削减与控制</w:t>
            </w:r>
          </w:p>
        </w:tc>
        <w:tc>
          <w:tcPr>
            <w:tcW w:w="1610" w:type="dxa"/>
            <w:vAlign w:val="center"/>
          </w:tcPr>
          <w:p>
            <w:pPr>
              <w:spacing w:line="240" w:lineRule="auto"/>
              <w:ind w:firstLine="0" w:firstLineChars="0"/>
              <w:contextualSpacing/>
              <w:jc w:val="center"/>
              <w:rPr>
                <w:sz w:val="21"/>
                <w:szCs w:val="21"/>
              </w:rPr>
            </w:pPr>
            <w:r>
              <w:rPr>
                <w:sz w:val="21"/>
                <w:szCs w:val="21"/>
              </w:rPr>
              <w:t>密闭运输、降低车速、车辆安装尾气净化装置、机械定期维修保养、道路清扫、洒水</w:t>
            </w:r>
          </w:p>
        </w:tc>
        <w:tc>
          <w:tcPr>
            <w:tcW w:w="992" w:type="dxa"/>
            <w:vAlign w:val="center"/>
          </w:tcPr>
          <w:p>
            <w:pPr>
              <w:spacing w:line="240" w:lineRule="auto"/>
              <w:ind w:firstLine="0" w:firstLineChars="0"/>
              <w:contextualSpacing/>
              <w:jc w:val="center"/>
              <w:rPr>
                <w:sz w:val="21"/>
                <w:szCs w:val="21"/>
              </w:rPr>
            </w:pPr>
            <w:r>
              <w:rPr>
                <w:sz w:val="21"/>
                <w:szCs w:val="21"/>
              </w:rPr>
              <w:t>施工期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拟定管理要求和质量标准，监督进行情况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施工开、爆破挖扬尘控制</w:t>
            </w:r>
          </w:p>
        </w:tc>
        <w:tc>
          <w:tcPr>
            <w:tcW w:w="1610" w:type="dxa"/>
            <w:vAlign w:val="center"/>
          </w:tcPr>
          <w:p>
            <w:pPr>
              <w:spacing w:line="240" w:lineRule="auto"/>
              <w:ind w:firstLine="0" w:firstLineChars="0"/>
              <w:contextualSpacing/>
              <w:jc w:val="center"/>
              <w:rPr>
                <w:sz w:val="21"/>
                <w:szCs w:val="21"/>
              </w:rPr>
            </w:pPr>
            <w:r>
              <w:rPr>
                <w:sz w:val="21"/>
                <w:szCs w:val="21"/>
              </w:rPr>
              <w:t>低沉工艺、道路清洁、洒水，易起尘堆料覆盖、弃土弃渣及时清运</w:t>
            </w:r>
          </w:p>
        </w:tc>
        <w:tc>
          <w:tcPr>
            <w:tcW w:w="992" w:type="dxa"/>
            <w:vAlign w:val="center"/>
          </w:tcPr>
          <w:p>
            <w:pPr>
              <w:spacing w:line="240" w:lineRule="auto"/>
              <w:ind w:firstLine="0" w:firstLineChars="0"/>
              <w:contextualSpacing/>
              <w:jc w:val="center"/>
              <w:rPr>
                <w:sz w:val="21"/>
                <w:szCs w:val="21"/>
              </w:rPr>
            </w:pPr>
            <w:r>
              <w:rPr>
                <w:sz w:val="21"/>
                <w:szCs w:val="21"/>
              </w:rPr>
              <w:t>施工期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拟定管理要求和质量标准，监督进行情况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声环境</w:t>
            </w:r>
          </w:p>
        </w:tc>
        <w:tc>
          <w:tcPr>
            <w:tcW w:w="1500" w:type="dxa"/>
            <w:vAlign w:val="center"/>
          </w:tcPr>
          <w:p>
            <w:pPr>
              <w:spacing w:line="240" w:lineRule="auto"/>
              <w:ind w:firstLine="0" w:firstLineChars="0"/>
              <w:contextualSpacing/>
              <w:jc w:val="center"/>
              <w:rPr>
                <w:sz w:val="21"/>
                <w:szCs w:val="21"/>
              </w:rPr>
            </w:pPr>
            <w:r>
              <w:rPr>
                <w:sz w:val="21"/>
                <w:szCs w:val="21"/>
              </w:rPr>
              <w:t>交通噪声控制</w:t>
            </w:r>
          </w:p>
        </w:tc>
        <w:tc>
          <w:tcPr>
            <w:tcW w:w="1610" w:type="dxa"/>
            <w:vAlign w:val="center"/>
          </w:tcPr>
          <w:p>
            <w:pPr>
              <w:spacing w:line="240" w:lineRule="auto"/>
              <w:ind w:firstLine="0" w:firstLineChars="0"/>
              <w:contextualSpacing/>
              <w:jc w:val="center"/>
              <w:rPr>
                <w:sz w:val="21"/>
                <w:szCs w:val="21"/>
              </w:rPr>
            </w:pPr>
            <w:r>
              <w:rPr>
                <w:sz w:val="21"/>
                <w:szCs w:val="21"/>
              </w:rPr>
              <w:t>在交通沿线敏感区设立限速</w:t>
            </w:r>
          </w:p>
          <w:p>
            <w:pPr>
              <w:spacing w:line="240" w:lineRule="auto"/>
              <w:ind w:firstLine="0" w:firstLineChars="0"/>
              <w:contextualSpacing/>
              <w:jc w:val="center"/>
              <w:rPr>
                <w:sz w:val="21"/>
                <w:szCs w:val="21"/>
              </w:rPr>
            </w:pPr>
            <w:r>
              <w:rPr>
                <w:sz w:val="21"/>
                <w:szCs w:val="21"/>
              </w:rPr>
              <w:t>标志和禁鸣标志；选用低噪声</w:t>
            </w:r>
          </w:p>
          <w:p>
            <w:pPr>
              <w:spacing w:line="240" w:lineRule="auto"/>
              <w:ind w:firstLine="0" w:firstLineChars="0"/>
              <w:contextualSpacing/>
              <w:jc w:val="center"/>
              <w:rPr>
                <w:sz w:val="21"/>
                <w:szCs w:val="21"/>
              </w:rPr>
            </w:pPr>
            <w:r>
              <w:rPr>
                <w:sz w:val="21"/>
                <w:szCs w:val="21"/>
              </w:rPr>
              <w:t>车辆；禁止鸣放高音喇叭。</w:t>
            </w:r>
          </w:p>
        </w:tc>
        <w:tc>
          <w:tcPr>
            <w:tcW w:w="992" w:type="dxa"/>
            <w:vAlign w:val="center"/>
          </w:tcPr>
          <w:p>
            <w:pPr>
              <w:spacing w:line="240" w:lineRule="auto"/>
              <w:ind w:firstLine="0" w:firstLineChars="0"/>
              <w:contextualSpacing/>
              <w:jc w:val="center"/>
              <w:rPr>
                <w:sz w:val="21"/>
                <w:szCs w:val="21"/>
              </w:rPr>
            </w:pPr>
            <w:r>
              <w:rPr>
                <w:sz w:val="21"/>
                <w:szCs w:val="21"/>
              </w:rPr>
              <w:t>进场时和运</w:t>
            </w:r>
          </w:p>
          <w:p>
            <w:pPr>
              <w:spacing w:line="240" w:lineRule="auto"/>
              <w:ind w:firstLine="0" w:firstLineChars="0"/>
              <w:contextualSpacing/>
              <w:jc w:val="center"/>
              <w:rPr>
                <w:sz w:val="21"/>
                <w:szCs w:val="21"/>
              </w:rPr>
            </w:pPr>
            <w:r>
              <w:rPr>
                <w:sz w:val="21"/>
                <w:szCs w:val="21"/>
              </w:rPr>
              <w:t>行中</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w:t>
            </w:r>
          </w:p>
          <w:p>
            <w:pPr>
              <w:spacing w:line="240" w:lineRule="auto"/>
              <w:ind w:firstLine="0" w:firstLineChars="0"/>
              <w:contextualSpacing/>
              <w:jc w:val="center"/>
              <w:rPr>
                <w:sz w:val="21"/>
                <w:szCs w:val="21"/>
              </w:rPr>
            </w:pPr>
            <w:r>
              <w:rPr>
                <w:sz w:val="21"/>
                <w:szCs w:val="21"/>
              </w:rPr>
              <w:t>标准，监督进行情况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偶发噪声控制</w:t>
            </w:r>
          </w:p>
        </w:tc>
        <w:tc>
          <w:tcPr>
            <w:tcW w:w="1610" w:type="dxa"/>
            <w:vAlign w:val="center"/>
          </w:tcPr>
          <w:p>
            <w:pPr>
              <w:spacing w:line="240" w:lineRule="auto"/>
              <w:ind w:firstLine="0" w:firstLineChars="0"/>
              <w:contextualSpacing/>
              <w:jc w:val="center"/>
              <w:rPr>
                <w:sz w:val="21"/>
                <w:szCs w:val="21"/>
              </w:rPr>
            </w:pPr>
            <w:r>
              <w:rPr>
                <w:sz w:val="21"/>
                <w:szCs w:val="21"/>
              </w:rPr>
              <w:t>控制爆破规模和爆破时间</w:t>
            </w:r>
          </w:p>
        </w:tc>
        <w:tc>
          <w:tcPr>
            <w:tcW w:w="992" w:type="dxa"/>
            <w:vAlign w:val="center"/>
          </w:tcPr>
          <w:p>
            <w:pPr>
              <w:spacing w:line="240" w:lineRule="auto"/>
              <w:ind w:firstLine="0" w:firstLineChars="0"/>
              <w:contextualSpacing/>
              <w:jc w:val="center"/>
              <w:rPr>
                <w:sz w:val="21"/>
                <w:szCs w:val="21"/>
              </w:rPr>
            </w:pPr>
            <w:r>
              <w:rPr>
                <w:sz w:val="21"/>
                <w:szCs w:val="21"/>
              </w:rPr>
              <w:t>施工期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提出控制性要求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固定噪声控制</w:t>
            </w:r>
          </w:p>
        </w:tc>
        <w:tc>
          <w:tcPr>
            <w:tcW w:w="1610" w:type="dxa"/>
            <w:vAlign w:val="center"/>
          </w:tcPr>
          <w:p>
            <w:pPr>
              <w:spacing w:line="240" w:lineRule="auto"/>
              <w:ind w:firstLine="0" w:firstLineChars="0"/>
              <w:contextualSpacing/>
              <w:jc w:val="center"/>
              <w:rPr>
                <w:sz w:val="21"/>
                <w:szCs w:val="21"/>
              </w:rPr>
            </w:pPr>
            <w:r>
              <w:rPr>
                <w:sz w:val="21"/>
                <w:szCs w:val="21"/>
              </w:rPr>
              <w:t>选用低噪声机械设备和工艺；安装吸声、消声、隔声装置降噪；加强施工设备的维护和保养；合理安排生产时间，控制夜间生产；实行封闭施工</w:t>
            </w:r>
          </w:p>
        </w:tc>
        <w:tc>
          <w:tcPr>
            <w:tcW w:w="992" w:type="dxa"/>
            <w:vAlign w:val="center"/>
          </w:tcPr>
          <w:p>
            <w:pPr>
              <w:spacing w:line="240" w:lineRule="auto"/>
              <w:ind w:firstLine="0" w:firstLineChars="0"/>
              <w:contextualSpacing/>
              <w:jc w:val="center"/>
              <w:rPr>
                <w:sz w:val="21"/>
                <w:szCs w:val="21"/>
              </w:rPr>
            </w:pPr>
            <w:r>
              <w:rPr>
                <w:sz w:val="21"/>
                <w:szCs w:val="21"/>
              </w:rPr>
              <w:t>施工机械设备投入运行之前</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w:t>
            </w:r>
          </w:p>
          <w:p>
            <w:pPr>
              <w:spacing w:line="240" w:lineRule="auto"/>
              <w:ind w:firstLine="0" w:firstLineChars="0"/>
              <w:contextualSpacing/>
              <w:jc w:val="center"/>
              <w:rPr>
                <w:sz w:val="21"/>
                <w:szCs w:val="21"/>
              </w:rPr>
            </w:pPr>
            <w:r>
              <w:rPr>
                <w:sz w:val="21"/>
                <w:szCs w:val="21"/>
              </w:rPr>
              <w:t>标准，监督进行情况，</w:t>
            </w:r>
          </w:p>
          <w:p>
            <w:pPr>
              <w:spacing w:line="240" w:lineRule="auto"/>
              <w:ind w:firstLine="0" w:firstLineChars="0"/>
              <w:contextualSpacing/>
              <w:jc w:val="center"/>
              <w:rPr>
                <w:sz w:val="21"/>
                <w:szCs w:val="21"/>
              </w:rPr>
            </w:pPr>
            <w:r>
              <w:rPr>
                <w:sz w:val="21"/>
                <w:szCs w:val="21"/>
              </w:rPr>
              <w:t>监测实施效果。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传播途径控制</w:t>
            </w:r>
          </w:p>
        </w:tc>
        <w:tc>
          <w:tcPr>
            <w:tcW w:w="1610" w:type="dxa"/>
            <w:vAlign w:val="center"/>
          </w:tcPr>
          <w:p>
            <w:pPr>
              <w:spacing w:line="240" w:lineRule="auto"/>
              <w:ind w:firstLine="0" w:firstLineChars="0"/>
              <w:contextualSpacing/>
              <w:jc w:val="center"/>
              <w:rPr>
                <w:sz w:val="21"/>
                <w:szCs w:val="21"/>
              </w:rPr>
            </w:pPr>
            <w:r>
              <w:rPr>
                <w:sz w:val="21"/>
                <w:szCs w:val="21"/>
              </w:rPr>
              <w:t>移动式隔声屏障、设置临时工棚、隔声泵房</w:t>
            </w:r>
          </w:p>
        </w:tc>
        <w:tc>
          <w:tcPr>
            <w:tcW w:w="992" w:type="dxa"/>
            <w:vAlign w:val="center"/>
          </w:tcPr>
          <w:p>
            <w:pPr>
              <w:spacing w:line="240" w:lineRule="auto"/>
              <w:ind w:firstLine="0" w:firstLineChars="0"/>
              <w:contextualSpacing/>
              <w:jc w:val="center"/>
              <w:rPr>
                <w:sz w:val="21"/>
                <w:szCs w:val="21"/>
              </w:rPr>
            </w:pPr>
            <w:r>
              <w:rPr>
                <w:sz w:val="21"/>
                <w:szCs w:val="21"/>
              </w:rPr>
              <w:t>施工机械设备投入运行之前、运行期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拟定管理要求和质量</w:t>
            </w:r>
          </w:p>
          <w:p>
            <w:pPr>
              <w:spacing w:line="240" w:lineRule="auto"/>
              <w:ind w:firstLine="0" w:firstLineChars="0"/>
              <w:contextualSpacing/>
              <w:jc w:val="center"/>
              <w:rPr>
                <w:sz w:val="21"/>
                <w:szCs w:val="21"/>
              </w:rPr>
            </w:pPr>
            <w:r>
              <w:rPr>
                <w:sz w:val="21"/>
                <w:szCs w:val="21"/>
              </w:rPr>
              <w:t>标准，监督进行情况，</w:t>
            </w:r>
          </w:p>
          <w:p>
            <w:pPr>
              <w:spacing w:line="240" w:lineRule="auto"/>
              <w:ind w:firstLine="0" w:firstLineChars="0"/>
              <w:contextualSpacing/>
              <w:jc w:val="center"/>
              <w:rPr>
                <w:sz w:val="21"/>
                <w:szCs w:val="21"/>
              </w:rPr>
            </w:pPr>
            <w:r>
              <w:rPr>
                <w:sz w:val="21"/>
                <w:szCs w:val="21"/>
              </w:rPr>
              <w:t>监测实施效果。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固体废物</w:t>
            </w:r>
          </w:p>
        </w:tc>
        <w:tc>
          <w:tcPr>
            <w:tcW w:w="1500" w:type="dxa"/>
            <w:vAlign w:val="center"/>
          </w:tcPr>
          <w:p>
            <w:pPr>
              <w:spacing w:line="240" w:lineRule="auto"/>
              <w:ind w:firstLine="0" w:firstLineChars="0"/>
              <w:contextualSpacing/>
              <w:jc w:val="center"/>
              <w:rPr>
                <w:sz w:val="21"/>
                <w:szCs w:val="21"/>
              </w:rPr>
            </w:pPr>
            <w:r>
              <w:rPr>
                <w:sz w:val="21"/>
                <w:szCs w:val="21"/>
              </w:rPr>
              <w:t>生活垃圾处置</w:t>
            </w:r>
          </w:p>
        </w:tc>
        <w:tc>
          <w:tcPr>
            <w:tcW w:w="1610" w:type="dxa"/>
            <w:vAlign w:val="center"/>
          </w:tcPr>
          <w:p>
            <w:pPr>
              <w:spacing w:line="240" w:lineRule="auto"/>
              <w:ind w:firstLine="0" w:firstLineChars="0"/>
              <w:contextualSpacing/>
              <w:jc w:val="center"/>
              <w:rPr>
                <w:sz w:val="21"/>
                <w:szCs w:val="21"/>
              </w:rPr>
            </w:pPr>
            <w:r>
              <w:rPr>
                <w:sz w:val="21"/>
                <w:szCs w:val="21"/>
              </w:rPr>
              <w:t>分类收集，外运至垃圾处理厂处置</w:t>
            </w:r>
          </w:p>
        </w:tc>
        <w:tc>
          <w:tcPr>
            <w:tcW w:w="992" w:type="dxa"/>
            <w:vAlign w:val="center"/>
          </w:tcPr>
          <w:p>
            <w:pPr>
              <w:spacing w:line="240" w:lineRule="auto"/>
              <w:ind w:firstLine="0" w:firstLineChars="0"/>
              <w:contextualSpacing/>
              <w:jc w:val="center"/>
              <w:rPr>
                <w:sz w:val="21"/>
                <w:szCs w:val="21"/>
              </w:rPr>
            </w:pPr>
            <w:r>
              <w:rPr>
                <w:sz w:val="21"/>
                <w:szCs w:val="21"/>
              </w:rPr>
              <w:t>人员进入营地后即实施</w:t>
            </w:r>
          </w:p>
        </w:tc>
        <w:tc>
          <w:tcPr>
            <w:tcW w:w="1418" w:type="dxa"/>
            <w:vAlign w:val="center"/>
          </w:tcPr>
          <w:p>
            <w:pPr>
              <w:spacing w:line="240" w:lineRule="auto"/>
              <w:ind w:firstLine="0" w:firstLineChars="0"/>
              <w:contextualSpacing/>
              <w:jc w:val="center"/>
              <w:rPr>
                <w:sz w:val="21"/>
                <w:szCs w:val="21"/>
              </w:rPr>
            </w:pPr>
            <w:r>
              <w:rPr>
                <w:sz w:val="21"/>
                <w:szCs w:val="21"/>
              </w:rPr>
              <w:t>承包商或业主</w:t>
            </w:r>
          </w:p>
        </w:tc>
        <w:tc>
          <w:tcPr>
            <w:tcW w:w="2318" w:type="dxa"/>
            <w:vAlign w:val="center"/>
          </w:tcPr>
          <w:p>
            <w:pPr>
              <w:spacing w:line="240" w:lineRule="auto"/>
              <w:ind w:firstLine="0" w:firstLineChars="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施工区一般固废处置</w:t>
            </w:r>
          </w:p>
        </w:tc>
        <w:tc>
          <w:tcPr>
            <w:tcW w:w="1610" w:type="dxa"/>
            <w:vAlign w:val="center"/>
          </w:tcPr>
          <w:p>
            <w:pPr>
              <w:spacing w:line="240" w:lineRule="auto"/>
              <w:ind w:firstLine="0" w:firstLineChars="0"/>
              <w:contextualSpacing/>
              <w:jc w:val="center"/>
              <w:rPr>
                <w:sz w:val="21"/>
                <w:szCs w:val="21"/>
              </w:rPr>
            </w:pPr>
            <w:r>
              <w:rPr>
                <w:sz w:val="21"/>
                <w:szCs w:val="21"/>
              </w:rPr>
              <w:t>分拣，金属、木材、纸张、塑</w:t>
            </w:r>
          </w:p>
          <w:p>
            <w:pPr>
              <w:spacing w:line="240" w:lineRule="auto"/>
              <w:ind w:firstLine="0" w:firstLineChars="0"/>
              <w:contextualSpacing/>
              <w:jc w:val="center"/>
              <w:rPr>
                <w:sz w:val="21"/>
                <w:szCs w:val="21"/>
              </w:rPr>
            </w:pPr>
            <w:r>
              <w:rPr>
                <w:sz w:val="21"/>
                <w:szCs w:val="21"/>
              </w:rPr>
              <w:t>料等回收，土石类送弃渣场</w:t>
            </w:r>
          </w:p>
        </w:tc>
        <w:tc>
          <w:tcPr>
            <w:tcW w:w="992" w:type="dxa"/>
            <w:vAlign w:val="center"/>
          </w:tcPr>
          <w:p>
            <w:pPr>
              <w:spacing w:line="240" w:lineRule="auto"/>
              <w:ind w:firstLine="0" w:firstLineChars="0"/>
              <w:contextualSpacing/>
              <w:jc w:val="center"/>
              <w:rPr>
                <w:sz w:val="21"/>
                <w:szCs w:val="21"/>
              </w:rPr>
            </w:pPr>
            <w:r>
              <w:rPr>
                <w:sz w:val="21"/>
                <w:szCs w:val="21"/>
              </w:rPr>
              <w:t>整个建设期</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危险废物</w:t>
            </w:r>
          </w:p>
        </w:tc>
        <w:tc>
          <w:tcPr>
            <w:tcW w:w="1610" w:type="dxa"/>
            <w:vAlign w:val="center"/>
          </w:tcPr>
          <w:p>
            <w:pPr>
              <w:spacing w:line="240" w:lineRule="auto"/>
              <w:ind w:firstLine="0" w:firstLineChars="0"/>
              <w:contextualSpacing/>
              <w:jc w:val="center"/>
              <w:rPr>
                <w:sz w:val="21"/>
                <w:szCs w:val="21"/>
              </w:rPr>
            </w:pPr>
            <w:r>
              <w:rPr>
                <w:sz w:val="21"/>
                <w:szCs w:val="21"/>
              </w:rPr>
              <w:t>设置危废暂存间收集废矿物油等</w:t>
            </w:r>
          </w:p>
        </w:tc>
        <w:tc>
          <w:tcPr>
            <w:tcW w:w="992" w:type="dxa"/>
            <w:vAlign w:val="center"/>
          </w:tcPr>
          <w:p>
            <w:pPr>
              <w:spacing w:line="240" w:lineRule="auto"/>
              <w:ind w:firstLine="0" w:firstLineChars="0"/>
              <w:contextualSpacing/>
              <w:jc w:val="center"/>
              <w:rPr>
                <w:sz w:val="21"/>
                <w:szCs w:val="21"/>
              </w:rPr>
            </w:pPr>
            <w:r>
              <w:rPr>
                <w:sz w:val="21"/>
                <w:szCs w:val="21"/>
              </w:rPr>
              <w:t>人员进入营地后即实施</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人群健康</w:t>
            </w:r>
          </w:p>
        </w:tc>
        <w:tc>
          <w:tcPr>
            <w:tcW w:w="1500" w:type="dxa"/>
            <w:vAlign w:val="center"/>
          </w:tcPr>
          <w:p>
            <w:pPr>
              <w:spacing w:line="240" w:lineRule="auto"/>
              <w:ind w:firstLine="0" w:firstLineChars="0"/>
              <w:contextualSpacing/>
              <w:jc w:val="center"/>
              <w:rPr>
                <w:sz w:val="21"/>
                <w:szCs w:val="21"/>
              </w:rPr>
            </w:pPr>
            <w:r>
              <w:rPr>
                <w:sz w:val="21"/>
                <w:szCs w:val="21"/>
              </w:rPr>
              <w:t>病原生物管理</w:t>
            </w:r>
          </w:p>
        </w:tc>
        <w:tc>
          <w:tcPr>
            <w:tcW w:w="1610" w:type="dxa"/>
            <w:vAlign w:val="center"/>
          </w:tcPr>
          <w:p>
            <w:pPr>
              <w:spacing w:line="240" w:lineRule="auto"/>
              <w:ind w:firstLine="0" w:firstLineChars="0"/>
              <w:contextualSpacing/>
              <w:jc w:val="center"/>
              <w:rPr>
                <w:sz w:val="21"/>
                <w:szCs w:val="21"/>
              </w:rPr>
            </w:pPr>
            <w:r>
              <w:rPr>
                <w:sz w:val="21"/>
                <w:szCs w:val="21"/>
              </w:rPr>
              <w:t>消灭传播媒介，清除积污水</w:t>
            </w:r>
          </w:p>
        </w:tc>
        <w:tc>
          <w:tcPr>
            <w:tcW w:w="992" w:type="dxa"/>
            <w:vAlign w:val="center"/>
          </w:tcPr>
          <w:p>
            <w:pPr>
              <w:spacing w:line="240" w:lineRule="auto"/>
              <w:ind w:firstLine="0" w:firstLineChars="0"/>
              <w:contextualSpacing/>
              <w:jc w:val="center"/>
              <w:rPr>
                <w:sz w:val="21"/>
                <w:szCs w:val="21"/>
              </w:rPr>
            </w:pPr>
            <w:r>
              <w:rPr>
                <w:sz w:val="21"/>
                <w:szCs w:val="21"/>
              </w:rPr>
              <w:t>人员进入营地时及以后</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饮用水管理</w:t>
            </w:r>
          </w:p>
        </w:tc>
        <w:tc>
          <w:tcPr>
            <w:tcW w:w="1610" w:type="dxa"/>
            <w:vAlign w:val="center"/>
          </w:tcPr>
          <w:p>
            <w:pPr>
              <w:spacing w:line="240" w:lineRule="auto"/>
              <w:ind w:firstLine="0" w:firstLineChars="0"/>
              <w:contextualSpacing/>
              <w:jc w:val="center"/>
              <w:rPr>
                <w:sz w:val="21"/>
                <w:szCs w:val="21"/>
              </w:rPr>
            </w:pPr>
            <w:r>
              <w:rPr>
                <w:sz w:val="21"/>
                <w:szCs w:val="21"/>
              </w:rPr>
              <w:t>水源保护、消毒</w:t>
            </w:r>
          </w:p>
        </w:tc>
        <w:tc>
          <w:tcPr>
            <w:tcW w:w="992" w:type="dxa"/>
            <w:vAlign w:val="center"/>
          </w:tcPr>
          <w:p>
            <w:pPr>
              <w:spacing w:line="240" w:lineRule="auto"/>
              <w:ind w:firstLine="0" w:firstLineChars="0"/>
              <w:contextualSpacing/>
              <w:jc w:val="center"/>
              <w:rPr>
                <w:sz w:val="21"/>
                <w:szCs w:val="21"/>
              </w:rPr>
            </w:pPr>
            <w:r>
              <w:rPr>
                <w:sz w:val="21"/>
                <w:szCs w:val="21"/>
              </w:rPr>
              <w:t>施工期</w:t>
            </w:r>
          </w:p>
        </w:tc>
        <w:tc>
          <w:tcPr>
            <w:tcW w:w="1418" w:type="dxa"/>
            <w:vAlign w:val="center"/>
          </w:tcPr>
          <w:p>
            <w:pPr>
              <w:spacing w:line="240" w:lineRule="auto"/>
              <w:ind w:firstLine="0" w:firstLineChars="0"/>
              <w:contextualSpacing/>
              <w:jc w:val="center"/>
              <w:rPr>
                <w:sz w:val="21"/>
                <w:szCs w:val="21"/>
              </w:rPr>
            </w:pPr>
            <w:r>
              <w:rPr>
                <w:sz w:val="21"/>
                <w:szCs w:val="21"/>
              </w:rPr>
              <w:t>业主、承包商</w:t>
            </w:r>
          </w:p>
        </w:tc>
        <w:tc>
          <w:tcPr>
            <w:tcW w:w="2318" w:type="dxa"/>
            <w:vAlign w:val="center"/>
          </w:tcPr>
          <w:p>
            <w:pPr>
              <w:spacing w:line="240" w:lineRule="auto"/>
              <w:ind w:firstLine="0" w:firstLineChars="0"/>
              <w:contextualSpacing/>
              <w:jc w:val="center"/>
              <w:rPr>
                <w:sz w:val="21"/>
                <w:szCs w:val="21"/>
              </w:rPr>
            </w:pPr>
            <w:r>
              <w:rPr>
                <w:sz w:val="21"/>
                <w:szCs w:val="21"/>
              </w:rPr>
              <w:t>制定保护办法，实施</w:t>
            </w:r>
          </w:p>
          <w:p>
            <w:pPr>
              <w:spacing w:line="240" w:lineRule="auto"/>
              <w:ind w:firstLine="0" w:firstLineChars="0"/>
              <w:contextualSpacing/>
              <w:jc w:val="center"/>
              <w:rPr>
                <w:sz w:val="21"/>
                <w:szCs w:val="21"/>
              </w:rPr>
            </w:pPr>
            <w:r>
              <w:rPr>
                <w:sz w:val="21"/>
                <w:szCs w:val="21"/>
              </w:rPr>
              <w:t>水质净化，监测饮用</w:t>
            </w:r>
          </w:p>
          <w:p>
            <w:pPr>
              <w:spacing w:line="240" w:lineRule="auto"/>
              <w:ind w:firstLine="0" w:firstLineChars="0"/>
              <w:contextualSpacing/>
              <w:jc w:val="center"/>
              <w:rPr>
                <w:sz w:val="21"/>
                <w:szCs w:val="21"/>
              </w:rPr>
            </w:pPr>
            <w:r>
              <w:rPr>
                <w:sz w:val="21"/>
                <w:szCs w:val="21"/>
              </w:rPr>
              <w:t>水和水源水质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环境卫生</w:t>
            </w:r>
          </w:p>
        </w:tc>
        <w:tc>
          <w:tcPr>
            <w:tcW w:w="1610" w:type="dxa"/>
            <w:vAlign w:val="center"/>
          </w:tcPr>
          <w:p>
            <w:pPr>
              <w:spacing w:line="240" w:lineRule="auto"/>
              <w:ind w:firstLine="0" w:firstLineChars="0"/>
              <w:contextualSpacing/>
              <w:jc w:val="center"/>
              <w:rPr>
                <w:sz w:val="21"/>
                <w:szCs w:val="21"/>
              </w:rPr>
            </w:pPr>
            <w:r>
              <w:rPr>
                <w:sz w:val="21"/>
                <w:szCs w:val="21"/>
              </w:rPr>
              <w:t>设置临时厕所；生活区修建化粪池，定期清理</w:t>
            </w:r>
          </w:p>
        </w:tc>
        <w:tc>
          <w:tcPr>
            <w:tcW w:w="992" w:type="dxa"/>
            <w:vMerge w:val="restart"/>
            <w:vAlign w:val="center"/>
          </w:tcPr>
          <w:p>
            <w:pPr>
              <w:spacing w:line="240" w:lineRule="auto"/>
              <w:ind w:firstLine="0" w:firstLineChars="0"/>
              <w:contextualSpacing/>
              <w:jc w:val="center"/>
              <w:rPr>
                <w:sz w:val="21"/>
                <w:szCs w:val="21"/>
              </w:rPr>
            </w:pPr>
            <w:r>
              <w:rPr>
                <w:sz w:val="21"/>
                <w:szCs w:val="21"/>
              </w:rPr>
              <w:t>人员进入营地时及以后</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负责有关事务安排，支付费用，监督检查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人员健康</w:t>
            </w:r>
          </w:p>
        </w:tc>
        <w:tc>
          <w:tcPr>
            <w:tcW w:w="1610" w:type="dxa"/>
            <w:vAlign w:val="center"/>
          </w:tcPr>
          <w:p>
            <w:pPr>
              <w:spacing w:line="240" w:lineRule="auto"/>
              <w:ind w:firstLine="0" w:firstLineChars="0"/>
              <w:contextualSpacing/>
              <w:jc w:val="center"/>
              <w:rPr>
                <w:sz w:val="21"/>
                <w:szCs w:val="21"/>
              </w:rPr>
            </w:pPr>
            <w:r>
              <w:rPr>
                <w:sz w:val="21"/>
                <w:szCs w:val="21"/>
              </w:rPr>
              <w:t>定期体检</w:t>
            </w:r>
          </w:p>
        </w:tc>
        <w:tc>
          <w:tcPr>
            <w:tcW w:w="992" w:type="dxa"/>
            <w:vMerge w:val="continue"/>
            <w:vAlign w:val="center"/>
          </w:tcPr>
          <w:p>
            <w:pPr>
              <w:spacing w:line="240" w:lineRule="auto"/>
              <w:ind w:firstLine="0" w:firstLineChars="0"/>
              <w:contextualSpacing/>
              <w:jc w:val="center"/>
              <w:rPr>
                <w:sz w:val="21"/>
                <w:szCs w:val="21"/>
              </w:rPr>
            </w:pPr>
          </w:p>
        </w:tc>
        <w:tc>
          <w:tcPr>
            <w:tcW w:w="1418" w:type="dxa"/>
            <w:vAlign w:val="center"/>
          </w:tcPr>
          <w:p>
            <w:pPr>
              <w:spacing w:line="240" w:lineRule="auto"/>
              <w:ind w:firstLine="0" w:firstLineChars="0"/>
              <w:contextualSpacing/>
              <w:jc w:val="center"/>
              <w:rPr>
                <w:sz w:val="21"/>
                <w:szCs w:val="21"/>
              </w:rPr>
            </w:pPr>
            <w:r>
              <w:rPr>
                <w:sz w:val="21"/>
                <w:szCs w:val="21"/>
              </w:rPr>
              <w:t>承包商或业主</w:t>
            </w:r>
          </w:p>
        </w:tc>
        <w:tc>
          <w:tcPr>
            <w:tcW w:w="2318" w:type="dxa"/>
            <w:vAlign w:val="center"/>
          </w:tcPr>
          <w:p>
            <w:pPr>
              <w:spacing w:line="240" w:lineRule="auto"/>
              <w:ind w:firstLine="0" w:firstLineChars="0"/>
              <w:contextualSpacing/>
              <w:jc w:val="center"/>
              <w:rPr>
                <w:sz w:val="21"/>
                <w:szCs w:val="21"/>
              </w:rPr>
            </w:pPr>
            <w:r>
              <w:rPr>
                <w:sz w:val="21"/>
                <w:szCs w:val="21"/>
              </w:rPr>
              <w:t>审查体检进度，监督</w:t>
            </w:r>
          </w:p>
          <w:p>
            <w:pPr>
              <w:spacing w:line="240" w:lineRule="auto"/>
              <w:ind w:firstLine="0" w:firstLineChars="0"/>
              <w:contextualSpacing/>
              <w:jc w:val="center"/>
              <w:rPr>
                <w:sz w:val="21"/>
                <w:szCs w:val="21"/>
              </w:rPr>
            </w:pPr>
            <w:r>
              <w:rPr>
                <w:sz w:val="21"/>
                <w:szCs w:val="21"/>
              </w:rPr>
              <w:t>后续医疗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饮食卫生</w:t>
            </w:r>
          </w:p>
        </w:tc>
        <w:tc>
          <w:tcPr>
            <w:tcW w:w="1610" w:type="dxa"/>
            <w:vAlign w:val="center"/>
          </w:tcPr>
          <w:p>
            <w:pPr>
              <w:spacing w:line="240" w:lineRule="auto"/>
              <w:ind w:firstLine="0" w:firstLineChars="0"/>
              <w:contextualSpacing/>
              <w:jc w:val="center"/>
              <w:rPr>
                <w:sz w:val="21"/>
                <w:szCs w:val="21"/>
              </w:rPr>
            </w:pPr>
            <w:r>
              <w:rPr>
                <w:sz w:val="21"/>
                <w:szCs w:val="21"/>
              </w:rPr>
              <w:t>营地食堂卫生定期检查</w:t>
            </w:r>
          </w:p>
        </w:tc>
        <w:tc>
          <w:tcPr>
            <w:tcW w:w="992" w:type="dxa"/>
            <w:vMerge w:val="continue"/>
            <w:vAlign w:val="center"/>
          </w:tcPr>
          <w:p>
            <w:pPr>
              <w:spacing w:line="240" w:lineRule="auto"/>
              <w:ind w:firstLine="0" w:firstLineChars="0"/>
              <w:contextualSpacing/>
              <w:jc w:val="center"/>
              <w:rPr>
                <w:sz w:val="21"/>
                <w:szCs w:val="21"/>
              </w:rPr>
            </w:pPr>
          </w:p>
        </w:tc>
        <w:tc>
          <w:tcPr>
            <w:tcW w:w="1418" w:type="dxa"/>
            <w:vAlign w:val="center"/>
          </w:tcPr>
          <w:p>
            <w:pPr>
              <w:spacing w:line="240" w:lineRule="auto"/>
              <w:ind w:firstLine="0" w:firstLineChars="0"/>
              <w:contextualSpacing/>
              <w:jc w:val="center"/>
              <w:rPr>
                <w:sz w:val="21"/>
                <w:szCs w:val="21"/>
              </w:rPr>
            </w:pPr>
            <w:r>
              <w:rPr>
                <w:sz w:val="21"/>
                <w:szCs w:val="21"/>
              </w:rPr>
              <w:t>承包商或业主</w:t>
            </w:r>
          </w:p>
        </w:tc>
        <w:tc>
          <w:tcPr>
            <w:tcW w:w="2318" w:type="dxa"/>
            <w:vAlign w:val="center"/>
          </w:tcPr>
          <w:p>
            <w:pPr>
              <w:spacing w:line="240" w:lineRule="auto"/>
              <w:ind w:firstLine="0" w:firstLineChars="0"/>
              <w:contextualSpacing/>
              <w:jc w:val="center"/>
              <w:rPr>
                <w:sz w:val="21"/>
                <w:szCs w:val="21"/>
              </w:rPr>
            </w:pPr>
            <w:r>
              <w:rPr>
                <w:sz w:val="21"/>
                <w:szCs w:val="21"/>
              </w:rPr>
              <w:t>定期向卫生部门工作</w:t>
            </w:r>
          </w:p>
          <w:p>
            <w:pPr>
              <w:spacing w:line="240" w:lineRule="auto"/>
              <w:ind w:firstLine="0" w:firstLineChars="0"/>
              <w:contextualSpacing/>
              <w:jc w:val="center"/>
              <w:rPr>
                <w:sz w:val="21"/>
                <w:szCs w:val="21"/>
              </w:rPr>
            </w:pPr>
            <w:r>
              <w:rPr>
                <w:sz w:val="21"/>
                <w:szCs w:val="21"/>
              </w:rPr>
              <w:t>人员咨询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工伤预防与救护</w:t>
            </w:r>
          </w:p>
        </w:tc>
        <w:tc>
          <w:tcPr>
            <w:tcW w:w="1610" w:type="dxa"/>
            <w:vAlign w:val="center"/>
          </w:tcPr>
          <w:p>
            <w:pPr>
              <w:spacing w:line="240" w:lineRule="auto"/>
              <w:ind w:firstLine="0" w:firstLineChars="0"/>
              <w:contextualSpacing/>
              <w:jc w:val="center"/>
              <w:rPr>
                <w:sz w:val="21"/>
                <w:szCs w:val="21"/>
              </w:rPr>
            </w:pPr>
            <w:r>
              <w:rPr>
                <w:sz w:val="21"/>
                <w:szCs w:val="21"/>
              </w:rPr>
              <w:t>爆破、高空作业</w:t>
            </w:r>
          </w:p>
        </w:tc>
        <w:tc>
          <w:tcPr>
            <w:tcW w:w="992" w:type="dxa"/>
            <w:vAlign w:val="center"/>
          </w:tcPr>
          <w:p>
            <w:pPr>
              <w:spacing w:line="240" w:lineRule="auto"/>
              <w:ind w:firstLine="0" w:firstLineChars="0"/>
              <w:contextualSpacing/>
              <w:jc w:val="center"/>
              <w:rPr>
                <w:sz w:val="21"/>
                <w:szCs w:val="21"/>
              </w:rPr>
            </w:pPr>
            <w:r>
              <w:rPr>
                <w:sz w:val="21"/>
                <w:szCs w:val="21"/>
              </w:rPr>
              <w:t>生产活动中</w:t>
            </w:r>
          </w:p>
        </w:tc>
        <w:tc>
          <w:tcPr>
            <w:tcW w:w="1418" w:type="dxa"/>
            <w:vAlign w:val="center"/>
          </w:tcPr>
          <w:p>
            <w:pPr>
              <w:spacing w:line="240" w:lineRule="auto"/>
              <w:ind w:firstLine="0" w:firstLineChars="0"/>
              <w:contextualSpacing/>
              <w:jc w:val="center"/>
              <w:rPr>
                <w:sz w:val="21"/>
                <w:szCs w:val="21"/>
              </w:rPr>
            </w:pPr>
            <w:r>
              <w:rPr>
                <w:sz w:val="21"/>
                <w:szCs w:val="21"/>
              </w:rPr>
              <w:t>承包商</w:t>
            </w:r>
          </w:p>
        </w:tc>
        <w:tc>
          <w:tcPr>
            <w:tcW w:w="2318" w:type="dxa"/>
            <w:vAlign w:val="center"/>
          </w:tcPr>
          <w:p>
            <w:pPr>
              <w:spacing w:line="240" w:lineRule="auto"/>
              <w:ind w:firstLine="0" w:firstLineChars="0"/>
              <w:contextualSpacing/>
              <w:jc w:val="center"/>
              <w:rPr>
                <w:sz w:val="21"/>
                <w:szCs w:val="21"/>
              </w:rPr>
            </w:pPr>
            <w:r>
              <w:rPr>
                <w:sz w:val="21"/>
                <w:szCs w:val="21"/>
              </w:rPr>
              <w:t>检查，在施工区设置</w:t>
            </w:r>
          </w:p>
          <w:p>
            <w:pPr>
              <w:spacing w:line="240" w:lineRule="auto"/>
              <w:ind w:firstLine="0" w:firstLineChars="0"/>
              <w:contextualSpacing/>
              <w:jc w:val="center"/>
              <w:rPr>
                <w:sz w:val="21"/>
                <w:szCs w:val="21"/>
              </w:rPr>
            </w:pPr>
            <w:r>
              <w:rPr>
                <w:sz w:val="21"/>
                <w:szCs w:val="21"/>
              </w:rPr>
              <w:t>一处医疗机构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spacing w:line="240" w:lineRule="auto"/>
              <w:ind w:firstLine="0" w:firstLineChars="0"/>
              <w:contextualSpacing/>
              <w:jc w:val="center"/>
              <w:rPr>
                <w:sz w:val="21"/>
                <w:szCs w:val="21"/>
              </w:rPr>
            </w:pPr>
            <w:r>
              <w:rPr>
                <w:sz w:val="21"/>
                <w:szCs w:val="21"/>
              </w:rPr>
              <w:t>移民安置</w:t>
            </w:r>
          </w:p>
        </w:tc>
        <w:tc>
          <w:tcPr>
            <w:tcW w:w="1500" w:type="dxa"/>
            <w:vAlign w:val="center"/>
          </w:tcPr>
          <w:p>
            <w:pPr>
              <w:spacing w:line="240" w:lineRule="auto"/>
              <w:ind w:firstLine="0" w:firstLineChars="0"/>
              <w:contextualSpacing/>
              <w:jc w:val="center"/>
              <w:rPr>
                <w:sz w:val="21"/>
                <w:szCs w:val="21"/>
              </w:rPr>
            </w:pPr>
            <w:r>
              <w:rPr>
                <w:sz w:val="21"/>
                <w:szCs w:val="21"/>
              </w:rPr>
              <w:t>生活污水处置</w:t>
            </w:r>
          </w:p>
        </w:tc>
        <w:tc>
          <w:tcPr>
            <w:tcW w:w="1610" w:type="dxa"/>
            <w:vAlign w:val="center"/>
          </w:tcPr>
          <w:p>
            <w:pPr>
              <w:spacing w:line="240" w:lineRule="auto"/>
              <w:ind w:firstLine="0" w:firstLineChars="0"/>
              <w:contextualSpacing/>
              <w:jc w:val="center"/>
              <w:rPr>
                <w:sz w:val="21"/>
                <w:szCs w:val="21"/>
              </w:rPr>
            </w:pPr>
            <w:r>
              <w:rPr>
                <w:sz w:val="21"/>
                <w:szCs w:val="21"/>
              </w:rPr>
              <w:t>地埋式污水处理设备</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移民安置办</w:t>
            </w:r>
          </w:p>
        </w:tc>
        <w:tc>
          <w:tcPr>
            <w:tcW w:w="2318" w:type="dxa"/>
            <w:vAlign w:val="center"/>
          </w:tcPr>
          <w:p>
            <w:pPr>
              <w:spacing w:line="240" w:lineRule="auto"/>
              <w:ind w:firstLine="0" w:firstLineChars="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生活垃圾处置</w:t>
            </w:r>
          </w:p>
        </w:tc>
        <w:tc>
          <w:tcPr>
            <w:tcW w:w="1610" w:type="dxa"/>
            <w:vAlign w:val="center"/>
          </w:tcPr>
          <w:p>
            <w:pPr>
              <w:spacing w:line="240" w:lineRule="auto"/>
              <w:ind w:firstLine="0" w:firstLineChars="0"/>
              <w:contextualSpacing/>
              <w:jc w:val="center"/>
              <w:rPr>
                <w:sz w:val="21"/>
                <w:szCs w:val="21"/>
              </w:rPr>
            </w:pPr>
            <w:r>
              <w:rPr>
                <w:sz w:val="21"/>
                <w:szCs w:val="21"/>
              </w:rPr>
              <w:t>垃圾池、转运</w:t>
            </w:r>
          </w:p>
        </w:tc>
        <w:tc>
          <w:tcPr>
            <w:tcW w:w="992" w:type="dxa"/>
            <w:vAlign w:val="center"/>
          </w:tcPr>
          <w:p>
            <w:pPr>
              <w:spacing w:line="240" w:lineRule="auto"/>
              <w:ind w:firstLine="0" w:firstLineChars="0"/>
              <w:contextualSpacing/>
              <w:jc w:val="center"/>
              <w:rPr>
                <w:sz w:val="21"/>
                <w:szCs w:val="21"/>
              </w:rPr>
            </w:pPr>
            <w:r>
              <w:rPr>
                <w:sz w:val="21"/>
                <w:szCs w:val="21"/>
              </w:rPr>
              <w:t>三同时</w:t>
            </w:r>
          </w:p>
        </w:tc>
        <w:tc>
          <w:tcPr>
            <w:tcW w:w="1418" w:type="dxa"/>
            <w:vAlign w:val="center"/>
          </w:tcPr>
          <w:p>
            <w:pPr>
              <w:spacing w:line="240" w:lineRule="auto"/>
              <w:ind w:firstLine="0" w:firstLineChars="0"/>
              <w:contextualSpacing/>
              <w:jc w:val="center"/>
              <w:rPr>
                <w:sz w:val="21"/>
                <w:szCs w:val="21"/>
              </w:rPr>
            </w:pPr>
            <w:r>
              <w:rPr>
                <w:sz w:val="21"/>
                <w:szCs w:val="21"/>
              </w:rPr>
              <w:t>移民安置办</w:t>
            </w:r>
          </w:p>
        </w:tc>
        <w:tc>
          <w:tcPr>
            <w:tcW w:w="2318" w:type="dxa"/>
            <w:vAlign w:val="center"/>
          </w:tcPr>
          <w:p>
            <w:pPr>
              <w:spacing w:line="240" w:lineRule="auto"/>
              <w:ind w:firstLine="0" w:firstLineChars="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生态保护</w:t>
            </w:r>
          </w:p>
        </w:tc>
        <w:tc>
          <w:tcPr>
            <w:tcW w:w="1610" w:type="dxa"/>
            <w:vAlign w:val="center"/>
          </w:tcPr>
          <w:p>
            <w:pPr>
              <w:spacing w:line="240" w:lineRule="auto"/>
              <w:ind w:firstLine="0" w:firstLineChars="0"/>
              <w:contextualSpacing/>
              <w:jc w:val="center"/>
              <w:rPr>
                <w:sz w:val="21"/>
                <w:szCs w:val="21"/>
              </w:rPr>
            </w:pPr>
            <w:r>
              <w:rPr>
                <w:sz w:val="21"/>
                <w:szCs w:val="21"/>
              </w:rPr>
              <w:t>宣传、绿化、水保措施</w:t>
            </w:r>
          </w:p>
        </w:tc>
        <w:tc>
          <w:tcPr>
            <w:tcW w:w="992" w:type="dxa"/>
            <w:vAlign w:val="center"/>
          </w:tcPr>
          <w:p>
            <w:pPr>
              <w:spacing w:line="240" w:lineRule="auto"/>
              <w:ind w:firstLine="0" w:firstLineChars="0"/>
              <w:contextualSpacing/>
              <w:jc w:val="center"/>
              <w:rPr>
                <w:sz w:val="21"/>
                <w:szCs w:val="21"/>
              </w:rPr>
            </w:pPr>
            <w:r>
              <w:rPr>
                <w:sz w:val="21"/>
                <w:szCs w:val="21"/>
              </w:rPr>
              <w:t>安置点建设及之后</w:t>
            </w:r>
          </w:p>
        </w:tc>
        <w:tc>
          <w:tcPr>
            <w:tcW w:w="1418" w:type="dxa"/>
            <w:vAlign w:val="center"/>
          </w:tcPr>
          <w:p>
            <w:pPr>
              <w:spacing w:line="240" w:lineRule="auto"/>
              <w:ind w:firstLine="0" w:firstLineChars="0"/>
              <w:contextualSpacing/>
              <w:jc w:val="center"/>
              <w:rPr>
                <w:sz w:val="21"/>
                <w:szCs w:val="21"/>
              </w:rPr>
            </w:pPr>
            <w:r>
              <w:rPr>
                <w:sz w:val="21"/>
                <w:szCs w:val="21"/>
              </w:rPr>
              <w:t>移民安置办</w:t>
            </w:r>
          </w:p>
        </w:tc>
        <w:tc>
          <w:tcPr>
            <w:tcW w:w="2318" w:type="dxa"/>
            <w:vAlign w:val="center"/>
          </w:tcPr>
          <w:p>
            <w:pPr>
              <w:spacing w:line="240" w:lineRule="auto"/>
              <w:ind w:firstLine="420"/>
              <w:contextualSpacing/>
              <w:jc w:val="center"/>
              <w:rPr>
                <w:sz w:val="21"/>
                <w:szCs w:val="21"/>
              </w:rPr>
            </w:pPr>
            <w:r>
              <w:rPr>
                <w:sz w:val="21"/>
                <w:szCs w:val="21"/>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continue"/>
            <w:vAlign w:val="center"/>
          </w:tcPr>
          <w:p>
            <w:pPr>
              <w:spacing w:line="240" w:lineRule="auto"/>
              <w:ind w:firstLine="0" w:firstLineChars="0"/>
              <w:contextualSpacing/>
              <w:jc w:val="center"/>
              <w:rPr>
                <w:sz w:val="21"/>
                <w:szCs w:val="21"/>
              </w:rPr>
            </w:pPr>
          </w:p>
        </w:tc>
        <w:tc>
          <w:tcPr>
            <w:tcW w:w="1500" w:type="dxa"/>
            <w:vAlign w:val="center"/>
          </w:tcPr>
          <w:p>
            <w:pPr>
              <w:spacing w:line="240" w:lineRule="auto"/>
              <w:ind w:firstLine="0" w:firstLineChars="0"/>
              <w:contextualSpacing/>
              <w:jc w:val="center"/>
              <w:rPr>
                <w:sz w:val="21"/>
                <w:szCs w:val="21"/>
              </w:rPr>
            </w:pPr>
            <w:r>
              <w:rPr>
                <w:sz w:val="21"/>
                <w:szCs w:val="21"/>
              </w:rPr>
              <w:t>人群健康保护</w:t>
            </w:r>
          </w:p>
        </w:tc>
        <w:tc>
          <w:tcPr>
            <w:tcW w:w="1610" w:type="dxa"/>
            <w:vAlign w:val="center"/>
          </w:tcPr>
          <w:p>
            <w:pPr>
              <w:spacing w:line="240" w:lineRule="auto"/>
              <w:ind w:firstLine="0" w:firstLineChars="0"/>
              <w:contextualSpacing/>
              <w:jc w:val="center"/>
              <w:rPr>
                <w:sz w:val="21"/>
                <w:szCs w:val="21"/>
              </w:rPr>
            </w:pPr>
            <w:r>
              <w:rPr>
                <w:sz w:val="21"/>
                <w:szCs w:val="21"/>
              </w:rPr>
              <w:t>水源保护和消毒、杀灭传播媒</w:t>
            </w:r>
          </w:p>
          <w:p>
            <w:pPr>
              <w:spacing w:line="240" w:lineRule="auto"/>
              <w:ind w:firstLine="0" w:firstLineChars="0"/>
              <w:contextualSpacing/>
              <w:jc w:val="center"/>
              <w:rPr>
                <w:sz w:val="21"/>
                <w:szCs w:val="21"/>
              </w:rPr>
            </w:pPr>
            <w:r>
              <w:rPr>
                <w:sz w:val="21"/>
                <w:szCs w:val="21"/>
              </w:rPr>
              <w:t>介、粪便和垃圾无害化处置</w:t>
            </w:r>
          </w:p>
        </w:tc>
        <w:tc>
          <w:tcPr>
            <w:tcW w:w="992" w:type="dxa"/>
            <w:vAlign w:val="center"/>
          </w:tcPr>
          <w:p>
            <w:pPr>
              <w:spacing w:line="240" w:lineRule="auto"/>
              <w:ind w:firstLine="0" w:firstLineChars="0"/>
              <w:contextualSpacing/>
              <w:jc w:val="center"/>
              <w:rPr>
                <w:sz w:val="21"/>
                <w:szCs w:val="21"/>
              </w:rPr>
            </w:pPr>
            <w:r>
              <w:rPr>
                <w:sz w:val="21"/>
                <w:szCs w:val="21"/>
              </w:rPr>
              <w:t>安置点建设及之后</w:t>
            </w:r>
          </w:p>
        </w:tc>
        <w:tc>
          <w:tcPr>
            <w:tcW w:w="1418" w:type="dxa"/>
            <w:vAlign w:val="center"/>
          </w:tcPr>
          <w:p>
            <w:pPr>
              <w:spacing w:line="240" w:lineRule="auto"/>
              <w:ind w:firstLine="0" w:firstLineChars="0"/>
              <w:contextualSpacing/>
              <w:jc w:val="center"/>
              <w:rPr>
                <w:sz w:val="21"/>
                <w:szCs w:val="21"/>
              </w:rPr>
            </w:pPr>
            <w:r>
              <w:rPr>
                <w:sz w:val="21"/>
                <w:szCs w:val="21"/>
              </w:rPr>
              <w:t>移民安置办</w:t>
            </w:r>
          </w:p>
        </w:tc>
        <w:tc>
          <w:tcPr>
            <w:tcW w:w="2318" w:type="dxa"/>
            <w:vAlign w:val="center"/>
          </w:tcPr>
          <w:p>
            <w:pPr>
              <w:spacing w:line="240" w:lineRule="auto"/>
              <w:ind w:firstLine="420"/>
              <w:contextualSpacing/>
              <w:jc w:val="center"/>
              <w:rPr>
                <w:sz w:val="21"/>
                <w:szCs w:val="21"/>
              </w:rPr>
            </w:pPr>
            <w:r>
              <w:rPr>
                <w:sz w:val="21"/>
                <w:szCs w:val="21"/>
              </w:rPr>
              <w:t>监督、检查</w:t>
            </w:r>
          </w:p>
        </w:tc>
      </w:tr>
    </w:tbl>
    <w:p>
      <w:pPr>
        <w:spacing w:line="160" w:lineRule="exact"/>
        <w:ind w:firstLine="480"/>
        <w:contextualSpacing/>
      </w:pPr>
      <w:bookmarkStart w:id="896" w:name="_Toc14885"/>
    </w:p>
    <w:p>
      <w:pPr>
        <w:pStyle w:val="5"/>
        <w:ind w:firstLine="0" w:firstLineChars="0"/>
        <w:contextualSpacing/>
        <w:rPr>
          <w:rFonts w:ascii="Times New Roman" w:hAnsi="Times New Roman"/>
        </w:rPr>
      </w:pPr>
      <w:r>
        <w:rPr>
          <w:rFonts w:ascii="Times New Roman" w:hAnsi="Times New Roman"/>
        </w:rPr>
        <w:t>8.1.8环境保护宣传和培训计划</w:t>
      </w:r>
      <w:bookmarkEnd w:id="896"/>
    </w:p>
    <w:p>
      <w:pPr>
        <w:ind w:firstLine="480"/>
        <w:contextualSpacing/>
      </w:pPr>
      <w:r>
        <w:t>对环境保护管理和专业技术人员应定期邀请环保专家进行讲学、培训，同时组织考察学习，以提高其业务水平。为了提高广大施工人员的生态环境保护意识，利用各种机会和场合进行环境保护宣传活动。</w:t>
      </w:r>
    </w:p>
    <w:p>
      <w:pPr>
        <w:pStyle w:val="4"/>
        <w:ind w:firstLine="0" w:firstLineChars="0"/>
        <w:contextualSpacing/>
      </w:pPr>
      <w:bookmarkStart w:id="897" w:name="_Toc130753465"/>
      <w:bookmarkStart w:id="898" w:name="_Toc32603"/>
      <w:r>
        <w:t>8.2环境监理</w:t>
      </w:r>
      <w:bookmarkEnd w:id="897"/>
      <w:bookmarkEnd w:id="898"/>
    </w:p>
    <w:p>
      <w:pPr>
        <w:pStyle w:val="5"/>
        <w:ind w:firstLine="0" w:firstLineChars="0"/>
        <w:contextualSpacing/>
        <w:rPr>
          <w:rFonts w:ascii="Times New Roman" w:hAnsi="Times New Roman"/>
        </w:rPr>
      </w:pPr>
      <w:bookmarkStart w:id="899" w:name="_Toc10000"/>
      <w:r>
        <w:rPr>
          <w:rFonts w:ascii="Times New Roman" w:hAnsi="Times New Roman"/>
        </w:rPr>
        <w:t>8.2.1环境监理目的</w:t>
      </w:r>
      <w:bookmarkEnd w:id="899"/>
    </w:p>
    <w:p>
      <w:pPr>
        <w:ind w:firstLine="480"/>
        <w:contextualSpacing/>
      </w:pPr>
      <w:r>
        <w:t>为保证工程环境保护措施（包括水保措施）得以全面落实和达到预期效果，本工程需单独实施环境监理。全面监督和检查各施工单位环境保护措施的实施和效果，及时处理和解决施工过程中出现的环境问题。使环境管理工作融入整个工程建设过程中，变事后管理为过程管理，变单纯的强制性管理为强制性和指导性相结合，从而使环境保护由被动治理污染和破坏变为主动预防和过程治理。</w:t>
      </w:r>
    </w:p>
    <w:p>
      <w:pPr>
        <w:pStyle w:val="5"/>
        <w:ind w:firstLine="0" w:firstLineChars="0"/>
        <w:contextualSpacing/>
        <w:rPr>
          <w:rFonts w:ascii="Times New Roman" w:hAnsi="Times New Roman"/>
        </w:rPr>
      </w:pPr>
      <w:bookmarkStart w:id="900" w:name="_Toc26218"/>
      <w:r>
        <w:rPr>
          <w:rFonts w:ascii="Times New Roman" w:hAnsi="Times New Roman"/>
        </w:rPr>
        <w:t>8.2.2环境监理目标</w:t>
      </w:r>
      <w:bookmarkEnd w:id="900"/>
    </w:p>
    <w:p>
      <w:pPr>
        <w:ind w:firstLine="480"/>
        <w:contextualSpacing/>
      </w:pPr>
      <w:r>
        <w:t>（1）进度目标：环保措施制定与执行进度保持与工程进度同步。</w:t>
      </w:r>
    </w:p>
    <w:p>
      <w:pPr>
        <w:ind w:firstLine="480"/>
        <w:contextualSpacing/>
      </w:pPr>
      <w:r>
        <w:t>（2）质量目标：环保工程措施质量满足设计要求，</w:t>
      </w:r>
    </w:p>
    <w:p>
      <w:pPr>
        <w:ind w:firstLine="480"/>
        <w:contextualSpacing/>
      </w:pPr>
      <w:r>
        <w:t>（3）投资目标：工程措施的费用控制在施工合同规定的相应额度内，环保措施费的使用按业主的有关规定执行。</w:t>
      </w:r>
    </w:p>
    <w:p>
      <w:pPr>
        <w:pStyle w:val="5"/>
        <w:ind w:firstLine="0" w:firstLineChars="0"/>
        <w:contextualSpacing/>
        <w:rPr>
          <w:rFonts w:ascii="Times New Roman" w:hAnsi="Times New Roman"/>
        </w:rPr>
      </w:pPr>
      <w:bookmarkStart w:id="901" w:name="_Toc28546"/>
      <w:r>
        <w:rPr>
          <w:rFonts w:ascii="Times New Roman" w:hAnsi="Times New Roman"/>
        </w:rPr>
        <w:t>8.2.3环境监理工作范围和任务</w:t>
      </w:r>
      <w:bookmarkEnd w:id="901"/>
    </w:p>
    <w:p>
      <w:pPr>
        <w:ind w:firstLine="480"/>
        <w:contextualSpacing/>
      </w:pPr>
      <w:r>
        <w:t>（1）工作范围</w:t>
      </w:r>
    </w:p>
    <w:p>
      <w:pPr>
        <w:ind w:firstLine="480"/>
        <w:contextualSpacing/>
      </w:pPr>
      <w:r>
        <w:t>环境监理工作范围包括所有因工程建设可能造成环境污染和生态破坏的区域，包括工程枢纽区、供水管线、施工场地、生活营地、场内外公路、水库淹没区、渣料场等所有因工程建设可能造成环境污染和生态破坏的区域。</w:t>
      </w:r>
    </w:p>
    <w:p>
      <w:pPr>
        <w:ind w:firstLine="480"/>
        <w:contextualSpacing/>
      </w:pPr>
      <w:r>
        <w:t>（2）任务</w:t>
      </w:r>
    </w:p>
    <w:p>
      <w:pPr>
        <w:ind w:firstLine="480"/>
        <w:contextualSpacing/>
      </w:pPr>
      <w:r>
        <w:t>1）依照国家环境保护法律、法规及标准要求，以经过审批的工程环境影响报告书、环境保护设计及施工合同中环境保护相关条款为依据，监督、检查承包商或环保措施实施单位对工程区环保措施的费用、实施进度、质量及效果。</w:t>
      </w:r>
    </w:p>
    <w:p>
      <w:pPr>
        <w:ind w:firstLine="480"/>
        <w:contextualSpacing/>
      </w:pPr>
      <w:r>
        <w:t>2）指导、检查、督促各施工承包单位环境保护办公室的设立和正常运行。</w:t>
      </w:r>
    </w:p>
    <w:p>
      <w:pPr>
        <w:ind w:firstLine="480"/>
        <w:contextualSpacing/>
      </w:pPr>
      <w:r>
        <w:t>3）根据实际情况，就承包商提出的施工组织设计、施工技术方案和施工进度计划提出清洁生产等环保方面的改进意见，以保证方案满足环保要求。</w:t>
      </w:r>
    </w:p>
    <w:p>
      <w:pPr>
        <w:ind w:firstLine="480"/>
        <w:contextualSpacing/>
      </w:pPr>
      <w:r>
        <w:t>4）审查承包商提出的环境保护措施的工艺流程、施工方法、设备清单及各项环保指标。</w:t>
      </w:r>
    </w:p>
    <w:p>
      <w:pPr>
        <w:ind w:firstLine="480"/>
        <w:contextualSpacing/>
      </w:pPr>
      <w:r>
        <w:t>5）加强现场的监控，重点监督检查生产废水收集和处理系统、水土保持措施的施工质量、运行情况。对在监理过程中发现的环境问题，以书面形式通知责任单位进行限期处理改进。</w:t>
      </w:r>
    </w:p>
    <w:p>
      <w:pPr>
        <w:ind w:firstLine="480"/>
        <w:contextualSpacing/>
      </w:pPr>
      <w:r>
        <w:t>6）对承包商施工过程及施工结束后的现场，依据环境保护要求进行检查和质量评定。具体任务如下：</w:t>
      </w:r>
      <w:r>
        <w:rPr>
          <w:rFonts w:hint="eastAsia" w:ascii="宋体" w:hAnsi="宋体" w:cs="宋体"/>
        </w:rPr>
        <w:t>①</w:t>
      </w:r>
      <w:r>
        <w:t>监督检查施工过程中的各项环保措施和地方对工程环境保护的意见与处理情况。</w:t>
      </w:r>
      <w:r>
        <w:rPr>
          <w:rFonts w:hint="eastAsia" w:ascii="宋体" w:hAnsi="宋体" w:cs="宋体"/>
        </w:rPr>
        <w:t>②</w:t>
      </w:r>
      <w:r>
        <w:t>监督承包商对于合同中的环保条款的执行情况，并负责解释环保条款。对重大环境问题提出处理意见和报告，通过工程总监理工程师责成有关单位限期纠正。</w:t>
      </w:r>
      <w:r>
        <w:rPr>
          <w:rFonts w:hint="eastAsia" w:ascii="宋体" w:hAnsi="宋体" w:cs="宋体"/>
        </w:rPr>
        <w:t>③</w:t>
      </w:r>
      <w:r>
        <w:t>参加承包商提出的施工组织设计、施工技术方案和施工进度计划的审查会议，就环境保护方面提出改进意见。审查承包商提出的可能造成污染的施工材料、设备清单及其所列的环保指标。</w:t>
      </w:r>
      <w:r>
        <w:rPr>
          <w:rFonts w:hint="eastAsia" w:ascii="宋体" w:hAnsi="宋体" w:cs="宋体"/>
        </w:rPr>
        <w:t>④</w:t>
      </w:r>
      <w:r>
        <w:t>对施工区出现的环境问题及时发现，进行妥善的处理。对超标环境指标下达监测指令，并对监测结果进行分析研究，并提出环境保护改善方案。</w:t>
      </w:r>
      <w:r>
        <w:rPr>
          <w:rFonts w:hint="eastAsia" w:ascii="宋体" w:hAnsi="宋体" w:cs="宋体"/>
        </w:rPr>
        <w:t>⑤</w:t>
      </w:r>
      <w:r>
        <w:t>监督与环境有关的合同条款的执行，签署环境监理意见。协调建设各方有关环保的工作关系和有关环境问题的争议。</w:t>
      </w:r>
      <w:r>
        <w:rPr>
          <w:rFonts w:hint="eastAsia" w:ascii="宋体" w:hAnsi="宋体" w:cs="宋体"/>
        </w:rPr>
        <w:t>⑥</w:t>
      </w:r>
      <w:r>
        <w:t>记录现场出现的环境问题及处理结果，向环境管理单位提交月报。参加单元工程的竣工验收工作，负责组织和参加已完成工程的限期清理和恢复现场工作。</w:t>
      </w:r>
    </w:p>
    <w:p>
      <w:pPr>
        <w:ind w:firstLine="480"/>
        <w:contextualSpacing/>
      </w:pPr>
      <w:r>
        <w:t>2）移民安置环境监理</w:t>
      </w:r>
    </w:p>
    <w:p>
      <w:pPr>
        <w:ind w:firstLine="480"/>
        <w:contextualSpacing/>
      </w:pPr>
      <w:r>
        <w:t>移民安置区环境监理工作内容如下：</w:t>
      </w:r>
    </w:p>
    <w:p>
      <w:pPr>
        <w:ind w:firstLine="480"/>
        <w:contextualSpacing/>
      </w:pPr>
      <w:r>
        <w:t>审查实施单位在总进度和年度计划下的环保措施实施进度计划，超出实施规划、年度计划及有关合同协议之间的变更，调整，及时报告建设单位批准。</w:t>
      </w:r>
    </w:p>
    <w:p>
      <w:pPr>
        <w:ind w:firstLine="480"/>
        <w:contextualSpacing/>
      </w:pPr>
      <w:r>
        <w:t>在移民搬迁过程中确保“三同时”制度得到执行。</w:t>
      </w:r>
    </w:p>
    <w:p>
      <w:pPr>
        <w:ind w:firstLine="480"/>
        <w:contextualSpacing/>
      </w:pPr>
      <w:r>
        <w:t>监督移民安置环境保护措施的落实情况，监理实施单位对移民安置区环保设施是否按批复的环境影响报告书及初步设计的要求建设。</w:t>
      </w:r>
    </w:p>
    <w:p>
      <w:pPr>
        <w:ind w:firstLine="480"/>
        <w:contextualSpacing/>
      </w:pPr>
      <w:r>
        <w:t>控制环保资金的使用和进度计划。</w:t>
      </w:r>
    </w:p>
    <w:p>
      <w:pPr>
        <w:ind w:firstLine="480"/>
        <w:contextualSpacing/>
      </w:pPr>
      <w:r>
        <w:t>参加移民安置竣工验收。</w:t>
      </w:r>
    </w:p>
    <w:p>
      <w:pPr>
        <w:pStyle w:val="5"/>
        <w:ind w:firstLine="0" w:firstLineChars="0"/>
        <w:contextualSpacing/>
        <w:rPr>
          <w:rFonts w:ascii="Times New Roman" w:hAnsi="Times New Roman"/>
        </w:rPr>
      </w:pPr>
      <w:bookmarkStart w:id="902" w:name="_Toc3831"/>
      <w:r>
        <w:rPr>
          <w:rFonts w:ascii="Times New Roman" w:hAnsi="Times New Roman"/>
        </w:rPr>
        <w:t>8.2.4环境监理作用</w:t>
      </w:r>
      <w:bookmarkEnd w:id="902"/>
    </w:p>
    <w:p>
      <w:pPr>
        <w:ind w:firstLine="480"/>
        <w:contextualSpacing/>
      </w:pPr>
      <w:r>
        <w:t>寒溪寺水库工程施工期环境监理的作用主要有：</w:t>
      </w:r>
    </w:p>
    <w:p>
      <w:pPr>
        <w:ind w:firstLine="480"/>
        <w:contextualSpacing/>
      </w:pPr>
      <w:r>
        <w:t>（1）预防功能：预测工程建设过程中可能出现的环境问题，预先采取措施进行防范，以达到减少环境污染、保护生态环境的目的。</w:t>
      </w:r>
    </w:p>
    <w:p>
      <w:pPr>
        <w:ind w:firstLine="480"/>
        <w:contextualSpacing/>
      </w:pPr>
      <w:r>
        <w:t>（2）制约功能：工程建设涉及的环境保护工作受到各种因素的影响，对此需要对各单位、各环节的工作进行及时检查、牵制和调节，以保证整个过程的平衡协调。</w:t>
      </w:r>
    </w:p>
    <w:p>
      <w:pPr>
        <w:ind w:firstLine="480"/>
        <w:contextualSpacing/>
      </w:pPr>
      <w:r>
        <w:t>（3）参与功能：环境监理单位作为独立、公正的第三方，参与工程建设全过程的环保工作。对与工程有关的重大环境问题参与决策。</w:t>
      </w:r>
    </w:p>
    <w:p>
      <w:pPr>
        <w:ind w:firstLine="480"/>
        <w:contextualSpacing/>
      </w:pPr>
      <w:r>
        <w:t>（4）反馈功能：监理单位在对监理对象的监督、检查过程中可以及时发现被监理单位和被监理事项中存在的问题，收集大量的信息，并随时对信息进行反馈，为有关单位提供改进工作的科学依据。</w:t>
      </w:r>
    </w:p>
    <w:p>
      <w:pPr>
        <w:ind w:firstLine="480"/>
        <w:contextualSpacing/>
      </w:pPr>
      <w:r>
        <w:t>（5）促进功能：环境监理的约束机制不仅有限制功能，而且有促进功能，可以促进环保工作向规范化方向发展，更好地完成防治环境污染和生态破坏的任务。</w:t>
      </w:r>
    </w:p>
    <w:p>
      <w:pPr>
        <w:pStyle w:val="5"/>
        <w:ind w:firstLine="0" w:firstLineChars="0"/>
        <w:contextualSpacing/>
        <w:rPr>
          <w:rFonts w:ascii="Times New Roman" w:hAnsi="Times New Roman"/>
        </w:rPr>
      </w:pPr>
      <w:bookmarkStart w:id="903" w:name="_Toc4048"/>
      <w:r>
        <w:rPr>
          <w:rFonts w:ascii="Times New Roman" w:hAnsi="Times New Roman"/>
        </w:rPr>
        <w:t>8.2.5环境监理与工程其他单位的关系</w:t>
      </w:r>
      <w:bookmarkEnd w:id="903"/>
    </w:p>
    <w:p>
      <w:pPr>
        <w:ind w:firstLine="480"/>
        <w:contextualSpacing/>
      </w:pPr>
      <w:r>
        <w:t>（1）环境监理与工程监理的关系</w:t>
      </w:r>
    </w:p>
    <w:p>
      <w:pPr>
        <w:ind w:firstLine="480"/>
        <w:contextualSpacing/>
      </w:pPr>
      <w:r>
        <w:t>环境监理是工程监理的一个组成部分，但又具有相对的独立性。环境监理工作实行环境监理总工程师负责制，环境监理工程师对承包商违反环保条款的行为提出书面处理意见，经环境监理总工程师签发后下发承包商执行。具体由各标中的环保人员负责监督执行，并将结果反馈给环境监理总工程师。但对施工过程中出现的重大环境问题，特别是与工程进度有直接关系的环境事件，须与工程监理相协调。</w:t>
      </w:r>
    </w:p>
    <w:p>
      <w:pPr>
        <w:ind w:firstLine="480"/>
        <w:contextualSpacing/>
      </w:pPr>
      <w:r>
        <w:t>（2）环境监理与业主、承包商的关系</w:t>
      </w:r>
    </w:p>
    <w:p>
      <w:pPr>
        <w:ind w:firstLine="480"/>
        <w:contextualSpacing/>
      </w:pPr>
      <w:r>
        <w:t>环境监理是业主和承包商之外的经济独立第三方。它严格按照合同条款独立、公正地开展工作，即在维护业主利益的同时，也必须维护承包商的合法权益。业主与环境监理的关系是经济法律关系中的委托协作关系，业主与承包商间的关系只是一种经济合同关系。业主与承包商就环保方面的联系必须通过环境监理工程师，以保证命令依据的唯一性。环境监理与承包商的关系是一种工作关系，即工程施工环保工作中的监理与被监理关系。环境监理的存在构成业主、监理、承包商三方相互制约的环境管理格局。</w:t>
      </w:r>
    </w:p>
    <w:p>
      <w:pPr>
        <w:ind w:firstLine="480"/>
        <w:contextualSpacing/>
      </w:pPr>
      <w:r>
        <w:t>（3）环境监理与环境监测的关系</w:t>
      </w:r>
    </w:p>
    <w:p>
      <w:pPr>
        <w:ind w:firstLine="480"/>
        <w:contextualSpacing/>
      </w:pPr>
      <w:r>
        <w:t>环境监理与环境监测是一种互为补充的关系，在环境管理中两者缺一不可。环境监测是工程区环境要素状况的动态反映，是环境管理与环境监理工作的重要依据。监测数据服务于监理，监理工程师可以根据施工进度提出监测方案调整意见，并通过业主反馈给环境监测单位。</w:t>
      </w:r>
    </w:p>
    <w:p>
      <w:pPr>
        <w:pStyle w:val="5"/>
        <w:ind w:firstLine="0" w:firstLineChars="0"/>
        <w:contextualSpacing/>
        <w:rPr>
          <w:rFonts w:ascii="Times New Roman" w:hAnsi="Times New Roman"/>
        </w:rPr>
      </w:pPr>
      <w:bookmarkStart w:id="904" w:name="_Toc331"/>
      <w:r>
        <w:rPr>
          <w:rFonts w:ascii="Times New Roman" w:hAnsi="Times New Roman"/>
        </w:rPr>
        <w:t>8.2.6环境监理工作依据</w:t>
      </w:r>
      <w:bookmarkEnd w:id="904"/>
    </w:p>
    <w:p>
      <w:pPr>
        <w:ind w:firstLine="480"/>
        <w:contextualSpacing/>
      </w:pPr>
      <w:r>
        <w:t>（1）环境监理合同；</w:t>
      </w:r>
    </w:p>
    <w:p>
      <w:pPr>
        <w:ind w:firstLine="480"/>
        <w:contextualSpacing/>
      </w:pPr>
      <w:r>
        <w:t>（2）发包人与施工承包人签订的正式合同或协议；</w:t>
      </w:r>
    </w:p>
    <w:p>
      <w:pPr>
        <w:ind w:firstLine="480"/>
        <w:contextualSpacing/>
      </w:pPr>
      <w:r>
        <w:t>（3）工程的施工图纸与文件；</w:t>
      </w:r>
    </w:p>
    <w:p>
      <w:pPr>
        <w:ind w:firstLine="480"/>
        <w:contextualSpacing/>
      </w:pPr>
      <w:r>
        <w:t>（4）水利工程施工监理规范；</w:t>
      </w:r>
    </w:p>
    <w:p>
      <w:pPr>
        <w:ind w:firstLine="480"/>
        <w:contextualSpacing/>
      </w:pPr>
      <w:r>
        <w:t>（5）国家的法律、行政法规、水利工程建设监理及水利建设的部门规章和技术标准及工程所在地的地方法规；</w:t>
      </w:r>
    </w:p>
    <w:p>
      <w:pPr>
        <w:ind w:firstLine="480"/>
        <w:contextualSpacing/>
      </w:pPr>
      <w:r>
        <w:t>（6）国家或国家授权部门与机构批准的工程项目建设文件；</w:t>
      </w:r>
    </w:p>
    <w:p>
      <w:pPr>
        <w:ind w:firstLine="480"/>
        <w:contextualSpacing/>
      </w:pPr>
      <w:r>
        <w:t>（7）发包人指定使用的与本工程的有关制度、办法和规定；</w:t>
      </w:r>
    </w:p>
    <w:p>
      <w:pPr>
        <w:pStyle w:val="5"/>
        <w:ind w:firstLine="0" w:firstLineChars="0"/>
        <w:contextualSpacing/>
        <w:rPr>
          <w:rFonts w:ascii="Times New Roman" w:hAnsi="Times New Roman"/>
        </w:rPr>
      </w:pPr>
      <w:bookmarkStart w:id="905" w:name="_Toc23480"/>
      <w:r>
        <w:rPr>
          <w:rFonts w:ascii="Times New Roman" w:hAnsi="Times New Roman"/>
        </w:rPr>
        <w:t>8.2.7环境监理机构设置和工作方式</w:t>
      </w:r>
      <w:bookmarkEnd w:id="905"/>
    </w:p>
    <w:p>
      <w:pPr>
        <w:ind w:firstLine="480"/>
        <w:contextualSpacing/>
      </w:pPr>
      <w:r>
        <w:t>根据本工程规模和施工规划，结合主体工程施工规划要求，在工程现场设置专门的环境监理机构，环境监理部设置专职监理人员。环境监理人员常驻工地，对施工区环境保护工作进行动态管理。监理方式以现场监督管理为主，并随时检查各项环境监测数据，发现问题后，立即要求承包商限期处理，并以公文函件确认。对于限期处理的环境问题，按期进行检查验收，将检查结果形成纪要下发承包商。</w:t>
      </w:r>
    </w:p>
    <w:p>
      <w:pPr>
        <w:pStyle w:val="5"/>
        <w:ind w:firstLine="0" w:firstLineChars="0"/>
        <w:contextualSpacing/>
        <w:rPr>
          <w:rFonts w:ascii="Times New Roman" w:hAnsi="Times New Roman"/>
        </w:rPr>
      </w:pPr>
      <w:bookmarkStart w:id="906" w:name="_Toc24328"/>
      <w:r>
        <w:rPr>
          <w:rFonts w:ascii="Times New Roman" w:hAnsi="Times New Roman"/>
        </w:rPr>
        <w:t>8.2.8环境监理工作程序与质量控制</w:t>
      </w:r>
      <w:bookmarkEnd w:id="906"/>
    </w:p>
    <w:p>
      <w:pPr>
        <w:ind w:firstLine="480"/>
        <w:contextualSpacing/>
      </w:pPr>
      <w:r>
        <w:t>（1）环境监理工作程序</w:t>
      </w:r>
    </w:p>
    <w:p>
      <w:pPr>
        <w:ind w:firstLine="480"/>
        <w:contextualSpacing/>
      </w:pPr>
      <w:r>
        <w:t>工程环境监理是工程监理的重要组成部分，与工程监理地位相同，其工作程序见图8.2.8。</w:t>
      </w:r>
    </w:p>
    <w:p>
      <w:pPr>
        <w:ind w:firstLine="480"/>
        <w:contextualSpacing/>
      </w:pPr>
      <w:r>
        <mc:AlternateContent>
          <mc:Choice Requires="wps">
            <w:drawing>
              <wp:anchor distT="0" distB="0" distL="114300" distR="114300" simplePos="0" relativeHeight="251662336" behindDoc="0" locked="0" layoutInCell="1" allowOverlap="1">
                <wp:simplePos x="0" y="0"/>
                <wp:positionH relativeFrom="column">
                  <wp:posOffset>461645</wp:posOffset>
                </wp:positionH>
                <wp:positionV relativeFrom="paragraph">
                  <wp:posOffset>715645</wp:posOffset>
                </wp:positionV>
                <wp:extent cx="1466215" cy="475615"/>
                <wp:effectExtent l="0" t="0" r="635" b="635"/>
                <wp:wrapNone/>
                <wp:docPr id="22" name="文本框 22"/>
                <wp:cNvGraphicFramePr/>
                <a:graphic xmlns:a="http://schemas.openxmlformats.org/drawingml/2006/main">
                  <a:graphicData uri="http://schemas.microsoft.com/office/word/2010/wordprocessingShape">
                    <wps:wsp>
                      <wps:cNvSpPr txBox="1">
                        <a:spLocks noChangeArrowheads="1"/>
                      </wps:cNvSpPr>
                      <wps:spPr>
                        <a:xfrm>
                          <a:off x="0" y="0"/>
                          <a:ext cx="1466215" cy="47561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2"/>
                                <w:szCs w:val="22"/>
                              </w:rPr>
                            </w:pPr>
                            <w:r>
                              <w:rPr>
                                <w:rFonts w:hint="eastAsia"/>
                                <w:sz w:val="22"/>
                                <w:szCs w:val="22"/>
                              </w:rPr>
                              <w:t>寒溪寺水库工程环境监理部</w:t>
                            </w:r>
                          </w:p>
                        </w:txbxContent>
                      </wps:txbx>
                      <wps:bodyPr upright="1"/>
                    </wps:wsp>
                  </a:graphicData>
                </a:graphic>
              </wp:anchor>
            </w:drawing>
          </mc:Choice>
          <mc:Fallback>
            <w:pict>
              <v:shape id="_x0000_s1026" o:spid="_x0000_s1026" o:spt="202" type="#_x0000_t202" style="position:absolute;left:0pt;margin-left:36.35pt;margin-top:56.35pt;height:37.45pt;width:115.45pt;z-index:251662336;mso-width-relative:page;mso-height-relative:page;" fillcolor="#FFFFFF" filled="t" stroked="t" coordsize="21600,21600" o:gfxdata="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CJkvW&#10;AAAACgEAAA8AAAAAAAAAAQAgAAAAIgAAAGRycy9kb3ducmV2LnhtbFBLAQIUABQAAAAIAIdO4kCQ&#10;TDCgIgIAAGgEAAAOAAAAAAAAAAEAIAAAACUBAABkcnMvZTJvRG9jLnhtbFBLBQYAAAAABgAGAFkB&#10;AAC5BQAAAAA=&#10;">
                <v:fill on="t" focussize="0,0"/>
                <v:stroke weight="0.5pt" color="#000000" joinstyle="miter"/>
                <v:imagedata o:title=""/>
                <o:lock v:ext="edit" aspectratio="f"/>
                <v:textbox>
                  <w:txbxContent>
                    <w:p>
                      <w:pPr>
                        <w:spacing w:line="240" w:lineRule="auto"/>
                        <w:ind w:firstLine="0" w:firstLineChars="0"/>
                        <w:jc w:val="center"/>
                        <w:rPr>
                          <w:sz w:val="22"/>
                          <w:szCs w:val="22"/>
                        </w:rPr>
                      </w:pPr>
                      <w:r>
                        <w:rPr>
                          <w:rFonts w:hint="eastAsia"/>
                          <w:sz w:val="22"/>
                          <w:szCs w:val="22"/>
                        </w:rPr>
                        <w:t>寒溪寺水库工程环境监理部</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480060</wp:posOffset>
                </wp:positionH>
                <wp:positionV relativeFrom="paragraph">
                  <wp:posOffset>77470</wp:posOffset>
                </wp:positionV>
                <wp:extent cx="1485900" cy="47625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a:xfrm>
                          <a:off x="0" y="0"/>
                          <a:ext cx="1485900" cy="476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2"/>
                                <w:szCs w:val="22"/>
                              </w:rPr>
                            </w:pPr>
                            <w:r>
                              <w:rPr>
                                <w:rFonts w:hint="eastAsia"/>
                                <w:sz w:val="22"/>
                                <w:szCs w:val="22"/>
                              </w:rPr>
                              <w:t>寒溪寺水库工程环境管理办公室</w:t>
                            </w:r>
                          </w:p>
                        </w:txbxContent>
                      </wps:txbx>
                      <wps:bodyPr upright="1"/>
                    </wps:wsp>
                  </a:graphicData>
                </a:graphic>
              </wp:anchor>
            </w:drawing>
          </mc:Choice>
          <mc:Fallback>
            <w:pict>
              <v:shape id="_x0000_s1026" o:spid="_x0000_s1026" o:spt="202" type="#_x0000_t202" style="position:absolute;left:0pt;margin-left:37.8pt;margin-top:6.1pt;height:37.5pt;width:117pt;z-index:251661312;mso-width-relative:page;mso-height-relative:page;" fillcolor="#FFFFFF" filled="t" stroked="t" coordsize="21600,21600" o:gfxdata="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ipC&#10;kdUAAAAIAQAADwAAAAAAAAABACAAAAAiAAAAZHJzL2Rvd25yZXYueG1sUEsBAhQAFAAAAAgAh07i&#10;QN5B24QlAgAAaAQAAA4AAAAAAAAAAQAgAAAAJAEAAGRycy9lMm9Eb2MueG1sUEsFBgAAAAAGAAYA&#10;WQEAALsFAAAAAA==&#10;">
                <v:fill on="t" focussize="0,0"/>
                <v:stroke weight="0.5pt" color="#000000" joinstyle="miter"/>
                <v:imagedata o:title=""/>
                <o:lock v:ext="edit" aspectratio="f"/>
                <v:textbox>
                  <w:txbxContent>
                    <w:p>
                      <w:pPr>
                        <w:spacing w:line="240" w:lineRule="auto"/>
                        <w:ind w:firstLine="0" w:firstLineChars="0"/>
                        <w:jc w:val="center"/>
                        <w:rPr>
                          <w:sz w:val="22"/>
                          <w:szCs w:val="22"/>
                        </w:rPr>
                      </w:pPr>
                      <w:r>
                        <w:rPr>
                          <w:rFonts w:hint="eastAsia"/>
                          <w:sz w:val="22"/>
                          <w:szCs w:val="22"/>
                        </w:rPr>
                        <w:t>寒溪寺水库工程环境管理办公室</w:t>
                      </w:r>
                    </w:p>
                  </w:txbxContent>
                </v:textbox>
              </v:shape>
            </w:pict>
          </mc:Fallback>
        </mc:AlternateContent>
      </w:r>
      <w:r>
        <w:drawing>
          <wp:inline distT="0" distB="0" distL="0" distR="0">
            <wp:extent cx="4214495" cy="3689985"/>
            <wp:effectExtent l="0" t="0" r="0" b="0"/>
            <wp:docPr id="121" name="图片 61" descr="d3a2287d89eed9f0b4bfed66b386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1" descr="d3a2287d89eed9f0b4bfed66b38633c"/>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4214495" cy="3689985"/>
                    </a:xfrm>
                    <a:prstGeom prst="rect">
                      <a:avLst/>
                    </a:prstGeom>
                    <a:noFill/>
                    <a:ln>
                      <a:noFill/>
                    </a:ln>
                  </pic:spPr>
                </pic:pic>
              </a:graphicData>
            </a:graphic>
          </wp:inline>
        </w:drawing>
      </w:r>
    </w:p>
    <w:p>
      <w:pPr>
        <w:ind w:firstLine="422"/>
        <w:contextualSpacing/>
        <w:jc w:val="center"/>
        <w:rPr>
          <w:b/>
          <w:bCs/>
          <w:sz w:val="21"/>
          <w:szCs w:val="21"/>
        </w:rPr>
      </w:pPr>
      <w:r>
        <w:rPr>
          <w:b/>
          <w:bCs/>
          <w:sz w:val="21"/>
          <w:szCs w:val="21"/>
        </w:rPr>
        <w:t>图8.2.8  寒溪寺水库工程环境监理工作程序图</w:t>
      </w:r>
    </w:p>
    <w:p>
      <w:pPr>
        <w:ind w:firstLine="480"/>
        <w:contextualSpacing/>
      </w:pPr>
      <w:r>
        <w:t>（2）质量控制</w:t>
      </w:r>
    </w:p>
    <w:p>
      <w:pPr>
        <w:ind w:firstLine="480"/>
        <w:contextualSpacing/>
      </w:pPr>
      <w:r>
        <w:t>1）环境监理机构应建立和健全质量控制体系，并在监理工作过程中不断改进和完善。</w:t>
      </w:r>
    </w:p>
    <w:p>
      <w:pPr>
        <w:ind w:firstLine="480"/>
        <w:contextualSpacing/>
      </w:pPr>
      <w:r>
        <w:t>2）环境监理机构应监督承包商建立和健全环境保护质量保证体系，并监督其贯彻执行。</w:t>
      </w:r>
    </w:p>
    <w:p>
      <w:pPr>
        <w:ind w:firstLine="480"/>
        <w:contextualSpacing/>
      </w:pPr>
      <w:r>
        <w:t>3）环境监理机构应按照有关环境标准和合同要求，对环境保护措施的建设、运行效果以及施工环境进行监督和检查，按照事前审批、事中监督和事后检验等程序进行质量控制。</w:t>
      </w:r>
    </w:p>
    <w:p>
      <w:pPr>
        <w:ind w:firstLine="480"/>
        <w:contextualSpacing/>
      </w:pPr>
      <w:r>
        <w:t>4）根据检查结果，审查和评估工程施工环境保护措施的有效性，按规定程序督促施工单位改进，直至满足要求为止。</w:t>
      </w:r>
    </w:p>
    <w:p>
      <w:pPr>
        <w:ind w:firstLine="480"/>
        <w:contextualSpacing/>
      </w:pPr>
      <w:r>
        <w:t>5）根据评估结果和施工单位落实情况，确定工程对环境的实际影响，编制监理工作报告。</w:t>
      </w:r>
    </w:p>
    <w:p>
      <w:pPr>
        <w:pStyle w:val="5"/>
        <w:ind w:firstLine="0" w:firstLineChars="0"/>
        <w:contextualSpacing/>
        <w:rPr>
          <w:rFonts w:ascii="Times New Roman" w:hAnsi="Times New Roman"/>
        </w:rPr>
      </w:pPr>
      <w:bookmarkStart w:id="907" w:name="_Toc32710"/>
      <w:r>
        <w:rPr>
          <w:rFonts w:ascii="Times New Roman" w:hAnsi="Times New Roman"/>
        </w:rPr>
        <w:t>8.2.9环境监理工作方法与工作制度</w:t>
      </w:r>
      <w:bookmarkEnd w:id="907"/>
    </w:p>
    <w:p>
      <w:pPr>
        <w:ind w:firstLine="480"/>
        <w:contextualSpacing/>
      </w:pPr>
      <w:r>
        <w:t>（1）工作方法</w:t>
      </w:r>
    </w:p>
    <w:p>
      <w:pPr>
        <w:ind w:firstLine="480"/>
        <w:contextualSpacing/>
      </w:pPr>
      <w:r>
        <w:t>主要有：</w:t>
      </w:r>
      <w:r>
        <w:rPr>
          <w:rFonts w:hint="eastAsia" w:ascii="宋体" w:hAnsi="宋体" w:cs="宋体"/>
        </w:rPr>
        <w:t>①</w:t>
      </w:r>
      <w:r>
        <w:t>进行日常的监理巡视检查；</w:t>
      </w:r>
      <w:r>
        <w:rPr>
          <w:rFonts w:hint="eastAsia" w:ascii="宋体" w:hAnsi="宋体" w:cs="宋体"/>
        </w:rPr>
        <w:t>②</w:t>
      </w:r>
      <w:r>
        <w:t>出现异常现象时，由建设单位委托环境监测单位进行必要的监测；</w:t>
      </w:r>
      <w:r>
        <w:rPr>
          <w:rFonts w:hint="eastAsia" w:ascii="宋体" w:hAnsi="宋体" w:cs="宋体"/>
        </w:rPr>
        <w:t>③</w:t>
      </w:r>
      <w:r>
        <w:t>下发指令性文件，如整改通知等；</w:t>
      </w:r>
      <w:r>
        <w:rPr>
          <w:rFonts w:hint="eastAsia" w:ascii="宋体" w:hAnsi="宋体" w:cs="宋体"/>
        </w:rPr>
        <w:t>④</w:t>
      </w:r>
      <w:r>
        <w:t>组织召开环境例会；</w:t>
      </w:r>
      <w:r>
        <w:rPr>
          <w:rFonts w:hint="eastAsia" w:ascii="宋体" w:hAnsi="宋体" w:cs="宋体"/>
        </w:rPr>
        <w:t>⑤</w:t>
      </w:r>
      <w:r>
        <w:t>提交工程环境监理季报、环境监理年报及其他报告；</w:t>
      </w:r>
      <w:r>
        <w:rPr>
          <w:rFonts w:hint="eastAsia" w:ascii="宋体" w:hAnsi="宋体" w:cs="宋体"/>
        </w:rPr>
        <w:t>⑥</w:t>
      </w:r>
      <w:r>
        <w:t>审查承包商环境保护工作季报和考评承包商的环境保护工作等。</w:t>
      </w:r>
    </w:p>
    <w:p>
      <w:pPr>
        <w:ind w:firstLine="480"/>
        <w:contextualSpacing/>
      </w:pPr>
      <w:r>
        <w:t>（2）工作制度</w:t>
      </w:r>
    </w:p>
    <w:p>
      <w:pPr>
        <w:ind w:firstLine="480"/>
        <w:contextualSpacing/>
      </w:pPr>
      <w:r>
        <w:t>1）工作记录制度</w:t>
      </w:r>
    </w:p>
    <w:p>
      <w:pPr>
        <w:ind w:firstLine="480"/>
        <w:contextualSpacing/>
      </w:pPr>
      <w:r>
        <w:t>环境监理工程师每天根据工作情况做出工作记录（监理日志），重点描述现场环境保护工作的巡视检查情况，当时发生的主要环境问题，问题发生的责任单位，分析产生问题的主要原因，以及监理工程师对问题的处理意见。</w:t>
      </w:r>
    </w:p>
    <w:p>
      <w:pPr>
        <w:ind w:firstLine="480"/>
        <w:contextualSpacing/>
      </w:pPr>
      <w:r>
        <w:t>2）报告制度</w:t>
      </w:r>
    </w:p>
    <w:p>
      <w:pPr>
        <w:ind w:firstLine="480"/>
        <w:contextualSpacing/>
      </w:pPr>
      <w:r>
        <w:t>监理部每月向工程建设环保管理办公室提交一份环境监理月报，概述该月的环境监理工作情况，说明施工区的环境状况，指出主要的环境问题，提出处理意见，检查与监督处理结果。每半年提交阶段性评估报告，对半年的环境监理工作进行总结。</w:t>
      </w:r>
    </w:p>
    <w:p>
      <w:pPr>
        <w:ind w:firstLine="480"/>
        <w:contextualSpacing/>
      </w:pPr>
      <w:r>
        <w:t>3）函件来往制度</w:t>
      </w:r>
    </w:p>
    <w:p>
      <w:pPr>
        <w:ind w:firstLine="480"/>
        <w:contextualSpacing/>
      </w:pPr>
      <w:r>
        <w:t>环境监理工程师与承包商双方需要办理的事宜都是通过函件进行传递或确认的。监理工程师在现场检查过程中发现的环境问题，都是通过下发问题通知单的形式，通知承包商需要采取的纠正或处理措施。</w:t>
      </w:r>
    </w:p>
    <w:p>
      <w:pPr>
        <w:ind w:firstLine="480"/>
        <w:contextualSpacing/>
      </w:pPr>
      <w:r>
        <w:t>4）环境例会制度</w:t>
      </w:r>
    </w:p>
    <w:p>
      <w:pPr>
        <w:ind w:firstLine="480"/>
        <w:contextualSpacing/>
      </w:pPr>
      <w:r>
        <w:t>环境监理部定期会同工程建设环保管理办公室、设计单位、承包商环境保护管理办公室召开环境例会。通过环境例会，承包商对本标的环境保护工作进行回顾总结，监理工程师对该月各标的环境保护工作进行全面评议，肯定工作中的成绩，提出存在问题及整改要求。每次会议都需形成会议纪要。</w:t>
      </w:r>
    </w:p>
    <w:p>
      <w:pPr>
        <w:pStyle w:val="4"/>
        <w:ind w:firstLine="0" w:firstLineChars="0"/>
        <w:contextualSpacing/>
      </w:pPr>
      <w:bookmarkStart w:id="908" w:name="_Toc22802"/>
      <w:bookmarkStart w:id="909" w:name="_Toc130753466"/>
      <w:r>
        <w:t>8.3环境监测</w:t>
      </w:r>
      <w:bookmarkEnd w:id="908"/>
      <w:bookmarkEnd w:id="909"/>
    </w:p>
    <w:p>
      <w:pPr>
        <w:pStyle w:val="5"/>
        <w:ind w:firstLine="0" w:firstLineChars="0"/>
        <w:contextualSpacing/>
        <w:rPr>
          <w:rFonts w:ascii="Times New Roman" w:hAnsi="Times New Roman"/>
        </w:rPr>
      </w:pPr>
      <w:bookmarkStart w:id="910" w:name="_Toc32471"/>
      <w:r>
        <w:rPr>
          <w:rFonts w:ascii="Times New Roman" w:hAnsi="Times New Roman"/>
        </w:rPr>
        <w:t>8.3.1监测目的和任务</w:t>
      </w:r>
      <w:bookmarkEnd w:id="910"/>
    </w:p>
    <w:p>
      <w:pPr>
        <w:ind w:firstLine="480"/>
        <w:contextualSpacing/>
      </w:pPr>
      <w:r>
        <w:t>对施工区工程兴建过程中可能产生的环境问题进行定期监测，掌握工程影响范围内各环境因子的变化情况以及工程建设排放的污染物是否符合国家及地区所规定的排放标准，了解工程影响区生态变化情况，发现环境问题及时提出对策措施，并根据需要调整环保措施，为施工区的环境建设、监督管理及工程竣工验收提供依据。</w:t>
      </w:r>
    </w:p>
    <w:p>
      <w:pPr>
        <w:pStyle w:val="5"/>
        <w:ind w:firstLine="0" w:firstLineChars="0"/>
        <w:contextualSpacing/>
        <w:rPr>
          <w:rFonts w:ascii="Times New Roman" w:hAnsi="Times New Roman"/>
        </w:rPr>
      </w:pPr>
      <w:bookmarkStart w:id="911" w:name="_Toc22041"/>
      <w:r>
        <w:rPr>
          <w:rFonts w:ascii="Times New Roman" w:hAnsi="Times New Roman"/>
        </w:rPr>
        <w:t>8.3.2水环境监测计划</w:t>
      </w:r>
      <w:bookmarkEnd w:id="911"/>
    </w:p>
    <w:p>
      <w:pPr>
        <w:ind w:firstLine="0" w:firstLineChars="0"/>
        <w:contextualSpacing/>
        <w:rPr>
          <w:b/>
          <w:bCs/>
        </w:rPr>
      </w:pPr>
      <w:r>
        <w:rPr>
          <w:b/>
          <w:bCs/>
        </w:rPr>
        <w:t>8.3.2.1施工生活饮用水监测</w:t>
      </w:r>
    </w:p>
    <w:p>
      <w:pPr>
        <w:ind w:firstLine="480"/>
        <w:contextualSpacing/>
      </w:pPr>
      <w:r>
        <w:t>（1）监测点布设</w:t>
      </w:r>
    </w:p>
    <w:p>
      <w:pPr>
        <w:ind w:firstLine="480"/>
        <w:contextualSpacing/>
      </w:pPr>
      <w:r>
        <w:t>在满足《地表水和污水监测技术规范》（HJ/T91-2002）要求的基础上，选择施工生活区生活用水水源地水体设置监测点。</w:t>
      </w:r>
    </w:p>
    <w:p>
      <w:pPr>
        <w:ind w:firstLine="480"/>
        <w:contextualSpacing/>
      </w:pPr>
      <w:r>
        <w:t>（2）监测技术要求</w:t>
      </w:r>
    </w:p>
    <w:p>
      <w:pPr>
        <w:ind w:firstLine="480"/>
        <w:contextualSpacing/>
      </w:pPr>
      <w:r>
        <w:t>根据施工生活区生活用水水源地水体特性确定的监测项目、监测周期、监测时段及频率详见下表。</w:t>
      </w:r>
    </w:p>
    <w:p>
      <w:pPr>
        <w:ind w:firstLine="422"/>
        <w:contextualSpacing/>
        <w:jc w:val="center"/>
        <w:rPr>
          <w:b/>
          <w:bCs/>
          <w:sz w:val="21"/>
          <w:szCs w:val="21"/>
        </w:rPr>
      </w:pPr>
      <w:r>
        <w:rPr>
          <w:b/>
          <w:bCs/>
          <w:sz w:val="21"/>
          <w:szCs w:val="21"/>
        </w:rPr>
        <w:t>表8.3.2-1  施工生活饮用水水质监测技术要求一览表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80"/>
        <w:gridCol w:w="4230"/>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Align w:val="center"/>
          </w:tcPr>
          <w:p>
            <w:pPr>
              <w:spacing w:line="240" w:lineRule="auto"/>
              <w:ind w:firstLine="0" w:firstLineChars="0"/>
              <w:contextualSpacing/>
              <w:jc w:val="center"/>
              <w:rPr>
                <w:sz w:val="21"/>
              </w:rPr>
            </w:pPr>
            <w:r>
              <w:rPr>
                <w:sz w:val="21"/>
              </w:rPr>
              <w:t>对象</w:t>
            </w:r>
          </w:p>
        </w:tc>
        <w:tc>
          <w:tcPr>
            <w:tcW w:w="1380" w:type="dxa"/>
            <w:vAlign w:val="center"/>
          </w:tcPr>
          <w:p>
            <w:pPr>
              <w:spacing w:line="240" w:lineRule="auto"/>
              <w:ind w:firstLine="0" w:firstLineChars="0"/>
              <w:contextualSpacing/>
              <w:jc w:val="center"/>
              <w:rPr>
                <w:sz w:val="21"/>
              </w:rPr>
            </w:pPr>
            <w:r>
              <w:rPr>
                <w:sz w:val="21"/>
              </w:rPr>
              <w:t>监测点位</w:t>
            </w:r>
          </w:p>
        </w:tc>
        <w:tc>
          <w:tcPr>
            <w:tcW w:w="4230" w:type="dxa"/>
            <w:vAlign w:val="center"/>
          </w:tcPr>
          <w:p>
            <w:pPr>
              <w:spacing w:line="240" w:lineRule="auto"/>
              <w:ind w:firstLine="0" w:firstLineChars="0"/>
              <w:contextualSpacing/>
              <w:jc w:val="center"/>
              <w:rPr>
                <w:sz w:val="21"/>
              </w:rPr>
            </w:pPr>
            <w:r>
              <w:rPr>
                <w:sz w:val="21"/>
              </w:rPr>
              <w:t>监测参数</w:t>
            </w:r>
          </w:p>
        </w:tc>
        <w:tc>
          <w:tcPr>
            <w:tcW w:w="1777" w:type="dxa"/>
            <w:vAlign w:val="center"/>
          </w:tcPr>
          <w:p>
            <w:pPr>
              <w:spacing w:line="240" w:lineRule="auto"/>
              <w:ind w:firstLine="0" w:firstLineChars="0"/>
              <w:contextualSpacing/>
              <w:jc w:val="center"/>
              <w:rPr>
                <w:sz w:val="21"/>
              </w:rPr>
            </w:pPr>
            <w:r>
              <w:rPr>
                <w:sz w:val="21"/>
              </w:rPr>
              <w:t>监测频率及时间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Align w:val="center"/>
          </w:tcPr>
          <w:p>
            <w:pPr>
              <w:spacing w:line="240" w:lineRule="auto"/>
              <w:ind w:firstLine="0" w:firstLineChars="0"/>
              <w:contextualSpacing/>
              <w:jc w:val="center"/>
              <w:rPr>
                <w:sz w:val="21"/>
              </w:rPr>
            </w:pPr>
            <w:r>
              <w:rPr>
                <w:sz w:val="21"/>
              </w:rPr>
              <w:t>施工生活区生活用水水源地水体水质</w:t>
            </w:r>
          </w:p>
        </w:tc>
        <w:tc>
          <w:tcPr>
            <w:tcW w:w="1380" w:type="dxa"/>
            <w:vAlign w:val="center"/>
          </w:tcPr>
          <w:p>
            <w:pPr>
              <w:spacing w:line="240" w:lineRule="auto"/>
              <w:ind w:firstLine="0" w:firstLineChars="0"/>
              <w:contextualSpacing/>
              <w:jc w:val="center"/>
              <w:rPr>
                <w:sz w:val="21"/>
              </w:rPr>
            </w:pPr>
            <w:r>
              <w:rPr>
                <w:sz w:val="21"/>
              </w:rPr>
              <w:t>渠系、枢纽工区施工营地取水口</w:t>
            </w:r>
          </w:p>
        </w:tc>
        <w:tc>
          <w:tcPr>
            <w:tcW w:w="4230" w:type="dxa"/>
            <w:vAlign w:val="center"/>
          </w:tcPr>
          <w:p>
            <w:pPr>
              <w:spacing w:line="240" w:lineRule="auto"/>
              <w:ind w:firstLine="0" w:firstLineChars="0"/>
              <w:contextualSpacing/>
              <w:jc w:val="center"/>
              <w:rPr>
                <w:sz w:val="21"/>
              </w:rPr>
            </w:pPr>
            <w:r>
              <w:rPr>
                <w:sz w:val="21"/>
              </w:rPr>
              <w:t>按《生活饮用水卫生标准》（GB5749-2006） 规定的常规水质指标：pH、色度、浑浊度、嗅和味、肉眼可见物、总硬度（以碳酸钙计）、铁、锰、铜、锌、挥发酚（以苯酚计）、阴离子合成洗涤剂、硫酸盐、氯化物、溶解性总固体、氟化物、氰化物、砷、硒、镉、汞、铬（六价）、铝、铅、氨氮（以氮计）、硝酸盐、耗氧量（高锰酸钾法）、菌落总数、总大肠菌群、肠道致病菌、霍乱弧菌，共31项</w:t>
            </w:r>
          </w:p>
        </w:tc>
        <w:tc>
          <w:tcPr>
            <w:tcW w:w="1777" w:type="dxa"/>
            <w:vAlign w:val="center"/>
          </w:tcPr>
          <w:p>
            <w:pPr>
              <w:spacing w:line="240" w:lineRule="auto"/>
              <w:ind w:firstLine="0" w:firstLineChars="0"/>
              <w:contextualSpacing/>
              <w:jc w:val="center"/>
              <w:rPr>
                <w:sz w:val="21"/>
              </w:rPr>
            </w:pPr>
            <w:r>
              <w:rPr>
                <w:sz w:val="21"/>
              </w:rPr>
              <w:t>施工期每年丰、平、枯水期各监测1次</w:t>
            </w:r>
          </w:p>
        </w:tc>
      </w:tr>
    </w:tbl>
    <w:p>
      <w:pPr>
        <w:spacing w:line="160" w:lineRule="exact"/>
        <w:ind w:firstLine="480"/>
        <w:contextualSpacing/>
      </w:pPr>
    </w:p>
    <w:p>
      <w:pPr>
        <w:ind w:firstLine="480"/>
        <w:contextualSpacing/>
      </w:pPr>
      <w:r>
        <w:t>（3）监测方法</w:t>
      </w:r>
    </w:p>
    <w:p>
      <w:pPr>
        <w:ind w:firstLine="480"/>
        <w:contextualSpacing/>
      </w:pPr>
      <w:r>
        <w:t>水样采集及样品分析方法均按照《地表水和污水监测技术规范》（HJ/T91-2002）的有关规定执行。</w:t>
      </w:r>
    </w:p>
    <w:p>
      <w:pPr>
        <w:ind w:firstLine="480"/>
        <w:contextualSpacing/>
      </w:pPr>
      <w:r>
        <w:t>（4）结果处理</w:t>
      </w:r>
    </w:p>
    <w:p>
      <w:pPr>
        <w:ind w:firstLine="480"/>
        <w:contextualSpacing/>
      </w:pPr>
      <w:r>
        <w:t>每次监测任务完成后，监测承担单位均需编制监测报告，内容包括监测成果表（附监测方法）及水质状况的分析结果。监测报告由本工程环境管理机构统一管理。</w:t>
      </w:r>
    </w:p>
    <w:p>
      <w:pPr>
        <w:ind w:firstLine="0" w:firstLineChars="0"/>
        <w:contextualSpacing/>
        <w:rPr>
          <w:b/>
          <w:bCs/>
        </w:rPr>
      </w:pPr>
      <w:r>
        <w:rPr>
          <w:b/>
          <w:bCs/>
        </w:rPr>
        <w:t>8.3.2.2施工废（污）水监测</w:t>
      </w:r>
    </w:p>
    <w:p>
      <w:pPr>
        <w:ind w:firstLine="480"/>
        <w:contextualSpacing/>
      </w:pPr>
      <w:r>
        <w:t>（1）监测点布设</w:t>
      </w:r>
    </w:p>
    <w:p>
      <w:pPr>
        <w:ind w:firstLine="480"/>
        <w:contextualSpacing/>
      </w:pPr>
      <w:r>
        <w:t>在满足《地表水和污水监测技术规范》（HJ/T91-2002）要求的基础上，选择具有代表性的生产废水和生活污水的主要排放口设置监测点。</w:t>
      </w:r>
    </w:p>
    <w:p>
      <w:pPr>
        <w:ind w:firstLine="480"/>
        <w:contextualSpacing/>
      </w:pPr>
      <w:r>
        <w:t>根据施工期污染源分析结果，确定施工期废（污）水监测对象为混凝土拌和冲洗废水、</w:t>
      </w:r>
      <w:r>
        <w:rPr>
          <w:rFonts w:hint="eastAsia"/>
        </w:rPr>
        <w:t>含油</w:t>
      </w:r>
      <w:r>
        <w:t>废水和施工期生活污水。具体的监测点布设数量及位置详见下表。</w:t>
      </w:r>
    </w:p>
    <w:p>
      <w:pPr>
        <w:ind w:firstLine="422"/>
        <w:contextualSpacing/>
        <w:jc w:val="center"/>
        <w:rPr>
          <w:b/>
          <w:bCs/>
          <w:sz w:val="21"/>
          <w:szCs w:val="21"/>
        </w:rPr>
      </w:pPr>
      <w:r>
        <w:rPr>
          <w:b/>
          <w:bCs/>
          <w:sz w:val="21"/>
          <w:szCs w:val="21"/>
        </w:rPr>
        <w:t>表8.3.2-2  施工废（污）水监测技术要求一览表</w:t>
      </w:r>
    </w:p>
    <w:tbl>
      <w:tblPr>
        <w:tblStyle w:val="38"/>
        <w:tblW w:w="83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267"/>
        <w:gridCol w:w="1428"/>
        <w:gridCol w:w="3258"/>
        <w:gridCol w:w="661"/>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4" w:hRule="exact"/>
        </w:trPr>
        <w:tc>
          <w:tcPr>
            <w:tcW w:w="987" w:type="dxa"/>
            <w:vAlign w:val="center"/>
          </w:tcPr>
          <w:p>
            <w:pPr>
              <w:pStyle w:val="80"/>
              <w:spacing w:line="240" w:lineRule="auto"/>
              <w:ind w:right="1" w:firstLine="0" w:firstLineChars="0"/>
              <w:contextualSpacing/>
              <w:jc w:val="center"/>
              <w:rPr>
                <w:sz w:val="21"/>
                <w:szCs w:val="21"/>
              </w:rPr>
            </w:pPr>
            <w:r>
              <w:rPr>
                <w:sz w:val="21"/>
                <w:szCs w:val="21"/>
              </w:rPr>
              <w:t>内容监测对象</w:t>
            </w:r>
          </w:p>
        </w:tc>
        <w:tc>
          <w:tcPr>
            <w:tcW w:w="1267" w:type="dxa"/>
            <w:vAlign w:val="center"/>
          </w:tcPr>
          <w:p>
            <w:pPr>
              <w:pStyle w:val="80"/>
              <w:spacing w:line="240" w:lineRule="auto"/>
              <w:ind w:firstLine="0" w:firstLineChars="0"/>
              <w:contextualSpacing/>
              <w:jc w:val="center"/>
              <w:rPr>
                <w:sz w:val="21"/>
                <w:szCs w:val="21"/>
              </w:rPr>
            </w:pPr>
            <w:r>
              <w:rPr>
                <w:sz w:val="21"/>
                <w:szCs w:val="21"/>
              </w:rPr>
              <w:t>监测点</w:t>
            </w:r>
          </w:p>
        </w:tc>
        <w:tc>
          <w:tcPr>
            <w:tcW w:w="1428" w:type="dxa"/>
            <w:vAlign w:val="center"/>
          </w:tcPr>
          <w:p>
            <w:pPr>
              <w:pStyle w:val="80"/>
              <w:spacing w:line="240" w:lineRule="auto"/>
              <w:ind w:firstLine="0" w:firstLineChars="0"/>
              <w:contextualSpacing/>
              <w:jc w:val="center"/>
              <w:rPr>
                <w:sz w:val="21"/>
                <w:szCs w:val="21"/>
              </w:rPr>
            </w:pPr>
            <w:r>
              <w:rPr>
                <w:sz w:val="21"/>
                <w:szCs w:val="21"/>
              </w:rPr>
              <w:t>监测参数</w:t>
            </w:r>
          </w:p>
        </w:tc>
        <w:tc>
          <w:tcPr>
            <w:tcW w:w="3258" w:type="dxa"/>
            <w:vAlign w:val="center"/>
          </w:tcPr>
          <w:p>
            <w:pPr>
              <w:pStyle w:val="80"/>
              <w:spacing w:line="240" w:lineRule="auto"/>
              <w:ind w:firstLine="0" w:firstLineChars="0"/>
              <w:contextualSpacing/>
              <w:jc w:val="center"/>
              <w:rPr>
                <w:sz w:val="21"/>
                <w:szCs w:val="21"/>
              </w:rPr>
            </w:pPr>
            <w:r>
              <w:rPr>
                <w:sz w:val="21"/>
                <w:szCs w:val="21"/>
              </w:rPr>
              <w:t>监测时间及频次</w:t>
            </w:r>
          </w:p>
        </w:tc>
        <w:tc>
          <w:tcPr>
            <w:tcW w:w="661" w:type="dxa"/>
            <w:vAlign w:val="center"/>
          </w:tcPr>
          <w:p>
            <w:pPr>
              <w:pStyle w:val="80"/>
              <w:spacing w:line="240" w:lineRule="auto"/>
              <w:ind w:firstLine="0" w:firstLineChars="0"/>
              <w:contextualSpacing/>
              <w:jc w:val="center"/>
              <w:rPr>
                <w:sz w:val="21"/>
                <w:szCs w:val="21"/>
              </w:rPr>
            </w:pPr>
            <w:r>
              <w:rPr>
                <w:sz w:val="21"/>
                <w:szCs w:val="21"/>
              </w:rPr>
              <w:t>监测方法</w:t>
            </w:r>
          </w:p>
        </w:tc>
        <w:tc>
          <w:tcPr>
            <w:tcW w:w="708" w:type="dxa"/>
            <w:vAlign w:val="center"/>
          </w:tcPr>
          <w:p>
            <w:pPr>
              <w:pStyle w:val="80"/>
              <w:spacing w:line="240" w:lineRule="auto"/>
              <w:ind w:firstLine="0" w:firstLineChars="0"/>
              <w:contextualSpacing/>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exact"/>
        </w:trPr>
        <w:tc>
          <w:tcPr>
            <w:tcW w:w="987" w:type="dxa"/>
            <w:vAlign w:val="center"/>
          </w:tcPr>
          <w:p>
            <w:pPr>
              <w:pStyle w:val="80"/>
              <w:spacing w:line="240" w:lineRule="auto"/>
              <w:ind w:right="125" w:firstLine="0" w:firstLineChars="0"/>
              <w:contextualSpacing/>
              <w:jc w:val="center"/>
              <w:rPr>
                <w:sz w:val="21"/>
                <w:szCs w:val="21"/>
              </w:rPr>
            </w:pPr>
            <w:r>
              <w:rPr>
                <w:sz w:val="21"/>
                <w:szCs w:val="21"/>
              </w:rPr>
              <w:t>砼、沥青砼拌和系统冲洗废水</w:t>
            </w:r>
          </w:p>
        </w:tc>
        <w:tc>
          <w:tcPr>
            <w:tcW w:w="1267" w:type="dxa"/>
            <w:vAlign w:val="center"/>
          </w:tcPr>
          <w:p>
            <w:pPr>
              <w:pStyle w:val="80"/>
              <w:spacing w:line="240" w:lineRule="auto"/>
              <w:ind w:right="102" w:firstLine="0" w:firstLineChars="0"/>
              <w:contextualSpacing/>
              <w:jc w:val="center"/>
              <w:rPr>
                <w:sz w:val="21"/>
                <w:szCs w:val="21"/>
              </w:rPr>
            </w:pPr>
            <w:r>
              <w:rPr>
                <w:sz w:val="21"/>
                <w:szCs w:val="21"/>
              </w:rPr>
              <w:t>混凝土系统废水处理设</w:t>
            </w:r>
            <w:r>
              <w:rPr>
                <w:spacing w:val="-11"/>
                <w:sz w:val="21"/>
                <w:szCs w:val="21"/>
              </w:rPr>
              <w:t>施进口、回用</w:t>
            </w:r>
            <w:r>
              <w:rPr>
                <w:sz w:val="21"/>
                <w:szCs w:val="21"/>
              </w:rPr>
              <w:t>池出口处</w:t>
            </w:r>
          </w:p>
        </w:tc>
        <w:tc>
          <w:tcPr>
            <w:tcW w:w="1428" w:type="dxa"/>
            <w:vAlign w:val="center"/>
          </w:tcPr>
          <w:p>
            <w:pPr>
              <w:pStyle w:val="80"/>
              <w:spacing w:line="240" w:lineRule="auto"/>
              <w:ind w:firstLine="0" w:firstLineChars="0"/>
              <w:contextualSpacing/>
              <w:jc w:val="center"/>
              <w:rPr>
                <w:sz w:val="21"/>
                <w:szCs w:val="21"/>
              </w:rPr>
            </w:pPr>
            <w:r>
              <w:rPr>
                <w:sz w:val="21"/>
                <w:szCs w:val="21"/>
              </w:rPr>
              <w:t>废水量、SS、</w:t>
            </w:r>
          </w:p>
          <w:p>
            <w:pPr>
              <w:pStyle w:val="80"/>
              <w:spacing w:line="240" w:lineRule="auto"/>
              <w:ind w:right="1" w:firstLine="420"/>
              <w:contextualSpacing/>
              <w:rPr>
                <w:sz w:val="21"/>
                <w:szCs w:val="21"/>
              </w:rPr>
            </w:pPr>
            <w:r>
              <w:rPr>
                <w:sz w:val="21"/>
                <w:szCs w:val="21"/>
              </w:rPr>
              <w:t>pH</w:t>
            </w:r>
          </w:p>
        </w:tc>
        <w:tc>
          <w:tcPr>
            <w:tcW w:w="3258" w:type="dxa"/>
            <w:vAlign w:val="center"/>
          </w:tcPr>
          <w:p>
            <w:pPr>
              <w:pStyle w:val="80"/>
              <w:spacing w:line="240" w:lineRule="auto"/>
              <w:ind w:right="101" w:firstLine="0" w:firstLineChars="0"/>
              <w:contextualSpacing/>
              <w:jc w:val="center"/>
              <w:rPr>
                <w:sz w:val="21"/>
                <w:szCs w:val="21"/>
              </w:rPr>
            </w:pPr>
            <w:r>
              <w:rPr>
                <w:spacing w:val="3"/>
                <w:sz w:val="21"/>
                <w:szCs w:val="21"/>
              </w:rPr>
              <w:t>施工高峰年监测一年，每季度监测</w:t>
            </w:r>
            <w:r>
              <w:rPr>
                <w:sz w:val="21"/>
                <w:szCs w:val="21"/>
              </w:rPr>
              <w:t>3</w:t>
            </w:r>
            <w:r>
              <w:rPr>
                <w:spacing w:val="3"/>
                <w:sz w:val="21"/>
                <w:szCs w:val="21"/>
              </w:rPr>
              <w:t>天，混凝土拌和系统正常生产时间，</w:t>
            </w:r>
            <w:r>
              <w:rPr>
                <w:sz w:val="21"/>
                <w:szCs w:val="21"/>
              </w:rPr>
              <w:t>每天10:00、14:00、17:00时3个时段监测</w:t>
            </w:r>
          </w:p>
        </w:tc>
        <w:tc>
          <w:tcPr>
            <w:tcW w:w="661" w:type="dxa"/>
            <w:vMerge w:val="restart"/>
            <w:vAlign w:val="center"/>
          </w:tcPr>
          <w:p>
            <w:pPr>
              <w:pStyle w:val="80"/>
              <w:spacing w:line="240" w:lineRule="auto"/>
              <w:ind w:right="102" w:firstLine="0" w:firstLineChars="0"/>
              <w:contextualSpacing/>
              <w:jc w:val="center"/>
              <w:rPr>
                <w:sz w:val="21"/>
                <w:szCs w:val="21"/>
              </w:rPr>
            </w:pPr>
            <w:r>
              <w:rPr>
                <w:sz w:val="21"/>
                <w:szCs w:val="21"/>
              </w:rPr>
              <w:t>环境监测技术范》和</w:t>
            </w:r>
          </w:p>
          <w:p>
            <w:pPr>
              <w:pStyle w:val="80"/>
              <w:spacing w:line="240" w:lineRule="auto"/>
              <w:ind w:right="102" w:firstLine="0" w:firstLineChars="0"/>
              <w:contextualSpacing/>
              <w:jc w:val="center"/>
              <w:rPr>
                <w:sz w:val="21"/>
                <w:szCs w:val="21"/>
              </w:rPr>
            </w:pPr>
            <w:r>
              <w:rPr>
                <w:sz w:val="21"/>
                <w:szCs w:val="21"/>
              </w:rPr>
              <w:t>地表水和污水监测</w:t>
            </w:r>
            <w:r>
              <w:rPr>
                <w:spacing w:val="-5"/>
                <w:sz w:val="21"/>
                <w:szCs w:val="21"/>
              </w:rPr>
              <w:t>技</w:t>
            </w:r>
            <w:r>
              <w:rPr>
                <w:sz w:val="21"/>
                <w:szCs w:val="21"/>
              </w:rPr>
              <w:t>术规范》</w:t>
            </w:r>
          </w:p>
        </w:tc>
        <w:tc>
          <w:tcPr>
            <w:tcW w:w="708" w:type="dxa"/>
            <w:vMerge w:val="restart"/>
            <w:vAlign w:val="center"/>
          </w:tcPr>
          <w:p>
            <w:pPr>
              <w:pStyle w:val="80"/>
              <w:spacing w:line="240" w:lineRule="auto"/>
              <w:ind w:firstLine="420"/>
              <w:contextualSpacing/>
              <w:jc w:val="center"/>
              <w:rPr>
                <w:sz w:val="21"/>
                <w:szCs w:val="21"/>
              </w:rPr>
            </w:pPr>
          </w:p>
          <w:p>
            <w:pPr>
              <w:pStyle w:val="80"/>
              <w:spacing w:line="240" w:lineRule="auto"/>
              <w:ind w:firstLine="420"/>
              <w:contextualSpacing/>
              <w:jc w:val="center"/>
              <w:rPr>
                <w:sz w:val="21"/>
                <w:szCs w:val="21"/>
              </w:rPr>
            </w:pPr>
          </w:p>
          <w:p>
            <w:pPr>
              <w:pStyle w:val="80"/>
              <w:spacing w:line="240" w:lineRule="auto"/>
              <w:ind w:right="48" w:firstLine="0" w:firstLineChars="0"/>
              <w:contextualSpacing/>
              <w:jc w:val="center"/>
              <w:rPr>
                <w:sz w:val="21"/>
                <w:szCs w:val="21"/>
              </w:rPr>
            </w:pPr>
            <w:r>
              <w:rPr>
                <w:sz w:val="21"/>
                <w:szCs w:val="21"/>
              </w:rPr>
              <w:t>监测废污水处理后回用情况及废污水处理效果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exact"/>
        </w:trPr>
        <w:tc>
          <w:tcPr>
            <w:tcW w:w="987" w:type="dxa"/>
            <w:vAlign w:val="center"/>
          </w:tcPr>
          <w:p>
            <w:pPr>
              <w:pStyle w:val="80"/>
              <w:spacing w:line="240" w:lineRule="auto"/>
              <w:ind w:right="125" w:firstLine="0" w:firstLineChars="0"/>
              <w:contextualSpacing/>
              <w:jc w:val="center"/>
              <w:rPr>
                <w:sz w:val="21"/>
                <w:szCs w:val="21"/>
              </w:rPr>
            </w:pPr>
            <w:r>
              <w:rPr>
                <w:sz w:val="21"/>
                <w:szCs w:val="21"/>
              </w:rPr>
              <w:t>汽车保养系统含油废水</w:t>
            </w:r>
          </w:p>
        </w:tc>
        <w:tc>
          <w:tcPr>
            <w:tcW w:w="1267" w:type="dxa"/>
            <w:vAlign w:val="center"/>
          </w:tcPr>
          <w:p>
            <w:pPr>
              <w:pStyle w:val="80"/>
              <w:spacing w:line="240" w:lineRule="auto"/>
              <w:ind w:right="1" w:firstLine="0" w:firstLineChars="0"/>
              <w:contextualSpacing/>
              <w:jc w:val="center"/>
              <w:rPr>
                <w:sz w:val="21"/>
                <w:szCs w:val="21"/>
              </w:rPr>
            </w:pPr>
            <w:r>
              <w:rPr>
                <w:sz w:val="21"/>
                <w:szCs w:val="21"/>
              </w:rPr>
              <w:t>含油废水处理</w:t>
            </w:r>
            <w:r>
              <w:rPr>
                <w:spacing w:val="-10"/>
                <w:sz w:val="21"/>
                <w:szCs w:val="21"/>
              </w:rPr>
              <w:t>措施进口、回</w:t>
            </w:r>
            <w:r>
              <w:rPr>
                <w:sz w:val="21"/>
                <w:szCs w:val="21"/>
              </w:rPr>
              <w:t>用池出口处</w:t>
            </w:r>
          </w:p>
        </w:tc>
        <w:tc>
          <w:tcPr>
            <w:tcW w:w="1428" w:type="dxa"/>
            <w:vAlign w:val="center"/>
          </w:tcPr>
          <w:p>
            <w:pPr>
              <w:pStyle w:val="80"/>
              <w:spacing w:line="240" w:lineRule="auto"/>
              <w:ind w:firstLine="0" w:firstLineChars="0"/>
              <w:contextualSpacing/>
              <w:jc w:val="center"/>
              <w:rPr>
                <w:sz w:val="21"/>
                <w:szCs w:val="21"/>
              </w:rPr>
            </w:pPr>
            <w:r>
              <w:rPr>
                <w:sz w:val="21"/>
                <w:szCs w:val="21"/>
              </w:rPr>
              <w:t>废水量、石油类、SS</w:t>
            </w:r>
          </w:p>
        </w:tc>
        <w:tc>
          <w:tcPr>
            <w:tcW w:w="3258" w:type="dxa"/>
            <w:vAlign w:val="center"/>
          </w:tcPr>
          <w:p>
            <w:pPr>
              <w:pStyle w:val="80"/>
              <w:spacing w:line="240" w:lineRule="auto"/>
              <w:ind w:right="101" w:firstLine="0" w:firstLineChars="0"/>
              <w:contextualSpacing/>
              <w:jc w:val="center"/>
              <w:rPr>
                <w:sz w:val="21"/>
                <w:szCs w:val="21"/>
              </w:rPr>
            </w:pPr>
            <w:r>
              <w:rPr>
                <w:spacing w:val="3"/>
                <w:sz w:val="21"/>
                <w:szCs w:val="21"/>
              </w:rPr>
              <w:t>施工高峰年监测一年，每季度监测</w:t>
            </w:r>
            <w:r>
              <w:rPr>
                <w:sz w:val="21"/>
                <w:szCs w:val="21"/>
              </w:rPr>
              <w:t xml:space="preserve">3 </w:t>
            </w:r>
            <w:r>
              <w:rPr>
                <w:spacing w:val="9"/>
                <w:sz w:val="21"/>
                <w:szCs w:val="21"/>
              </w:rPr>
              <w:t>天，</w:t>
            </w:r>
            <w:r>
              <w:rPr>
                <w:rFonts w:hint="eastAsia"/>
                <w:spacing w:val="17"/>
                <w:sz w:val="21"/>
                <w:szCs w:val="21"/>
              </w:rPr>
              <w:t>汽车保养</w:t>
            </w:r>
            <w:r>
              <w:rPr>
                <w:spacing w:val="17"/>
                <w:sz w:val="21"/>
                <w:szCs w:val="21"/>
              </w:rPr>
              <w:t>系统正常生产时间，</w:t>
            </w:r>
            <w:r>
              <w:rPr>
                <w:spacing w:val="9"/>
                <w:sz w:val="21"/>
                <w:szCs w:val="21"/>
              </w:rPr>
              <w:t>每天</w:t>
            </w:r>
            <w:r>
              <w:rPr>
                <w:sz w:val="21"/>
                <w:szCs w:val="21"/>
              </w:rPr>
              <w:t>10:00、14:00、17:00时</w:t>
            </w:r>
            <w:r>
              <w:rPr>
                <w:spacing w:val="-55"/>
                <w:sz w:val="21"/>
                <w:szCs w:val="21"/>
              </w:rPr>
              <w:t>3</w:t>
            </w:r>
            <w:r>
              <w:rPr>
                <w:sz w:val="21"/>
                <w:szCs w:val="21"/>
              </w:rPr>
              <w:t>个时段监测</w:t>
            </w:r>
          </w:p>
        </w:tc>
        <w:tc>
          <w:tcPr>
            <w:tcW w:w="661" w:type="dxa"/>
            <w:vMerge w:val="continue"/>
            <w:vAlign w:val="center"/>
          </w:tcPr>
          <w:p>
            <w:pPr>
              <w:spacing w:line="240" w:lineRule="auto"/>
              <w:ind w:firstLine="420"/>
              <w:contextualSpacing/>
              <w:jc w:val="center"/>
              <w:rPr>
                <w:sz w:val="21"/>
                <w:szCs w:val="21"/>
              </w:rPr>
            </w:pPr>
          </w:p>
        </w:tc>
        <w:tc>
          <w:tcPr>
            <w:tcW w:w="708" w:type="dxa"/>
            <w:vMerge w:val="continue"/>
            <w:vAlign w:val="center"/>
          </w:tcPr>
          <w:p>
            <w:pPr>
              <w:spacing w:line="240" w:lineRule="auto"/>
              <w:ind w:firstLine="420"/>
              <w:contextualSpacing/>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exact"/>
        </w:trPr>
        <w:tc>
          <w:tcPr>
            <w:tcW w:w="987" w:type="dxa"/>
            <w:vAlign w:val="center"/>
          </w:tcPr>
          <w:p>
            <w:pPr>
              <w:pStyle w:val="80"/>
              <w:spacing w:line="240" w:lineRule="auto"/>
              <w:ind w:firstLine="0" w:firstLineChars="0"/>
              <w:contextualSpacing/>
              <w:jc w:val="center"/>
              <w:rPr>
                <w:sz w:val="21"/>
                <w:szCs w:val="21"/>
              </w:rPr>
            </w:pPr>
            <w:r>
              <w:rPr>
                <w:sz w:val="21"/>
                <w:szCs w:val="21"/>
              </w:rPr>
              <w:t>生活污水</w:t>
            </w:r>
          </w:p>
        </w:tc>
        <w:tc>
          <w:tcPr>
            <w:tcW w:w="1267" w:type="dxa"/>
            <w:vAlign w:val="center"/>
          </w:tcPr>
          <w:p>
            <w:pPr>
              <w:pStyle w:val="80"/>
              <w:spacing w:line="240" w:lineRule="auto"/>
              <w:ind w:firstLine="0" w:firstLineChars="0"/>
              <w:contextualSpacing/>
              <w:jc w:val="center"/>
              <w:rPr>
                <w:sz w:val="21"/>
                <w:szCs w:val="21"/>
              </w:rPr>
            </w:pPr>
            <w:r>
              <w:rPr>
                <w:sz w:val="21"/>
                <w:szCs w:val="21"/>
              </w:rPr>
              <w:t>生活污水处理设施进口、回用池出口处</w:t>
            </w:r>
          </w:p>
        </w:tc>
        <w:tc>
          <w:tcPr>
            <w:tcW w:w="1428" w:type="dxa"/>
            <w:vAlign w:val="center"/>
          </w:tcPr>
          <w:p>
            <w:pPr>
              <w:pStyle w:val="80"/>
              <w:spacing w:line="240" w:lineRule="auto"/>
              <w:ind w:firstLine="0" w:firstLineChars="0"/>
              <w:contextualSpacing/>
              <w:jc w:val="center"/>
              <w:rPr>
                <w:sz w:val="21"/>
                <w:szCs w:val="21"/>
              </w:rPr>
            </w:pPr>
            <w:r>
              <w:rPr>
                <w:sz w:val="21"/>
                <w:szCs w:val="21"/>
              </w:rPr>
              <w:t>BOD</w:t>
            </w:r>
            <w:r>
              <w:rPr>
                <w:position w:val="-1"/>
                <w:sz w:val="21"/>
                <w:szCs w:val="21"/>
                <w:vertAlign w:val="subscript"/>
              </w:rPr>
              <w:t>5</w:t>
            </w:r>
            <w:r>
              <w:rPr>
                <w:sz w:val="21"/>
                <w:szCs w:val="21"/>
              </w:rPr>
              <w:t>、COD、</w:t>
            </w:r>
          </w:p>
          <w:p>
            <w:pPr>
              <w:pStyle w:val="80"/>
              <w:spacing w:line="240" w:lineRule="auto"/>
              <w:ind w:right="150" w:firstLine="0" w:firstLineChars="0"/>
              <w:contextualSpacing/>
              <w:jc w:val="center"/>
              <w:rPr>
                <w:sz w:val="21"/>
                <w:szCs w:val="21"/>
              </w:rPr>
            </w:pPr>
            <w:r>
              <w:rPr>
                <w:sz w:val="21"/>
                <w:szCs w:val="21"/>
              </w:rPr>
              <w:t>SS、氨氮、总磷、粪大肠菌群、废水量</w:t>
            </w:r>
          </w:p>
        </w:tc>
        <w:tc>
          <w:tcPr>
            <w:tcW w:w="3258" w:type="dxa"/>
            <w:vAlign w:val="center"/>
          </w:tcPr>
          <w:p>
            <w:pPr>
              <w:pStyle w:val="80"/>
              <w:spacing w:line="240" w:lineRule="auto"/>
              <w:ind w:firstLine="0" w:firstLineChars="0"/>
              <w:contextualSpacing/>
              <w:jc w:val="center"/>
              <w:rPr>
                <w:sz w:val="21"/>
                <w:szCs w:val="21"/>
              </w:rPr>
            </w:pPr>
            <w:r>
              <w:rPr>
                <w:spacing w:val="8"/>
                <w:sz w:val="21"/>
                <w:szCs w:val="21"/>
              </w:rPr>
              <w:t>施工高峰年监测一年，2、4、8、11</w:t>
            </w:r>
            <w:r>
              <w:rPr>
                <w:sz w:val="21"/>
                <w:szCs w:val="21"/>
              </w:rPr>
              <w:t>月各择3</w:t>
            </w:r>
            <w:r>
              <w:rPr>
                <w:spacing w:val="-6"/>
                <w:sz w:val="21"/>
                <w:szCs w:val="21"/>
              </w:rPr>
              <w:t>天，每天</w:t>
            </w:r>
            <w:r>
              <w:rPr>
                <w:spacing w:val="-3"/>
                <w:sz w:val="21"/>
                <w:szCs w:val="21"/>
              </w:rPr>
              <w:t>8:00、12:00、18:00</w:t>
            </w:r>
            <w:r>
              <w:rPr>
                <w:sz w:val="21"/>
                <w:szCs w:val="21"/>
              </w:rPr>
              <w:t>时3个时段监测</w:t>
            </w:r>
          </w:p>
        </w:tc>
        <w:tc>
          <w:tcPr>
            <w:tcW w:w="661" w:type="dxa"/>
            <w:vMerge w:val="continue"/>
            <w:vAlign w:val="center"/>
          </w:tcPr>
          <w:p>
            <w:pPr>
              <w:spacing w:line="240" w:lineRule="auto"/>
              <w:ind w:firstLine="420"/>
              <w:contextualSpacing/>
              <w:jc w:val="center"/>
              <w:rPr>
                <w:sz w:val="21"/>
                <w:szCs w:val="21"/>
              </w:rPr>
            </w:pPr>
          </w:p>
        </w:tc>
        <w:tc>
          <w:tcPr>
            <w:tcW w:w="708" w:type="dxa"/>
            <w:vMerge w:val="continue"/>
            <w:vAlign w:val="center"/>
          </w:tcPr>
          <w:p>
            <w:pPr>
              <w:spacing w:line="240" w:lineRule="auto"/>
              <w:ind w:firstLine="420"/>
              <w:contextualSpacing/>
              <w:jc w:val="center"/>
              <w:rPr>
                <w:sz w:val="21"/>
                <w:szCs w:val="21"/>
              </w:rPr>
            </w:pPr>
          </w:p>
        </w:tc>
      </w:tr>
    </w:tbl>
    <w:p>
      <w:pPr>
        <w:spacing w:line="160" w:lineRule="exact"/>
        <w:ind w:firstLine="480"/>
        <w:contextualSpacing/>
      </w:pPr>
    </w:p>
    <w:p>
      <w:pPr>
        <w:ind w:firstLine="480"/>
        <w:contextualSpacing/>
      </w:pPr>
      <w:r>
        <w:t>（3）监测方法</w:t>
      </w:r>
    </w:p>
    <w:p>
      <w:pPr>
        <w:ind w:firstLine="480"/>
        <w:contextualSpacing/>
      </w:pPr>
      <w:r>
        <w:t>水样采集及样品分析方法均按照《地表水和污水监测技术规范》（HJ/T91-2002）的有关规定执行。</w:t>
      </w:r>
    </w:p>
    <w:p>
      <w:pPr>
        <w:ind w:firstLine="480"/>
        <w:contextualSpacing/>
      </w:pPr>
      <w:r>
        <w:t>（4）结果处理</w:t>
      </w:r>
    </w:p>
    <w:p>
      <w:pPr>
        <w:ind w:firstLine="480"/>
        <w:contextualSpacing/>
      </w:pPr>
      <w:r>
        <w:t>每次监测任务完成后，监测承担单位均需编制监测报告，内容包括监测成果表（附监测方法）及水质状况的分析结果。监测报告由本工程环境管理机构统一管理。</w:t>
      </w:r>
    </w:p>
    <w:p>
      <w:pPr>
        <w:ind w:firstLine="0" w:firstLineChars="0"/>
        <w:contextualSpacing/>
        <w:rPr>
          <w:b/>
          <w:bCs/>
        </w:rPr>
      </w:pPr>
      <w:r>
        <w:rPr>
          <w:b/>
          <w:bCs/>
        </w:rPr>
        <w:t>8.3.2.3施工期地下水监测</w:t>
      </w:r>
    </w:p>
    <w:p>
      <w:pPr>
        <w:ind w:firstLine="480"/>
        <w:contextualSpacing/>
      </w:pPr>
      <w:r>
        <w:t>（1）监测布点</w:t>
      </w:r>
    </w:p>
    <w:p>
      <w:pPr>
        <w:ind w:firstLine="480"/>
        <w:contextualSpacing/>
      </w:pPr>
      <w:r>
        <w:t>在满足《地下水监测规范》（SL183-2005）以及《地下水质量标准》（GB/T14848-2017）要求的基础上，选择能够反映寒溪寺水库工程建设期间区域地下水水位、水质等综合变化情况的具有代表性的点位进行监测。布设1个监测点位，详见下表。</w:t>
      </w:r>
    </w:p>
    <w:p>
      <w:pPr>
        <w:ind w:firstLine="422"/>
        <w:contextualSpacing/>
        <w:jc w:val="center"/>
        <w:rPr>
          <w:b/>
          <w:bCs/>
          <w:sz w:val="21"/>
          <w:szCs w:val="21"/>
        </w:rPr>
      </w:pPr>
      <w:r>
        <w:rPr>
          <w:b/>
          <w:bCs/>
          <w:sz w:val="21"/>
          <w:szCs w:val="21"/>
        </w:rPr>
        <w:t>表8.3.2-3  施工期地下水检测技术要求一览表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4740"/>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3" w:type="dxa"/>
            <w:vAlign w:val="center"/>
          </w:tcPr>
          <w:p>
            <w:pPr>
              <w:spacing w:line="240" w:lineRule="auto"/>
              <w:ind w:firstLine="0" w:firstLineChars="0"/>
              <w:contextualSpacing/>
              <w:jc w:val="center"/>
              <w:rPr>
                <w:sz w:val="21"/>
                <w:szCs w:val="21"/>
              </w:rPr>
            </w:pPr>
            <w:r>
              <w:rPr>
                <w:sz w:val="21"/>
                <w:szCs w:val="21"/>
              </w:rPr>
              <w:t>监测点位</w:t>
            </w:r>
          </w:p>
        </w:tc>
        <w:tc>
          <w:tcPr>
            <w:tcW w:w="4740" w:type="dxa"/>
            <w:vAlign w:val="center"/>
          </w:tcPr>
          <w:p>
            <w:pPr>
              <w:spacing w:line="240" w:lineRule="auto"/>
              <w:ind w:firstLine="0" w:firstLineChars="0"/>
              <w:contextualSpacing/>
              <w:jc w:val="center"/>
              <w:rPr>
                <w:sz w:val="21"/>
                <w:szCs w:val="21"/>
              </w:rPr>
            </w:pPr>
            <w:r>
              <w:rPr>
                <w:sz w:val="21"/>
                <w:szCs w:val="21"/>
              </w:rPr>
              <w:t>监测项目</w:t>
            </w:r>
          </w:p>
        </w:tc>
        <w:tc>
          <w:tcPr>
            <w:tcW w:w="2332" w:type="dxa"/>
            <w:vAlign w:val="center"/>
          </w:tcPr>
          <w:p>
            <w:pPr>
              <w:spacing w:line="240" w:lineRule="auto"/>
              <w:ind w:firstLine="0" w:firstLineChars="0"/>
              <w:contextualSpacing/>
              <w:jc w:val="center"/>
              <w:rPr>
                <w:sz w:val="21"/>
                <w:szCs w:val="21"/>
              </w:rPr>
            </w:pPr>
            <w:r>
              <w:rPr>
                <w:sz w:val="21"/>
                <w:szCs w:val="21"/>
              </w:rPr>
              <w:t>监测时段及频率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3" w:type="dxa"/>
            <w:vAlign w:val="center"/>
          </w:tcPr>
          <w:p>
            <w:pPr>
              <w:spacing w:line="240" w:lineRule="auto"/>
              <w:ind w:firstLine="0" w:firstLineChars="0"/>
              <w:contextualSpacing/>
              <w:jc w:val="center"/>
              <w:rPr>
                <w:sz w:val="21"/>
                <w:szCs w:val="21"/>
              </w:rPr>
            </w:pPr>
            <w:r>
              <w:rPr>
                <w:sz w:val="21"/>
                <w:szCs w:val="21"/>
              </w:rPr>
              <w:t>寒溪寺出水口</w:t>
            </w:r>
          </w:p>
        </w:tc>
        <w:tc>
          <w:tcPr>
            <w:tcW w:w="4740" w:type="dxa"/>
            <w:vAlign w:val="center"/>
          </w:tcPr>
          <w:p>
            <w:pPr>
              <w:spacing w:line="240" w:lineRule="auto"/>
              <w:ind w:firstLine="0" w:firstLineChars="0"/>
              <w:contextualSpacing/>
              <w:jc w:val="center"/>
              <w:rPr>
                <w:sz w:val="21"/>
                <w:szCs w:val="21"/>
              </w:rPr>
            </w:pPr>
            <w:r>
              <w:rPr>
                <w:sz w:val="21"/>
                <w:szCs w:val="21"/>
              </w:rPr>
              <w:t>pH、氨氮、硝酸盐、挥发性酚类、铬（六价）、高锰酸盐指数、氯化物、粪大肠菌群等参数，并同步观测地下水位</w:t>
            </w:r>
          </w:p>
        </w:tc>
        <w:tc>
          <w:tcPr>
            <w:tcW w:w="2332" w:type="dxa"/>
            <w:vAlign w:val="center"/>
          </w:tcPr>
          <w:p>
            <w:pPr>
              <w:spacing w:line="240" w:lineRule="auto"/>
              <w:ind w:firstLine="0" w:firstLineChars="0"/>
              <w:contextualSpacing/>
              <w:jc w:val="center"/>
              <w:rPr>
                <w:sz w:val="21"/>
                <w:szCs w:val="21"/>
              </w:rPr>
            </w:pPr>
            <w:r>
              <w:rPr>
                <w:sz w:val="21"/>
                <w:szCs w:val="21"/>
              </w:rPr>
              <w:t>施工期每季监测1次，</w:t>
            </w:r>
          </w:p>
          <w:p>
            <w:pPr>
              <w:spacing w:line="240" w:lineRule="auto"/>
              <w:ind w:firstLine="0" w:firstLineChars="0"/>
              <w:contextualSpacing/>
              <w:jc w:val="center"/>
              <w:rPr>
                <w:sz w:val="21"/>
                <w:szCs w:val="21"/>
              </w:rPr>
            </w:pPr>
            <w:r>
              <w:rPr>
                <w:sz w:val="21"/>
                <w:szCs w:val="21"/>
              </w:rPr>
              <w:t>每次监测3d</w:t>
            </w:r>
          </w:p>
        </w:tc>
      </w:tr>
    </w:tbl>
    <w:p>
      <w:pPr>
        <w:spacing w:line="160" w:lineRule="exact"/>
        <w:ind w:firstLine="480"/>
        <w:contextualSpacing/>
      </w:pPr>
    </w:p>
    <w:p>
      <w:pPr>
        <w:ind w:firstLine="480"/>
        <w:contextualSpacing/>
      </w:pPr>
      <w:r>
        <w:t>（2）监测方法</w:t>
      </w:r>
    </w:p>
    <w:p>
      <w:pPr>
        <w:ind w:firstLine="480"/>
        <w:contextualSpacing/>
      </w:pPr>
      <w:r>
        <w:t>采样及分析方法，均按照《地下水监测规范》（SL183-2005）以及《地下水质量标准》（GB/T14848-2017）的有关规定执行。</w:t>
      </w:r>
    </w:p>
    <w:p>
      <w:pPr>
        <w:ind w:firstLine="0" w:firstLineChars="0"/>
        <w:contextualSpacing/>
        <w:rPr>
          <w:b/>
          <w:bCs/>
        </w:rPr>
      </w:pPr>
      <w:r>
        <w:rPr>
          <w:b/>
          <w:bCs/>
        </w:rPr>
        <w:t>8.3.2.4</w:t>
      </w:r>
      <w:r>
        <w:rPr>
          <w:rFonts w:hint="eastAsia"/>
          <w:b/>
          <w:bCs/>
        </w:rPr>
        <w:t>蓄水</w:t>
      </w:r>
      <w:r>
        <w:rPr>
          <w:b/>
          <w:bCs/>
        </w:rPr>
        <w:t>期水质监测</w:t>
      </w:r>
    </w:p>
    <w:p>
      <w:pPr>
        <w:ind w:firstLine="480"/>
        <w:contextualSpacing/>
      </w:pPr>
      <w:r>
        <w:rPr>
          <w:rFonts w:hint="eastAsia"/>
          <w:bCs/>
        </w:rPr>
        <w:t>蓄水期</w:t>
      </w:r>
      <w:r>
        <w:t>水环境监测点位包括寒溪寺水库库尾、坝址处、双河口汇合处及业主营地生活污水处理末端，具体监测项目、监测周期等见表8.3.</w:t>
      </w:r>
      <w:r>
        <w:rPr>
          <w:rFonts w:hint="eastAsia"/>
        </w:rPr>
        <w:t>2</w:t>
      </w:r>
      <w:r>
        <w:t>-</w:t>
      </w:r>
      <w:r>
        <w:rPr>
          <w:rFonts w:hint="eastAsia"/>
        </w:rPr>
        <w:t>4</w:t>
      </w:r>
      <w:r>
        <w:t>所示。</w:t>
      </w:r>
    </w:p>
    <w:p>
      <w:pPr>
        <w:ind w:firstLine="422"/>
        <w:contextualSpacing/>
        <w:jc w:val="center"/>
        <w:rPr>
          <w:b/>
          <w:bCs/>
          <w:sz w:val="21"/>
          <w:szCs w:val="21"/>
        </w:rPr>
      </w:pPr>
      <w:r>
        <w:rPr>
          <w:b/>
          <w:bCs/>
          <w:sz w:val="21"/>
          <w:szCs w:val="21"/>
        </w:rPr>
        <w:t xml:space="preserve">表8.3.2-4  </w:t>
      </w:r>
      <w:r>
        <w:rPr>
          <w:rFonts w:hint="eastAsia"/>
          <w:b/>
          <w:bCs/>
          <w:sz w:val="21"/>
          <w:szCs w:val="21"/>
        </w:rPr>
        <w:t>蓄水</w:t>
      </w:r>
      <w:r>
        <w:rPr>
          <w:b/>
          <w:bCs/>
          <w:sz w:val="21"/>
          <w:szCs w:val="21"/>
        </w:rPr>
        <w:t>期水环境监测位置、项目及时间一览表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815"/>
        <w:gridCol w:w="3720"/>
        <w:gridCol w:w="1230"/>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spacing w:line="240" w:lineRule="auto"/>
              <w:ind w:firstLine="0" w:firstLineChars="0"/>
              <w:contextualSpacing/>
              <w:jc w:val="center"/>
              <w:rPr>
                <w:sz w:val="21"/>
                <w:szCs w:val="21"/>
              </w:rPr>
            </w:pPr>
            <w:r>
              <w:rPr>
                <w:sz w:val="21"/>
                <w:szCs w:val="21"/>
              </w:rPr>
              <w:t>序号</w:t>
            </w:r>
          </w:p>
        </w:tc>
        <w:tc>
          <w:tcPr>
            <w:tcW w:w="1815" w:type="dxa"/>
            <w:vAlign w:val="center"/>
          </w:tcPr>
          <w:p>
            <w:pPr>
              <w:spacing w:line="240" w:lineRule="auto"/>
              <w:ind w:firstLine="0" w:firstLineChars="0"/>
              <w:contextualSpacing/>
              <w:jc w:val="center"/>
              <w:rPr>
                <w:sz w:val="21"/>
                <w:szCs w:val="21"/>
              </w:rPr>
            </w:pPr>
            <w:r>
              <w:rPr>
                <w:sz w:val="21"/>
                <w:szCs w:val="21"/>
              </w:rPr>
              <w:t>监测点位</w:t>
            </w:r>
          </w:p>
        </w:tc>
        <w:tc>
          <w:tcPr>
            <w:tcW w:w="3720" w:type="dxa"/>
            <w:vAlign w:val="center"/>
          </w:tcPr>
          <w:p>
            <w:pPr>
              <w:spacing w:line="240" w:lineRule="auto"/>
              <w:ind w:firstLine="0" w:firstLineChars="0"/>
              <w:contextualSpacing/>
              <w:jc w:val="center"/>
              <w:rPr>
                <w:sz w:val="21"/>
                <w:szCs w:val="21"/>
              </w:rPr>
            </w:pPr>
            <w:r>
              <w:rPr>
                <w:sz w:val="21"/>
                <w:szCs w:val="21"/>
              </w:rPr>
              <w:t>监测项目</w:t>
            </w:r>
          </w:p>
        </w:tc>
        <w:tc>
          <w:tcPr>
            <w:tcW w:w="1230" w:type="dxa"/>
            <w:vAlign w:val="center"/>
          </w:tcPr>
          <w:p>
            <w:pPr>
              <w:spacing w:line="240" w:lineRule="auto"/>
              <w:ind w:firstLine="0" w:firstLineChars="0"/>
              <w:contextualSpacing/>
              <w:jc w:val="center"/>
              <w:rPr>
                <w:sz w:val="21"/>
                <w:szCs w:val="21"/>
              </w:rPr>
            </w:pPr>
            <w:r>
              <w:rPr>
                <w:sz w:val="21"/>
                <w:szCs w:val="21"/>
              </w:rPr>
              <w:t>监测周期</w:t>
            </w:r>
          </w:p>
        </w:tc>
        <w:tc>
          <w:tcPr>
            <w:tcW w:w="1103" w:type="dxa"/>
            <w:vAlign w:val="center"/>
          </w:tcPr>
          <w:p>
            <w:pPr>
              <w:spacing w:line="240" w:lineRule="auto"/>
              <w:ind w:firstLine="0" w:firstLineChars="0"/>
              <w:contextualSpacing/>
              <w:jc w:val="center"/>
              <w:rPr>
                <w:sz w:val="21"/>
                <w:szCs w:val="21"/>
              </w:rPr>
            </w:pPr>
            <w:r>
              <w:rPr>
                <w:sz w:val="21"/>
                <w:szCs w:val="21"/>
              </w:rPr>
              <w:t>监测时段及频率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spacing w:line="240" w:lineRule="auto"/>
              <w:ind w:firstLine="0" w:firstLineChars="0"/>
              <w:contextualSpacing/>
              <w:jc w:val="center"/>
              <w:rPr>
                <w:sz w:val="21"/>
                <w:szCs w:val="21"/>
              </w:rPr>
            </w:pPr>
            <w:r>
              <w:rPr>
                <w:sz w:val="21"/>
                <w:szCs w:val="21"/>
              </w:rPr>
              <w:t>1</w:t>
            </w:r>
          </w:p>
        </w:tc>
        <w:tc>
          <w:tcPr>
            <w:tcW w:w="1815" w:type="dxa"/>
            <w:vAlign w:val="center"/>
          </w:tcPr>
          <w:p>
            <w:pPr>
              <w:spacing w:line="240" w:lineRule="auto"/>
              <w:ind w:firstLine="0" w:firstLineChars="0"/>
              <w:contextualSpacing/>
              <w:jc w:val="center"/>
              <w:rPr>
                <w:sz w:val="21"/>
                <w:szCs w:val="21"/>
              </w:rPr>
            </w:pPr>
            <w:r>
              <w:rPr>
                <w:sz w:val="21"/>
                <w:szCs w:val="21"/>
              </w:rPr>
              <w:t>水库库尾</w:t>
            </w:r>
          </w:p>
        </w:tc>
        <w:tc>
          <w:tcPr>
            <w:tcW w:w="3720" w:type="dxa"/>
            <w:vMerge w:val="restart"/>
            <w:vAlign w:val="center"/>
          </w:tcPr>
          <w:p>
            <w:pPr>
              <w:spacing w:line="240" w:lineRule="auto"/>
              <w:ind w:firstLine="0" w:firstLineChars="0"/>
              <w:contextualSpacing/>
              <w:jc w:val="center"/>
              <w:rPr>
                <w:sz w:val="21"/>
                <w:szCs w:val="21"/>
              </w:rPr>
            </w:pPr>
            <w:r>
              <w:rPr>
                <w:sz w:val="21"/>
                <w:szCs w:val="21"/>
              </w:rPr>
              <w:t>水温、pH、溶解氧、高锰酸盐指数、化学需氧量、五日生化需氧量、氨氮、总磷、总氮、氟化物、镉、六价铬、氰化物、挥发酚、石油类、阴离子表面活性剂、硫化物、粪大肠菌群、汞、砷、铁、锰、悬浮物共23项</w:t>
            </w:r>
          </w:p>
        </w:tc>
        <w:tc>
          <w:tcPr>
            <w:tcW w:w="1230" w:type="dxa"/>
            <w:vMerge w:val="restart"/>
            <w:vAlign w:val="center"/>
          </w:tcPr>
          <w:p>
            <w:pPr>
              <w:spacing w:line="240" w:lineRule="auto"/>
              <w:ind w:firstLine="0" w:firstLineChars="0"/>
              <w:contextualSpacing/>
              <w:jc w:val="center"/>
              <w:rPr>
                <w:sz w:val="21"/>
                <w:szCs w:val="21"/>
              </w:rPr>
            </w:pPr>
            <w:r>
              <w:rPr>
                <w:sz w:val="21"/>
                <w:szCs w:val="21"/>
              </w:rPr>
              <w:t>初期蓄水监测1次，竣工环境保护验收监测1次</w:t>
            </w:r>
          </w:p>
        </w:tc>
        <w:tc>
          <w:tcPr>
            <w:tcW w:w="1103" w:type="dxa"/>
            <w:vMerge w:val="restart"/>
            <w:vAlign w:val="center"/>
          </w:tcPr>
          <w:p>
            <w:pPr>
              <w:spacing w:line="240" w:lineRule="auto"/>
              <w:ind w:firstLine="0" w:firstLineChars="0"/>
              <w:contextualSpacing/>
              <w:jc w:val="center"/>
              <w:rPr>
                <w:sz w:val="21"/>
                <w:szCs w:val="21"/>
              </w:rPr>
            </w:pPr>
            <w:r>
              <w:rPr>
                <w:sz w:val="21"/>
                <w:szCs w:val="21"/>
              </w:rPr>
              <w:t>每年2期，丰、枯各1</w:t>
            </w:r>
          </w:p>
          <w:p>
            <w:pPr>
              <w:spacing w:line="240" w:lineRule="auto"/>
              <w:ind w:firstLine="0" w:firstLineChars="0"/>
              <w:contextualSpacing/>
              <w:jc w:val="center"/>
              <w:rPr>
                <w:sz w:val="21"/>
                <w:szCs w:val="21"/>
              </w:rPr>
            </w:pPr>
            <w:r>
              <w:rPr>
                <w:sz w:val="21"/>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spacing w:line="240" w:lineRule="auto"/>
              <w:ind w:firstLine="0" w:firstLineChars="0"/>
              <w:contextualSpacing/>
              <w:jc w:val="center"/>
              <w:rPr>
                <w:sz w:val="21"/>
                <w:szCs w:val="21"/>
              </w:rPr>
            </w:pPr>
            <w:r>
              <w:rPr>
                <w:sz w:val="21"/>
                <w:szCs w:val="21"/>
              </w:rPr>
              <w:t>2</w:t>
            </w:r>
          </w:p>
        </w:tc>
        <w:tc>
          <w:tcPr>
            <w:tcW w:w="1815" w:type="dxa"/>
            <w:vAlign w:val="center"/>
          </w:tcPr>
          <w:p>
            <w:pPr>
              <w:spacing w:line="240" w:lineRule="auto"/>
              <w:ind w:firstLine="0" w:firstLineChars="0"/>
              <w:contextualSpacing/>
              <w:jc w:val="center"/>
              <w:rPr>
                <w:sz w:val="21"/>
                <w:szCs w:val="21"/>
              </w:rPr>
            </w:pPr>
            <w:r>
              <w:rPr>
                <w:sz w:val="21"/>
                <w:szCs w:val="21"/>
              </w:rPr>
              <w:t>库中</w:t>
            </w:r>
          </w:p>
        </w:tc>
        <w:tc>
          <w:tcPr>
            <w:tcW w:w="3720" w:type="dxa"/>
            <w:vMerge w:val="continue"/>
            <w:vAlign w:val="center"/>
          </w:tcPr>
          <w:p>
            <w:pPr>
              <w:spacing w:line="240" w:lineRule="auto"/>
              <w:ind w:firstLine="0" w:firstLineChars="0"/>
              <w:contextualSpacing/>
              <w:jc w:val="center"/>
              <w:rPr>
                <w:sz w:val="21"/>
                <w:szCs w:val="21"/>
              </w:rPr>
            </w:pPr>
          </w:p>
        </w:tc>
        <w:tc>
          <w:tcPr>
            <w:tcW w:w="1230" w:type="dxa"/>
            <w:vMerge w:val="continue"/>
            <w:vAlign w:val="center"/>
          </w:tcPr>
          <w:p>
            <w:pPr>
              <w:spacing w:line="240" w:lineRule="auto"/>
              <w:ind w:firstLine="0" w:firstLineChars="0"/>
              <w:contextualSpacing/>
              <w:jc w:val="center"/>
              <w:rPr>
                <w:sz w:val="21"/>
                <w:szCs w:val="21"/>
              </w:rPr>
            </w:pPr>
          </w:p>
        </w:tc>
        <w:tc>
          <w:tcPr>
            <w:tcW w:w="1103"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4" w:type="dxa"/>
            <w:vAlign w:val="center"/>
          </w:tcPr>
          <w:p>
            <w:pPr>
              <w:spacing w:line="240" w:lineRule="auto"/>
              <w:ind w:firstLine="0" w:firstLineChars="0"/>
              <w:contextualSpacing/>
              <w:jc w:val="center"/>
              <w:rPr>
                <w:sz w:val="21"/>
                <w:szCs w:val="21"/>
              </w:rPr>
            </w:pPr>
            <w:r>
              <w:rPr>
                <w:sz w:val="21"/>
                <w:szCs w:val="21"/>
              </w:rPr>
              <w:t>3</w:t>
            </w:r>
          </w:p>
        </w:tc>
        <w:tc>
          <w:tcPr>
            <w:tcW w:w="1815" w:type="dxa"/>
            <w:vAlign w:val="center"/>
          </w:tcPr>
          <w:p>
            <w:pPr>
              <w:spacing w:line="240" w:lineRule="auto"/>
              <w:ind w:firstLine="0" w:firstLineChars="0"/>
              <w:contextualSpacing/>
              <w:jc w:val="center"/>
              <w:rPr>
                <w:sz w:val="21"/>
                <w:szCs w:val="21"/>
              </w:rPr>
            </w:pPr>
            <w:r>
              <w:rPr>
                <w:sz w:val="21"/>
                <w:szCs w:val="21"/>
              </w:rPr>
              <w:t>坝址处</w:t>
            </w:r>
          </w:p>
        </w:tc>
        <w:tc>
          <w:tcPr>
            <w:tcW w:w="3720" w:type="dxa"/>
            <w:vMerge w:val="continue"/>
            <w:vAlign w:val="center"/>
          </w:tcPr>
          <w:p>
            <w:pPr>
              <w:spacing w:line="240" w:lineRule="auto"/>
              <w:ind w:firstLine="0" w:firstLineChars="0"/>
              <w:contextualSpacing/>
              <w:jc w:val="center"/>
              <w:rPr>
                <w:sz w:val="21"/>
                <w:szCs w:val="21"/>
              </w:rPr>
            </w:pPr>
          </w:p>
        </w:tc>
        <w:tc>
          <w:tcPr>
            <w:tcW w:w="1230" w:type="dxa"/>
            <w:vMerge w:val="continue"/>
            <w:vAlign w:val="center"/>
          </w:tcPr>
          <w:p>
            <w:pPr>
              <w:spacing w:line="240" w:lineRule="auto"/>
              <w:ind w:firstLine="0" w:firstLineChars="0"/>
              <w:contextualSpacing/>
              <w:jc w:val="center"/>
              <w:rPr>
                <w:sz w:val="21"/>
                <w:szCs w:val="21"/>
              </w:rPr>
            </w:pPr>
          </w:p>
        </w:tc>
        <w:tc>
          <w:tcPr>
            <w:tcW w:w="1103"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spacing w:line="240" w:lineRule="auto"/>
              <w:ind w:firstLine="0" w:firstLineChars="0"/>
              <w:contextualSpacing/>
              <w:jc w:val="center"/>
              <w:rPr>
                <w:sz w:val="21"/>
                <w:szCs w:val="21"/>
              </w:rPr>
            </w:pPr>
            <w:r>
              <w:rPr>
                <w:sz w:val="21"/>
                <w:szCs w:val="21"/>
              </w:rPr>
              <w:t>3</w:t>
            </w:r>
          </w:p>
        </w:tc>
        <w:tc>
          <w:tcPr>
            <w:tcW w:w="1815" w:type="dxa"/>
            <w:vAlign w:val="center"/>
          </w:tcPr>
          <w:p>
            <w:pPr>
              <w:spacing w:line="240" w:lineRule="auto"/>
              <w:ind w:firstLine="0" w:firstLineChars="0"/>
              <w:contextualSpacing/>
              <w:jc w:val="center"/>
              <w:rPr>
                <w:sz w:val="21"/>
                <w:szCs w:val="21"/>
              </w:rPr>
            </w:pPr>
            <w:r>
              <w:rPr>
                <w:sz w:val="21"/>
                <w:szCs w:val="21"/>
              </w:rPr>
              <w:t>业主营地生活污水处理末端</w:t>
            </w:r>
          </w:p>
        </w:tc>
        <w:tc>
          <w:tcPr>
            <w:tcW w:w="3720" w:type="dxa"/>
            <w:vAlign w:val="center"/>
          </w:tcPr>
          <w:p>
            <w:pPr>
              <w:spacing w:line="240" w:lineRule="auto"/>
              <w:ind w:firstLine="0" w:firstLineChars="0"/>
              <w:contextualSpacing/>
              <w:jc w:val="center"/>
              <w:rPr>
                <w:sz w:val="21"/>
                <w:szCs w:val="21"/>
              </w:rPr>
            </w:pPr>
            <w:r>
              <w:rPr>
                <w:sz w:val="21"/>
                <w:szCs w:val="21"/>
              </w:rPr>
              <w:t>pH、悬浮物、动植物油、化学需氧量、五日生化需氧量、总磷、氨氮、粪大肠菌群、污水流量</w:t>
            </w:r>
          </w:p>
        </w:tc>
        <w:tc>
          <w:tcPr>
            <w:tcW w:w="2333" w:type="dxa"/>
            <w:gridSpan w:val="2"/>
            <w:vAlign w:val="center"/>
          </w:tcPr>
          <w:p>
            <w:pPr>
              <w:spacing w:line="240" w:lineRule="auto"/>
              <w:ind w:firstLine="0" w:firstLineChars="0"/>
              <w:contextualSpacing/>
              <w:jc w:val="center"/>
              <w:rPr>
                <w:sz w:val="21"/>
                <w:szCs w:val="21"/>
              </w:rPr>
            </w:pPr>
            <w:r>
              <w:rPr>
                <w:sz w:val="21"/>
                <w:szCs w:val="21"/>
              </w:rPr>
              <w:t>竣工环境保护验收监测1次，3天</w:t>
            </w:r>
          </w:p>
        </w:tc>
      </w:tr>
    </w:tbl>
    <w:p>
      <w:pPr>
        <w:spacing w:line="160" w:lineRule="exact"/>
        <w:ind w:firstLine="480"/>
        <w:contextualSpacing/>
      </w:pPr>
    </w:p>
    <w:p>
      <w:pPr>
        <w:ind w:firstLine="0" w:firstLineChars="0"/>
        <w:contextualSpacing/>
        <w:rPr>
          <w:b/>
          <w:bCs/>
        </w:rPr>
      </w:pPr>
      <w:r>
        <w:rPr>
          <w:b/>
          <w:bCs/>
        </w:rPr>
        <w:t>8.3.2.4</w:t>
      </w:r>
      <w:r>
        <w:rPr>
          <w:rFonts w:hint="eastAsia"/>
          <w:b/>
          <w:bCs/>
        </w:rPr>
        <w:t>运行期</w:t>
      </w:r>
      <w:r>
        <w:rPr>
          <w:b/>
          <w:bCs/>
        </w:rPr>
        <w:t>水质监测</w:t>
      </w:r>
    </w:p>
    <w:p>
      <w:pPr>
        <w:ind w:firstLine="480"/>
        <w:contextualSpacing/>
      </w:pPr>
      <w:r>
        <w:rPr>
          <w:rFonts w:hint="eastAsia"/>
          <w:bCs/>
        </w:rPr>
        <w:t>运行</w:t>
      </w:r>
      <w:r>
        <w:rPr>
          <w:bCs/>
        </w:rPr>
        <w:t>期</w:t>
      </w:r>
      <w:r>
        <w:t>水环境</w:t>
      </w:r>
      <w:r>
        <w:rPr>
          <w:rFonts w:hint="eastAsia"/>
        </w:rPr>
        <w:t>监测纳入寒溪寺水库运行管理相关工作中，饮用水水源保护区设置后按照饮用水水源地的相关规定开展水质在线监测工作</w:t>
      </w:r>
      <w:r>
        <w:t>。</w:t>
      </w:r>
    </w:p>
    <w:p>
      <w:pPr>
        <w:ind w:firstLine="0" w:firstLineChars="0"/>
        <w:contextualSpacing/>
        <w:rPr>
          <w:b/>
          <w:bCs/>
        </w:rPr>
      </w:pPr>
      <w:r>
        <w:rPr>
          <w:b/>
          <w:bCs/>
        </w:rPr>
        <w:t>8.3.3.5运行期水温监测</w:t>
      </w:r>
    </w:p>
    <w:p>
      <w:pPr>
        <w:ind w:firstLine="480"/>
        <w:contextualSpacing/>
      </w:pPr>
      <w:r>
        <w:t>（1）监测断面布置</w:t>
      </w:r>
    </w:p>
    <w:p>
      <w:pPr>
        <w:ind w:firstLine="480"/>
        <w:contextualSpacing/>
      </w:pPr>
      <w:r>
        <w:t>为掌握寒溪寺水库运行后水文情势的改变对河流水温的影响，布置4个表层水温和2个垂向水温观测断面，水温观测断面位置和监测技术要求见表8.3.3。</w:t>
      </w:r>
    </w:p>
    <w:p>
      <w:pPr>
        <w:ind w:firstLine="422"/>
        <w:contextualSpacing/>
        <w:jc w:val="center"/>
        <w:rPr>
          <w:b/>
          <w:bCs/>
          <w:sz w:val="21"/>
          <w:szCs w:val="21"/>
        </w:rPr>
      </w:pPr>
      <w:r>
        <w:rPr>
          <w:b/>
          <w:bCs/>
          <w:sz w:val="21"/>
          <w:szCs w:val="21"/>
        </w:rPr>
        <w:t>表8.3.3  水温观测点位布设及技术要求情况一览表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490"/>
        <w:gridCol w:w="261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序号</w:t>
            </w:r>
          </w:p>
        </w:tc>
        <w:tc>
          <w:tcPr>
            <w:tcW w:w="2490" w:type="dxa"/>
            <w:vAlign w:val="center"/>
          </w:tcPr>
          <w:p>
            <w:pPr>
              <w:spacing w:line="240" w:lineRule="auto"/>
              <w:ind w:firstLine="0" w:firstLineChars="0"/>
              <w:contextualSpacing/>
              <w:jc w:val="center"/>
              <w:rPr>
                <w:sz w:val="21"/>
                <w:szCs w:val="21"/>
              </w:rPr>
            </w:pPr>
            <w:r>
              <w:rPr>
                <w:sz w:val="21"/>
                <w:szCs w:val="21"/>
              </w:rPr>
              <w:t>位置</w:t>
            </w:r>
          </w:p>
        </w:tc>
        <w:tc>
          <w:tcPr>
            <w:tcW w:w="2610" w:type="dxa"/>
            <w:vAlign w:val="center"/>
          </w:tcPr>
          <w:p>
            <w:pPr>
              <w:spacing w:line="240" w:lineRule="auto"/>
              <w:ind w:firstLine="0" w:firstLineChars="0"/>
              <w:contextualSpacing/>
              <w:jc w:val="center"/>
              <w:rPr>
                <w:sz w:val="21"/>
                <w:szCs w:val="21"/>
              </w:rPr>
            </w:pPr>
            <w:r>
              <w:rPr>
                <w:sz w:val="21"/>
                <w:szCs w:val="21"/>
              </w:rPr>
              <w:t>监测参数</w:t>
            </w:r>
          </w:p>
        </w:tc>
        <w:tc>
          <w:tcPr>
            <w:tcW w:w="2558" w:type="dxa"/>
            <w:vAlign w:val="center"/>
          </w:tcPr>
          <w:p>
            <w:pPr>
              <w:spacing w:line="240" w:lineRule="auto"/>
              <w:ind w:firstLine="0" w:firstLineChars="0"/>
              <w:contextualSpacing/>
              <w:jc w:val="center"/>
              <w:rPr>
                <w:sz w:val="21"/>
                <w:szCs w:val="21"/>
              </w:rPr>
            </w:pPr>
            <w:r>
              <w:rPr>
                <w:sz w:val="21"/>
                <w:szCs w:val="21"/>
              </w:rPr>
              <w:t>监测频率和时间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1</w:t>
            </w:r>
          </w:p>
        </w:tc>
        <w:tc>
          <w:tcPr>
            <w:tcW w:w="2490" w:type="dxa"/>
            <w:vAlign w:val="center"/>
          </w:tcPr>
          <w:p>
            <w:pPr>
              <w:spacing w:line="240" w:lineRule="auto"/>
              <w:ind w:firstLine="0" w:firstLineChars="0"/>
              <w:contextualSpacing/>
              <w:jc w:val="center"/>
              <w:rPr>
                <w:sz w:val="21"/>
                <w:szCs w:val="21"/>
              </w:rPr>
            </w:pPr>
            <w:r>
              <w:rPr>
                <w:sz w:val="21"/>
                <w:szCs w:val="21"/>
              </w:rPr>
              <w:t>寒溪寺水库中</w:t>
            </w:r>
          </w:p>
        </w:tc>
        <w:tc>
          <w:tcPr>
            <w:tcW w:w="2610" w:type="dxa"/>
            <w:vAlign w:val="center"/>
          </w:tcPr>
          <w:p>
            <w:pPr>
              <w:spacing w:line="240" w:lineRule="auto"/>
              <w:ind w:firstLine="0" w:firstLineChars="0"/>
              <w:contextualSpacing/>
              <w:jc w:val="center"/>
              <w:rPr>
                <w:sz w:val="21"/>
                <w:szCs w:val="21"/>
              </w:rPr>
            </w:pPr>
            <w:r>
              <w:rPr>
                <w:sz w:val="21"/>
                <w:szCs w:val="21"/>
              </w:rPr>
              <w:t>垂向水温</w:t>
            </w:r>
          </w:p>
        </w:tc>
        <w:tc>
          <w:tcPr>
            <w:tcW w:w="2558" w:type="dxa"/>
            <w:vMerge w:val="restart"/>
            <w:vAlign w:val="center"/>
          </w:tcPr>
          <w:p>
            <w:pPr>
              <w:spacing w:line="240" w:lineRule="auto"/>
              <w:ind w:firstLine="0" w:firstLineChars="0"/>
              <w:contextualSpacing/>
              <w:jc w:val="center"/>
              <w:rPr>
                <w:sz w:val="21"/>
                <w:szCs w:val="21"/>
              </w:rPr>
            </w:pPr>
            <w:r>
              <w:rPr>
                <w:sz w:val="21"/>
                <w:szCs w:val="21"/>
              </w:rPr>
              <w:t>垂向每隔2m布置1个测点，</w:t>
            </w:r>
            <w:r>
              <w:rPr>
                <w:rFonts w:hint="eastAsia"/>
                <w:sz w:val="21"/>
                <w:szCs w:val="21"/>
              </w:rPr>
              <w:t>水库蓄水至正常蓄水位后</w:t>
            </w:r>
            <w:r>
              <w:rPr>
                <w:sz w:val="21"/>
                <w:szCs w:val="21"/>
              </w:rPr>
              <w:t>监测</w:t>
            </w:r>
            <w:r>
              <w:rPr>
                <w:rFonts w:hint="eastAsia"/>
                <w:sz w:val="21"/>
                <w:szCs w:val="21"/>
              </w:rPr>
              <w:t>3</w:t>
            </w:r>
            <w:r>
              <w:rPr>
                <w:sz w:val="21"/>
                <w:szCs w:val="21"/>
              </w:rPr>
              <w:t>年，每月1次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2</w:t>
            </w:r>
          </w:p>
        </w:tc>
        <w:tc>
          <w:tcPr>
            <w:tcW w:w="2490" w:type="dxa"/>
            <w:vAlign w:val="center"/>
          </w:tcPr>
          <w:p>
            <w:pPr>
              <w:spacing w:line="240" w:lineRule="auto"/>
              <w:ind w:firstLine="0" w:firstLineChars="0"/>
              <w:contextualSpacing/>
              <w:jc w:val="center"/>
              <w:rPr>
                <w:sz w:val="21"/>
                <w:szCs w:val="21"/>
              </w:rPr>
            </w:pPr>
            <w:r>
              <w:rPr>
                <w:sz w:val="21"/>
                <w:szCs w:val="21"/>
              </w:rPr>
              <w:t>坝址上游500m</w:t>
            </w:r>
          </w:p>
        </w:tc>
        <w:tc>
          <w:tcPr>
            <w:tcW w:w="2610" w:type="dxa"/>
            <w:vAlign w:val="center"/>
          </w:tcPr>
          <w:p>
            <w:pPr>
              <w:spacing w:line="240" w:lineRule="auto"/>
              <w:ind w:firstLine="0" w:firstLineChars="0"/>
              <w:contextualSpacing/>
              <w:jc w:val="center"/>
              <w:rPr>
                <w:sz w:val="21"/>
                <w:szCs w:val="21"/>
              </w:rPr>
            </w:pPr>
            <w:r>
              <w:rPr>
                <w:sz w:val="21"/>
                <w:szCs w:val="21"/>
              </w:rPr>
              <w:t>垂向水温</w:t>
            </w:r>
          </w:p>
        </w:tc>
        <w:tc>
          <w:tcPr>
            <w:tcW w:w="2558" w:type="dxa"/>
            <w:vMerge w:val="continue"/>
            <w:vAlign w:val="center"/>
          </w:tcPr>
          <w:p>
            <w:pPr>
              <w:spacing w:line="240" w:lineRule="auto"/>
              <w:ind w:firstLine="0" w:firstLineChars="0"/>
              <w:contextualSpacing/>
              <w:jc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3</w:t>
            </w:r>
          </w:p>
        </w:tc>
        <w:tc>
          <w:tcPr>
            <w:tcW w:w="2490" w:type="dxa"/>
            <w:vAlign w:val="center"/>
          </w:tcPr>
          <w:p>
            <w:pPr>
              <w:spacing w:line="240" w:lineRule="auto"/>
              <w:ind w:firstLine="0" w:firstLineChars="0"/>
              <w:contextualSpacing/>
              <w:jc w:val="center"/>
              <w:rPr>
                <w:sz w:val="21"/>
                <w:szCs w:val="21"/>
              </w:rPr>
            </w:pPr>
            <w:r>
              <w:rPr>
                <w:sz w:val="21"/>
                <w:szCs w:val="21"/>
              </w:rPr>
              <w:t>水库回水末端</w:t>
            </w:r>
          </w:p>
        </w:tc>
        <w:tc>
          <w:tcPr>
            <w:tcW w:w="2610" w:type="dxa"/>
            <w:vAlign w:val="center"/>
          </w:tcPr>
          <w:p>
            <w:pPr>
              <w:spacing w:line="240" w:lineRule="auto"/>
              <w:ind w:firstLine="0" w:firstLineChars="0"/>
              <w:contextualSpacing/>
              <w:jc w:val="center"/>
              <w:rPr>
                <w:sz w:val="21"/>
                <w:szCs w:val="21"/>
              </w:rPr>
            </w:pPr>
            <w:r>
              <w:rPr>
                <w:sz w:val="21"/>
                <w:szCs w:val="21"/>
              </w:rPr>
              <w:t>表层水温</w:t>
            </w:r>
          </w:p>
        </w:tc>
        <w:tc>
          <w:tcPr>
            <w:tcW w:w="2558" w:type="dxa"/>
            <w:vMerge w:val="restart"/>
            <w:vAlign w:val="center"/>
          </w:tcPr>
          <w:p>
            <w:pPr>
              <w:spacing w:line="240" w:lineRule="auto"/>
              <w:ind w:firstLine="0" w:firstLineChars="0"/>
              <w:contextualSpacing/>
              <w:jc w:val="center"/>
              <w:rPr>
                <w:sz w:val="21"/>
                <w:szCs w:val="21"/>
              </w:rPr>
            </w:pPr>
            <w:r>
              <w:rPr>
                <w:sz w:val="21"/>
                <w:szCs w:val="21"/>
              </w:rPr>
              <w:t>各观测点布置1个测点，，</w:t>
            </w:r>
            <w:r>
              <w:rPr>
                <w:rFonts w:hint="eastAsia"/>
                <w:sz w:val="21"/>
                <w:szCs w:val="21"/>
              </w:rPr>
              <w:t>水库蓄水至正常蓄水位后</w:t>
            </w:r>
            <w:r>
              <w:rPr>
                <w:sz w:val="21"/>
                <w:szCs w:val="21"/>
              </w:rPr>
              <w:t>监测</w:t>
            </w:r>
            <w:r>
              <w:rPr>
                <w:rFonts w:hint="eastAsia"/>
                <w:sz w:val="21"/>
                <w:szCs w:val="21"/>
              </w:rPr>
              <w:t>3</w:t>
            </w:r>
            <w:r>
              <w:rPr>
                <w:sz w:val="21"/>
                <w:szCs w:val="21"/>
              </w:rPr>
              <w:t>年，每月1次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4</w:t>
            </w:r>
          </w:p>
        </w:tc>
        <w:tc>
          <w:tcPr>
            <w:tcW w:w="2490" w:type="dxa"/>
            <w:vAlign w:val="center"/>
          </w:tcPr>
          <w:p>
            <w:pPr>
              <w:spacing w:line="240" w:lineRule="auto"/>
              <w:ind w:firstLine="0" w:firstLineChars="0"/>
              <w:contextualSpacing/>
              <w:jc w:val="center"/>
              <w:rPr>
                <w:sz w:val="21"/>
                <w:szCs w:val="21"/>
              </w:rPr>
            </w:pPr>
            <w:r>
              <w:rPr>
                <w:sz w:val="21"/>
                <w:szCs w:val="21"/>
              </w:rPr>
              <w:t>坝下</w:t>
            </w:r>
          </w:p>
        </w:tc>
        <w:tc>
          <w:tcPr>
            <w:tcW w:w="2610" w:type="dxa"/>
            <w:vAlign w:val="center"/>
          </w:tcPr>
          <w:p>
            <w:pPr>
              <w:spacing w:line="240" w:lineRule="auto"/>
              <w:ind w:firstLine="0" w:firstLineChars="0"/>
              <w:contextualSpacing/>
              <w:jc w:val="center"/>
              <w:rPr>
                <w:sz w:val="21"/>
                <w:szCs w:val="21"/>
              </w:rPr>
            </w:pPr>
            <w:r>
              <w:rPr>
                <w:sz w:val="21"/>
                <w:szCs w:val="21"/>
              </w:rPr>
              <w:t>表层水温</w:t>
            </w:r>
          </w:p>
        </w:tc>
        <w:tc>
          <w:tcPr>
            <w:tcW w:w="2558" w:type="dxa"/>
            <w:vMerge w:val="continue"/>
            <w:vAlign w:val="center"/>
          </w:tcPr>
          <w:p>
            <w:pPr>
              <w:spacing w:line="240" w:lineRule="auto"/>
              <w:ind w:firstLine="0" w:firstLineChars="0"/>
              <w:contextualSpacing/>
              <w:jc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5</w:t>
            </w:r>
          </w:p>
        </w:tc>
        <w:tc>
          <w:tcPr>
            <w:tcW w:w="2490" w:type="dxa"/>
            <w:vAlign w:val="center"/>
          </w:tcPr>
          <w:p>
            <w:pPr>
              <w:spacing w:line="240" w:lineRule="auto"/>
              <w:ind w:firstLine="0" w:firstLineChars="0"/>
              <w:contextualSpacing/>
              <w:jc w:val="center"/>
              <w:rPr>
                <w:sz w:val="21"/>
                <w:szCs w:val="21"/>
              </w:rPr>
            </w:pPr>
            <w:r>
              <w:rPr>
                <w:sz w:val="21"/>
                <w:szCs w:val="21"/>
              </w:rPr>
              <w:t>坝址下游2km</w:t>
            </w:r>
          </w:p>
        </w:tc>
        <w:tc>
          <w:tcPr>
            <w:tcW w:w="2610" w:type="dxa"/>
            <w:vAlign w:val="center"/>
          </w:tcPr>
          <w:p>
            <w:pPr>
              <w:spacing w:line="240" w:lineRule="auto"/>
              <w:ind w:firstLine="0" w:firstLineChars="0"/>
              <w:contextualSpacing/>
              <w:jc w:val="center"/>
              <w:rPr>
                <w:sz w:val="21"/>
                <w:szCs w:val="21"/>
              </w:rPr>
            </w:pPr>
            <w:r>
              <w:rPr>
                <w:sz w:val="21"/>
                <w:szCs w:val="21"/>
              </w:rPr>
              <w:t>表层水温</w:t>
            </w:r>
          </w:p>
        </w:tc>
        <w:tc>
          <w:tcPr>
            <w:tcW w:w="2558" w:type="dxa"/>
            <w:vMerge w:val="continue"/>
            <w:vAlign w:val="center"/>
          </w:tcPr>
          <w:p>
            <w:pPr>
              <w:spacing w:line="240" w:lineRule="auto"/>
              <w:ind w:firstLine="0" w:firstLineChars="0"/>
              <w:contextualSpacing/>
              <w:jc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Align w:val="center"/>
          </w:tcPr>
          <w:p>
            <w:pPr>
              <w:spacing w:line="240" w:lineRule="auto"/>
              <w:ind w:firstLine="0" w:firstLineChars="0"/>
              <w:contextualSpacing/>
              <w:jc w:val="center"/>
              <w:rPr>
                <w:sz w:val="21"/>
                <w:szCs w:val="21"/>
              </w:rPr>
            </w:pPr>
            <w:r>
              <w:rPr>
                <w:sz w:val="21"/>
                <w:szCs w:val="21"/>
              </w:rPr>
              <w:t>6</w:t>
            </w:r>
          </w:p>
        </w:tc>
        <w:tc>
          <w:tcPr>
            <w:tcW w:w="2490" w:type="dxa"/>
            <w:vAlign w:val="center"/>
          </w:tcPr>
          <w:p>
            <w:pPr>
              <w:spacing w:line="240" w:lineRule="auto"/>
              <w:ind w:firstLine="0" w:firstLineChars="0"/>
              <w:contextualSpacing/>
              <w:jc w:val="center"/>
              <w:rPr>
                <w:sz w:val="21"/>
                <w:szCs w:val="21"/>
              </w:rPr>
            </w:pPr>
            <w:r>
              <w:rPr>
                <w:sz w:val="21"/>
                <w:szCs w:val="21"/>
              </w:rPr>
              <w:t>坝址下游5km</w:t>
            </w:r>
          </w:p>
        </w:tc>
        <w:tc>
          <w:tcPr>
            <w:tcW w:w="2610" w:type="dxa"/>
            <w:vAlign w:val="center"/>
          </w:tcPr>
          <w:p>
            <w:pPr>
              <w:spacing w:line="240" w:lineRule="auto"/>
              <w:ind w:firstLine="0" w:firstLineChars="0"/>
              <w:contextualSpacing/>
              <w:jc w:val="center"/>
              <w:rPr>
                <w:sz w:val="21"/>
                <w:szCs w:val="21"/>
              </w:rPr>
            </w:pPr>
            <w:r>
              <w:rPr>
                <w:sz w:val="21"/>
                <w:szCs w:val="21"/>
              </w:rPr>
              <w:t>表层水温</w:t>
            </w:r>
          </w:p>
        </w:tc>
        <w:tc>
          <w:tcPr>
            <w:tcW w:w="2558" w:type="dxa"/>
            <w:vMerge w:val="continue"/>
            <w:vAlign w:val="center"/>
          </w:tcPr>
          <w:p>
            <w:pPr>
              <w:spacing w:line="240" w:lineRule="auto"/>
              <w:ind w:firstLine="0" w:firstLineChars="0"/>
              <w:contextualSpacing/>
              <w:jc w:val="center"/>
              <w:rPr>
                <w:b/>
                <w:sz w:val="21"/>
                <w:szCs w:val="21"/>
              </w:rPr>
            </w:pPr>
          </w:p>
        </w:tc>
      </w:tr>
    </w:tbl>
    <w:p>
      <w:pPr>
        <w:spacing w:line="160" w:lineRule="exact"/>
        <w:ind w:firstLine="480"/>
        <w:contextualSpacing/>
      </w:pPr>
    </w:p>
    <w:p>
      <w:pPr>
        <w:ind w:firstLine="480"/>
        <w:contextualSpacing/>
      </w:pPr>
      <w:r>
        <w:t>（2）采样及分析方法</w:t>
      </w:r>
    </w:p>
    <w:p>
      <w:pPr>
        <w:ind w:firstLine="480"/>
        <w:contextualSpacing/>
      </w:pPr>
      <w:r>
        <w:t>各监测断面/点的采样点布设、采样及分析方法，均按照《地表水和污水监测技术规范》（HJ/T 91-2002）、《地下水环境监测技术规范》（HJ/T164-2004）等有关规定执行。</w:t>
      </w:r>
    </w:p>
    <w:p>
      <w:pPr>
        <w:ind w:firstLine="480"/>
        <w:contextualSpacing/>
      </w:pPr>
      <w:r>
        <w:t>（3）监测单位</w:t>
      </w:r>
    </w:p>
    <w:p>
      <w:pPr>
        <w:ind w:firstLine="480"/>
        <w:contextualSpacing/>
      </w:pPr>
      <w:r>
        <w:t>建议采用合同管理方式，委托当地具有相应监测或测量资质的单位承担。</w:t>
      </w:r>
    </w:p>
    <w:p>
      <w:pPr>
        <w:pStyle w:val="5"/>
        <w:ind w:firstLine="0" w:firstLineChars="0"/>
        <w:contextualSpacing/>
        <w:rPr>
          <w:rFonts w:ascii="Times New Roman" w:hAnsi="Times New Roman"/>
        </w:rPr>
      </w:pPr>
      <w:bookmarkStart w:id="912" w:name="_Toc31799"/>
      <w:r>
        <w:rPr>
          <w:rFonts w:ascii="Times New Roman" w:hAnsi="Times New Roman"/>
        </w:rPr>
        <w:t>8.3.3环境空气监测计划</w:t>
      </w:r>
      <w:bookmarkEnd w:id="912"/>
    </w:p>
    <w:p>
      <w:pPr>
        <w:ind w:firstLine="480"/>
        <w:contextualSpacing/>
      </w:pPr>
      <w:r>
        <w:t>（1）监测目的</w:t>
      </w:r>
    </w:p>
    <w:p>
      <w:pPr>
        <w:ind w:firstLine="480"/>
        <w:contextualSpacing/>
      </w:pPr>
      <w:r>
        <w:t>了解工程施工期大气污染源强及其对环境空气质量的实际影响。</w:t>
      </w:r>
    </w:p>
    <w:p>
      <w:pPr>
        <w:ind w:firstLine="480"/>
        <w:contextualSpacing/>
      </w:pPr>
      <w:r>
        <w:t>（2）监测点位布设及监测技术要求</w:t>
      </w:r>
    </w:p>
    <w:p>
      <w:pPr>
        <w:ind w:firstLine="480"/>
        <w:contextualSpacing/>
      </w:pPr>
      <w:r>
        <w:t>环境空气质量监测点位及监测项目、监测周期、监测时段和监测频率详见表8.3.4-1。</w:t>
      </w:r>
    </w:p>
    <w:p>
      <w:pPr>
        <w:ind w:firstLine="480"/>
        <w:contextualSpacing/>
      </w:pPr>
      <w:r>
        <w:t>（3）监测分析方法</w:t>
      </w:r>
    </w:p>
    <w:p>
      <w:pPr>
        <w:ind w:firstLine="480"/>
        <w:contextualSpacing/>
      </w:pPr>
      <w:r>
        <w:t>按照《环境空气质量自动监测技术规范》（HJ/T193-2005）和《环境空气质量手工监测技术规范》（HJ/T194-2005）中规定的有关方法执行。</w:t>
      </w:r>
    </w:p>
    <w:p>
      <w:pPr>
        <w:ind w:firstLine="480"/>
        <w:contextualSpacing/>
      </w:pPr>
      <w:r>
        <w:t>（4）资料整编及保存</w:t>
      </w:r>
    </w:p>
    <w:p>
      <w:pPr>
        <w:ind w:firstLine="480"/>
        <w:contextualSpacing/>
      </w:pPr>
      <w:r>
        <w:t>按《环境监测技术规范》的相关规定执行。原始监测资料及整编成果3份交寒溪寺水库工程筹备组存档备查。</w:t>
      </w:r>
    </w:p>
    <w:p>
      <w:pPr>
        <w:ind w:firstLine="480"/>
        <w:contextualSpacing/>
      </w:pPr>
      <w:r>
        <w:t>（5）监测人员及仪器设备</w:t>
      </w:r>
    </w:p>
    <w:p>
      <w:pPr>
        <w:ind w:firstLine="480"/>
        <w:contextualSpacing/>
      </w:pPr>
      <w:r>
        <w:t>建议采用合同管理方式，委托当地具有相应监测资质的单位承担。</w:t>
      </w:r>
    </w:p>
    <w:p>
      <w:pPr>
        <w:ind w:firstLine="422"/>
        <w:contextualSpacing/>
        <w:jc w:val="center"/>
      </w:pPr>
      <w:r>
        <w:rPr>
          <w:b/>
          <w:bCs/>
          <w:sz w:val="21"/>
          <w:szCs w:val="21"/>
        </w:rPr>
        <w:t>表8.3.3  环境空气监测点位及监测技术要求一览表</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607"/>
        <w:gridCol w:w="1607"/>
        <w:gridCol w:w="174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 w:type="pct"/>
            <w:vAlign w:val="center"/>
          </w:tcPr>
          <w:p>
            <w:pPr>
              <w:spacing w:line="240" w:lineRule="auto"/>
              <w:ind w:firstLine="0" w:firstLineChars="0"/>
              <w:contextualSpacing/>
              <w:jc w:val="center"/>
              <w:rPr>
                <w:sz w:val="21"/>
                <w:szCs w:val="21"/>
              </w:rPr>
            </w:pPr>
            <w:r>
              <w:rPr>
                <w:sz w:val="21"/>
                <w:szCs w:val="21"/>
              </w:rPr>
              <w:t>编号</w:t>
            </w:r>
          </w:p>
        </w:tc>
        <w:tc>
          <w:tcPr>
            <w:tcW w:w="943" w:type="pct"/>
            <w:vAlign w:val="center"/>
          </w:tcPr>
          <w:p>
            <w:pPr>
              <w:spacing w:line="240" w:lineRule="auto"/>
              <w:ind w:firstLine="0" w:firstLineChars="0"/>
              <w:contextualSpacing/>
              <w:jc w:val="center"/>
              <w:rPr>
                <w:sz w:val="21"/>
                <w:szCs w:val="21"/>
              </w:rPr>
            </w:pPr>
            <w:r>
              <w:rPr>
                <w:sz w:val="21"/>
                <w:szCs w:val="21"/>
              </w:rPr>
              <w:t>监测点位</w:t>
            </w:r>
          </w:p>
        </w:tc>
        <w:tc>
          <w:tcPr>
            <w:tcW w:w="943" w:type="pct"/>
            <w:vAlign w:val="center"/>
          </w:tcPr>
          <w:p>
            <w:pPr>
              <w:spacing w:line="240" w:lineRule="auto"/>
              <w:ind w:firstLine="0" w:firstLineChars="0"/>
              <w:contextualSpacing/>
              <w:jc w:val="center"/>
              <w:rPr>
                <w:sz w:val="21"/>
                <w:szCs w:val="21"/>
              </w:rPr>
            </w:pPr>
            <w:r>
              <w:rPr>
                <w:sz w:val="21"/>
                <w:szCs w:val="21"/>
              </w:rPr>
              <w:t>监测项目</w:t>
            </w:r>
          </w:p>
        </w:tc>
        <w:tc>
          <w:tcPr>
            <w:tcW w:w="1024" w:type="pct"/>
            <w:vAlign w:val="center"/>
          </w:tcPr>
          <w:p>
            <w:pPr>
              <w:spacing w:line="240" w:lineRule="auto"/>
              <w:ind w:firstLine="0" w:firstLineChars="0"/>
              <w:contextualSpacing/>
              <w:jc w:val="center"/>
              <w:rPr>
                <w:sz w:val="21"/>
                <w:szCs w:val="21"/>
              </w:rPr>
            </w:pPr>
            <w:r>
              <w:rPr>
                <w:sz w:val="21"/>
                <w:szCs w:val="21"/>
              </w:rPr>
              <w:t>监测周期</w:t>
            </w:r>
          </w:p>
        </w:tc>
        <w:tc>
          <w:tcPr>
            <w:tcW w:w="1636" w:type="pct"/>
            <w:vAlign w:val="center"/>
          </w:tcPr>
          <w:p>
            <w:pPr>
              <w:spacing w:line="240" w:lineRule="auto"/>
              <w:ind w:firstLine="0" w:firstLineChars="0"/>
              <w:contextualSpacing/>
              <w:jc w:val="center"/>
              <w:rPr>
                <w:sz w:val="21"/>
                <w:szCs w:val="21"/>
              </w:rPr>
            </w:pPr>
            <w:r>
              <w:rPr>
                <w:sz w:val="21"/>
                <w:szCs w:val="21"/>
              </w:rPr>
              <w:t>监测时段及频率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 w:type="pct"/>
            <w:vAlign w:val="center"/>
          </w:tcPr>
          <w:p>
            <w:pPr>
              <w:spacing w:line="240" w:lineRule="auto"/>
              <w:ind w:firstLine="0" w:firstLineChars="0"/>
              <w:contextualSpacing/>
              <w:jc w:val="center"/>
              <w:rPr>
                <w:sz w:val="21"/>
                <w:szCs w:val="21"/>
              </w:rPr>
            </w:pPr>
            <w:r>
              <w:rPr>
                <w:sz w:val="21"/>
                <w:szCs w:val="21"/>
              </w:rPr>
              <w:t>1</w:t>
            </w:r>
          </w:p>
        </w:tc>
        <w:tc>
          <w:tcPr>
            <w:tcW w:w="943" w:type="pct"/>
            <w:vAlign w:val="center"/>
          </w:tcPr>
          <w:p>
            <w:pPr>
              <w:spacing w:line="240" w:lineRule="auto"/>
              <w:ind w:firstLine="0" w:firstLineChars="0"/>
              <w:contextualSpacing/>
              <w:jc w:val="center"/>
              <w:rPr>
                <w:sz w:val="21"/>
                <w:szCs w:val="21"/>
              </w:rPr>
            </w:pPr>
            <w:r>
              <w:rPr>
                <w:sz w:val="21"/>
                <w:szCs w:val="21"/>
              </w:rPr>
              <w:t>渣场</w:t>
            </w:r>
          </w:p>
        </w:tc>
        <w:tc>
          <w:tcPr>
            <w:tcW w:w="943" w:type="pct"/>
            <w:vMerge w:val="restart"/>
            <w:vAlign w:val="center"/>
          </w:tcPr>
          <w:p>
            <w:pPr>
              <w:spacing w:line="240" w:lineRule="auto"/>
              <w:ind w:firstLine="0" w:firstLineChars="0"/>
              <w:contextualSpacing/>
              <w:jc w:val="center"/>
              <w:rPr>
                <w:sz w:val="21"/>
                <w:szCs w:val="21"/>
              </w:rPr>
            </w:pPr>
            <w:r>
              <w:rPr>
                <w:sz w:val="21"/>
                <w:szCs w:val="21"/>
              </w:rPr>
              <w:t>TSP、PM</w:t>
            </w:r>
            <w:r>
              <w:rPr>
                <w:sz w:val="21"/>
                <w:szCs w:val="21"/>
                <w:vertAlign w:val="subscript"/>
              </w:rPr>
              <w:t>10</w:t>
            </w:r>
            <w:r>
              <w:rPr>
                <w:sz w:val="21"/>
                <w:szCs w:val="21"/>
              </w:rPr>
              <w:t>、SO</w:t>
            </w:r>
            <w:r>
              <w:rPr>
                <w:sz w:val="21"/>
                <w:szCs w:val="21"/>
                <w:vertAlign w:val="subscript"/>
              </w:rPr>
              <w:t>2</w:t>
            </w:r>
            <w:r>
              <w:rPr>
                <w:sz w:val="21"/>
                <w:szCs w:val="21"/>
              </w:rPr>
              <w:t>和NO</w:t>
            </w:r>
            <w:r>
              <w:rPr>
                <w:sz w:val="21"/>
                <w:szCs w:val="21"/>
                <w:vertAlign w:val="subscript"/>
              </w:rPr>
              <w:t>x</w:t>
            </w:r>
          </w:p>
        </w:tc>
        <w:tc>
          <w:tcPr>
            <w:tcW w:w="1024" w:type="pct"/>
            <w:vMerge w:val="restart"/>
            <w:vAlign w:val="center"/>
          </w:tcPr>
          <w:p>
            <w:pPr>
              <w:spacing w:line="240" w:lineRule="auto"/>
              <w:ind w:firstLine="0" w:firstLineChars="0"/>
              <w:contextualSpacing/>
              <w:jc w:val="center"/>
              <w:rPr>
                <w:sz w:val="21"/>
                <w:szCs w:val="21"/>
              </w:rPr>
            </w:pPr>
            <w:r>
              <w:rPr>
                <w:sz w:val="21"/>
                <w:szCs w:val="21"/>
              </w:rPr>
              <w:t>施工期</w:t>
            </w:r>
          </w:p>
        </w:tc>
        <w:tc>
          <w:tcPr>
            <w:tcW w:w="1636" w:type="pct"/>
            <w:vMerge w:val="restart"/>
            <w:vAlign w:val="center"/>
          </w:tcPr>
          <w:p>
            <w:pPr>
              <w:spacing w:line="240" w:lineRule="auto"/>
              <w:ind w:firstLine="0" w:firstLineChars="0"/>
              <w:contextualSpacing/>
              <w:jc w:val="center"/>
              <w:rPr>
                <w:sz w:val="21"/>
                <w:szCs w:val="21"/>
              </w:rPr>
            </w:pPr>
            <w:r>
              <w:rPr>
                <w:sz w:val="21"/>
                <w:szCs w:val="21"/>
              </w:rPr>
              <w:t>每年监测1次，取春季代表性的5天有效数据，连续24h监测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 w:type="pct"/>
            <w:vAlign w:val="center"/>
          </w:tcPr>
          <w:p>
            <w:pPr>
              <w:spacing w:line="240" w:lineRule="auto"/>
              <w:ind w:firstLine="0" w:firstLineChars="0"/>
              <w:contextualSpacing/>
              <w:jc w:val="center"/>
              <w:rPr>
                <w:sz w:val="21"/>
                <w:szCs w:val="21"/>
              </w:rPr>
            </w:pPr>
            <w:r>
              <w:rPr>
                <w:sz w:val="21"/>
                <w:szCs w:val="21"/>
              </w:rPr>
              <w:t>2</w:t>
            </w:r>
          </w:p>
        </w:tc>
        <w:tc>
          <w:tcPr>
            <w:tcW w:w="943" w:type="pct"/>
            <w:vAlign w:val="center"/>
          </w:tcPr>
          <w:p>
            <w:pPr>
              <w:spacing w:line="240" w:lineRule="auto"/>
              <w:ind w:firstLine="0" w:firstLineChars="0"/>
              <w:contextualSpacing/>
              <w:jc w:val="center"/>
              <w:rPr>
                <w:sz w:val="21"/>
                <w:szCs w:val="21"/>
              </w:rPr>
            </w:pPr>
            <w:r>
              <w:rPr>
                <w:sz w:val="21"/>
                <w:szCs w:val="21"/>
              </w:rPr>
              <w:t>石渣料场</w:t>
            </w:r>
          </w:p>
        </w:tc>
        <w:tc>
          <w:tcPr>
            <w:tcW w:w="943" w:type="pct"/>
            <w:vMerge w:val="continue"/>
            <w:vAlign w:val="center"/>
          </w:tcPr>
          <w:p>
            <w:pPr>
              <w:spacing w:line="240" w:lineRule="auto"/>
              <w:ind w:firstLine="0" w:firstLineChars="0"/>
              <w:contextualSpacing/>
              <w:jc w:val="center"/>
              <w:rPr>
                <w:sz w:val="21"/>
                <w:szCs w:val="21"/>
              </w:rPr>
            </w:pPr>
          </w:p>
        </w:tc>
        <w:tc>
          <w:tcPr>
            <w:tcW w:w="1024" w:type="pct"/>
            <w:vMerge w:val="continue"/>
            <w:vAlign w:val="center"/>
          </w:tcPr>
          <w:p>
            <w:pPr>
              <w:spacing w:line="240" w:lineRule="auto"/>
              <w:ind w:firstLine="0" w:firstLineChars="0"/>
              <w:contextualSpacing/>
              <w:jc w:val="center"/>
              <w:rPr>
                <w:sz w:val="21"/>
                <w:szCs w:val="21"/>
              </w:rPr>
            </w:pPr>
          </w:p>
        </w:tc>
        <w:tc>
          <w:tcPr>
            <w:tcW w:w="1636" w:type="pct"/>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 w:type="pct"/>
            <w:vAlign w:val="center"/>
          </w:tcPr>
          <w:p>
            <w:pPr>
              <w:spacing w:line="240" w:lineRule="auto"/>
              <w:ind w:firstLine="0" w:firstLineChars="0"/>
              <w:contextualSpacing/>
              <w:jc w:val="center"/>
              <w:rPr>
                <w:sz w:val="21"/>
                <w:szCs w:val="21"/>
              </w:rPr>
            </w:pPr>
            <w:r>
              <w:rPr>
                <w:sz w:val="21"/>
                <w:szCs w:val="21"/>
              </w:rPr>
              <w:t>3</w:t>
            </w:r>
          </w:p>
        </w:tc>
        <w:tc>
          <w:tcPr>
            <w:tcW w:w="943" w:type="pct"/>
            <w:vAlign w:val="center"/>
          </w:tcPr>
          <w:p>
            <w:pPr>
              <w:spacing w:line="240" w:lineRule="auto"/>
              <w:ind w:firstLine="0" w:firstLineChars="0"/>
              <w:contextualSpacing/>
              <w:jc w:val="center"/>
              <w:rPr>
                <w:sz w:val="21"/>
                <w:szCs w:val="21"/>
              </w:rPr>
            </w:pPr>
            <w:r>
              <w:rPr>
                <w:sz w:val="21"/>
                <w:szCs w:val="21"/>
              </w:rPr>
              <w:t>施工营地</w:t>
            </w:r>
          </w:p>
        </w:tc>
        <w:tc>
          <w:tcPr>
            <w:tcW w:w="943" w:type="pct"/>
            <w:vMerge w:val="continue"/>
            <w:vAlign w:val="center"/>
          </w:tcPr>
          <w:p>
            <w:pPr>
              <w:spacing w:line="240" w:lineRule="auto"/>
              <w:ind w:firstLine="0" w:firstLineChars="0"/>
              <w:contextualSpacing/>
              <w:jc w:val="center"/>
              <w:rPr>
                <w:sz w:val="21"/>
                <w:szCs w:val="21"/>
              </w:rPr>
            </w:pPr>
          </w:p>
        </w:tc>
        <w:tc>
          <w:tcPr>
            <w:tcW w:w="1024" w:type="pct"/>
            <w:vMerge w:val="continue"/>
            <w:vAlign w:val="center"/>
          </w:tcPr>
          <w:p>
            <w:pPr>
              <w:spacing w:line="240" w:lineRule="auto"/>
              <w:ind w:firstLine="0" w:firstLineChars="0"/>
              <w:contextualSpacing/>
              <w:jc w:val="center"/>
              <w:rPr>
                <w:sz w:val="21"/>
                <w:szCs w:val="21"/>
              </w:rPr>
            </w:pPr>
          </w:p>
        </w:tc>
        <w:tc>
          <w:tcPr>
            <w:tcW w:w="1636" w:type="pct"/>
            <w:vMerge w:val="continue"/>
            <w:vAlign w:val="center"/>
          </w:tcPr>
          <w:p>
            <w:pPr>
              <w:spacing w:line="240" w:lineRule="auto"/>
              <w:ind w:firstLine="0" w:firstLineChars="0"/>
              <w:contextualSpacing/>
              <w:jc w:val="center"/>
              <w:rPr>
                <w:sz w:val="21"/>
                <w:szCs w:val="21"/>
              </w:rPr>
            </w:pPr>
          </w:p>
        </w:tc>
      </w:tr>
    </w:tbl>
    <w:p>
      <w:pPr>
        <w:spacing w:line="160" w:lineRule="exact"/>
        <w:ind w:firstLine="480"/>
        <w:contextualSpacing/>
      </w:pPr>
      <w:bookmarkStart w:id="913" w:name="_Toc21863"/>
    </w:p>
    <w:p>
      <w:pPr>
        <w:pStyle w:val="5"/>
        <w:ind w:firstLine="0" w:firstLineChars="0"/>
        <w:contextualSpacing/>
        <w:rPr>
          <w:rFonts w:ascii="Times New Roman" w:hAnsi="Times New Roman"/>
        </w:rPr>
      </w:pPr>
      <w:r>
        <w:rPr>
          <w:rFonts w:ascii="Times New Roman" w:hAnsi="Times New Roman"/>
        </w:rPr>
        <w:t>8.3.4声环境监测计划</w:t>
      </w:r>
      <w:bookmarkEnd w:id="913"/>
    </w:p>
    <w:p>
      <w:pPr>
        <w:ind w:firstLine="480"/>
        <w:contextualSpacing/>
      </w:pPr>
      <w:r>
        <w:t>（1）监测目的</w:t>
      </w:r>
    </w:p>
    <w:p>
      <w:pPr>
        <w:ind w:firstLine="480"/>
        <w:contextualSpacing/>
      </w:pPr>
      <w:r>
        <w:t>掌握工程施工噪声源强及其对声环境的实际影响。</w:t>
      </w:r>
    </w:p>
    <w:p>
      <w:pPr>
        <w:ind w:firstLine="480"/>
        <w:contextualSpacing/>
      </w:pPr>
      <w:r>
        <w:t>（2）监测点位布设及监测技术要求</w:t>
      </w:r>
    </w:p>
    <w:p>
      <w:pPr>
        <w:ind w:firstLine="480"/>
        <w:contextualSpacing/>
      </w:pPr>
      <w:r>
        <w:t>噪声监测点及监测项目、监测周期、监测时段和监测频率详见表8.3.4。</w:t>
      </w:r>
    </w:p>
    <w:p>
      <w:pPr>
        <w:ind w:firstLine="422"/>
        <w:contextualSpacing/>
        <w:jc w:val="center"/>
        <w:rPr>
          <w:b/>
          <w:bCs/>
          <w:sz w:val="21"/>
          <w:szCs w:val="21"/>
        </w:rPr>
      </w:pPr>
      <w:r>
        <w:rPr>
          <w:b/>
          <w:bCs/>
          <w:sz w:val="21"/>
          <w:szCs w:val="21"/>
        </w:rPr>
        <w:t>表8.3.4 声环境监测点位及监测技术要求一览表</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607"/>
        <w:gridCol w:w="1607"/>
        <w:gridCol w:w="174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pPr>
              <w:spacing w:line="240" w:lineRule="auto"/>
              <w:ind w:firstLine="0" w:firstLineChars="0"/>
              <w:contextualSpacing/>
              <w:jc w:val="center"/>
              <w:rPr>
                <w:sz w:val="21"/>
                <w:szCs w:val="21"/>
              </w:rPr>
            </w:pPr>
            <w:r>
              <w:rPr>
                <w:sz w:val="21"/>
                <w:szCs w:val="21"/>
              </w:rPr>
              <w:t>编号</w:t>
            </w:r>
          </w:p>
        </w:tc>
        <w:tc>
          <w:tcPr>
            <w:tcW w:w="943" w:type="pct"/>
            <w:vAlign w:val="center"/>
          </w:tcPr>
          <w:p>
            <w:pPr>
              <w:spacing w:line="240" w:lineRule="auto"/>
              <w:ind w:firstLine="0" w:firstLineChars="0"/>
              <w:contextualSpacing/>
              <w:jc w:val="center"/>
              <w:rPr>
                <w:sz w:val="21"/>
                <w:szCs w:val="21"/>
              </w:rPr>
            </w:pPr>
            <w:r>
              <w:rPr>
                <w:sz w:val="21"/>
                <w:szCs w:val="21"/>
              </w:rPr>
              <w:t>监测点位</w:t>
            </w:r>
          </w:p>
        </w:tc>
        <w:tc>
          <w:tcPr>
            <w:tcW w:w="943" w:type="pct"/>
            <w:vAlign w:val="center"/>
          </w:tcPr>
          <w:p>
            <w:pPr>
              <w:spacing w:line="240" w:lineRule="auto"/>
              <w:ind w:firstLine="0" w:firstLineChars="0"/>
              <w:contextualSpacing/>
              <w:jc w:val="center"/>
              <w:rPr>
                <w:sz w:val="21"/>
                <w:szCs w:val="21"/>
              </w:rPr>
            </w:pPr>
            <w:r>
              <w:rPr>
                <w:sz w:val="21"/>
                <w:szCs w:val="21"/>
              </w:rPr>
              <w:t>监测项目</w:t>
            </w:r>
          </w:p>
        </w:tc>
        <w:tc>
          <w:tcPr>
            <w:tcW w:w="1024" w:type="pct"/>
            <w:vAlign w:val="center"/>
          </w:tcPr>
          <w:p>
            <w:pPr>
              <w:spacing w:line="240" w:lineRule="auto"/>
              <w:ind w:firstLine="0" w:firstLineChars="0"/>
              <w:contextualSpacing/>
              <w:jc w:val="center"/>
              <w:rPr>
                <w:sz w:val="21"/>
                <w:szCs w:val="21"/>
              </w:rPr>
            </w:pPr>
            <w:r>
              <w:rPr>
                <w:sz w:val="21"/>
                <w:szCs w:val="21"/>
              </w:rPr>
              <w:t>监测周期</w:t>
            </w:r>
          </w:p>
        </w:tc>
        <w:tc>
          <w:tcPr>
            <w:tcW w:w="1636" w:type="pct"/>
            <w:vAlign w:val="center"/>
          </w:tcPr>
          <w:p>
            <w:pPr>
              <w:spacing w:line="240" w:lineRule="auto"/>
              <w:ind w:firstLine="0" w:firstLineChars="0"/>
              <w:contextualSpacing/>
              <w:jc w:val="center"/>
              <w:rPr>
                <w:sz w:val="21"/>
                <w:szCs w:val="21"/>
              </w:rPr>
            </w:pPr>
            <w:r>
              <w:rPr>
                <w:sz w:val="21"/>
                <w:szCs w:val="21"/>
              </w:rPr>
              <w:t>监测时段及频率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52" w:type="pct"/>
            <w:vAlign w:val="center"/>
          </w:tcPr>
          <w:p>
            <w:pPr>
              <w:spacing w:line="240" w:lineRule="auto"/>
              <w:ind w:firstLine="0" w:firstLineChars="0"/>
              <w:contextualSpacing/>
              <w:jc w:val="center"/>
              <w:rPr>
                <w:sz w:val="21"/>
                <w:szCs w:val="21"/>
              </w:rPr>
            </w:pPr>
            <w:r>
              <w:rPr>
                <w:sz w:val="21"/>
                <w:szCs w:val="21"/>
              </w:rPr>
              <w:t>1</w:t>
            </w:r>
          </w:p>
        </w:tc>
        <w:tc>
          <w:tcPr>
            <w:tcW w:w="1607" w:type="dxa"/>
            <w:vAlign w:val="center"/>
          </w:tcPr>
          <w:p>
            <w:pPr>
              <w:spacing w:line="240" w:lineRule="auto"/>
              <w:ind w:firstLine="0" w:firstLineChars="0"/>
              <w:contextualSpacing/>
              <w:jc w:val="center"/>
              <w:rPr>
                <w:sz w:val="21"/>
                <w:szCs w:val="21"/>
              </w:rPr>
            </w:pPr>
            <w:r>
              <w:rPr>
                <w:sz w:val="21"/>
                <w:szCs w:val="21"/>
              </w:rPr>
              <w:t>渣场</w:t>
            </w:r>
          </w:p>
        </w:tc>
        <w:tc>
          <w:tcPr>
            <w:tcW w:w="943" w:type="pct"/>
            <w:vMerge w:val="restart"/>
            <w:vAlign w:val="center"/>
          </w:tcPr>
          <w:p>
            <w:pPr>
              <w:spacing w:line="240" w:lineRule="auto"/>
              <w:ind w:firstLine="0" w:firstLineChars="0"/>
              <w:contextualSpacing/>
              <w:jc w:val="center"/>
              <w:rPr>
                <w:sz w:val="21"/>
                <w:szCs w:val="21"/>
              </w:rPr>
            </w:pPr>
            <w:r>
              <w:rPr>
                <w:sz w:val="21"/>
                <w:szCs w:val="21"/>
              </w:rPr>
              <w:t>LAeq</w:t>
            </w:r>
          </w:p>
        </w:tc>
        <w:tc>
          <w:tcPr>
            <w:tcW w:w="1024" w:type="pct"/>
            <w:vMerge w:val="restart"/>
            <w:vAlign w:val="center"/>
          </w:tcPr>
          <w:p>
            <w:pPr>
              <w:spacing w:line="240" w:lineRule="auto"/>
              <w:ind w:firstLine="0" w:firstLineChars="0"/>
              <w:contextualSpacing/>
              <w:jc w:val="center"/>
              <w:rPr>
                <w:sz w:val="21"/>
                <w:szCs w:val="21"/>
              </w:rPr>
            </w:pPr>
            <w:r>
              <w:rPr>
                <w:sz w:val="21"/>
                <w:szCs w:val="21"/>
              </w:rPr>
              <w:t>施工期</w:t>
            </w:r>
          </w:p>
        </w:tc>
        <w:tc>
          <w:tcPr>
            <w:tcW w:w="1636" w:type="pct"/>
            <w:vMerge w:val="restart"/>
            <w:vAlign w:val="center"/>
          </w:tcPr>
          <w:p>
            <w:pPr>
              <w:spacing w:line="240" w:lineRule="auto"/>
              <w:ind w:firstLine="0" w:firstLineChars="0"/>
              <w:contextualSpacing/>
              <w:jc w:val="center"/>
              <w:rPr>
                <w:sz w:val="21"/>
                <w:szCs w:val="21"/>
              </w:rPr>
            </w:pPr>
            <w:r>
              <w:rPr>
                <w:sz w:val="21"/>
                <w:szCs w:val="21"/>
              </w:rPr>
              <w:t>LAeq每年每季监测1天，每天昼、夜各监测1次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pPr>
              <w:spacing w:line="240" w:lineRule="auto"/>
              <w:ind w:firstLine="0" w:firstLineChars="0"/>
              <w:contextualSpacing/>
              <w:jc w:val="center"/>
              <w:rPr>
                <w:sz w:val="21"/>
                <w:szCs w:val="21"/>
              </w:rPr>
            </w:pPr>
            <w:r>
              <w:rPr>
                <w:sz w:val="21"/>
                <w:szCs w:val="21"/>
              </w:rPr>
              <w:t>2</w:t>
            </w:r>
          </w:p>
        </w:tc>
        <w:tc>
          <w:tcPr>
            <w:tcW w:w="1607" w:type="dxa"/>
            <w:vAlign w:val="center"/>
          </w:tcPr>
          <w:p>
            <w:pPr>
              <w:spacing w:line="240" w:lineRule="auto"/>
              <w:ind w:firstLine="0" w:firstLineChars="0"/>
              <w:contextualSpacing/>
              <w:jc w:val="center"/>
              <w:rPr>
                <w:sz w:val="21"/>
                <w:szCs w:val="21"/>
              </w:rPr>
            </w:pPr>
            <w:r>
              <w:rPr>
                <w:sz w:val="21"/>
                <w:szCs w:val="21"/>
              </w:rPr>
              <w:t>石渣料场</w:t>
            </w:r>
          </w:p>
        </w:tc>
        <w:tc>
          <w:tcPr>
            <w:tcW w:w="943" w:type="pct"/>
            <w:vMerge w:val="continue"/>
            <w:vAlign w:val="center"/>
          </w:tcPr>
          <w:p>
            <w:pPr>
              <w:spacing w:line="240" w:lineRule="auto"/>
              <w:ind w:firstLine="0" w:firstLineChars="0"/>
              <w:contextualSpacing/>
              <w:jc w:val="center"/>
              <w:rPr>
                <w:sz w:val="21"/>
                <w:szCs w:val="21"/>
              </w:rPr>
            </w:pPr>
          </w:p>
        </w:tc>
        <w:tc>
          <w:tcPr>
            <w:tcW w:w="1024" w:type="pct"/>
            <w:vMerge w:val="continue"/>
            <w:vAlign w:val="center"/>
          </w:tcPr>
          <w:p>
            <w:pPr>
              <w:spacing w:line="240" w:lineRule="auto"/>
              <w:ind w:firstLine="0" w:firstLineChars="0"/>
              <w:contextualSpacing/>
              <w:jc w:val="center"/>
              <w:rPr>
                <w:sz w:val="21"/>
                <w:szCs w:val="21"/>
              </w:rPr>
            </w:pPr>
          </w:p>
        </w:tc>
        <w:tc>
          <w:tcPr>
            <w:tcW w:w="1636" w:type="pct"/>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pPr>
              <w:spacing w:line="240" w:lineRule="auto"/>
              <w:ind w:firstLine="0" w:firstLineChars="0"/>
              <w:contextualSpacing/>
              <w:jc w:val="center"/>
              <w:rPr>
                <w:sz w:val="21"/>
                <w:szCs w:val="21"/>
              </w:rPr>
            </w:pPr>
            <w:r>
              <w:rPr>
                <w:sz w:val="21"/>
                <w:szCs w:val="21"/>
              </w:rPr>
              <w:t>3</w:t>
            </w:r>
          </w:p>
        </w:tc>
        <w:tc>
          <w:tcPr>
            <w:tcW w:w="1607" w:type="dxa"/>
            <w:vAlign w:val="center"/>
          </w:tcPr>
          <w:p>
            <w:pPr>
              <w:spacing w:line="240" w:lineRule="auto"/>
              <w:ind w:firstLine="0" w:firstLineChars="0"/>
              <w:contextualSpacing/>
              <w:jc w:val="center"/>
              <w:rPr>
                <w:sz w:val="21"/>
                <w:szCs w:val="21"/>
              </w:rPr>
            </w:pPr>
            <w:r>
              <w:rPr>
                <w:sz w:val="21"/>
                <w:szCs w:val="21"/>
              </w:rPr>
              <w:t>施工营地</w:t>
            </w:r>
          </w:p>
        </w:tc>
        <w:tc>
          <w:tcPr>
            <w:tcW w:w="943" w:type="pct"/>
            <w:vMerge w:val="continue"/>
            <w:vAlign w:val="center"/>
          </w:tcPr>
          <w:p>
            <w:pPr>
              <w:spacing w:line="240" w:lineRule="auto"/>
              <w:ind w:firstLine="0" w:firstLineChars="0"/>
              <w:contextualSpacing/>
              <w:jc w:val="center"/>
              <w:rPr>
                <w:sz w:val="21"/>
                <w:szCs w:val="21"/>
              </w:rPr>
            </w:pPr>
          </w:p>
        </w:tc>
        <w:tc>
          <w:tcPr>
            <w:tcW w:w="1024" w:type="pct"/>
            <w:vMerge w:val="continue"/>
            <w:vAlign w:val="center"/>
          </w:tcPr>
          <w:p>
            <w:pPr>
              <w:spacing w:line="240" w:lineRule="auto"/>
              <w:ind w:firstLine="0" w:firstLineChars="0"/>
              <w:contextualSpacing/>
              <w:jc w:val="center"/>
              <w:rPr>
                <w:sz w:val="21"/>
                <w:szCs w:val="21"/>
              </w:rPr>
            </w:pPr>
          </w:p>
        </w:tc>
        <w:tc>
          <w:tcPr>
            <w:tcW w:w="1636" w:type="pct"/>
            <w:vMerge w:val="continue"/>
            <w:vAlign w:val="center"/>
          </w:tcPr>
          <w:p>
            <w:pPr>
              <w:spacing w:line="240" w:lineRule="auto"/>
              <w:ind w:firstLine="0" w:firstLineChars="0"/>
              <w:contextualSpacing/>
              <w:jc w:val="center"/>
              <w:rPr>
                <w:sz w:val="21"/>
                <w:szCs w:val="21"/>
              </w:rPr>
            </w:pPr>
          </w:p>
        </w:tc>
      </w:tr>
    </w:tbl>
    <w:p>
      <w:pPr>
        <w:spacing w:line="160" w:lineRule="exact"/>
        <w:ind w:firstLine="480"/>
        <w:contextualSpacing/>
      </w:pPr>
    </w:p>
    <w:p>
      <w:pPr>
        <w:ind w:firstLine="480"/>
        <w:contextualSpacing/>
      </w:pPr>
      <w:r>
        <w:t>（2）监测分析方法</w:t>
      </w:r>
    </w:p>
    <w:p>
      <w:pPr>
        <w:ind w:firstLine="480"/>
        <w:contextualSpacing/>
      </w:pPr>
      <w:r>
        <w:t>监测方法按照《声环境质量标准》（GB3096-2008）和《建筑施工场界噪声测量方法》（GB12524-90）中规定的有关方法执行。</w:t>
      </w:r>
    </w:p>
    <w:p>
      <w:pPr>
        <w:ind w:firstLine="480"/>
        <w:contextualSpacing/>
      </w:pPr>
      <w:r>
        <w:t>（3）资料整编及保存</w:t>
      </w:r>
    </w:p>
    <w:p>
      <w:pPr>
        <w:ind w:firstLine="480"/>
        <w:contextualSpacing/>
      </w:pPr>
      <w:r>
        <w:t>按《环境监测技术规范》的相关规定执行。原始监测资料及整编成果 3 份交寒溪寺水库工程筹备组存档备查。</w:t>
      </w:r>
    </w:p>
    <w:p>
      <w:pPr>
        <w:ind w:firstLine="480"/>
        <w:contextualSpacing/>
      </w:pPr>
      <w:r>
        <w:t>（4）监测人员及仪器设备</w:t>
      </w:r>
    </w:p>
    <w:p>
      <w:pPr>
        <w:ind w:firstLine="480"/>
        <w:contextualSpacing/>
      </w:pPr>
      <w:r>
        <w:t>建议采用合同管理方式，委托当地具有相应监测资质的单位承担。</w:t>
      </w:r>
    </w:p>
    <w:p>
      <w:pPr>
        <w:pStyle w:val="5"/>
        <w:ind w:firstLine="0" w:firstLineChars="0"/>
        <w:contextualSpacing/>
        <w:rPr>
          <w:rFonts w:ascii="Times New Roman" w:hAnsi="Times New Roman"/>
        </w:rPr>
      </w:pPr>
      <w:bookmarkStart w:id="914" w:name="_Toc28052"/>
      <w:r>
        <w:rPr>
          <w:rFonts w:ascii="Times New Roman" w:hAnsi="Times New Roman"/>
        </w:rPr>
        <w:t>8.3.5陆生生态监测计划</w:t>
      </w:r>
      <w:bookmarkEnd w:id="914"/>
    </w:p>
    <w:p>
      <w:pPr>
        <w:ind w:firstLine="480"/>
        <w:contextualSpacing/>
      </w:pPr>
      <w:r>
        <w:t>（1）监测目的</w:t>
      </w:r>
    </w:p>
    <w:p>
      <w:pPr>
        <w:ind w:firstLine="480"/>
        <w:contextualSpacing/>
      </w:pPr>
      <w:r>
        <w:t>了解工程施工和运行对陆生生态的影响，掌握陆生生态修复及其它保护措施的实际效果，为工程陆生生态环境保护及流域环境管理提供依据。</w:t>
      </w:r>
    </w:p>
    <w:p>
      <w:pPr>
        <w:ind w:firstLine="480"/>
        <w:contextualSpacing/>
      </w:pPr>
      <w:r>
        <w:t>（2）监测内容</w:t>
      </w:r>
    </w:p>
    <w:p>
      <w:pPr>
        <w:ind w:firstLine="480"/>
        <w:contextualSpacing/>
      </w:pPr>
      <w:r>
        <w:t>根据工程建设对陆生生态环境影响特征以及陆生生态变化趋势特点，陆生生态监测内容包括以下几个方面：</w:t>
      </w:r>
    </w:p>
    <w:p>
      <w:pPr>
        <w:ind w:firstLine="480"/>
        <w:contextualSpacing/>
      </w:pPr>
      <w:r>
        <w:t>1）陆生植被监测</w:t>
      </w:r>
    </w:p>
    <w:p>
      <w:pPr>
        <w:ind w:firstLine="480"/>
        <w:contextualSpacing/>
      </w:pPr>
      <w:r>
        <w:t>根据工程区热带雨林植被特征，在工程库区典型地段选择监测点，并设置固定样地监测植被演替变化特征。</w:t>
      </w:r>
    </w:p>
    <w:p>
      <w:pPr>
        <w:ind w:firstLine="480"/>
        <w:contextualSpacing/>
      </w:pPr>
      <w:r>
        <w:t>2）植被恢复效果监测</w:t>
      </w:r>
    </w:p>
    <w:p>
      <w:pPr>
        <w:ind w:firstLine="480"/>
        <w:contextualSpacing/>
      </w:pPr>
      <w:r>
        <w:t>为获取实施植被恢复措施效果并为验收提供依据，需定期对料场区等恢复迹地进行生态监测，包括植物成活率、植被覆盖率、植物种类变化等。</w:t>
      </w:r>
    </w:p>
    <w:p>
      <w:pPr>
        <w:ind w:firstLine="480"/>
        <w:contextualSpacing/>
      </w:pPr>
      <w:r>
        <w:t>3）陆生动物监测</w:t>
      </w:r>
    </w:p>
    <w:p>
      <w:pPr>
        <w:ind w:firstLine="480"/>
        <w:contextualSpacing/>
      </w:pPr>
      <w:r>
        <w:t>由于寒溪寺水库工程涉及范围大，水库蓄水后库区陆生动物动态变化情况需通过长期监测进行，重点为珍稀濒危物种种群动态变化、主要物种种群动态变化以及栖息生境变化。</w:t>
      </w:r>
    </w:p>
    <w:p>
      <w:pPr>
        <w:ind w:firstLine="480"/>
        <w:contextualSpacing/>
      </w:pPr>
      <w:r>
        <w:t>4）生境监测</w:t>
      </w:r>
    </w:p>
    <w:p>
      <w:pPr>
        <w:ind w:firstLine="480"/>
        <w:contextualSpacing/>
      </w:pPr>
      <w:r>
        <w:t>为掌握工程建设后库周陆生生境条件变化，需对工程建成后库区生境条件进行监测，包括小气候、土壤等。</w:t>
      </w:r>
    </w:p>
    <w:p>
      <w:pPr>
        <w:ind w:firstLine="480"/>
        <w:contextualSpacing/>
      </w:pPr>
      <w:r>
        <w:t>（3）调查监测频次</w:t>
      </w:r>
    </w:p>
    <w:p>
      <w:pPr>
        <w:ind w:firstLine="480"/>
        <w:contextualSpacing/>
      </w:pPr>
      <w:r>
        <w:t>工程生态监测时间主要为工程建设期和运行期，其中工程施工期监测1期，蓄水后以2年为1个监测周期，进行3期监测。试运行期监测纳入到寒溪寺水库工程主体工程竣工验收监测计划中，工程竣工后监测调查1期。</w:t>
      </w:r>
    </w:p>
    <w:p>
      <w:pPr>
        <w:ind w:firstLine="422"/>
        <w:contextualSpacing/>
        <w:jc w:val="center"/>
        <w:rPr>
          <w:b/>
          <w:bCs/>
          <w:sz w:val="21"/>
          <w:szCs w:val="21"/>
        </w:rPr>
      </w:pPr>
      <w:r>
        <w:rPr>
          <w:b/>
          <w:bCs/>
          <w:sz w:val="21"/>
          <w:szCs w:val="21"/>
        </w:rPr>
        <w:t>表8.3.5-1  施工期陆生生态监测时间及频次一览表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监测内容</w:t>
            </w:r>
          </w:p>
        </w:tc>
        <w:tc>
          <w:tcPr>
            <w:tcW w:w="6608" w:type="dxa"/>
            <w:vAlign w:val="center"/>
          </w:tcPr>
          <w:p>
            <w:pPr>
              <w:spacing w:line="240" w:lineRule="auto"/>
              <w:ind w:firstLine="0" w:firstLineChars="0"/>
              <w:contextualSpacing/>
              <w:jc w:val="center"/>
              <w:rPr>
                <w:sz w:val="21"/>
                <w:szCs w:val="21"/>
              </w:rPr>
            </w:pPr>
            <w:r>
              <w:rPr>
                <w:sz w:val="21"/>
                <w:szCs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4" w:type="dxa"/>
            <w:vAlign w:val="center"/>
          </w:tcPr>
          <w:p>
            <w:pPr>
              <w:spacing w:line="240" w:lineRule="auto"/>
              <w:ind w:firstLine="0" w:firstLineChars="0"/>
              <w:contextualSpacing/>
              <w:jc w:val="center"/>
              <w:rPr>
                <w:sz w:val="21"/>
                <w:szCs w:val="21"/>
              </w:rPr>
            </w:pPr>
            <w:r>
              <w:rPr>
                <w:sz w:val="21"/>
                <w:szCs w:val="21"/>
              </w:rPr>
              <w:t>陆生植被监测</w:t>
            </w:r>
          </w:p>
        </w:tc>
        <w:tc>
          <w:tcPr>
            <w:tcW w:w="6608" w:type="dxa"/>
            <w:vAlign w:val="center"/>
          </w:tcPr>
          <w:p>
            <w:pPr>
              <w:spacing w:line="240" w:lineRule="auto"/>
              <w:ind w:firstLine="0" w:firstLineChars="0"/>
              <w:contextualSpacing/>
              <w:jc w:val="center"/>
              <w:rPr>
                <w:sz w:val="21"/>
                <w:szCs w:val="21"/>
              </w:rPr>
            </w:pPr>
            <w:r>
              <w:rPr>
                <w:sz w:val="21"/>
                <w:szCs w:val="21"/>
              </w:rPr>
              <w:t>水库蓄水前调查1期；蓄水后调查1期，进行2期监测；每期监测在一个年度内分别进行雨季和旱季2次监测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植被恢复效果监测</w:t>
            </w:r>
          </w:p>
        </w:tc>
        <w:tc>
          <w:tcPr>
            <w:tcW w:w="6608" w:type="dxa"/>
            <w:vAlign w:val="center"/>
          </w:tcPr>
          <w:p>
            <w:pPr>
              <w:spacing w:line="240" w:lineRule="auto"/>
              <w:ind w:firstLine="0" w:firstLineChars="0"/>
              <w:contextualSpacing/>
              <w:jc w:val="center"/>
              <w:rPr>
                <w:sz w:val="21"/>
                <w:szCs w:val="21"/>
              </w:rPr>
            </w:pPr>
            <w:r>
              <w:rPr>
                <w:sz w:val="21"/>
                <w:szCs w:val="21"/>
              </w:rPr>
              <w:t>生态修复工程实施后，每2年调查1期，共调查2期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陆生动物监测</w:t>
            </w:r>
          </w:p>
        </w:tc>
        <w:tc>
          <w:tcPr>
            <w:tcW w:w="6608" w:type="dxa"/>
            <w:vAlign w:val="center"/>
          </w:tcPr>
          <w:p>
            <w:pPr>
              <w:spacing w:line="240" w:lineRule="auto"/>
              <w:ind w:firstLine="0" w:firstLineChars="0"/>
              <w:contextualSpacing/>
              <w:jc w:val="center"/>
              <w:rPr>
                <w:sz w:val="21"/>
                <w:szCs w:val="21"/>
              </w:rPr>
            </w:pPr>
            <w:r>
              <w:rPr>
                <w:sz w:val="21"/>
                <w:szCs w:val="21"/>
              </w:rPr>
              <w:t>水库蓄水前调查1期；蓄水后调查1期，进行2期监测；每期监测在一个年度内分别进行雨季和旱季2次监测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生境监测</w:t>
            </w:r>
          </w:p>
        </w:tc>
        <w:tc>
          <w:tcPr>
            <w:tcW w:w="6608" w:type="dxa"/>
            <w:vAlign w:val="center"/>
          </w:tcPr>
          <w:p>
            <w:pPr>
              <w:spacing w:line="240" w:lineRule="auto"/>
              <w:ind w:firstLine="0" w:firstLineChars="0"/>
              <w:contextualSpacing/>
              <w:jc w:val="center"/>
              <w:rPr>
                <w:sz w:val="21"/>
                <w:szCs w:val="21"/>
              </w:rPr>
            </w:pPr>
            <w:r>
              <w:rPr>
                <w:sz w:val="21"/>
                <w:szCs w:val="21"/>
              </w:rPr>
              <w:t>水库蓄水前调查1期；蓄水后调查1期，进行2期监测；每期监测在一个年度内分别进行雨季和旱季2次监测</w:t>
            </w:r>
          </w:p>
        </w:tc>
      </w:tr>
    </w:tbl>
    <w:p>
      <w:pPr>
        <w:spacing w:line="160" w:lineRule="exact"/>
        <w:ind w:firstLine="480"/>
        <w:contextualSpacing/>
      </w:pPr>
    </w:p>
    <w:p>
      <w:pPr>
        <w:ind w:firstLine="480"/>
        <w:contextualSpacing/>
      </w:pPr>
      <w:r>
        <w:t>（4）监测方法</w:t>
      </w:r>
    </w:p>
    <w:p>
      <w:pPr>
        <w:ind w:firstLine="480"/>
        <w:contextualSpacing/>
      </w:pPr>
      <w:r>
        <w:t>1）植被和植物监测</w:t>
      </w:r>
    </w:p>
    <w:p>
      <w:pPr>
        <w:ind w:firstLine="480"/>
        <w:contextualSpacing/>
      </w:pPr>
      <w:r>
        <w:t>监测点：分别在坝址两岸、库区、库尾两岸各选择1处监测点，共3处监测点。</w:t>
      </w:r>
    </w:p>
    <w:p>
      <w:pPr>
        <w:ind w:firstLine="480"/>
        <w:contextualSpacing/>
      </w:pPr>
      <w:r>
        <w:t>样带调查法：每个监测点分别布置水平样带、垂直样带各1条。水平样带布置于水库淹没线以上100m范围内，宽30m、长1000m（根据监测点的具体条件，可分左右岸各设置长500m样带各1条）；垂直样带布置于水库淹没线至周边高高程点范围内。每个样带用GPS记录其地理位置，并作永久标记，供运行期监测使用。植被调查法：将样带按50m长划分为20个样方，依次记录各样方的植物种类、大小和数量。乔木植物：逐株测量树高、胸径、冠幅；灌木植物：在每个样方内系统设置5个5m×5m小样方，逐种记录丛（株）数、每丛记录高度、丛径、株数；草本植物：在每个灌木样方内系统设置1个2m×2m小样方，逐种记录丛（株）数、每丛记录高度、丛径。</w:t>
      </w:r>
    </w:p>
    <w:p>
      <w:pPr>
        <w:ind w:firstLine="480"/>
        <w:contextualSpacing/>
      </w:pPr>
      <w:r>
        <w:t>植物调查法：在样带内调查记录所有植物物种，记录每种乔木植物的株数，灌木和草本植物按5级记录其相对数量。</w:t>
      </w:r>
    </w:p>
    <w:p>
      <w:pPr>
        <w:ind w:firstLine="480"/>
        <w:contextualSpacing/>
      </w:pPr>
      <w:r>
        <w:t>水库营运期初期应进行监测，每次监测应形成监测报告，</w:t>
      </w:r>
      <w:r>
        <w:rPr>
          <w:kern w:val="0"/>
        </w:rPr>
        <w:t>上报管理部门。</w:t>
      </w:r>
    </w:p>
    <w:p>
      <w:pPr>
        <w:ind w:firstLine="480"/>
        <w:contextualSpacing/>
      </w:pPr>
      <w:r>
        <w:t>2）植被恢复效果监测</w:t>
      </w:r>
    </w:p>
    <w:p>
      <w:pPr>
        <w:ind w:firstLine="480"/>
        <w:contextualSpacing/>
      </w:pPr>
      <w:r>
        <w:t>在植被恢复初期，在料场区等各施工迹地设置10～20个5m×5m或2m×2m小样方，对小样方内植物生长情况进行调查，包括成活率、萌发情况、幼树长势、植被覆盖率、植物种类变化等。</w:t>
      </w:r>
    </w:p>
    <w:p>
      <w:pPr>
        <w:ind w:firstLine="480"/>
        <w:contextualSpacing/>
      </w:pPr>
      <w:r>
        <w:t>3）陆生动物监测</w:t>
      </w:r>
    </w:p>
    <w:p>
      <w:pPr>
        <w:ind w:firstLine="480"/>
        <w:contextualSpacing/>
      </w:pPr>
      <w:r>
        <w:t>分别在坝址、库区、库尾各选择1～2处监测点。鉴于陆生脊椎动物种群较小，统计在调查区域能见到的所有兽类、爬行类、两栖类、鸟类的物种及其数量。</w:t>
      </w:r>
    </w:p>
    <w:p>
      <w:pPr>
        <w:ind w:firstLine="480"/>
        <w:contextualSpacing/>
      </w:pPr>
      <w:r>
        <w:rPr>
          <w:rFonts w:hint="eastAsia" w:ascii="宋体" w:hAnsi="宋体" w:cs="宋体"/>
        </w:rPr>
        <w:t>①</w:t>
      </w:r>
      <w:r>
        <w:t>兽类及爬行类野生动物调查</w:t>
      </w:r>
    </w:p>
    <w:p>
      <w:pPr>
        <w:ind w:firstLine="480"/>
        <w:contextualSpacing/>
      </w:pPr>
      <w:r>
        <w:t>陆生动物调查采用相对数量调查方法中的样带调查法。通常在大面积调查中只可能调查总面积的一部分（调查的面积不得少于栖息面积的10%），经数理统计估算动物数量。陆生动物的调查选择在7月份调查1次，此时野生动物活动比较活跃。采用随机抽样的方法，在各点位根据陆生生物组成设置固定样线2～3条，路线的长度和宽度可以是固定的，也可以是变化的。本调查方法的原理为先求出样带（样本）的密度（观测值），再求出样带的平均密度（样本平均值），以平均密度作为被调查动物总体密度的均值，推算出总的数量。</w:t>
      </w:r>
    </w:p>
    <w:p>
      <w:pPr>
        <w:ind w:firstLine="480"/>
        <w:contextualSpacing/>
      </w:pPr>
      <w:r>
        <w:rPr>
          <w:rFonts w:hint="eastAsia" w:ascii="宋体" w:hAnsi="宋体" w:cs="宋体"/>
        </w:rPr>
        <w:t>②</w:t>
      </w:r>
      <w:r>
        <w:t>两栖类野生动物调查</w:t>
      </w:r>
    </w:p>
    <w:p>
      <w:pPr>
        <w:ind w:firstLine="480"/>
        <w:contextualSpacing/>
      </w:pPr>
      <w:r>
        <w:t>根据当地两栖类资源和生境特点，各监测点设置2条样带，样带长为50m，宽为5m。</w:t>
      </w:r>
    </w:p>
    <w:p>
      <w:pPr>
        <w:ind w:firstLine="480"/>
        <w:contextualSpacing/>
      </w:pPr>
      <w:r>
        <w:t>根据已有关于本区域两栖类的资料，样带全部选择调查水域生境。调查日期选择两栖类繁殖季节即4～7月进行，观察两栖类的实体和叫声，并记录两栖类种类、数量、生境类型等。</w:t>
      </w:r>
    </w:p>
    <w:p>
      <w:pPr>
        <w:ind w:firstLine="480"/>
        <w:contextualSpacing/>
      </w:pPr>
      <w:r>
        <w:rPr>
          <w:rFonts w:hint="eastAsia" w:ascii="宋体" w:hAnsi="宋体" w:cs="宋体"/>
        </w:rPr>
        <w:t>③</w:t>
      </w:r>
      <w:r>
        <w:t>鸟类野生动物调查</w:t>
      </w:r>
    </w:p>
    <w:p>
      <w:pPr>
        <w:ind w:firstLine="480"/>
        <w:contextualSpacing/>
      </w:pPr>
      <w:r>
        <w:t>鸟类调查采用样线法。在各监测点设定2条长1km的样线，以0.5～1km/h的步行速度，沿着设定好的样线，记录在调查样线两侧各 50m 范围（包括空中）见到或听到的鸟类种类和数量，每种鸟种的数量取其在调查中最高能被记录到的个体数量。</w:t>
      </w:r>
    </w:p>
    <w:p>
      <w:pPr>
        <w:ind w:firstLine="480"/>
        <w:contextualSpacing/>
      </w:pPr>
      <w:r>
        <w:t>4）小气候和土壤监测</w:t>
      </w:r>
    </w:p>
    <w:p>
      <w:pPr>
        <w:ind w:firstLine="480"/>
        <w:contextualSpacing/>
      </w:pPr>
      <w:r>
        <w:t>与植被（植物）监测同步进行，在固定样地内设置小气候自动监测仪，对地面生态环境及多种气象要素（温度、湿度、风速、风向、气压、雨量、太阳辐射、蒸发、热通量、土壤温度、土壤湿度、CO</w:t>
      </w:r>
      <w:r>
        <w:rPr>
          <w:vertAlign w:val="subscript"/>
        </w:rPr>
        <w:t>2</w:t>
      </w:r>
      <w:r>
        <w:t>等）进行定时自动采集。</w:t>
      </w:r>
    </w:p>
    <w:p>
      <w:pPr>
        <w:ind w:firstLine="480"/>
        <w:contextualSpacing/>
      </w:pPr>
      <w:r>
        <w:t>土壤调查项目主要为土壤层厚度、土壤容重、土壤含水率以及与反映土壤储水能力的土壤非毛管孔隙度，其中土壤层厚度、土壤容重为普查项目（调查1次），而对地下水变化响应较为明显的土壤含水率进行长期性调查。</w:t>
      </w:r>
    </w:p>
    <w:p>
      <w:pPr>
        <w:ind w:firstLine="480"/>
        <w:contextualSpacing/>
      </w:pPr>
      <w:r>
        <w:t>（5）调查监测单位</w:t>
      </w:r>
    </w:p>
    <w:p>
      <w:pPr>
        <w:ind w:firstLine="480"/>
        <w:contextualSpacing/>
      </w:pPr>
      <w:r>
        <w:t>委托具有相应技术实力的企事业单位承担。</w:t>
      </w:r>
    </w:p>
    <w:p>
      <w:pPr>
        <w:ind w:firstLine="422"/>
        <w:contextualSpacing/>
        <w:jc w:val="center"/>
        <w:rPr>
          <w:b/>
          <w:bCs/>
          <w:sz w:val="21"/>
          <w:szCs w:val="21"/>
        </w:rPr>
      </w:pPr>
      <w:r>
        <w:rPr>
          <w:b/>
          <w:bCs/>
          <w:sz w:val="21"/>
          <w:szCs w:val="21"/>
        </w:rPr>
        <w:t>表8.3.5-3 施工期陆生生态监测点位一览表</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监测内容</w:t>
            </w:r>
          </w:p>
        </w:tc>
        <w:tc>
          <w:tcPr>
            <w:tcW w:w="6608" w:type="dxa"/>
            <w:vAlign w:val="center"/>
          </w:tcPr>
          <w:p>
            <w:pPr>
              <w:spacing w:line="240" w:lineRule="auto"/>
              <w:ind w:firstLine="0" w:firstLineChars="0"/>
              <w:contextualSpacing/>
              <w:jc w:val="center"/>
              <w:rPr>
                <w:sz w:val="21"/>
                <w:szCs w:val="21"/>
              </w:rPr>
            </w:pPr>
            <w:r>
              <w:rPr>
                <w:sz w:val="21"/>
                <w:szCs w:val="21"/>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陆生植被监测</w:t>
            </w:r>
          </w:p>
        </w:tc>
        <w:tc>
          <w:tcPr>
            <w:tcW w:w="6608" w:type="dxa"/>
            <w:vAlign w:val="center"/>
          </w:tcPr>
          <w:p>
            <w:pPr>
              <w:spacing w:line="240" w:lineRule="auto"/>
              <w:ind w:firstLine="0" w:firstLineChars="0"/>
              <w:contextualSpacing/>
              <w:jc w:val="center"/>
              <w:rPr>
                <w:sz w:val="21"/>
                <w:szCs w:val="21"/>
              </w:rPr>
            </w:pPr>
            <w:r>
              <w:rPr>
                <w:sz w:val="21"/>
                <w:szCs w:val="21"/>
              </w:rPr>
              <w:t>坝址、库区、库尾各选择1处监测点，共3处监测点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植被恢复效果监测</w:t>
            </w:r>
          </w:p>
        </w:tc>
        <w:tc>
          <w:tcPr>
            <w:tcW w:w="6608" w:type="dxa"/>
            <w:vAlign w:val="center"/>
          </w:tcPr>
          <w:p>
            <w:pPr>
              <w:spacing w:line="240" w:lineRule="auto"/>
              <w:ind w:firstLine="0" w:firstLineChars="0"/>
              <w:contextualSpacing/>
              <w:jc w:val="center"/>
              <w:rPr>
                <w:sz w:val="21"/>
                <w:szCs w:val="21"/>
              </w:rPr>
            </w:pPr>
            <w:r>
              <w:rPr>
                <w:sz w:val="21"/>
                <w:szCs w:val="21"/>
              </w:rPr>
              <w:t>料场区等植被修复区，设置10～20个样方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陆生动物监测</w:t>
            </w:r>
          </w:p>
        </w:tc>
        <w:tc>
          <w:tcPr>
            <w:tcW w:w="6608" w:type="dxa"/>
            <w:vAlign w:val="center"/>
          </w:tcPr>
          <w:p>
            <w:pPr>
              <w:spacing w:line="240" w:lineRule="auto"/>
              <w:ind w:firstLine="0" w:firstLineChars="0"/>
              <w:contextualSpacing/>
              <w:jc w:val="center"/>
              <w:rPr>
                <w:sz w:val="21"/>
                <w:szCs w:val="21"/>
              </w:rPr>
            </w:pPr>
            <w:r>
              <w:rPr>
                <w:sz w:val="21"/>
                <w:szCs w:val="21"/>
              </w:rPr>
              <w:t>坝址、库区、库尾各选择1～2处监测点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line="240" w:lineRule="auto"/>
              <w:ind w:firstLine="0" w:firstLineChars="0"/>
              <w:contextualSpacing/>
              <w:jc w:val="center"/>
              <w:rPr>
                <w:sz w:val="21"/>
                <w:szCs w:val="21"/>
              </w:rPr>
            </w:pPr>
            <w:r>
              <w:rPr>
                <w:sz w:val="21"/>
                <w:szCs w:val="21"/>
              </w:rPr>
              <w:t>生境监测</w:t>
            </w:r>
          </w:p>
        </w:tc>
        <w:tc>
          <w:tcPr>
            <w:tcW w:w="6608" w:type="dxa"/>
            <w:vAlign w:val="center"/>
          </w:tcPr>
          <w:p>
            <w:pPr>
              <w:spacing w:line="240" w:lineRule="auto"/>
              <w:ind w:firstLine="0" w:firstLineChars="0"/>
              <w:contextualSpacing/>
              <w:jc w:val="center"/>
              <w:rPr>
                <w:sz w:val="21"/>
                <w:szCs w:val="21"/>
              </w:rPr>
            </w:pPr>
            <w:r>
              <w:rPr>
                <w:sz w:val="21"/>
                <w:szCs w:val="21"/>
              </w:rPr>
              <w:t>同植被监测</w:t>
            </w:r>
          </w:p>
        </w:tc>
      </w:tr>
    </w:tbl>
    <w:p>
      <w:pPr>
        <w:spacing w:line="160" w:lineRule="exact"/>
        <w:ind w:firstLine="480"/>
        <w:contextualSpacing/>
      </w:pPr>
      <w:bookmarkStart w:id="915" w:name="_Toc28802"/>
    </w:p>
    <w:p>
      <w:pPr>
        <w:pStyle w:val="5"/>
        <w:ind w:firstLine="0" w:firstLineChars="0"/>
        <w:contextualSpacing/>
        <w:rPr>
          <w:rFonts w:ascii="Times New Roman" w:hAnsi="Times New Roman"/>
        </w:rPr>
      </w:pPr>
      <w:r>
        <w:rPr>
          <w:rFonts w:ascii="Times New Roman" w:hAnsi="Times New Roman"/>
        </w:rPr>
        <w:t>8.3.6水生生态监测计划</w:t>
      </w:r>
      <w:bookmarkEnd w:id="915"/>
    </w:p>
    <w:p>
      <w:pPr>
        <w:ind w:firstLine="0" w:firstLineChars="0"/>
        <w:contextualSpacing/>
        <w:outlineLvl w:val="3"/>
        <w:rPr>
          <w:b/>
          <w:bCs/>
        </w:rPr>
      </w:pPr>
      <w:r>
        <w:rPr>
          <w:b/>
          <w:bCs/>
        </w:rPr>
        <w:t>8.3.6.1水生生态常规监测</w:t>
      </w:r>
    </w:p>
    <w:p>
      <w:pPr>
        <w:pStyle w:val="35"/>
        <w:widowControl w:val="0"/>
        <w:spacing w:before="0" w:beforeAutospacing="0" w:after="0" w:afterAutospacing="0"/>
        <w:ind w:firstLine="480"/>
        <w:contextualSpacing/>
        <w:jc w:val="both"/>
        <w:rPr>
          <w:rFonts w:ascii="Times New Roman" w:hAnsi="Times New Roman" w:cs="Times New Roman"/>
        </w:rPr>
      </w:pPr>
      <w:r>
        <w:rPr>
          <w:rFonts w:ascii="Times New Roman" w:hAnsi="Times New Roman" w:cs="Times New Roman"/>
        </w:rPr>
        <w:t>（1）监测点位布设</w:t>
      </w:r>
    </w:p>
    <w:p>
      <w:pPr>
        <w:pStyle w:val="35"/>
        <w:widowControl w:val="0"/>
        <w:spacing w:before="0" w:beforeAutospacing="0" w:after="0" w:afterAutospacing="0"/>
        <w:ind w:firstLine="480"/>
        <w:contextualSpacing/>
        <w:jc w:val="both"/>
        <w:rPr>
          <w:rFonts w:ascii="Times New Roman" w:hAnsi="Times New Roman" w:cs="Times New Roman"/>
        </w:rPr>
      </w:pPr>
      <w:r>
        <w:rPr>
          <w:rFonts w:ascii="Times New Roman" w:hAnsi="Times New Roman" w:cs="Times New Roman"/>
        </w:rPr>
        <w:t>为掌握工程兴建对河道水生生物的影响，工程运行期和建设期需设水生生态的调查和监测断面，结合工程开发方式，拟在4个监测断面（表8.3.6-1）。</w:t>
      </w:r>
    </w:p>
    <w:p>
      <w:pPr>
        <w:pStyle w:val="101"/>
        <w:spacing w:line="360" w:lineRule="auto"/>
        <w:ind w:left="0" w:leftChars="0" w:right="0" w:rightChars="0" w:firstLine="91" w:firstLineChars="0"/>
        <w:contextualSpacing/>
        <w:rPr>
          <w:rFonts w:eastAsia="宋体"/>
          <w:b/>
          <w:kern w:val="0"/>
          <w:sz w:val="21"/>
        </w:rPr>
      </w:pPr>
      <w:r>
        <w:rPr>
          <w:rFonts w:eastAsia="宋体"/>
          <w:b/>
          <w:kern w:val="0"/>
          <w:sz w:val="21"/>
        </w:rPr>
        <w:t>表8.3.6-1  水生生态监测采样断面</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4"/>
        <w:gridCol w:w="6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2"/>
            <w:vAlign w:val="center"/>
          </w:tcPr>
          <w:p>
            <w:pPr>
              <w:widowControl/>
              <w:spacing w:line="240" w:lineRule="auto"/>
              <w:ind w:firstLine="0" w:firstLineChars="0"/>
              <w:contextualSpacing/>
              <w:jc w:val="center"/>
              <w:rPr>
                <w:b/>
                <w:bCs/>
                <w:kern w:val="0"/>
                <w:sz w:val="21"/>
                <w:szCs w:val="21"/>
              </w:rPr>
            </w:pPr>
            <w:r>
              <w:rPr>
                <w:b/>
                <w:bCs/>
                <w:kern w:val="0"/>
                <w:sz w:val="21"/>
                <w:szCs w:val="21"/>
              </w:rPr>
              <w:t>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pct"/>
            <w:vAlign w:val="center"/>
          </w:tcPr>
          <w:p>
            <w:pPr>
              <w:widowControl/>
              <w:spacing w:line="240" w:lineRule="auto"/>
              <w:ind w:firstLine="0" w:firstLineChars="0"/>
              <w:contextualSpacing/>
              <w:jc w:val="center"/>
              <w:rPr>
                <w:kern w:val="0"/>
                <w:sz w:val="21"/>
                <w:szCs w:val="21"/>
              </w:rPr>
            </w:pPr>
            <w:r>
              <w:rPr>
                <w:kern w:val="0"/>
                <w:sz w:val="21"/>
                <w:szCs w:val="21"/>
              </w:rPr>
              <w:t>断面1</w:t>
            </w:r>
          </w:p>
        </w:tc>
        <w:tc>
          <w:tcPr>
            <w:tcW w:w="3865" w:type="pct"/>
            <w:vAlign w:val="center"/>
          </w:tcPr>
          <w:p>
            <w:pPr>
              <w:widowControl/>
              <w:spacing w:line="240" w:lineRule="auto"/>
              <w:ind w:firstLine="0" w:firstLineChars="0"/>
              <w:contextualSpacing/>
              <w:jc w:val="center"/>
              <w:rPr>
                <w:kern w:val="0"/>
                <w:sz w:val="21"/>
                <w:szCs w:val="21"/>
              </w:rPr>
            </w:pPr>
            <w:r>
              <w:rPr>
                <w:kern w:val="0"/>
                <w:sz w:val="21"/>
                <w:szCs w:val="21"/>
              </w:rPr>
              <w:t>坝址上游蔡家河3km处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pct"/>
            <w:vAlign w:val="center"/>
          </w:tcPr>
          <w:p>
            <w:pPr>
              <w:widowControl/>
              <w:spacing w:line="240" w:lineRule="auto"/>
              <w:ind w:firstLine="0" w:firstLineChars="0"/>
              <w:contextualSpacing/>
              <w:jc w:val="center"/>
              <w:rPr>
                <w:kern w:val="0"/>
                <w:sz w:val="21"/>
                <w:szCs w:val="21"/>
              </w:rPr>
            </w:pPr>
            <w:r>
              <w:rPr>
                <w:kern w:val="0"/>
                <w:sz w:val="21"/>
                <w:szCs w:val="21"/>
              </w:rPr>
              <w:t>断面2</w:t>
            </w:r>
          </w:p>
        </w:tc>
        <w:tc>
          <w:tcPr>
            <w:tcW w:w="3865" w:type="pct"/>
            <w:vAlign w:val="center"/>
          </w:tcPr>
          <w:p>
            <w:pPr>
              <w:widowControl/>
              <w:spacing w:line="240" w:lineRule="auto"/>
              <w:ind w:firstLine="0" w:firstLineChars="0"/>
              <w:contextualSpacing/>
              <w:jc w:val="center"/>
              <w:rPr>
                <w:kern w:val="0"/>
                <w:sz w:val="21"/>
                <w:szCs w:val="21"/>
              </w:rPr>
            </w:pPr>
            <w:r>
              <w:rPr>
                <w:kern w:val="0"/>
                <w:sz w:val="21"/>
                <w:szCs w:val="21"/>
              </w:rPr>
              <w:t>坝址处蔡家河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pct"/>
            <w:vAlign w:val="center"/>
          </w:tcPr>
          <w:p>
            <w:pPr>
              <w:widowControl/>
              <w:spacing w:line="240" w:lineRule="auto"/>
              <w:ind w:firstLine="0" w:firstLineChars="0"/>
              <w:contextualSpacing/>
              <w:jc w:val="center"/>
              <w:rPr>
                <w:kern w:val="0"/>
                <w:sz w:val="21"/>
                <w:szCs w:val="21"/>
              </w:rPr>
            </w:pPr>
            <w:r>
              <w:rPr>
                <w:kern w:val="0"/>
                <w:sz w:val="21"/>
                <w:szCs w:val="21"/>
              </w:rPr>
              <w:t>断面3</w:t>
            </w:r>
          </w:p>
        </w:tc>
        <w:tc>
          <w:tcPr>
            <w:tcW w:w="3865" w:type="pct"/>
            <w:vAlign w:val="center"/>
          </w:tcPr>
          <w:p>
            <w:pPr>
              <w:widowControl/>
              <w:spacing w:line="240" w:lineRule="auto"/>
              <w:ind w:firstLine="0" w:firstLineChars="0"/>
              <w:contextualSpacing/>
              <w:jc w:val="center"/>
              <w:rPr>
                <w:kern w:val="0"/>
                <w:sz w:val="21"/>
                <w:szCs w:val="21"/>
              </w:rPr>
            </w:pPr>
            <w:r>
              <w:rPr>
                <w:kern w:val="0"/>
                <w:sz w:val="21"/>
                <w:szCs w:val="21"/>
              </w:rPr>
              <w:t>坝址下游2.5km蔡家河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pct"/>
            <w:vAlign w:val="center"/>
          </w:tcPr>
          <w:p>
            <w:pPr>
              <w:widowControl/>
              <w:spacing w:line="240" w:lineRule="auto"/>
              <w:ind w:firstLine="0" w:firstLineChars="0"/>
              <w:contextualSpacing/>
              <w:jc w:val="center"/>
              <w:rPr>
                <w:kern w:val="0"/>
                <w:sz w:val="21"/>
                <w:szCs w:val="21"/>
              </w:rPr>
            </w:pPr>
            <w:r>
              <w:rPr>
                <w:kern w:val="0"/>
                <w:sz w:val="21"/>
                <w:szCs w:val="21"/>
              </w:rPr>
              <w:t>断面4</w:t>
            </w:r>
          </w:p>
        </w:tc>
        <w:tc>
          <w:tcPr>
            <w:tcW w:w="3865" w:type="pct"/>
            <w:vAlign w:val="center"/>
          </w:tcPr>
          <w:p>
            <w:pPr>
              <w:widowControl/>
              <w:spacing w:line="240" w:lineRule="auto"/>
              <w:ind w:firstLine="0" w:firstLineChars="0"/>
              <w:contextualSpacing/>
              <w:jc w:val="center"/>
              <w:rPr>
                <w:kern w:val="0"/>
                <w:sz w:val="21"/>
                <w:szCs w:val="21"/>
              </w:rPr>
            </w:pPr>
            <w:r>
              <w:rPr>
                <w:kern w:val="0"/>
                <w:sz w:val="21"/>
                <w:szCs w:val="21"/>
              </w:rPr>
              <w:t>水库下游</w:t>
            </w:r>
            <w:r>
              <w:rPr>
                <w:rFonts w:hint="eastAsia"/>
                <w:kern w:val="0"/>
                <w:sz w:val="21"/>
                <w:szCs w:val="21"/>
              </w:rPr>
              <w:t>至寒溪寺水库库尾</w:t>
            </w:r>
          </w:p>
        </w:tc>
      </w:tr>
    </w:tbl>
    <w:p>
      <w:pPr>
        <w:ind w:firstLine="480"/>
        <w:contextualSpacing/>
      </w:pPr>
      <w:r>
        <w:t>（2）监测技术要求</w:t>
      </w:r>
    </w:p>
    <w:p>
      <w:pPr>
        <w:ind w:firstLine="480"/>
        <w:contextualSpacing/>
      </w:pPr>
      <w:r>
        <w:t>水库施工期监测6次（每年2次）、运行期（共8次；每年监测2次，监测4年），共监测14次，应按相关规范进行。</w:t>
      </w:r>
    </w:p>
    <w:p>
      <w:pPr>
        <w:ind w:firstLine="480"/>
        <w:contextualSpacing/>
      </w:pPr>
      <w:r>
        <w:t>为了进一步摸清寒溪寺水库工程对水生生态环境的影响，监测内容如下：</w:t>
      </w:r>
    </w:p>
    <w:p>
      <w:pPr>
        <w:ind w:firstLine="480"/>
        <w:contextualSpacing/>
      </w:pPr>
      <w:r>
        <w:t>1）监测施工期工程区河段水生生物变化情况；</w:t>
      </w:r>
    </w:p>
    <w:p>
      <w:pPr>
        <w:ind w:firstLine="480"/>
        <w:contextualSpacing/>
      </w:pPr>
      <w:r>
        <w:t>2）监测工程河段鱼类种类及种群、“三场”分布及变化情况；</w:t>
      </w:r>
    </w:p>
    <w:p>
      <w:pPr>
        <w:ind w:firstLine="480"/>
        <w:contextualSpacing/>
      </w:pPr>
      <w:r>
        <w:t>3）监测工程影响河段水质变化情况；</w:t>
      </w:r>
    </w:p>
    <w:p>
      <w:pPr>
        <w:ind w:firstLine="480"/>
        <w:contextualSpacing/>
      </w:pPr>
      <w:r>
        <w:t>由于该项监测专业性强，应由有专业水平的机构对其进行监测，监测按照相关规范进行。项目监测承担单位应及时将监测结果反馈到管理部门，以便及时安排和调整保护工作。业主和施工方应配合渔政部门的监督，并对施工人员和沿岸居民进行鱼类保护的宣传工作。</w:t>
      </w:r>
    </w:p>
    <w:p>
      <w:pPr>
        <w:pStyle w:val="101"/>
        <w:spacing w:line="360" w:lineRule="auto"/>
        <w:ind w:left="0" w:leftChars="0" w:right="0" w:rightChars="0" w:firstLine="0" w:firstLineChars="0"/>
        <w:contextualSpacing/>
        <w:rPr>
          <w:rFonts w:eastAsia="宋体"/>
          <w:b/>
          <w:kern w:val="0"/>
          <w:sz w:val="21"/>
        </w:rPr>
      </w:pPr>
      <w:r>
        <w:rPr>
          <w:rFonts w:eastAsia="宋体"/>
          <w:b/>
          <w:kern w:val="0"/>
          <w:sz w:val="21"/>
        </w:rPr>
        <w:t>表8.3.6-2  监测内容</w:t>
      </w:r>
    </w:p>
    <w:tbl>
      <w:tblPr>
        <w:tblStyle w:val="38"/>
        <w:tblW w:w="8522" w:type="dxa"/>
        <w:jc w:val="center"/>
        <w:tblLayout w:type="fixed"/>
        <w:tblCellMar>
          <w:top w:w="0" w:type="dxa"/>
          <w:left w:w="108" w:type="dxa"/>
          <w:bottom w:w="0" w:type="dxa"/>
          <w:right w:w="108" w:type="dxa"/>
        </w:tblCellMar>
      </w:tblPr>
      <w:tblGrid>
        <w:gridCol w:w="1668"/>
        <w:gridCol w:w="1984"/>
        <w:gridCol w:w="4870"/>
      </w:tblGrid>
      <w:tr>
        <w:tblPrEx>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b/>
                <w:kern w:val="0"/>
                <w:sz w:val="21"/>
                <w:szCs w:val="21"/>
              </w:rPr>
            </w:pPr>
            <w:r>
              <w:rPr>
                <w:b/>
                <w:kern w:val="0"/>
                <w:sz w:val="21"/>
                <w:szCs w:val="21"/>
              </w:rPr>
              <w:t>监测时段</w:t>
            </w:r>
          </w:p>
        </w:tc>
        <w:tc>
          <w:tcPr>
            <w:tcW w:w="1984"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b/>
                <w:kern w:val="0"/>
                <w:sz w:val="21"/>
                <w:szCs w:val="21"/>
              </w:rPr>
            </w:pPr>
            <w:r>
              <w:rPr>
                <w:b/>
                <w:kern w:val="0"/>
                <w:sz w:val="21"/>
                <w:szCs w:val="21"/>
              </w:rPr>
              <w:t>监测内容</w:t>
            </w:r>
          </w:p>
        </w:tc>
        <w:tc>
          <w:tcPr>
            <w:tcW w:w="4870" w:type="dxa"/>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contextualSpacing/>
              <w:jc w:val="center"/>
              <w:rPr>
                <w:b/>
                <w:kern w:val="0"/>
                <w:sz w:val="21"/>
                <w:szCs w:val="21"/>
              </w:rPr>
            </w:pPr>
            <w:r>
              <w:rPr>
                <w:b/>
                <w:kern w:val="0"/>
                <w:sz w:val="21"/>
                <w:szCs w:val="21"/>
              </w:rPr>
              <w:t>具体开展工作</w:t>
            </w:r>
          </w:p>
        </w:tc>
      </w:tr>
      <w:tr>
        <w:tblPrEx>
          <w:tblCellMar>
            <w:top w:w="0" w:type="dxa"/>
            <w:left w:w="108" w:type="dxa"/>
            <w:bottom w:w="0" w:type="dxa"/>
            <w:right w:w="108" w:type="dxa"/>
          </w:tblCellMar>
        </w:tblPrEx>
        <w:trPr>
          <w:jc w:val="center"/>
        </w:trPr>
        <w:tc>
          <w:tcPr>
            <w:tcW w:w="1668" w:type="dxa"/>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施工期</w:t>
            </w:r>
          </w:p>
          <w:p>
            <w:pPr>
              <w:widowControl/>
              <w:spacing w:line="240" w:lineRule="auto"/>
              <w:ind w:firstLine="0" w:firstLineChars="0"/>
              <w:contextualSpacing/>
              <w:jc w:val="center"/>
              <w:rPr>
                <w:kern w:val="0"/>
                <w:sz w:val="21"/>
                <w:szCs w:val="21"/>
              </w:rPr>
            </w:pPr>
            <w:r>
              <w:rPr>
                <w:kern w:val="0"/>
                <w:sz w:val="21"/>
                <w:szCs w:val="21"/>
              </w:rPr>
              <w:t>（6次，每年2次）</w:t>
            </w:r>
          </w:p>
        </w:tc>
        <w:tc>
          <w:tcPr>
            <w:tcW w:w="1984"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水质（坝址下游）</w:t>
            </w:r>
          </w:p>
        </w:tc>
        <w:tc>
          <w:tcPr>
            <w:tcW w:w="4870"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监测水体的pH、COD、BOD</w:t>
            </w:r>
            <w:r>
              <w:rPr>
                <w:kern w:val="0"/>
                <w:sz w:val="21"/>
                <w:szCs w:val="21"/>
                <w:vertAlign w:val="subscript"/>
              </w:rPr>
              <w:t>5</w:t>
            </w:r>
            <w:r>
              <w:rPr>
                <w:kern w:val="0"/>
                <w:sz w:val="21"/>
                <w:szCs w:val="21"/>
              </w:rPr>
              <w:t>、NH</w:t>
            </w:r>
            <w:r>
              <w:rPr>
                <w:kern w:val="0"/>
                <w:sz w:val="21"/>
                <w:szCs w:val="21"/>
                <w:vertAlign w:val="subscript"/>
              </w:rPr>
              <w:t>3</w:t>
            </w:r>
            <w:r>
              <w:rPr>
                <w:kern w:val="0"/>
                <w:sz w:val="21"/>
                <w:szCs w:val="21"/>
              </w:rPr>
              <w:t>-N、SS等水质监测指标（参考现状监测指标）</w:t>
            </w:r>
          </w:p>
        </w:tc>
      </w:tr>
      <w:tr>
        <w:tblPrEx>
          <w:tblCellMar>
            <w:top w:w="0" w:type="dxa"/>
            <w:left w:w="108" w:type="dxa"/>
            <w:bottom w:w="0" w:type="dxa"/>
            <w:right w:w="108" w:type="dxa"/>
          </w:tblCellMar>
        </w:tblPrEx>
        <w:trPr>
          <w:jc w:val="center"/>
        </w:trPr>
        <w:tc>
          <w:tcPr>
            <w:tcW w:w="1668" w:type="dxa"/>
            <w:vMerge w:val="continue"/>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rPr>
                <w:sz w:val="21"/>
                <w:szCs w:val="21"/>
              </w:rPr>
            </w:pPr>
          </w:p>
        </w:tc>
        <w:tc>
          <w:tcPr>
            <w:tcW w:w="1984"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水生生物资源状况（坝址上游、下游）</w:t>
            </w:r>
          </w:p>
        </w:tc>
        <w:tc>
          <w:tcPr>
            <w:tcW w:w="4870"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监测浮游植物、浮游动物、底栖动物和水生维管束植物，鱼类资源、分布及三场分布情况</w:t>
            </w:r>
          </w:p>
        </w:tc>
      </w:tr>
      <w:tr>
        <w:tblPrEx>
          <w:tblCellMar>
            <w:top w:w="0" w:type="dxa"/>
            <w:left w:w="108" w:type="dxa"/>
            <w:bottom w:w="0" w:type="dxa"/>
            <w:right w:w="108" w:type="dxa"/>
          </w:tblCellMar>
        </w:tblPrEx>
        <w:trPr>
          <w:jc w:val="center"/>
        </w:trPr>
        <w:tc>
          <w:tcPr>
            <w:tcW w:w="1668" w:type="dxa"/>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运行期</w:t>
            </w:r>
          </w:p>
          <w:p>
            <w:pPr>
              <w:widowControl/>
              <w:spacing w:line="240" w:lineRule="auto"/>
              <w:ind w:firstLine="0" w:firstLineChars="0"/>
              <w:contextualSpacing/>
              <w:jc w:val="center"/>
              <w:rPr>
                <w:kern w:val="0"/>
                <w:sz w:val="21"/>
                <w:szCs w:val="21"/>
              </w:rPr>
            </w:pPr>
            <w:r>
              <w:rPr>
                <w:kern w:val="0"/>
                <w:sz w:val="21"/>
                <w:szCs w:val="21"/>
              </w:rPr>
              <w:t>（6次，第一年监测2次，其后每年监测1次，监测4年）</w:t>
            </w:r>
          </w:p>
        </w:tc>
        <w:tc>
          <w:tcPr>
            <w:tcW w:w="1984"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水质（淹没区、减水河段）</w:t>
            </w:r>
          </w:p>
        </w:tc>
        <w:tc>
          <w:tcPr>
            <w:tcW w:w="4870"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监测水质指标；侧重监测库区农药污染、富营养化状况，及灌区回水对水质的影响</w:t>
            </w:r>
          </w:p>
        </w:tc>
      </w:tr>
      <w:tr>
        <w:tblPrEx>
          <w:tblCellMar>
            <w:top w:w="0" w:type="dxa"/>
            <w:left w:w="108" w:type="dxa"/>
            <w:bottom w:w="0" w:type="dxa"/>
            <w:right w:w="108" w:type="dxa"/>
          </w:tblCellMar>
        </w:tblPrEx>
        <w:trPr>
          <w:jc w:val="center"/>
        </w:trPr>
        <w:tc>
          <w:tcPr>
            <w:tcW w:w="1668" w:type="dxa"/>
            <w:vMerge w:val="continue"/>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contextualSpacing/>
              <w:rPr>
                <w:sz w:val="21"/>
                <w:szCs w:val="21"/>
              </w:rPr>
            </w:pPr>
          </w:p>
        </w:tc>
        <w:tc>
          <w:tcPr>
            <w:tcW w:w="1984" w:type="dxa"/>
            <w:tcBorders>
              <w:top w:val="nil"/>
              <w:left w:val="nil"/>
              <w:bottom w:val="single" w:color="auto" w:sz="4" w:space="0"/>
              <w:right w:val="single" w:color="auto" w:sz="4" w:space="0"/>
            </w:tcBorders>
            <w:noWrap/>
            <w:vAlign w:val="center"/>
          </w:tcPr>
          <w:p>
            <w:pPr>
              <w:widowControl/>
              <w:spacing w:line="240" w:lineRule="auto"/>
              <w:ind w:firstLine="0" w:firstLineChars="0"/>
              <w:contextualSpacing/>
              <w:jc w:val="center"/>
              <w:rPr>
                <w:kern w:val="0"/>
                <w:sz w:val="21"/>
                <w:szCs w:val="21"/>
              </w:rPr>
            </w:pPr>
            <w:r>
              <w:rPr>
                <w:kern w:val="0"/>
                <w:sz w:val="21"/>
                <w:szCs w:val="21"/>
              </w:rPr>
              <w:t>水生生物资源状况（坝址上游、下游）</w:t>
            </w:r>
          </w:p>
        </w:tc>
        <w:tc>
          <w:tcPr>
            <w:tcW w:w="4870" w:type="dxa"/>
            <w:tcBorders>
              <w:top w:val="nil"/>
              <w:left w:val="nil"/>
              <w:bottom w:val="single" w:color="auto" w:sz="4" w:space="0"/>
              <w:right w:val="single" w:color="auto" w:sz="4" w:space="0"/>
            </w:tcBorders>
            <w:noWrap/>
            <w:vAlign w:val="center"/>
          </w:tcPr>
          <w:p>
            <w:pPr>
              <w:widowControl/>
              <w:spacing w:line="240" w:lineRule="auto"/>
              <w:ind w:firstLine="420" w:firstLineChars="0"/>
              <w:contextualSpacing/>
              <w:jc w:val="center"/>
              <w:rPr>
                <w:sz w:val="21"/>
                <w:szCs w:val="21"/>
              </w:rPr>
            </w:pPr>
            <w:r>
              <w:rPr>
                <w:sz w:val="21"/>
                <w:szCs w:val="21"/>
              </w:rPr>
              <w:t>监测浮游植物、浮游动物、底栖动物和水生维管束植物和鱼类种类、数量及三场分布情况；</w:t>
            </w:r>
            <w:r>
              <w:rPr>
                <w:kern w:val="0"/>
                <w:sz w:val="21"/>
                <w:szCs w:val="21"/>
                <w:lang w:val="zh-CN"/>
              </w:rPr>
              <w:t>放流效果、过</w:t>
            </w:r>
            <w:r>
              <w:rPr>
                <w:kern w:val="0"/>
                <w:sz w:val="21"/>
                <w:szCs w:val="21"/>
              </w:rPr>
              <w:t>鱼</w:t>
            </w:r>
            <w:r>
              <w:rPr>
                <w:kern w:val="0"/>
                <w:sz w:val="21"/>
                <w:szCs w:val="21"/>
                <w:lang w:val="zh-CN"/>
              </w:rPr>
              <w:t>效果</w:t>
            </w:r>
            <w:r>
              <w:rPr>
                <w:kern w:val="0"/>
                <w:sz w:val="21"/>
                <w:szCs w:val="21"/>
              </w:rPr>
              <w:t>专项检测</w:t>
            </w:r>
          </w:p>
        </w:tc>
      </w:tr>
    </w:tbl>
    <w:p>
      <w:pPr>
        <w:ind w:firstLine="0" w:firstLineChars="0"/>
        <w:contextualSpacing/>
        <w:outlineLvl w:val="3"/>
        <w:rPr>
          <w:b/>
          <w:bCs/>
        </w:rPr>
      </w:pPr>
      <w:r>
        <w:rPr>
          <w:b/>
          <w:bCs/>
        </w:rPr>
        <w:t>8.3.6.2生态流量在线监测</w:t>
      </w:r>
    </w:p>
    <w:p>
      <w:pPr>
        <w:ind w:firstLine="480"/>
        <w:contextualSpacing/>
      </w:pPr>
      <w:r>
        <w:t>（1）监测目的</w:t>
      </w:r>
    </w:p>
    <w:p>
      <w:pPr>
        <w:ind w:firstLine="480"/>
        <w:contextualSpacing/>
      </w:pPr>
      <w:r>
        <w:t>为保证生态流量下泄措施的有效运行，需对工程不同阶段生态流量下泄情况进行实时监控，同时可为生态流量对下游水环境、水生生态等影响研究提供基础资料。</w:t>
      </w:r>
    </w:p>
    <w:p>
      <w:pPr>
        <w:ind w:firstLine="480"/>
        <w:contextualSpacing/>
      </w:pPr>
      <w:r>
        <w:t>（2）监测断面布设</w:t>
      </w:r>
    </w:p>
    <w:p>
      <w:pPr>
        <w:ind w:firstLine="480"/>
        <w:contextualSpacing/>
      </w:pPr>
      <w:r>
        <w:t>为监控运行期生态流量下泄，在寒溪寺生态泄水管下游出口布置生态流量在线监控装置，并与相关监管部门联网，以加强对工程生态流量下泄的监管。</w:t>
      </w:r>
    </w:p>
    <w:p>
      <w:pPr>
        <w:ind w:firstLine="480"/>
        <w:contextualSpacing/>
      </w:pPr>
      <w:r>
        <w:t>（3）监测方案与技术要求</w:t>
      </w:r>
    </w:p>
    <w:p>
      <w:pPr>
        <w:ind w:firstLine="480"/>
        <w:contextualSpacing/>
      </w:pPr>
      <w:r>
        <w:t>综合目前常用的流量测量方法，初拟采用生态流量监测系统——超声波流量计进行在线监测。</w:t>
      </w:r>
    </w:p>
    <w:p>
      <w:pPr>
        <w:ind w:firstLine="480"/>
        <w:contextualSpacing/>
      </w:pPr>
      <w:r>
        <w:t>（4）监测时间</w:t>
      </w:r>
    </w:p>
    <w:p>
      <w:pPr>
        <w:ind w:firstLine="480"/>
        <w:contextualSpacing/>
      </w:pPr>
      <w:r>
        <w:t>为满足水库初期蓄水阶段的生态流量下泄要求，生态流量在线监测系统需在水库初期蓄水前安装完毕，并确保能够正常运行。</w:t>
      </w:r>
    </w:p>
    <w:p>
      <w:pPr>
        <w:pStyle w:val="5"/>
        <w:ind w:firstLine="0" w:firstLineChars="0"/>
        <w:contextualSpacing/>
        <w:rPr>
          <w:rFonts w:ascii="Times New Roman" w:hAnsi="Times New Roman"/>
        </w:rPr>
      </w:pPr>
      <w:bookmarkStart w:id="916" w:name="_Toc8518"/>
      <w:r>
        <w:rPr>
          <w:rFonts w:ascii="Times New Roman" w:hAnsi="Times New Roman"/>
        </w:rPr>
        <w:t>8.3.7水土流失监测</w:t>
      </w:r>
      <w:bookmarkEnd w:id="916"/>
    </w:p>
    <w:p>
      <w:pPr>
        <w:ind w:firstLine="480"/>
        <w:contextualSpacing/>
      </w:pPr>
      <w:r>
        <w:t>（1）监测内容</w:t>
      </w:r>
    </w:p>
    <w:p>
      <w:pPr>
        <w:ind w:firstLine="480"/>
        <w:contextualSpacing/>
      </w:pPr>
      <w:r>
        <w:t>监测建设项目区占用地面积、扰动地表面积、扰动类型，确定土壤流失情况。对开挖面土壤流失量监测，临时弃土防护措施数量及效果监测；植物措施数量、成活率、保存率和生长状况，工程措施的数量及其防护效果实施监测；影响水土流失的主要因子监测；水土流失危害监测。</w:t>
      </w:r>
    </w:p>
    <w:p>
      <w:pPr>
        <w:ind w:firstLine="480"/>
        <w:contextualSpacing/>
      </w:pPr>
      <w:r>
        <w:t>（2）监测频次</w:t>
      </w:r>
    </w:p>
    <w:p>
      <w:pPr>
        <w:ind w:firstLine="480"/>
        <w:contextualSpacing/>
      </w:pPr>
      <w:r>
        <w:t>工程监测区域包括永久工程区、施工道路区、渣场区、料场区、施工工区等</w:t>
      </w:r>
      <w:r>
        <w:rPr>
          <w:rFonts w:hint="eastAsia"/>
        </w:rPr>
        <w:t>，</w:t>
      </w:r>
    </w:p>
    <w:p>
      <w:pPr>
        <w:ind w:firstLine="0" w:firstLineChars="0"/>
        <w:contextualSpacing/>
      </w:pPr>
      <w:r>
        <w:t>监测时段分为工程建设期和工程运行初期两个时段。工程建设期对易发生水土流失的场所，在施工及水土保持实施过程中的5月（雨季前）、7月（汛期）、10月（雨季后）进行监测，一年三次。工程运行期第一年，即各工程完工后第一年的5月（雨季前）、10月（雨季后）各监测一次。</w:t>
      </w:r>
    </w:p>
    <w:p>
      <w:pPr>
        <w:pStyle w:val="5"/>
        <w:ind w:firstLine="0" w:firstLineChars="0"/>
        <w:contextualSpacing/>
        <w:rPr>
          <w:rFonts w:ascii="Times New Roman" w:hAnsi="Times New Roman"/>
        </w:rPr>
      </w:pPr>
      <w:bookmarkStart w:id="917" w:name="_Toc20097"/>
      <w:r>
        <w:rPr>
          <w:rFonts w:ascii="Times New Roman" w:hAnsi="Times New Roman"/>
        </w:rPr>
        <w:t>8.3.8人群健康调查计划</w:t>
      </w:r>
      <w:bookmarkEnd w:id="917"/>
    </w:p>
    <w:p>
      <w:pPr>
        <w:ind w:firstLine="480"/>
        <w:contextualSpacing/>
      </w:pPr>
      <w:r>
        <w:t>（1）调查目的</w:t>
      </w:r>
    </w:p>
    <w:p>
      <w:pPr>
        <w:ind w:firstLine="480"/>
        <w:contextualSpacing/>
      </w:pPr>
      <w:r>
        <w:t>掌握施工人群的健康状况，以便及时采取人群健康保护对策。</w:t>
      </w:r>
    </w:p>
    <w:p>
      <w:pPr>
        <w:ind w:firstLine="480"/>
        <w:contextualSpacing/>
      </w:pPr>
      <w:r>
        <w:t>（2）调查内容、时间</w:t>
      </w:r>
    </w:p>
    <w:p>
      <w:pPr>
        <w:ind w:firstLine="480"/>
        <w:contextualSpacing/>
      </w:pPr>
      <w:r>
        <w:t>人群健康调查仅施工期，每年对施工人员进行抽样检疫1次，检疫人数为施工区总人数的10%；每年对食堂工作人员进行定期检查。结合工程区域近年主要传染病和地方病流行状况，重点检疫疾病为鼠疫、细菌性痢疾、甲型肝炎和疟疾等。每年定期调查疾病媒介生物，如蚊、鼠、苍蝇、蟑螂、螨、跳蚤和虱子等。</w:t>
      </w:r>
    </w:p>
    <w:p>
      <w:pPr>
        <w:ind w:firstLine="480"/>
        <w:contextualSpacing/>
      </w:pPr>
      <w:r>
        <w:t>（3）调查单位</w:t>
      </w:r>
    </w:p>
    <w:p>
      <w:pPr>
        <w:ind w:firstLine="480"/>
        <w:contextualSpacing/>
      </w:pPr>
      <w:r>
        <w:t>建议采用合同管理方式，委托当地具备相应资质的卫生防疫部门承担。</w:t>
      </w:r>
    </w:p>
    <w:p>
      <w:pPr>
        <w:pStyle w:val="4"/>
        <w:ind w:firstLine="0" w:firstLineChars="0"/>
        <w:contextualSpacing/>
      </w:pPr>
      <w:bookmarkStart w:id="918" w:name="_Toc25721"/>
      <w:bookmarkStart w:id="919" w:name="_Toc130753467"/>
      <w:r>
        <w:t>8.4环境保护竣工验收</w:t>
      </w:r>
      <w:bookmarkEnd w:id="918"/>
      <w:bookmarkEnd w:id="919"/>
    </w:p>
    <w:p>
      <w:pPr>
        <w:ind w:firstLine="480"/>
        <w:contextualSpacing/>
      </w:pPr>
      <w:r>
        <w:t>根据《建设项目环境保护“三同时”管理办法》有关要求，工程建设过程中的污染防治措施必须与建设项目同时设计、同时施工、同时投入运行。结合本工程分阶段环境保护工程建设要求，寒溪寺水库工程环境保护工程验收计划如下：</w:t>
      </w:r>
    </w:p>
    <w:p>
      <w:pPr>
        <w:ind w:firstLine="480"/>
        <w:contextualSpacing/>
      </w:pPr>
      <w:r>
        <w:t>（1）施工期环境保护工程运行阶段验收</w:t>
      </w:r>
    </w:p>
    <w:p>
      <w:pPr>
        <w:ind w:firstLine="480"/>
        <w:contextualSpacing/>
      </w:pPr>
      <w:r>
        <w:t>对主体工程施工期所须投入使用的环境保护工程土建情况进行验收，如鱼类增殖放流站土建工程、混凝土生产系统废水处理系统土建工程、生活污水处理系统土建工程、含油废水处理系统土建工程、限速和禁鸣标志设置等验收。此外，针对工程环境监测及环境监理、环境管理、部分区域生态修复、施工迹地清理等进行验收。</w:t>
      </w:r>
    </w:p>
    <w:p>
      <w:pPr>
        <w:ind w:firstLine="480"/>
        <w:contextualSpacing/>
      </w:pPr>
      <w:r>
        <w:t>（2）蓄水阶段验收</w:t>
      </w:r>
    </w:p>
    <w:p>
      <w:pPr>
        <w:ind w:firstLine="480"/>
        <w:contextualSpacing/>
      </w:pPr>
      <w:r>
        <w:t>1）施工期部分环境保护工程土建工程验收</w:t>
      </w:r>
    </w:p>
    <w:p>
      <w:pPr>
        <w:ind w:firstLine="480"/>
        <w:contextualSpacing/>
      </w:pPr>
      <w:r>
        <w:t>施工期阶段环境保护工程验收主要是针对施工期内须开展建设的环境保护工程进行验收，以落实和督促其按要求及时建设。</w:t>
      </w:r>
    </w:p>
    <w:p>
      <w:pPr>
        <w:ind w:firstLine="480"/>
        <w:contextualSpacing/>
      </w:pPr>
      <w:r>
        <w:t>2）施工期环境保护工程运行阶段验收</w:t>
      </w:r>
    </w:p>
    <w:p>
      <w:pPr>
        <w:ind w:firstLine="480"/>
        <w:contextualSpacing/>
      </w:pPr>
      <w:r>
        <w:t>主要是针对施工期间已实施的环境保护工程的运行情况进行阶段验收，如施工废水处理系统运行情况验收、生活营地污水处理设施运行情况验收、施工迹地临时修复措施验收、垃圾收集和清运情况验收等。</w:t>
      </w:r>
    </w:p>
    <w:p>
      <w:pPr>
        <w:ind w:firstLine="480"/>
        <w:contextualSpacing/>
      </w:pPr>
      <w:r>
        <w:t>3）验收重点</w:t>
      </w:r>
    </w:p>
    <w:p>
      <w:pPr>
        <w:ind w:firstLine="480"/>
        <w:contextualSpacing/>
      </w:pPr>
      <w:r>
        <w:rPr>
          <w:rFonts w:hint="eastAsia"/>
        </w:rPr>
        <w:t>水源区污染防治规划实施及其效果、受水区污染防治规划实施及其效果、</w:t>
      </w:r>
      <w:r>
        <w:t>施工期污废水处理措施、水库蓄水及运行期下泄流量环保调度方案、生态流量泄放设施、鱼类增殖放流站、栖息地保护措施、珍稀濒危保护植物移栽情况及移民专项环评应作为主要验收内容。</w:t>
      </w:r>
    </w:p>
    <w:p>
      <w:pPr>
        <w:ind w:firstLine="480"/>
        <w:contextualSpacing/>
      </w:pPr>
      <w:r>
        <w:t>（3）竣工环保验收</w:t>
      </w:r>
    </w:p>
    <w:p>
      <w:pPr>
        <w:ind w:firstLine="480"/>
        <w:contextualSpacing/>
      </w:pPr>
      <w:r>
        <w:t>主要是工程竣工后的环境保护工程验收，按照有关规定实施，验收内容包括寒溪寺工程各阶段各项环境保护设施，如污废水处理系统和监测、生态修复和监测措施等。项目竣工后，应按规定程序完成竣工环境保护验收。</w:t>
      </w:r>
    </w:p>
    <w:p>
      <w:pPr>
        <w:ind w:firstLine="480"/>
        <w:contextualSpacing/>
      </w:pPr>
      <w:r>
        <w:t>若工程或环保措施发生重大变更必须重新报批环境影响报告书。工程自批复之日起5年内未开工建设，本批复文件自动失效，建设单位需重新报审环评文件。项目建成竣工环保验收运行3～5年，应开展环境影响后评价工作。</w:t>
      </w:r>
    </w:p>
    <w:p>
      <w:pPr>
        <w:ind w:firstLine="0" w:firstLineChars="0"/>
        <w:contextualSpacing/>
        <w:jc w:val="center"/>
        <w:rPr>
          <w:b/>
          <w:bCs/>
          <w:sz w:val="21"/>
          <w:szCs w:val="21"/>
        </w:rPr>
      </w:pPr>
      <w:r>
        <w:rPr>
          <w:b/>
          <w:bCs/>
          <w:sz w:val="21"/>
          <w:szCs w:val="21"/>
        </w:rPr>
        <w:t>表8.4  “三同时”环境保护验收一览表</w:t>
      </w:r>
    </w:p>
    <w:tbl>
      <w:tblPr>
        <w:tblStyle w:val="3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884"/>
        <w:gridCol w:w="34"/>
        <w:gridCol w:w="1176"/>
        <w:gridCol w:w="2171"/>
        <w:gridCol w:w="209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Align w:val="center"/>
          </w:tcPr>
          <w:p>
            <w:pPr>
              <w:spacing w:line="240" w:lineRule="auto"/>
              <w:ind w:firstLine="0" w:firstLineChars="0"/>
              <w:contextualSpacing/>
              <w:jc w:val="center"/>
              <w:rPr>
                <w:sz w:val="21"/>
                <w:szCs w:val="21"/>
              </w:rPr>
            </w:pPr>
            <w:r>
              <w:rPr>
                <w:sz w:val="21"/>
                <w:szCs w:val="21"/>
              </w:rPr>
              <w:t>阶段</w:t>
            </w:r>
          </w:p>
        </w:tc>
        <w:tc>
          <w:tcPr>
            <w:tcW w:w="2094" w:type="dxa"/>
            <w:gridSpan w:val="3"/>
            <w:vAlign w:val="center"/>
          </w:tcPr>
          <w:p>
            <w:pPr>
              <w:spacing w:line="240" w:lineRule="auto"/>
              <w:ind w:firstLine="0" w:firstLineChars="0"/>
              <w:contextualSpacing/>
              <w:jc w:val="center"/>
              <w:rPr>
                <w:sz w:val="21"/>
                <w:szCs w:val="21"/>
              </w:rPr>
            </w:pPr>
            <w:r>
              <w:rPr>
                <w:sz w:val="21"/>
                <w:szCs w:val="21"/>
              </w:rPr>
              <w:t>环境要素</w:t>
            </w:r>
          </w:p>
        </w:tc>
        <w:tc>
          <w:tcPr>
            <w:tcW w:w="2171" w:type="dxa"/>
            <w:vAlign w:val="center"/>
          </w:tcPr>
          <w:p>
            <w:pPr>
              <w:spacing w:line="240" w:lineRule="auto"/>
              <w:ind w:firstLine="0" w:firstLineChars="0"/>
              <w:contextualSpacing/>
              <w:jc w:val="center"/>
              <w:rPr>
                <w:sz w:val="21"/>
                <w:szCs w:val="21"/>
              </w:rPr>
            </w:pPr>
            <w:r>
              <w:rPr>
                <w:sz w:val="21"/>
                <w:szCs w:val="21"/>
              </w:rPr>
              <w:t>环保措施</w:t>
            </w:r>
          </w:p>
        </w:tc>
        <w:tc>
          <w:tcPr>
            <w:tcW w:w="2098" w:type="dxa"/>
            <w:vAlign w:val="center"/>
          </w:tcPr>
          <w:p>
            <w:pPr>
              <w:spacing w:line="240" w:lineRule="auto"/>
              <w:ind w:firstLine="0" w:firstLineChars="0"/>
              <w:contextualSpacing/>
              <w:jc w:val="center"/>
              <w:rPr>
                <w:sz w:val="21"/>
                <w:szCs w:val="21"/>
              </w:rPr>
            </w:pPr>
            <w:r>
              <w:rPr>
                <w:sz w:val="21"/>
                <w:szCs w:val="21"/>
              </w:rPr>
              <w:t>验收内容及重点</w:t>
            </w:r>
          </w:p>
        </w:tc>
        <w:tc>
          <w:tcPr>
            <w:tcW w:w="1608" w:type="dxa"/>
            <w:vAlign w:val="center"/>
          </w:tcPr>
          <w:p>
            <w:pPr>
              <w:spacing w:line="240" w:lineRule="auto"/>
              <w:ind w:firstLine="0" w:firstLineChars="0"/>
              <w:contextualSpacing/>
              <w:jc w:val="center"/>
              <w:rPr>
                <w:sz w:val="21"/>
                <w:szCs w:val="21"/>
              </w:rPr>
            </w:pPr>
            <w:r>
              <w:rPr>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restart"/>
            <w:vAlign w:val="center"/>
          </w:tcPr>
          <w:p>
            <w:pPr>
              <w:spacing w:line="240" w:lineRule="auto"/>
              <w:ind w:firstLine="0" w:firstLineChars="0"/>
              <w:contextualSpacing/>
              <w:jc w:val="center"/>
              <w:rPr>
                <w:sz w:val="21"/>
                <w:szCs w:val="21"/>
              </w:rPr>
            </w:pPr>
            <w:r>
              <w:rPr>
                <w:sz w:val="21"/>
                <w:szCs w:val="21"/>
              </w:rPr>
              <w:t>施工期验收</w:t>
            </w:r>
          </w:p>
        </w:tc>
        <w:tc>
          <w:tcPr>
            <w:tcW w:w="884" w:type="dxa"/>
            <w:vMerge w:val="restart"/>
            <w:vAlign w:val="center"/>
          </w:tcPr>
          <w:p>
            <w:pPr>
              <w:spacing w:line="240" w:lineRule="auto"/>
              <w:ind w:firstLine="0" w:firstLineChars="0"/>
              <w:contextualSpacing/>
              <w:jc w:val="center"/>
              <w:rPr>
                <w:sz w:val="21"/>
                <w:szCs w:val="21"/>
              </w:rPr>
            </w:pPr>
            <w:r>
              <w:rPr>
                <w:sz w:val="21"/>
                <w:szCs w:val="21"/>
              </w:rPr>
              <w:t>地表水</w:t>
            </w:r>
          </w:p>
        </w:tc>
        <w:tc>
          <w:tcPr>
            <w:tcW w:w="1210" w:type="dxa"/>
            <w:gridSpan w:val="2"/>
            <w:vMerge w:val="restart"/>
            <w:vAlign w:val="center"/>
          </w:tcPr>
          <w:p>
            <w:pPr>
              <w:spacing w:line="240" w:lineRule="auto"/>
              <w:ind w:firstLine="0" w:firstLineChars="0"/>
              <w:contextualSpacing/>
              <w:jc w:val="center"/>
              <w:rPr>
                <w:sz w:val="21"/>
                <w:szCs w:val="21"/>
              </w:rPr>
            </w:pPr>
            <w:r>
              <w:rPr>
                <w:sz w:val="21"/>
                <w:szCs w:val="21"/>
              </w:rPr>
              <w:t>生产废水</w:t>
            </w:r>
          </w:p>
        </w:tc>
        <w:tc>
          <w:tcPr>
            <w:tcW w:w="2171" w:type="dxa"/>
            <w:vAlign w:val="center"/>
          </w:tcPr>
          <w:p>
            <w:pPr>
              <w:spacing w:line="240" w:lineRule="auto"/>
              <w:ind w:firstLine="0" w:firstLineChars="0"/>
              <w:contextualSpacing/>
              <w:jc w:val="center"/>
              <w:rPr>
                <w:sz w:val="21"/>
                <w:szCs w:val="21"/>
              </w:rPr>
            </w:pPr>
            <w:r>
              <w:rPr>
                <w:sz w:val="21"/>
                <w:szCs w:val="21"/>
              </w:rPr>
              <w:t>基坑废水</w:t>
            </w:r>
          </w:p>
        </w:tc>
        <w:tc>
          <w:tcPr>
            <w:tcW w:w="2098" w:type="dxa"/>
            <w:vMerge w:val="restart"/>
            <w:vAlign w:val="center"/>
          </w:tcPr>
          <w:p>
            <w:pPr>
              <w:spacing w:line="240" w:lineRule="auto"/>
              <w:ind w:firstLine="0" w:firstLineChars="0"/>
              <w:contextualSpacing/>
              <w:jc w:val="center"/>
              <w:rPr>
                <w:sz w:val="21"/>
                <w:szCs w:val="21"/>
              </w:rPr>
            </w:pPr>
            <w:r>
              <w:rPr>
                <w:sz w:val="21"/>
                <w:szCs w:val="21"/>
              </w:rPr>
              <w:t>废水处理设施建成情况，废水处理设施、运行情况以及处理效果</w:t>
            </w:r>
          </w:p>
        </w:tc>
        <w:tc>
          <w:tcPr>
            <w:tcW w:w="1608" w:type="dxa"/>
            <w:vMerge w:val="restart"/>
            <w:vAlign w:val="center"/>
          </w:tcPr>
          <w:p>
            <w:pPr>
              <w:spacing w:line="240" w:lineRule="auto"/>
              <w:ind w:firstLine="0" w:firstLineChars="0"/>
              <w:contextualSpacing/>
              <w:jc w:val="center"/>
              <w:rPr>
                <w:sz w:val="21"/>
                <w:szCs w:val="21"/>
              </w:rPr>
            </w:pPr>
            <w:r>
              <w:rPr>
                <w:sz w:val="21"/>
                <w:szCs w:val="21"/>
              </w:rPr>
              <w:t>满足设计要求，正常投运，处理回用于本系统，不排放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Merge w:val="continue"/>
            <w:vAlign w:val="center"/>
          </w:tcPr>
          <w:p>
            <w:pPr>
              <w:spacing w:line="240" w:lineRule="auto"/>
              <w:ind w:firstLine="0" w:firstLineChars="0"/>
              <w:contextualSpacing/>
              <w:jc w:val="center"/>
              <w:rPr>
                <w:sz w:val="21"/>
                <w:szCs w:val="21"/>
              </w:rPr>
            </w:pPr>
          </w:p>
        </w:tc>
        <w:tc>
          <w:tcPr>
            <w:tcW w:w="1210" w:type="dxa"/>
            <w:gridSpan w:val="2"/>
            <w:vMerge w:val="continue"/>
            <w:vAlign w:val="center"/>
          </w:tcPr>
          <w:p>
            <w:pPr>
              <w:spacing w:line="240" w:lineRule="auto"/>
              <w:ind w:firstLine="0" w:firstLineChars="0"/>
              <w:contextualSpacing/>
              <w:jc w:val="center"/>
              <w:rPr>
                <w:sz w:val="21"/>
                <w:szCs w:val="21"/>
              </w:rPr>
            </w:pPr>
          </w:p>
        </w:tc>
        <w:tc>
          <w:tcPr>
            <w:tcW w:w="2171" w:type="dxa"/>
            <w:vAlign w:val="center"/>
          </w:tcPr>
          <w:p>
            <w:pPr>
              <w:spacing w:line="240" w:lineRule="auto"/>
              <w:ind w:firstLine="0" w:firstLineChars="0"/>
              <w:contextualSpacing/>
              <w:jc w:val="center"/>
              <w:rPr>
                <w:sz w:val="21"/>
                <w:szCs w:val="21"/>
              </w:rPr>
            </w:pPr>
            <w:r>
              <w:rPr>
                <w:sz w:val="21"/>
                <w:szCs w:val="21"/>
              </w:rPr>
              <w:t>混凝土拌合废水处理</w:t>
            </w:r>
          </w:p>
        </w:tc>
        <w:tc>
          <w:tcPr>
            <w:tcW w:w="2098" w:type="dxa"/>
            <w:vMerge w:val="continue"/>
            <w:vAlign w:val="center"/>
          </w:tcPr>
          <w:p>
            <w:pPr>
              <w:spacing w:line="240" w:lineRule="auto"/>
              <w:ind w:firstLine="0" w:firstLineChars="0"/>
              <w:contextualSpacing/>
              <w:jc w:val="center"/>
              <w:rPr>
                <w:sz w:val="21"/>
                <w:szCs w:val="21"/>
              </w:rPr>
            </w:pPr>
          </w:p>
        </w:tc>
        <w:tc>
          <w:tcPr>
            <w:tcW w:w="1608" w:type="dxa"/>
            <w:vMerge w:val="continue"/>
            <w:vAlign w:val="center"/>
          </w:tcPr>
          <w:p>
            <w:pPr>
              <w:spacing w:line="240" w:lineRule="auto"/>
              <w:ind w:firstLine="0" w:firstLineChars="0"/>
              <w:contextualSpacing/>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Merge w:val="continue"/>
            <w:vAlign w:val="center"/>
          </w:tcPr>
          <w:p>
            <w:pPr>
              <w:spacing w:line="240" w:lineRule="auto"/>
              <w:ind w:firstLine="0" w:firstLineChars="0"/>
              <w:contextualSpacing/>
              <w:jc w:val="center"/>
              <w:rPr>
                <w:sz w:val="21"/>
                <w:szCs w:val="21"/>
              </w:rPr>
            </w:pPr>
          </w:p>
        </w:tc>
        <w:tc>
          <w:tcPr>
            <w:tcW w:w="1210" w:type="dxa"/>
            <w:gridSpan w:val="2"/>
            <w:vMerge w:val="continue"/>
            <w:vAlign w:val="center"/>
          </w:tcPr>
          <w:p>
            <w:pPr>
              <w:spacing w:line="240" w:lineRule="auto"/>
              <w:ind w:firstLine="0" w:firstLineChars="0"/>
              <w:contextualSpacing/>
              <w:jc w:val="center"/>
              <w:rPr>
                <w:sz w:val="21"/>
                <w:szCs w:val="21"/>
              </w:rPr>
            </w:pPr>
          </w:p>
        </w:tc>
        <w:tc>
          <w:tcPr>
            <w:tcW w:w="2171" w:type="dxa"/>
            <w:vAlign w:val="center"/>
          </w:tcPr>
          <w:p>
            <w:pPr>
              <w:spacing w:line="240" w:lineRule="auto"/>
              <w:ind w:firstLine="0" w:firstLineChars="0"/>
              <w:contextualSpacing/>
              <w:jc w:val="center"/>
              <w:rPr>
                <w:sz w:val="21"/>
                <w:szCs w:val="21"/>
              </w:rPr>
            </w:pPr>
            <w:r>
              <w:rPr>
                <w:sz w:val="21"/>
                <w:szCs w:val="21"/>
              </w:rPr>
              <w:t>含油废水处理</w:t>
            </w:r>
          </w:p>
        </w:tc>
        <w:tc>
          <w:tcPr>
            <w:tcW w:w="2098" w:type="dxa"/>
            <w:vMerge w:val="continue"/>
            <w:vAlign w:val="center"/>
          </w:tcPr>
          <w:p>
            <w:pPr>
              <w:spacing w:line="240" w:lineRule="auto"/>
              <w:ind w:firstLine="0" w:firstLineChars="0"/>
              <w:contextualSpacing/>
              <w:jc w:val="center"/>
              <w:rPr>
                <w:sz w:val="21"/>
                <w:szCs w:val="21"/>
              </w:rPr>
            </w:pPr>
          </w:p>
        </w:tc>
        <w:tc>
          <w:tcPr>
            <w:tcW w:w="1608" w:type="dxa"/>
            <w:vAlign w:val="center"/>
          </w:tcPr>
          <w:p>
            <w:pPr>
              <w:spacing w:line="240" w:lineRule="auto"/>
              <w:ind w:firstLine="0" w:firstLineChars="0"/>
              <w:contextualSpacing/>
              <w:jc w:val="center"/>
              <w:rPr>
                <w:sz w:val="21"/>
                <w:szCs w:val="21"/>
              </w:rPr>
            </w:pPr>
            <w:r>
              <w:rPr>
                <w:sz w:val="21"/>
                <w:szCs w:val="21"/>
              </w:rPr>
              <w:t>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Merge w:val="continue"/>
            <w:vAlign w:val="center"/>
          </w:tcPr>
          <w:p>
            <w:pPr>
              <w:spacing w:line="240" w:lineRule="auto"/>
              <w:ind w:firstLine="0" w:firstLineChars="0"/>
              <w:contextualSpacing/>
              <w:jc w:val="center"/>
              <w:rPr>
                <w:sz w:val="21"/>
                <w:szCs w:val="21"/>
              </w:rPr>
            </w:pPr>
          </w:p>
        </w:tc>
        <w:tc>
          <w:tcPr>
            <w:tcW w:w="1210" w:type="dxa"/>
            <w:gridSpan w:val="2"/>
            <w:vAlign w:val="center"/>
          </w:tcPr>
          <w:p>
            <w:pPr>
              <w:spacing w:line="240" w:lineRule="auto"/>
              <w:ind w:firstLine="0" w:firstLineChars="0"/>
              <w:contextualSpacing/>
              <w:jc w:val="center"/>
              <w:rPr>
                <w:sz w:val="21"/>
                <w:szCs w:val="21"/>
              </w:rPr>
            </w:pPr>
            <w:r>
              <w:rPr>
                <w:sz w:val="21"/>
                <w:szCs w:val="21"/>
              </w:rPr>
              <w:t>生活污水</w:t>
            </w:r>
          </w:p>
        </w:tc>
        <w:tc>
          <w:tcPr>
            <w:tcW w:w="2171" w:type="dxa"/>
            <w:vAlign w:val="center"/>
          </w:tcPr>
          <w:p>
            <w:pPr>
              <w:spacing w:line="240" w:lineRule="auto"/>
              <w:ind w:firstLine="0" w:firstLineChars="0"/>
              <w:contextualSpacing/>
              <w:jc w:val="center"/>
              <w:rPr>
                <w:sz w:val="21"/>
                <w:szCs w:val="21"/>
              </w:rPr>
            </w:pPr>
            <w:r>
              <w:rPr>
                <w:sz w:val="21"/>
                <w:szCs w:val="21"/>
              </w:rPr>
              <w:t>业主营地和承包商营地生活污水处理，临时厕所</w:t>
            </w:r>
          </w:p>
        </w:tc>
        <w:tc>
          <w:tcPr>
            <w:tcW w:w="2098" w:type="dxa"/>
            <w:vAlign w:val="center"/>
          </w:tcPr>
          <w:p>
            <w:pPr>
              <w:spacing w:line="240" w:lineRule="auto"/>
              <w:ind w:firstLine="0" w:firstLineChars="0"/>
              <w:contextualSpacing/>
              <w:jc w:val="center"/>
              <w:rPr>
                <w:sz w:val="21"/>
                <w:szCs w:val="21"/>
              </w:rPr>
            </w:pPr>
            <w:r>
              <w:rPr>
                <w:sz w:val="21"/>
                <w:szCs w:val="21"/>
              </w:rPr>
              <w:t>施工营地污水处理设施设计、建成情况，污水处理设施、运行情况以及处理效果</w:t>
            </w:r>
          </w:p>
        </w:tc>
        <w:tc>
          <w:tcPr>
            <w:tcW w:w="1608" w:type="dxa"/>
            <w:vAlign w:val="center"/>
          </w:tcPr>
          <w:p>
            <w:pPr>
              <w:spacing w:line="240" w:lineRule="auto"/>
              <w:ind w:firstLine="0" w:firstLineChars="0"/>
              <w:contextualSpacing/>
              <w:jc w:val="center"/>
              <w:rPr>
                <w:sz w:val="21"/>
                <w:szCs w:val="21"/>
              </w:rPr>
            </w:pPr>
            <w:r>
              <w:rPr>
                <w:sz w:val="21"/>
                <w:szCs w:val="21"/>
              </w:rPr>
              <w:t>满足设计要求，能够正常投运，处理后用于绿化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Align w:val="center"/>
          </w:tcPr>
          <w:p>
            <w:pPr>
              <w:spacing w:line="240" w:lineRule="auto"/>
              <w:ind w:firstLine="0" w:firstLineChars="0"/>
              <w:contextualSpacing/>
              <w:jc w:val="center"/>
              <w:rPr>
                <w:sz w:val="21"/>
                <w:szCs w:val="21"/>
              </w:rPr>
            </w:pPr>
            <w:r>
              <w:rPr>
                <w:sz w:val="21"/>
                <w:szCs w:val="21"/>
              </w:rPr>
              <w:t>地下水</w:t>
            </w:r>
          </w:p>
        </w:tc>
        <w:tc>
          <w:tcPr>
            <w:tcW w:w="1210" w:type="dxa"/>
            <w:gridSpan w:val="2"/>
            <w:vAlign w:val="center"/>
          </w:tcPr>
          <w:p>
            <w:pPr>
              <w:spacing w:line="240" w:lineRule="auto"/>
              <w:ind w:firstLine="0" w:firstLineChars="0"/>
              <w:contextualSpacing/>
              <w:jc w:val="center"/>
              <w:rPr>
                <w:sz w:val="21"/>
                <w:szCs w:val="21"/>
              </w:rPr>
            </w:pPr>
            <w:r>
              <w:rPr>
                <w:sz w:val="21"/>
                <w:szCs w:val="21"/>
              </w:rPr>
              <w:t>地下水监测</w:t>
            </w:r>
          </w:p>
        </w:tc>
        <w:tc>
          <w:tcPr>
            <w:tcW w:w="2171" w:type="dxa"/>
            <w:vAlign w:val="center"/>
          </w:tcPr>
          <w:p>
            <w:pPr>
              <w:spacing w:line="240" w:lineRule="auto"/>
              <w:ind w:firstLine="0" w:firstLineChars="0"/>
              <w:contextualSpacing/>
              <w:jc w:val="center"/>
              <w:rPr>
                <w:sz w:val="21"/>
                <w:szCs w:val="21"/>
              </w:rPr>
            </w:pPr>
            <w:r>
              <w:rPr>
                <w:sz w:val="21"/>
                <w:szCs w:val="21"/>
              </w:rPr>
              <w:t>施工前开展地下水监测</w:t>
            </w:r>
          </w:p>
        </w:tc>
        <w:tc>
          <w:tcPr>
            <w:tcW w:w="2098" w:type="dxa"/>
            <w:vAlign w:val="center"/>
          </w:tcPr>
          <w:p>
            <w:pPr>
              <w:spacing w:line="240" w:lineRule="auto"/>
              <w:ind w:firstLine="0" w:firstLineChars="0"/>
              <w:contextualSpacing/>
              <w:jc w:val="center"/>
              <w:rPr>
                <w:sz w:val="21"/>
                <w:szCs w:val="21"/>
              </w:rPr>
            </w:pPr>
            <w:r>
              <w:rPr>
                <w:sz w:val="21"/>
                <w:szCs w:val="21"/>
              </w:rPr>
              <w:t>监测报告</w:t>
            </w:r>
          </w:p>
        </w:tc>
        <w:tc>
          <w:tcPr>
            <w:tcW w:w="1608" w:type="dxa"/>
            <w:vAlign w:val="center"/>
          </w:tcPr>
          <w:p>
            <w:pPr>
              <w:spacing w:line="240" w:lineRule="auto"/>
              <w:ind w:firstLine="0" w:firstLineChars="0"/>
              <w:contextualSpacing/>
              <w:jc w:val="center"/>
              <w:rPr>
                <w:sz w:val="21"/>
                <w:szCs w:val="21"/>
              </w:rPr>
            </w:pPr>
            <w:r>
              <w:rPr>
                <w:sz w:val="21"/>
                <w:szCs w:val="21"/>
              </w:rPr>
              <w:t>满足报告提出监测内容要求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Merge w:val="restart"/>
            <w:vAlign w:val="center"/>
          </w:tcPr>
          <w:p>
            <w:pPr>
              <w:spacing w:line="240" w:lineRule="auto"/>
              <w:ind w:firstLine="0" w:firstLineChars="0"/>
              <w:contextualSpacing/>
              <w:jc w:val="center"/>
              <w:rPr>
                <w:sz w:val="21"/>
                <w:szCs w:val="21"/>
              </w:rPr>
            </w:pPr>
            <w:r>
              <w:rPr>
                <w:sz w:val="21"/>
                <w:szCs w:val="21"/>
              </w:rPr>
              <w:t>生态环境</w:t>
            </w:r>
          </w:p>
        </w:tc>
        <w:tc>
          <w:tcPr>
            <w:tcW w:w="1210" w:type="dxa"/>
            <w:gridSpan w:val="2"/>
            <w:vAlign w:val="center"/>
          </w:tcPr>
          <w:p>
            <w:pPr>
              <w:spacing w:line="240" w:lineRule="auto"/>
              <w:ind w:firstLine="0" w:firstLineChars="0"/>
              <w:contextualSpacing/>
              <w:jc w:val="center"/>
              <w:rPr>
                <w:sz w:val="21"/>
                <w:szCs w:val="21"/>
              </w:rPr>
            </w:pPr>
            <w:r>
              <w:rPr>
                <w:sz w:val="21"/>
                <w:szCs w:val="21"/>
              </w:rPr>
              <w:t>土壤</w:t>
            </w:r>
          </w:p>
        </w:tc>
        <w:tc>
          <w:tcPr>
            <w:tcW w:w="2171" w:type="dxa"/>
            <w:vAlign w:val="center"/>
          </w:tcPr>
          <w:p>
            <w:pPr>
              <w:spacing w:line="240" w:lineRule="auto"/>
              <w:ind w:firstLine="0" w:firstLineChars="0"/>
              <w:contextualSpacing/>
              <w:jc w:val="center"/>
              <w:rPr>
                <w:sz w:val="21"/>
                <w:szCs w:val="21"/>
              </w:rPr>
            </w:pPr>
            <w:r>
              <w:rPr>
                <w:sz w:val="21"/>
                <w:szCs w:val="21"/>
              </w:rPr>
              <w:t>对施工场地的表土进行剥离</w:t>
            </w:r>
          </w:p>
        </w:tc>
        <w:tc>
          <w:tcPr>
            <w:tcW w:w="2098" w:type="dxa"/>
            <w:vAlign w:val="center"/>
          </w:tcPr>
          <w:p>
            <w:pPr>
              <w:spacing w:line="240" w:lineRule="auto"/>
              <w:ind w:firstLine="0" w:firstLineChars="0"/>
              <w:contextualSpacing/>
              <w:jc w:val="center"/>
              <w:rPr>
                <w:sz w:val="21"/>
                <w:szCs w:val="21"/>
              </w:rPr>
            </w:pPr>
            <w:r>
              <w:rPr>
                <w:sz w:val="21"/>
                <w:szCs w:val="21"/>
              </w:rPr>
              <w:t>表土堆存场的使用情况</w:t>
            </w:r>
          </w:p>
        </w:tc>
        <w:tc>
          <w:tcPr>
            <w:tcW w:w="1608" w:type="dxa"/>
            <w:vAlign w:val="center"/>
          </w:tcPr>
          <w:p>
            <w:pPr>
              <w:spacing w:line="240" w:lineRule="auto"/>
              <w:ind w:firstLine="0" w:firstLineChars="0"/>
              <w:contextualSpacing/>
              <w:jc w:val="center"/>
              <w:rPr>
                <w:sz w:val="21"/>
                <w:szCs w:val="21"/>
              </w:rPr>
            </w:pPr>
            <w:r>
              <w:rPr>
                <w:sz w:val="21"/>
                <w:szCs w:val="21"/>
              </w:rPr>
              <w:t>满足表土剥离要求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884" w:type="dxa"/>
            <w:vMerge w:val="continue"/>
            <w:vAlign w:val="center"/>
          </w:tcPr>
          <w:p>
            <w:pPr>
              <w:spacing w:line="240" w:lineRule="auto"/>
              <w:ind w:firstLine="0" w:firstLineChars="0"/>
              <w:contextualSpacing/>
              <w:jc w:val="center"/>
              <w:rPr>
                <w:sz w:val="21"/>
                <w:szCs w:val="21"/>
              </w:rPr>
            </w:pPr>
          </w:p>
        </w:tc>
        <w:tc>
          <w:tcPr>
            <w:tcW w:w="1210" w:type="dxa"/>
            <w:gridSpan w:val="2"/>
            <w:vAlign w:val="center"/>
          </w:tcPr>
          <w:p>
            <w:pPr>
              <w:spacing w:line="240" w:lineRule="auto"/>
              <w:ind w:firstLine="0" w:firstLineChars="0"/>
              <w:contextualSpacing/>
              <w:jc w:val="center"/>
              <w:rPr>
                <w:sz w:val="21"/>
                <w:szCs w:val="21"/>
              </w:rPr>
            </w:pPr>
            <w:r>
              <w:rPr>
                <w:sz w:val="21"/>
                <w:szCs w:val="21"/>
              </w:rPr>
              <w:t>陆生动植物</w:t>
            </w:r>
          </w:p>
        </w:tc>
        <w:tc>
          <w:tcPr>
            <w:tcW w:w="2171" w:type="dxa"/>
            <w:vAlign w:val="center"/>
          </w:tcPr>
          <w:p>
            <w:pPr>
              <w:spacing w:line="240" w:lineRule="auto"/>
              <w:ind w:firstLine="0" w:firstLineChars="0"/>
              <w:contextualSpacing/>
              <w:jc w:val="center"/>
              <w:rPr>
                <w:sz w:val="21"/>
                <w:szCs w:val="21"/>
              </w:rPr>
            </w:pPr>
            <w:r>
              <w:rPr>
                <w:sz w:val="21"/>
                <w:szCs w:val="21"/>
              </w:rPr>
              <w:t>施工期环境管理</w:t>
            </w:r>
          </w:p>
        </w:tc>
        <w:tc>
          <w:tcPr>
            <w:tcW w:w="2098" w:type="dxa"/>
            <w:vAlign w:val="center"/>
          </w:tcPr>
          <w:p>
            <w:pPr>
              <w:spacing w:line="240" w:lineRule="auto"/>
              <w:ind w:firstLine="0" w:firstLineChars="0"/>
              <w:contextualSpacing/>
              <w:jc w:val="center"/>
              <w:rPr>
                <w:sz w:val="21"/>
                <w:szCs w:val="21"/>
              </w:rPr>
            </w:pPr>
            <w:r>
              <w:rPr>
                <w:sz w:val="21"/>
                <w:szCs w:val="21"/>
              </w:rPr>
              <w:t>管理措施实施情况</w:t>
            </w:r>
          </w:p>
        </w:tc>
        <w:tc>
          <w:tcPr>
            <w:tcW w:w="1608" w:type="dxa"/>
            <w:vAlign w:val="center"/>
          </w:tcPr>
          <w:p>
            <w:pPr>
              <w:spacing w:line="240" w:lineRule="auto"/>
              <w:ind w:firstLine="0" w:firstLineChars="0"/>
              <w:contextualSpacing/>
              <w:jc w:val="center"/>
              <w:rPr>
                <w:sz w:val="21"/>
                <w:szCs w:val="21"/>
              </w:rPr>
            </w:pPr>
            <w:r>
              <w:rPr>
                <w:sz w:val="21"/>
                <w:szCs w:val="21"/>
              </w:rPr>
              <w:t>对陆生动植物不产生明显影响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2094" w:type="dxa"/>
            <w:gridSpan w:val="3"/>
            <w:vAlign w:val="center"/>
          </w:tcPr>
          <w:p>
            <w:pPr>
              <w:spacing w:line="240" w:lineRule="auto"/>
              <w:ind w:firstLine="0" w:firstLineChars="0"/>
              <w:contextualSpacing/>
              <w:jc w:val="center"/>
              <w:rPr>
                <w:sz w:val="21"/>
                <w:szCs w:val="21"/>
              </w:rPr>
            </w:pPr>
            <w:r>
              <w:rPr>
                <w:sz w:val="21"/>
                <w:szCs w:val="21"/>
              </w:rPr>
              <w:t>库底清理</w:t>
            </w:r>
          </w:p>
        </w:tc>
        <w:tc>
          <w:tcPr>
            <w:tcW w:w="2171" w:type="dxa"/>
            <w:vAlign w:val="center"/>
          </w:tcPr>
          <w:p>
            <w:pPr>
              <w:spacing w:line="240" w:lineRule="auto"/>
              <w:ind w:firstLine="0" w:firstLineChars="0"/>
              <w:contextualSpacing/>
              <w:jc w:val="center"/>
              <w:rPr>
                <w:sz w:val="21"/>
                <w:szCs w:val="21"/>
              </w:rPr>
            </w:pPr>
            <w:r>
              <w:rPr>
                <w:sz w:val="21"/>
                <w:szCs w:val="21"/>
              </w:rPr>
              <w:t>按照相关规范要求进行库底清理</w:t>
            </w:r>
          </w:p>
        </w:tc>
        <w:tc>
          <w:tcPr>
            <w:tcW w:w="2098" w:type="dxa"/>
            <w:vAlign w:val="center"/>
          </w:tcPr>
          <w:p>
            <w:pPr>
              <w:spacing w:line="240" w:lineRule="auto"/>
              <w:ind w:firstLine="0" w:firstLineChars="0"/>
              <w:contextualSpacing/>
              <w:jc w:val="center"/>
              <w:rPr>
                <w:sz w:val="21"/>
                <w:szCs w:val="21"/>
              </w:rPr>
            </w:pPr>
            <w:r>
              <w:rPr>
                <w:sz w:val="21"/>
                <w:szCs w:val="21"/>
              </w:rPr>
              <w:t>清理设计以及实施情况</w:t>
            </w:r>
          </w:p>
        </w:tc>
        <w:tc>
          <w:tcPr>
            <w:tcW w:w="1608" w:type="dxa"/>
            <w:vAlign w:val="center"/>
          </w:tcPr>
          <w:p>
            <w:pPr>
              <w:spacing w:line="240" w:lineRule="auto"/>
              <w:ind w:firstLine="0" w:firstLineChars="0"/>
              <w:contextualSpacing/>
              <w:jc w:val="center"/>
              <w:rPr>
                <w:sz w:val="21"/>
                <w:szCs w:val="21"/>
              </w:rPr>
            </w:pPr>
            <w:r>
              <w:rPr>
                <w:sz w:val="21"/>
                <w:szCs w:val="21"/>
              </w:rPr>
              <w:t>满足规范要求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restart"/>
            <w:vAlign w:val="center"/>
          </w:tcPr>
          <w:p>
            <w:pPr>
              <w:spacing w:line="240" w:lineRule="auto"/>
              <w:ind w:firstLine="0" w:firstLineChars="0"/>
              <w:contextualSpacing/>
              <w:jc w:val="center"/>
              <w:rPr>
                <w:sz w:val="21"/>
                <w:szCs w:val="21"/>
              </w:rPr>
            </w:pPr>
            <w:r>
              <w:rPr>
                <w:sz w:val="21"/>
                <w:szCs w:val="21"/>
              </w:rPr>
              <w:t>蓄水验收</w:t>
            </w:r>
          </w:p>
        </w:tc>
        <w:tc>
          <w:tcPr>
            <w:tcW w:w="918" w:type="dxa"/>
            <w:gridSpan w:val="2"/>
            <w:vAlign w:val="center"/>
          </w:tcPr>
          <w:p>
            <w:pPr>
              <w:spacing w:line="240" w:lineRule="auto"/>
              <w:ind w:firstLine="0" w:firstLineChars="0"/>
              <w:contextualSpacing/>
              <w:jc w:val="center"/>
              <w:rPr>
                <w:rFonts w:hint="eastAsia"/>
                <w:sz w:val="21"/>
                <w:szCs w:val="21"/>
              </w:rPr>
            </w:pPr>
            <w:r>
              <w:rPr>
                <w:rFonts w:hint="eastAsia"/>
                <w:sz w:val="21"/>
                <w:szCs w:val="21"/>
              </w:rPr>
              <w:t>地表水</w:t>
            </w:r>
          </w:p>
        </w:tc>
        <w:tc>
          <w:tcPr>
            <w:tcW w:w="1176" w:type="dxa"/>
            <w:vAlign w:val="center"/>
          </w:tcPr>
          <w:p>
            <w:pPr>
              <w:spacing w:line="240" w:lineRule="auto"/>
              <w:ind w:firstLine="0" w:firstLineChars="0"/>
              <w:contextualSpacing/>
              <w:jc w:val="center"/>
              <w:rPr>
                <w:sz w:val="21"/>
                <w:szCs w:val="21"/>
              </w:rPr>
            </w:pPr>
            <w:r>
              <w:rPr>
                <w:sz w:val="21"/>
                <w:szCs w:val="21"/>
              </w:rPr>
              <w:t>水源区、受水区</w:t>
            </w:r>
            <w:r>
              <w:rPr>
                <w:rFonts w:hint="eastAsia"/>
                <w:sz w:val="21"/>
                <w:szCs w:val="21"/>
              </w:rPr>
              <w:t>水质</w:t>
            </w:r>
          </w:p>
        </w:tc>
        <w:tc>
          <w:tcPr>
            <w:tcW w:w="2171" w:type="dxa"/>
            <w:vAlign w:val="center"/>
          </w:tcPr>
          <w:p>
            <w:pPr>
              <w:spacing w:line="240" w:lineRule="auto"/>
              <w:ind w:firstLine="0" w:firstLineChars="0"/>
              <w:contextualSpacing/>
              <w:jc w:val="center"/>
              <w:rPr>
                <w:sz w:val="21"/>
                <w:szCs w:val="21"/>
              </w:rPr>
            </w:pPr>
            <w:r>
              <w:rPr>
                <w:rFonts w:hint="eastAsia"/>
                <w:sz w:val="21"/>
                <w:szCs w:val="21"/>
              </w:rPr>
              <w:t>蓄水前完成</w:t>
            </w:r>
            <w:r>
              <w:rPr>
                <w:sz w:val="21"/>
                <w:szCs w:val="21"/>
              </w:rPr>
              <w:t>水源区、受水区污染防治</w:t>
            </w:r>
          </w:p>
        </w:tc>
        <w:tc>
          <w:tcPr>
            <w:tcW w:w="2098" w:type="dxa"/>
            <w:vAlign w:val="center"/>
          </w:tcPr>
          <w:p>
            <w:pPr>
              <w:spacing w:line="240" w:lineRule="auto"/>
              <w:ind w:firstLine="0" w:firstLineChars="0"/>
              <w:contextualSpacing/>
              <w:jc w:val="center"/>
              <w:rPr>
                <w:sz w:val="21"/>
                <w:szCs w:val="21"/>
              </w:rPr>
            </w:pPr>
            <w:r>
              <w:rPr>
                <w:sz w:val="21"/>
                <w:szCs w:val="21"/>
              </w:rPr>
              <w:t>水源区、受水区污染防治实施及其效果</w:t>
            </w:r>
          </w:p>
        </w:tc>
        <w:tc>
          <w:tcPr>
            <w:tcW w:w="1608" w:type="dxa"/>
            <w:vAlign w:val="center"/>
          </w:tcPr>
          <w:p>
            <w:pPr>
              <w:spacing w:line="240" w:lineRule="auto"/>
              <w:ind w:firstLine="0" w:firstLineChars="0"/>
              <w:contextualSpacing/>
              <w:jc w:val="center"/>
              <w:rPr>
                <w:sz w:val="21"/>
                <w:szCs w:val="21"/>
              </w:rPr>
            </w:pPr>
            <w:r>
              <w:rPr>
                <w:sz w:val="21"/>
                <w:szCs w:val="21"/>
              </w:rPr>
              <w:t>满足区域环境功能要求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Align w:val="center"/>
          </w:tcPr>
          <w:p>
            <w:pPr>
              <w:spacing w:line="240" w:lineRule="auto"/>
              <w:ind w:firstLine="0" w:firstLineChars="0"/>
              <w:contextualSpacing/>
              <w:jc w:val="center"/>
              <w:rPr>
                <w:sz w:val="21"/>
                <w:szCs w:val="21"/>
              </w:rPr>
            </w:pPr>
            <w:r>
              <w:rPr>
                <w:sz w:val="21"/>
                <w:szCs w:val="21"/>
              </w:rPr>
              <w:t>噪声</w:t>
            </w:r>
          </w:p>
        </w:tc>
        <w:tc>
          <w:tcPr>
            <w:tcW w:w="1176" w:type="dxa"/>
            <w:vAlign w:val="center"/>
          </w:tcPr>
          <w:p>
            <w:pPr>
              <w:spacing w:line="240" w:lineRule="auto"/>
              <w:ind w:firstLine="0" w:firstLineChars="0"/>
              <w:contextualSpacing/>
              <w:jc w:val="center"/>
              <w:rPr>
                <w:sz w:val="21"/>
                <w:szCs w:val="21"/>
              </w:rPr>
            </w:pPr>
            <w:r>
              <w:rPr>
                <w:sz w:val="21"/>
                <w:szCs w:val="21"/>
              </w:rPr>
              <w:t>施工噪声</w:t>
            </w:r>
          </w:p>
        </w:tc>
        <w:tc>
          <w:tcPr>
            <w:tcW w:w="2171" w:type="dxa"/>
            <w:vAlign w:val="center"/>
          </w:tcPr>
          <w:p>
            <w:pPr>
              <w:spacing w:line="240" w:lineRule="auto"/>
              <w:ind w:firstLine="0" w:firstLineChars="0"/>
              <w:contextualSpacing/>
              <w:jc w:val="center"/>
              <w:rPr>
                <w:sz w:val="21"/>
                <w:szCs w:val="21"/>
              </w:rPr>
            </w:pPr>
            <w:r>
              <w:rPr>
                <w:sz w:val="21"/>
                <w:szCs w:val="21"/>
              </w:rPr>
              <w:t>管理和控制措施</w:t>
            </w:r>
          </w:p>
        </w:tc>
        <w:tc>
          <w:tcPr>
            <w:tcW w:w="2098" w:type="dxa"/>
            <w:vAlign w:val="center"/>
          </w:tcPr>
          <w:p>
            <w:pPr>
              <w:spacing w:line="240" w:lineRule="auto"/>
              <w:ind w:firstLine="0" w:firstLineChars="0"/>
              <w:contextualSpacing/>
              <w:jc w:val="center"/>
              <w:rPr>
                <w:sz w:val="21"/>
                <w:szCs w:val="21"/>
              </w:rPr>
            </w:pPr>
            <w:r>
              <w:rPr>
                <w:sz w:val="21"/>
                <w:szCs w:val="21"/>
              </w:rPr>
              <w:t>管理措施实施情况</w:t>
            </w:r>
          </w:p>
        </w:tc>
        <w:tc>
          <w:tcPr>
            <w:tcW w:w="1608" w:type="dxa"/>
            <w:vAlign w:val="center"/>
          </w:tcPr>
          <w:p>
            <w:pPr>
              <w:spacing w:line="240" w:lineRule="auto"/>
              <w:ind w:firstLine="0" w:firstLineChars="0"/>
              <w:contextualSpacing/>
              <w:jc w:val="center"/>
              <w:rPr>
                <w:sz w:val="21"/>
                <w:szCs w:val="21"/>
              </w:rPr>
            </w:pPr>
            <w:r>
              <w:rPr>
                <w:sz w:val="21"/>
                <w:szCs w:val="21"/>
              </w:rPr>
              <w:t>满足区域环境功能要求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Align w:val="center"/>
          </w:tcPr>
          <w:p>
            <w:pPr>
              <w:spacing w:line="240" w:lineRule="auto"/>
              <w:ind w:firstLine="0" w:firstLineChars="0"/>
              <w:contextualSpacing/>
              <w:jc w:val="center"/>
              <w:rPr>
                <w:sz w:val="21"/>
                <w:szCs w:val="21"/>
              </w:rPr>
            </w:pPr>
            <w:r>
              <w:rPr>
                <w:sz w:val="21"/>
                <w:szCs w:val="21"/>
              </w:rPr>
              <w:t>大气</w:t>
            </w:r>
          </w:p>
        </w:tc>
        <w:tc>
          <w:tcPr>
            <w:tcW w:w="1176" w:type="dxa"/>
            <w:vAlign w:val="center"/>
          </w:tcPr>
          <w:p>
            <w:pPr>
              <w:spacing w:line="240" w:lineRule="auto"/>
              <w:ind w:firstLine="0" w:firstLineChars="0"/>
              <w:contextualSpacing/>
              <w:jc w:val="center"/>
              <w:rPr>
                <w:sz w:val="21"/>
                <w:szCs w:val="21"/>
              </w:rPr>
            </w:pPr>
            <w:r>
              <w:rPr>
                <w:sz w:val="21"/>
                <w:szCs w:val="21"/>
              </w:rPr>
              <w:t>施工场地</w:t>
            </w:r>
          </w:p>
        </w:tc>
        <w:tc>
          <w:tcPr>
            <w:tcW w:w="2171" w:type="dxa"/>
            <w:vAlign w:val="center"/>
          </w:tcPr>
          <w:p>
            <w:pPr>
              <w:spacing w:line="240" w:lineRule="auto"/>
              <w:ind w:firstLine="0" w:firstLineChars="0"/>
              <w:contextualSpacing/>
              <w:jc w:val="center"/>
              <w:rPr>
                <w:sz w:val="21"/>
                <w:szCs w:val="21"/>
              </w:rPr>
            </w:pPr>
            <w:r>
              <w:rPr>
                <w:sz w:val="21"/>
                <w:szCs w:val="21"/>
              </w:rPr>
              <w:t>洒水降尘等</w:t>
            </w:r>
          </w:p>
        </w:tc>
        <w:tc>
          <w:tcPr>
            <w:tcW w:w="2098" w:type="dxa"/>
            <w:vAlign w:val="center"/>
          </w:tcPr>
          <w:p>
            <w:pPr>
              <w:spacing w:line="240" w:lineRule="auto"/>
              <w:ind w:firstLine="0" w:firstLineChars="0"/>
              <w:contextualSpacing/>
              <w:jc w:val="center"/>
              <w:rPr>
                <w:sz w:val="21"/>
                <w:szCs w:val="21"/>
              </w:rPr>
            </w:pPr>
            <w:r>
              <w:rPr>
                <w:sz w:val="21"/>
                <w:szCs w:val="21"/>
              </w:rPr>
              <w:t>洒水降尘设施、洒水频率以及效果</w:t>
            </w:r>
          </w:p>
        </w:tc>
        <w:tc>
          <w:tcPr>
            <w:tcW w:w="1608" w:type="dxa"/>
            <w:vAlign w:val="center"/>
          </w:tcPr>
          <w:p>
            <w:pPr>
              <w:spacing w:line="240" w:lineRule="auto"/>
              <w:ind w:firstLine="0" w:firstLineChars="0"/>
              <w:contextualSpacing/>
              <w:jc w:val="center"/>
              <w:rPr>
                <w:sz w:val="21"/>
                <w:szCs w:val="21"/>
              </w:rPr>
            </w:pPr>
            <w:r>
              <w:rPr>
                <w:sz w:val="21"/>
                <w:szCs w:val="21"/>
              </w:rPr>
              <w:t>满足区域环境功能要求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Align w:val="center"/>
          </w:tcPr>
          <w:p>
            <w:pPr>
              <w:spacing w:line="240" w:lineRule="auto"/>
              <w:ind w:firstLine="0" w:firstLineChars="0"/>
              <w:contextualSpacing/>
              <w:jc w:val="center"/>
              <w:rPr>
                <w:sz w:val="21"/>
                <w:szCs w:val="21"/>
              </w:rPr>
            </w:pPr>
            <w:r>
              <w:rPr>
                <w:sz w:val="21"/>
                <w:szCs w:val="21"/>
              </w:rPr>
              <w:t>固废</w:t>
            </w:r>
          </w:p>
        </w:tc>
        <w:tc>
          <w:tcPr>
            <w:tcW w:w="1176" w:type="dxa"/>
            <w:vAlign w:val="center"/>
          </w:tcPr>
          <w:p>
            <w:pPr>
              <w:spacing w:line="240" w:lineRule="auto"/>
              <w:ind w:firstLine="0" w:firstLineChars="0"/>
              <w:contextualSpacing/>
              <w:jc w:val="center"/>
              <w:rPr>
                <w:sz w:val="21"/>
                <w:szCs w:val="21"/>
              </w:rPr>
            </w:pPr>
            <w:r>
              <w:rPr>
                <w:sz w:val="21"/>
                <w:szCs w:val="21"/>
              </w:rPr>
              <w:t>施工场地</w:t>
            </w:r>
          </w:p>
        </w:tc>
        <w:tc>
          <w:tcPr>
            <w:tcW w:w="2171" w:type="dxa"/>
            <w:vAlign w:val="center"/>
          </w:tcPr>
          <w:p>
            <w:pPr>
              <w:spacing w:line="240" w:lineRule="auto"/>
              <w:ind w:firstLine="0" w:firstLineChars="0"/>
              <w:contextualSpacing/>
              <w:jc w:val="center"/>
              <w:rPr>
                <w:sz w:val="21"/>
                <w:szCs w:val="21"/>
              </w:rPr>
            </w:pPr>
            <w:r>
              <w:rPr>
                <w:sz w:val="21"/>
                <w:szCs w:val="21"/>
              </w:rPr>
              <w:t>工程弃渣堆放至指定弃渣场；生活垃圾进</w:t>
            </w:r>
          </w:p>
          <w:p>
            <w:pPr>
              <w:spacing w:line="240" w:lineRule="auto"/>
              <w:ind w:firstLine="0" w:firstLineChars="0"/>
              <w:contextualSpacing/>
              <w:jc w:val="center"/>
              <w:rPr>
                <w:sz w:val="21"/>
                <w:szCs w:val="21"/>
              </w:rPr>
            </w:pPr>
            <w:r>
              <w:rPr>
                <w:sz w:val="21"/>
                <w:szCs w:val="21"/>
              </w:rPr>
              <w:t>行统一收集，外运填埋处置</w:t>
            </w:r>
          </w:p>
        </w:tc>
        <w:tc>
          <w:tcPr>
            <w:tcW w:w="2098" w:type="dxa"/>
            <w:vAlign w:val="center"/>
          </w:tcPr>
          <w:p>
            <w:pPr>
              <w:spacing w:line="240" w:lineRule="auto"/>
              <w:ind w:firstLine="0" w:firstLineChars="0"/>
              <w:contextualSpacing/>
              <w:jc w:val="center"/>
              <w:rPr>
                <w:sz w:val="21"/>
                <w:szCs w:val="21"/>
              </w:rPr>
            </w:pPr>
            <w:r>
              <w:rPr>
                <w:sz w:val="21"/>
                <w:szCs w:val="21"/>
              </w:rPr>
              <w:t>弃渣堆放情况；垃圾箱、垃圾池设置情况，垃圾外运处置情况</w:t>
            </w:r>
          </w:p>
        </w:tc>
        <w:tc>
          <w:tcPr>
            <w:tcW w:w="1608" w:type="dxa"/>
            <w:vAlign w:val="center"/>
          </w:tcPr>
          <w:p>
            <w:pPr>
              <w:spacing w:line="240" w:lineRule="auto"/>
              <w:ind w:firstLine="0" w:firstLineChars="0"/>
              <w:contextualSpacing/>
              <w:jc w:val="center"/>
              <w:rPr>
                <w:sz w:val="21"/>
                <w:szCs w:val="21"/>
              </w:rPr>
            </w:pPr>
            <w:r>
              <w:rPr>
                <w:sz w:val="21"/>
                <w:szCs w:val="21"/>
              </w:rPr>
              <w:t>弃渣按要求堆放；生活垃圾</w:t>
            </w:r>
          </w:p>
          <w:p>
            <w:pPr>
              <w:spacing w:line="240" w:lineRule="auto"/>
              <w:ind w:firstLine="0" w:firstLineChars="0"/>
              <w:contextualSpacing/>
              <w:jc w:val="center"/>
              <w:rPr>
                <w:sz w:val="21"/>
                <w:szCs w:val="21"/>
              </w:rPr>
            </w:pPr>
            <w:r>
              <w:rPr>
                <w:sz w:val="21"/>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Align w:val="center"/>
          </w:tcPr>
          <w:p>
            <w:pPr>
              <w:spacing w:line="240" w:lineRule="auto"/>
              <w:ind w:firstLine="0" w:firstLineChars="0"/>
              <w:contextualSpacing/>
              <w:jc w:val="center"/>
              <w:rPr>
                <w:sz w:val="21"/>
                <w:szCs w:val="21"/>
              </w:rPr>
            </w:pPr>
            <w:r>
              <w:rPr>
                <w:sz w:val="21"/>
                <w:szCs w:val="21"/>
              </w:rPr>
              <w:t>生态环境</w:t>
            </w:r>
          </w:p>
        </w:tc>
        <w:tc>
          <w:tcPr>
            <w:tcW w:w="1176" w:type="dxa"/>
            <w:vAlign w:val="center"/>
          </w:tcPr>
          <w:p>
            <w:pPr>
              <w:spacing w:line="240" w:lineRule="auto"/>
              <w:ind w:firstLine="0" w:firstLineChars="0"/>
              <w:contextualSpacing/>
              <w:jc w:val="center"/>
              <w:rPr>
                <w:sz w:val="21"/>
                <w:szCs w:val="21"/>
              </w:rPr>
            </w:pPr>
            <w:r>
              <w:rPr>
                <w:sz w:val="21"/>
                <w:szCs w:val="21"/>
              </w:rPr>
              <w:t>水生生态</w:t>
            </w:r>
          </w:p>
        </w:tc>
        <w:tc>
          <w:tcPr>
            <w:tcW w:w="2171" w:type="dxa"/>
            <w:vAlign w:val="center"/>
          </w:tcPr>
          <w:p>
            <w:pPr>
              <w:spacing w:line="240" w:lineRule="auto"/>
              <w:ind w:firstLine="0" w:firstLineChars="0"/>
              <w:contextualSpacing/>
              <w:jc w:val="center"/>
              <w:rPr>
                <w:sz w:val="21"/>
                <w:szCs w:val="21"/>
              </w:rPr>
            </w:pPr>
            <w:r>
              <w:rPr>
                <w:sz w:val="21"/>
                <w:szCs w:val="21"/>
              </w:rPr>
              <w:t>设置生态流量泄放设施、分层取水设施</w:t>
            </w:r>
          </w:p>
        </w:tc>
        <w:tc>
          <w:tcPr>
            <w:tcW w:w="2098" w:type="dxa"/>
            <w:vAlign w:val="center"/>
          </w:tcPr>
          <w:p>
            <w:pPr>
              <w:spacing w:line="240" w:lineRule="auto"/>
              <w:ind w:firstLine="0" w:firstLineChars="0"/>
              <w:contextualSpacing/>
              <w:jc w:val="center"/>
              <w:rPr>
                <w:sz w:val="21"/>
                <w:szCs w:val="21"/>
              </w:rPr>
            </w:pPr>
            <w:r>
              <w:rPr>
                <w:sz w:val="21"/>
                <w:szCs w:val="21"/>
              </w:rPr>
              <w:t>检查生态流量泄放设施、分层取水设施设置情况；</w:t>
            </w:r>
          </w:p>
        </w:tc>
        <w:tc>
          <w:tcPr>
            <w:tcW w:w="1608" w:type="dxa"/>
            <w:vAlign w:val="center"/>
          </w:tcPr>
          <w:p>
            <w:pPr>
              <w:spacing w:line="240" w:lineRule="auto"/>
              <w:ind w:firstLine="0" w:firstLineChars="0"/>
              <w:contextualSpacing/>
              <w:jc w:val="center"/>
              <w:rPr>
                <w:sz w:val="21"/>
                <w:szCs w:val="21"/>
              </w:rPr>
            </w:pPr>
            <w:r>
              <w:rPr>
                <w:sz w:val="21"/>
                <w:szCs w:val="21"/>
              </w:rPr>
              <w:t>满足设计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restart"/>
            <w:vAlign w:val="center"/>
          </w:tcPr>
          <w:p>
            <w:pPr>
              <w:spacing w:line="240" w:lineRule="auto"/>
              <w:ind w:firstLine="0" w:firstLineChars="0"/>
              <w:contextualSpacing/>
              <w:jc w:val="center"/>
              <w:rPr>
                <w:sz w:val="21"/>
                <w:szCs w:val="21"/>
              </w:rPr>
            </w:pPr>
            <w:r>
              <w:rPr>
                <w:sz w:val="21"/>
                <w:szCs w:val="21"/>
              </w:rPr>
              <w:t>竣工验收</w:t>
            </w:r>
          </w:p>
        </w:tc>
        <w:tc>
          <w:tcPr>
            <w:tcW w:w="918" w:type="dxa"/>
            <w:gridSpan w:val="2"/>
            <w:vAlign w:val="center"/>
          </w:tcPr>
          <w:p>
            <w:pPr>
              <w:spacing w:line="240" w:lineRule="auto"/>
              <w:ind w:firstLine="0" w:firstLineChars="0"/>
              <w:contextualSpacing/>
              <w:jc w:val="center"/>
              <w:rPr>
                <w:sz w:val="21"/>
                <w:szCs w:val="21"/>
              </w:rPr>
            </w:pPr>
            <w:r>
              <w:rPr>
                <w:sz w:val="21"/>
                <w:szCs w:val="21"/>
              </w:rPr>
              <w:t>地表水</w:t>
            </w:r>
          </w:p>
        </w:tc>
        <w:tc>
          <w:tcPr>
            <w:tcW w:w="1176" w:type="dxa"/>
            <w:vAlign w:val="center"/>
          </w:tcPr>
          <w:p>
            <w:pPr>
              <w:spacing w:line="240" w:lineRule="auto"/>
              <w:ind w:firstLine="0" w:firstLineChars="0"/>
              <w:contextualSpacing/>
              <w:jc w:val="center"/>
              <w:rPr>
                <w:sz w:val="21"/>
                <w:szCs w:val="21"/>
              </w:rPr>
            </w:pPr>
            <w:r>
              <w:rPr>
                <w:sz w:val="21"/>
                <w:szCs w:val="21"/>
              </w:rPr>
              <w:t>业主营地生活污水</w:t>
            </w:r>
          </w:p>
        </w:tc>
        <w:tc>
          <w:tcPr>
            <w:tcW w:w="2171" w:type="dxa"/>
            <w:vAlign w:val="center"/>
          </w:tcPr>
          <w:p>
            <w:pPr>
              <w:spacing w:line="240" w:lineRule="auto"/>
              <w:ind w:firstLine="0" w:firstLineChars="0"/>
              <w:contextualSpacing/>
              <w:jc w:val="center"/>
              <w:rPr>
                <w:sz w:val="21"/>
                <w:szCs w:val="21"/>
              </w:rPr>
            </w:pPr>
            <w:r>
              <w:rPr>
                <w:sz w:val="21"/>
                <w:szCs w:val="21"/>
              </w:rPr>
              <w:t>一体化设备处理</w:t>
            </w:r>
          </w:p>
        </w:tc>
        <w:tc>
          <w:tcPr>
            <w:tcW w:w="2098" w:type="dxa"/>
            <w:vAlign w:val="center"/>
          </w:tcPr>
          <w:p>
            <w:pPr>
              <w:spacing w:line="240" w:lineRule="auto"/>
              <w:ind w:firstLine="0" w:firstLineChars="0"/>
              <w:contextualSpacing/>
              <w:jc w:val="center"/>
              <w:rPr>
                <w:sz w:val="21"/>
                <w:szCs w:val="21"/>
              </w:rPr>
            </w:pPr>
            <w:r>
              <w:rPr>
                <w:sz w:val="21"/>
                <w:szCs w:val="21"/>
              </w:rPr>
              <w:t>污水处理设施、影响调查及运行情况</w:t>
            </w:r>
          </w:p>
        </w:tc>
        <w:tc>
          <w:tcPr>
            <w:tcW w:w="1608" w:type="dxa"/>
            <w:vAlign w:val="center"/>
          </w:tcPr>
          <w:p>
            <w:pPr>
              <w:spacing w:line="240" w:lineRule="auto"/>
              <w:ind w:firstLine="0" w:firstLineChars="0"/>
              <w:contextualSpacing/>
              <w:jc w:val="center"/>
              <w:rPr>
                <w:sz w:val="21"/>
                <w:szCs w:val="21"/>
              </w:rPr>
            </w:pPr>
            <w:r>
              <w:rPr>
                <w:sz w:val="21"/>
                <w:szCs w:val="21"/>
              </w:rPr>
              <w:t>处理后用于绿化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2094" w:type="dxa"/>
            <w:gridSpan w:val="3"/>
            <w:vAlign w:val="center"/>
          </w:tcPr>
          <w:p>
            <w:pPr>
              <w:spacing w:line="240" w:lineRule="auto"/>
              <w:ind w:firstLine="0" w:firstLineChars="0"/>
              <w:contextualSpacing/>
              <w:jc w:val="center"/>
              <w:rPr>
                <w:sz w:val="21"/>
                <w:szCs w:val="21"/>
              </w:rPr>
            </w:pPr>
            <w:r>
              <w:rPr>
                <w:sz w:val="21"/>
                <w:szCs w:val="21"/>
              </w:rPr>
              <w:t>固体废物</w:t>
            </w:r>
          </w:p>
        </w:tc>
        <w:tc>
          <w:tcPr>
            <w:tcW w:w="2171" w:type="dxa"/>
            <w:vAlign w:val="center"/>
          </w:tcPr>
          <w:p>
            <w:pPr>
              <w:spacing w:line="240" w:lineRule="auto"/>
              <w:ind w:firstLine="0" w:firstLineChars="0"/>
              <w:contextualSpacing/>
              <w:jc w:val="center"/>
              <w:rPr>
                <w:sz w:val="21"/>
                <w:szCs w:val="21"/>
              </w:rPr>
            </w:pPr>
            <w:r>
              <w:rPr>
                <w:sz w:val="21"/>
                <w:szCs w:val="21"/>
              </w:rPr>
              <w:t>生活垃圾进行统一收集，外运填埋处置</w:t>
            </w:r>
          </w:p>
        </w:tc>
        <w:tc>
          <w:tcPr>
            <w:tcW w:w="2098" w:type="dxa"/>
            <w:vAlign w:val="center"/>
          </w:tcPr>
          <w:p>
            <w:pPr>
              <w:spacing w:line="240" w:lineRule="auto"/>
              <w:ind w:firstLine="0" w:firstLineChars="0"/>
              <w:contextualSpacing/>
              <w:jc w:val="center"/>
              <w:rPr>
                <w:sz w:val="21"/>
                <w:szCs w:val="21"/>
              </w:rPr>
            </w:pPr>
            <w:r>
              <w:rPr>
                <w:sz w:val="21"/>
                <w:szCs w:val="21"/>
              </w:rPr>
              <w:t>垃圾箱、垃圾池设置情况，垃圾外运管理</w:t>
            </w:r>
          </w:p>
        </w:tc>
        <w:tc>
          <w:tcPr>
            <w:tcW w:w="1608" w:type="dxa"/>
            <w:vAlign w:val="center"/>
          </w:tcPr>
          <w:p>
            <w:pPr>
              <w:spacing w:line="240" w:lineRule="auto"/>
              <w:ind w:firstLine="0" w:firstLineChars="0"/>
              <w:contextualSpacing/>
              <w:jc w:val="center"/>
              <w:rPr>
                <w:sz w:val="21"/>
                <w:szCs w:val="21"/>
              </w:rPr>
            </w:pPr>
            <w:r>
              <w:rPr>
                <w:sz w:val="21"/>
                <w:szCs w:val="21"/>
              </w:rPr>
              <w:t>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Merge w:val="restart"/>
            <w:vAlign w:val="center"/>
          </w:tcPr>
          <w:p>
            <w:pPr>
              <w:spacing w:line="240" w:lineRule="auto"/>
              <w:ind w:firstLine="0" w:firstLineChars="0"/>
              <w:contextualSpacing/>
              <w:jc w:val="center"/>
              <w:rPr>
                <w:sz w:val="21"/>
                <w:szCs w:val="21"/>
              </w:rPr>
            </w:pPr>
            <w:r>
              <w:rPr>
                <w:sz w:val="21"/>
                <w:szCs w:val="21"/>
              </w:rPr>
              <w:t>生态环境</w:t>
            </w:r>
          </w:p>
        </w:tc>
        <w:tc>
          <w:tcPr>
            <w:tcW w:w="1176" w:type="dxa"/>
            <w:vAlign w:val="center"/>
          </w:tcPr>
          <w:p>
            <w:pPr>
              <w:spacing w:line="240" w:lineRule="auto"/>
              <w:ind w:firstLine="0" w:firstLineChars="0"/>
              <w:contextualSpacing/>
              <w:jc w:val="center"/>
              <w:rPr>
                <w:sz w:val="21"/>
                <w:szCs w:val="21"/>
              </w:rPr>
            </w:pPr>
            <w:r>
              <w:rPr>
                <w:sz w:val="21"/>
                <w:szCs w:val="21"/>
              </w:rPr>
              <w:t>施工迹地植被恢复</w:t>
            </w:r>
          </w:p>
        </w:tc>
        <w:tc>
          <w:tcPr>
            <w:tcW w:w="2171" w:type="dxa"/>
            <w:vAlign w:val="center"/>
          </w:tcPr>
          <w:p>
            <w:pPr>
              <w:spacing w:line="240" w:lineRule="auto"/>
              <w:ind w:firstLine="0" w:firstLineChars="0"/>
              <w:contextualSpacing/>
              <w:jc w:val="center"/>
              <w:rPr>
                <w:sz w:val="21"/>
                <w:szCs w:val="21"/>
              </w:rPr>
            </w:pPr>
            <w:r>
              <w:rPr>
                <w:sz w:val="21"/>
                <w:szCs w:val="21"/>
              </w:rPr>
              <w:t>各施工迹地清理后开展植被恢复或复垦</w:t>
            </w:r>
          </w:p>
        </w:tc>
        <w:tc>
          <w:tcPr>
            <w:tcW w:w="2098" w:type="dxa"/>
            <w:vAlign w:val="center"/>
          </w:tcPr>
          <w:p>
            <w:pPr>
              <w:spacing w:line="240" w:lineRule="auto"/>
              <w:ind w:firstLine="0" w:firstLineChars="0"/>
              <w:contextualSpacing/>
              <w:jc w:val="center"/>
              <w:rPr>
                <w:sz w:val="21"/>
                <w:szCs w:val="21"/>
              </w:rPr>
            </w:pPr>
            <w:r>
              <w:rPr>
                <w:sz w:val="21"/>
                <w:szCs w:val="21"/>
              </w:rPr>
              <w:t>植被恢复效果以及影响</w:t>
            </w:r>
          </w:p>
        </w:tc>
        <w:tc>
          <w:tcPr>
            <w:tcW w:w="1608" w:type="dxa"/>
            <w:vAlign w:val="center"/>
          </w:tcPr>
          <w:p>
            <w:pPr>
              <w:spacing w:line="240" w:lineRule="auto"/>
              <w:ind w:firstLine="0" w:firstLineChars="0"/>
              <w:contextualSpacing/>
              <w:jc w:val="center"/>
              <w:rPr>
                <w:sz w:val="21"/>
                <w:szCs w:val="21"/>
              </w:rPr>
            </w:pPr>
            <w:r>
              <w:rPr>
                <w:sz w:val="21"/>
                <w:szCs w:val="21"/>
              </w:rPr>
              <w:t>满足水保方案和本报告植被</w:t>
            </w:r>
          </w:p>
          <w:p>
            <w:pPr>
              <w:spacing w:line="240" w:lineRule="auto"/>
              <w:ind w:firstLine="0" w:firstLineChars="0"/>
              <w:contextualSpacing/>
              <w:jc w:val="center"/>
              <w:rPr>
                <w:sz w:val="21"/>
                <w:szCs w:val="21"/>
              </w:rPr>
            </w:pPr>
            <w:r>
              <w:rPr>
                <w:sz w:val="21"/>
                <w:szCs w:val="21"/>
              </w:rPr>
              <w:t>恢复要求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Merge w:val="continue"/>
            <w:vAlign w:val="center"/>
          </w:tcPr>
          <w:p>
            <w:pPr>
              <w:spacing w:line="240" w:lineRule="auto"/>
              <w:ind w:firstLine="0" w:firstLineChars="0"/>
              <w:contextualSpacing/>
              <w:jc w:val="center"/>
              <w:rPr>
                <w:sz w:val="21"/>
                <w:szCs w:val="21"/>
              </w:rPr>
            </w:pPr>
          </w:p>
        </w:tc>
        <w:tc>
          <w:tcPr>
            <w:tcW w:w="1176" w:type="dxa"/>
            <w:vAlign w:val="center"/>
          </w:tcPr>
          <w:p>
            <w:pPr>
              <w:spacing w:line="240" w:lineRule="auto"/>
              <w:ind w:firstLine="0" w:firstLineChars="0"/>
              <w:contextualSpacing/>
              <w:jc w:val="center"/>
              <w:rPr>
                <w:sz w:val="21"/>
                <w:szCs w:val="21"/>
              </w:rPr>
            </w:pPr>
            <w:r>
              <w:rPr>
                <w:sz w:val="21"/>
                <w:szCs w:val="21"/>
              </w:rPr>
              <w:t>栖息地保护</w:t>
            </w:r>
          </w:p>
        </w:tc>
        <w:tc>
          <w:tcPr>
            <w:tcW w:w="2171" w:type="dxa"/>
            <w:vAlign w:val="center"/>
          </w:tcPr>
          <w:p>
            <w:pPr>
              <w:spacing w:line="240" w:lineRule="auto"/>
              <w:ind w:firstLine="0" w:firstLineChars="0"/>
              <w:contextualSpacing/>
              <w:jc w:val="center"/>
              <w:rPr>
                <w:sz w:val="21"/>
                <w:szCs w:val="21"/>
              </w:rPr>
            </w:pPr>
            <w:r>
              <w:rPr>
                <w:rFonts w:hint="eastAsia"/>
                <w:sz w:val="21"/>
                <w:szCs w:val="21"/>
              </w:rPr>
              <w:t>蔡家河至寒溪寺水库</w:t>
            </w:r>
            <w:r>
              <w:rPr>
                <w:sz w:val="21"/>
                <w:szCs w:val="21"/>
              </w:rPr>
              <w:t>河段设置栖息地保护河段</w:t>
            </w:r>
          </w:p>
        </w:tc>
        <w:tc>
          <w:tcPr>
            <w:tcW w:w="2098" w:type="dxa"/>
            <w:vAlign w:val="center"/>
          </w:tcPr>
          <w:p>
            <w:pPr>
              <w:spacing w:line="240" w:lineRule="auto"/>
              <w:ind w:firstLine="0" w:firstLineChars="0"/>
              <w:contextualSpacing/>
              <w:jc w:val="center"/>
              <w:rPr>
                <w:sz w:val="21"/>
                <w:szCs w:val="21"/>
              </w:rPr>
            </w:pPr>
            <w:r>
              <w:rPr>
                <w:sz w:val="21"/>
                <w:szCs w:val="21"/>
              </w:rPr>
              <w:t>栖息地保护建设及效果</w:t>
            </w:r>
          </w:p>
        </w:tc>
        <w:tc>
          <w:tcPr>
            <w:tcW w:w="1608" w:type="dxa"/>
            <w:vAlign w:val="center"/>
          </w:tcPr>
          <w:p>
            <w:pPr>
              <w:spacing w:line="240" w:lineRule="auto"/>
              <w:ind w:firstLine="0" w:firstLineChars="0"/>
              <w:contextualSpacing/>
              <w:jc w:val="center"/>
              <w:rPr>
                <w:sz w:val="21"/>
                <w:szCs w:val="21"/>
              </w:rPr>
            </w:pPr>
            <w:r>
              <w:rPr>
                <w:sz w:val="21"/>
                <w:szCs w:val="21"/>
              </w:rPr>
              <w:t>满足本报告以及水生生态保护需求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Merge w:val="continue"/>
            <w:vAlign w:val="center"/>
          </w:tcPr>
          <w:p>
            <w:pPr>
              <w:spacing w:line="240" w:lineRule="auto"/>
              <w:ind w:firstLine="0" w:firstLineChars="0"/>
              <w:contextualSpacing/>
              <w:jc w:val="center"/>
              <w:rPr>
                <w:sz w:val="21"/>
                <w:szCs w:val="21"/>
              </w:rPr>
            </w:pPr>
          </w:p>
        </w:tc>
        <w:tc>
          <w:tcPr>
            <w:tcW w:w="1176" w:type="dxa"/>
            <w:vAlign w:val="center"/>
          </w:tcPr>
          <w:p>
            <w:pPr>
              <w:spacing w:line="240" w:lineRule="auto"/>
              <w:ind w:firstLine="0" w:firstLineChars="0"/>
              <w:contextualSpacing/>
              <w:jc w:val="center"/>
              <w:rPr>
                <w:sz w:val="21"/>
                <w:szCs w:val="21"/>
              </w:rPr>
            </w:pPr>
            <w:r>
              <w:rPr>
                <w:sz w:val="21"/>
                <w:szCs w:val="21"/>
              </w:rPr>
              <w:t>下泄生态流量</w:t>
            </w:r>
          </w:p>
        </w:tc>
        <w:tc>
          <w:tcPr>
            <w:tcW w:w="2171" w:type="dxa"/>
            <w:vAlign w:val="center"/>
          </w:tcPr>
          <w:p>
            <w:pPr>
              <w:spacing w:line="240" w:lineRule="auto"/>
              <w:ind w:firstLine="0" w:firstLineChars="0"/>
              <w:contextualSpacing/>
              <w:jc w:val="center"/>
              <w:rPr>
                <w:sz w:val="21"/>
                <w:szCs w:val="21"/>
              </w:rPr>
            </w:pPr>
            <w:r>
              <w:rPr>
                <w:sz w:val="21"/>
                <w:szCs w:val="21"/>
              </w:rPr>
              <w:t>生态流量放水管，控</w:t>
            </w:r>
          </w:p>
          <w:p>
            <w:pPr>
              <w:spacing w:line="240" w:lineRule="auto"/>
              <w:ind w:firstLine="0" w:firstLineChars="0"/>
              <w:contextualSpacing/>
              <w:jc w:val="center"/>
              <w:rPr>
                <w:sz w:val="21"/>
                <w:szCs w:val="21"/>
              </w:rPr>
            </w:pPr>
            <w:r>
              <w:rPr>
                <w:sz w:val="21"/>
                <w:szCs w:val="21"/>
              </w:rPr>
              <w:t>制阀门置于竖井平台上，闸阀上设流量计和检测仪</w:t>
            </w:r>
          </w:p>
        </w:tc>
        <w:tc>
          <w:tcPr>
            <w:tcW w:w="2098" w:type="dxa"/>
            <w:vAlign w:val="center"/>
          </w:tcPr>
          <w:p>
            <w:pPr>
              <w:spacing w:line="240" w:lineRule="auto"/>
              <w:ind w:firstLine="0" w:firstLineChars="0"/>
              <w:contextualSpacing/>
              <w:jc w:val="center"/>
              <w:rPr>
                <w:sz w:val="21"/>
                <w:szCs w:val="21"/>
              </w:rPr>
            </w:pPr>
            <w:r>
              <w:rPr>
                <w:sz w:val="21"/>
                <w:szCs w:val="21"/>
              </w:rPr>
              <w:t>维持水生生态系统稳定所需最小水量：多年平均流量的15%</w:t>
            </w:r>
          </w:p>
        </w:tc>
        <w:tc>
          <w:tcPr>
            <w:tcW w:w="1608" w:type="dxa"/>
            <w:vAlign w:val="center"/>
          </w:tcPr>
          <w:p>
            <w:pPr>
              <w:spacing w:line="240" w:lineRule="auto"/>
              <w:ind w:firstLine="0" w:firstLineChars="0"/>
              <w:contextualSpacing/>
              <w:jc w:val="center"/>
              <w:rPr>
                <w:sz w:val="21"/>
                <w:szCs w:val="21"/>
              </w:rPr>
            </w:pPr>
            <w:r>
              <w:rPr>
                <w:sz w:val="21"/>
                <w:szCs w:val="21"/>
              </w:rPr>
              <w:t>满足下游生态需求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Merge w:val="restart"/>
            <w:vAlign w:val="center"/>
          </w:tcPr>
          <w:p>
            <w:pPr>
              <w:spacing w:line="240" w:lineRule="auto"/>
              <w:ind w:firstLine="0" w:firstLineChars="0"/>
              <w:contextualSpacing/>
              <w:jc w:val="center"/>
              <w:rPr>
                <w:sz w:val="21"/>
                <w:szCs w:val="21"/>
              </w:rPr>
            </w:pPr>
            <w:r>
              <w:rPr>
                <w:sz w:val="21"/>
                <w:szCs w:val="21"/>
              </w:rPr>
              <w:t>移民安置</w:t>
            </w:r>
          </w:p>
        </w:tc>
        <w:tc>
          <w:tcPr>
            <w:tcW w:w="1176" w:type="dxa"/>
            <w:vAlign w:val="center"/>
          </w:tcPr>
          <w:p>
            <w:pPr>
              <w:spacing w:line="240" w:lineRule="auto"/>
              <w:ind w:firstLine="0" w:firstLineChars="0"/>
              <w:contextualSpacing/>
              <w:jc w:val="center"/>
              <w:rPr>
                <w:sz w:val="21"/>
                <w:szCs w:val="21"/>
              </w:rPr>
            </w:pPr>
            <w:r>
              <w:rPr>
                <w:sz w:val="21"/>
                <w:szCs w:val="21"/>
              </w:rPr>
              <w:t>生活污水</w:t>
            </w:r>
          </w:p>
        </w:tc>
        <w:tc>
          <w:tcPr>
            <w:tcW w:w="2171" w:type="dxa"/>
            <w:vAlign w:val="center"/>
          </w:tcPr>
          <w:p>
            <w:pPr>
              <w:spacing w:line="240" w:lineRule="auto"/>
              <w:ind w:firstLine="0" w:firstLineChars="0"/>
              <w:contextualSpacing/>
              <w:jc w:val="center"/>
              <w:rPr>
                <w:sz w:val="21"/>
                <w:szCs w:val="21"/>
              </w:rPr>
            </w:pPr>
            <w:r>
              <w:rPr>
                <w:sz w:val="21"/>
                <w:szCs w:val="21"/>
              </w:rPr>
              <w:t>污水处理设施处理后排放</w:t>
            </w:r>
          </w:p>
        </w:tc>
        <w:tc>
          <w:tcPr>
            <w:tcW w:w="2098" w:type="dxa"/>
            <w:vAlign w:val="center"/>
          </w:tcPr>
          <w:p>
            <w:pPr>
              <w:spacing w:line="240" w:lineRule="auto"/>
              <w:ind w:firstLine="0" w:firstLineChars="0"/>
              <w:contextualSpacing/>
              <w:jc w:val="center"/>
              <w:rPr>
                <w:sz w:val="21"/>
                <w:szCs w:val="21"/>
              </w:rPr>
            </w:pPr>
            <w:r>
              <w:rPr>
                <w:sz w:val="21"/>
                <w:szCs w:val="21"/>
              </w:rPr>
              <w:t>污水处理设施建设、运行情况</w:t>
            </w:r>
          </w:p>
        </w:tc>
        <w:tc>
          <w:tcPr>
            <w:tcW w:w="1608" w:type="dxa"/>
            <w:vAlign w:val="center"/>
          </w:tcPr>
          <w:p>
            <w:pPr>
              <w:spacing w:line="240" w:lineRule="auto"/>
              <w:ind w:firstLine="0" w:firstLineChars="0"/>
              <w:contextualSpacing/>
              <w:jc w:val="center"/>
              <w:rPr>
                <w:sz w:val="21"/>
                <w:szCs w:val="21"/>
              </w:rPr>
            </w:pPr>
            <w:r>
              <w:rPr>
                <w:sz w:val="21"/>
                <w:szCs w:val="21"/>
              </w:rPr>
              <w:t>排放去向落实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dxa"/>
            <w:vMerge w:val="continue"/>
            <w:vAlign w:val="center"/>
          </w:tcPr>
          <w:p>
            <w:pPr>
              <w:spacing w:line="240" w:lineRule="auto"/>
              <w:ind w:firstLine="0" w:firstLineChars="0"/>
              <w:contextualSpacing/>
              <w:jc w:val="center"/>
              <w:rPr>
                <w:sz w:val="21"/>
                <w:szCs w:val="21"/>
              </w:rPr>
            </w:pPr>
          </w:p>
        </w:tc>
        <w:tc>
          <w:tcPr>
            <w:tcW w:w="918" w:type="dxa"/>
            <w:gridSpan w:val="2"/>
            <w:vMerge w:val="continue"/>
            <w:vAlign w:val="center"/>
          </w:tcPr>
          <w:p>
            <w:pPr>
              <w:spacing w:line="240" w:lineRule="auto"/>
              <w:ind w:firstLine="0" w:firstLineChars="0"/>
              <w:contextualSpacing/>
              <w:jc w:val="center"/>
              <w:rPr>
                <w:sz w:val="21"/>
                <w:szCs w:val="21"/>
              </w:rPr>
            </w:pPr>
          </w:p>
        </w:tc>
        <w:tc>
          <w:tcPr>
            <w:tcW w:w="1176" w:type="dxa"/>
            <w:vAlign w:val="center"/>
          </w:tcPr>
          <w:p>
            <w:pPr>
              <w:spacing w:line="240" w:lineRule="auto"/>
              <w:ind w:firstLine="0" w:firstLineChars="0"/>
              <w:contextualSpacing/>
              <w:jc w:val="center"/>
              <w:rPr>
                <w:sz w:val="21"/>
                <w:szCs w:val="21"/>
              </w:rPr>
            </w:pPr>
            <w:r>
              <w:rPr>
                <w:sz w:val="21"/>
                <w:szCs w:val="21"/>
              </w:rPr>
              <w:t>生活垃圾</w:t>
            </w:r>
          </w:p>
        </w:tc>
        <w:tc>
          <w:tcPr>
            <w:tcW w:w="2171" w:type="dxa"/>
            <w:vAlign w:val="center"/>
          </w:tcPr>
          <w:p>
            <w:pPr>
              <w:spacing w:line="240" w:lineRule="auto"/>
              <w:ind w:firstLine="0" w:firstLineChars="0"/>
              <w:contextualSpacing/>
              <w:jc w:val="center"/>
              <w:rPr>
                <w:sz w:val="21"/>
                <w:szCs w:val="21"/>
              </w:rPr>
            </w:pPr>
            <w:r>
              <w:rPr>
                <w:sz w:val="21"/>
                <w:szCs w:val="21"/>
              </w:rPr>
              <w:t>集中收集后外运处理</w:t>
            </w:r>
          </w:p>
        </w:tc>
        <w:tc>
          <w:tcPr>
            <w:tcW w:w="2098" w:type="dxa"/>
            <w:vAlign w:val="center"/>
          </w:tcPr>
          <w:p>
            <w:pPr>
              <w:spacing w:line="240" w:lineRule="auto"/>
              <w:ind w:firstLine="0" w:firstLineChars="0"/>
              <w:contextualSpacing/>
              <w:jc w:val="center"/>
              <w:rPr>
                <w:sz w:val="21"/>
                <w:szCs w:val="21"/>
              </w:rPr>
            </w:pPr>
            <w:r>
              <w:rPr>
                <w:sz w:val="21"/>
                <w:szCs w:val="21"/>
              </w:rPr>
              <w:t>垃圾收集设施会以及外运情况</w:t>
            </w:r>
          </w:p>
        </w:tc>
        <w:tc>
          <w:tcPr>
            <w:tcW w:w="1608" w:type="dxa"/>
            <w:vAlign w:val="center"/>
          </w:tcPr>
          <w:p>
            <w:pPr>
              <w:spacing w:line="240" w:lineRule="auto"/>
              <w:ind w:firstLine="0" w:firstLineChars="0"/>
              <w:contextualSpacing/>
              <w:jc w:val="center"/>
              <w:rPr>
                <w:sz w:val="21"/>
                <w:szCs w:val="21"/>
              </w:rPr>
            </w:pPr>
            <w:r>
              <w:rPr>
                <w:sz w:val="21"/>
                <w:szCs w:val="21"/>
              </w:rPr>
              <w:t>无害化处理</w:t>
            </w:r>
          </w:p>
        </w:tc>
      </w:tr>
    </w:tbl>
    <w:p>
      <w:pPr>
        <w:ind w:firstLine="0" w:firstLineChars="0"/>
        <w:contextualSpacing/>
      </w:pPr>
    </w:p>
    <w:p>
      <w:pPr>
        <w:pStyle w:val="2"/>
        <w:spacing w:before="0"/>
        <w:ind w:left="0" w:firstLine="0" w:firstLineChars="0"/>
        <w:contextualSpacing/>
        <w:rPr>
          <w:rFonts w:ascii="Times New Roman" w:hAnsi="Times New Roman"/>
        </w:rPr>
        <w:sectPr>
          <w:pgSz w:w="11906" w:h="16838"/>
          <w:pgMar w:top="1440" w:right="1800" w:bottom="1440" w:left="1800" w:header="851" w:footer="992" w:gutter="0"/>
          <w:cols w:space="720" w:num="1"/>
          <w:docGrid w:type="lines" w:linePitch="312" w:charSpace="0"/>
        </w:sectPr>
      </w:pPr>
    </w:p>
    <w:p>
      <w:pPr>
        <w:pStyle w:val="3"/>
        <w:ind w:firstLine="0" w:firstLineChars="0"/>
        <w:contextualSpacing/>
        <w:rPr>
          <w:rFonts w:ascii="Times New Roman" w:hAnsi="Times New Roman"/>
        </w:rPr>
      </w:pPr>
      <w:bookmarkStart w:id="920" w:name="_Toc19088"/>
      <w:bookmarkStart w:id="921" w:name="_Toc130753468"/>
      <w:r>
        <w:rPr>
          <w:rFonts w:ascii="Times New Roman" w:hAnsi="Times New Roman"/>
        </w:rPr>
        <w:t>9环境保护投资估算与经济损益分析</w:t>
      </w:r>
      <w:bookmarkEnd w:id="920"/>
      <w:bookmarkEnd w:id="921"/>
    </w:p>
    <w:p>
      <w:pPr>
        <w:pStyle w:val="4"/>
        <w:ind w:firstLine="0" w:firstLineChars="0"/>
        <w:contextualSpacing/>
      </w:pPr>
      <w:bookmarkStart w:id="922" w:name="_Toc130753469"/>
      <w:bookmarkStart w:id="923" w:name="_Toc18836"/>
      <w:r>
        <w:t>9.1环境保护投资估算</w:t>
      </w:r>
      <w:bookmarkEnd w:id="922"/>
    </w:p>
    <w:p>
      <w:pPr>
        <w:pStyle w:val="5"/>
        <w:ind w:firstLine="0" w:firstLineChars="0"/>
        <w:contextualSpacing/>
        <w:rPr>
          <w:rFonts w:ascii="Times New Roman" w:hAnsi="Times New Roman"/>
        </w:rPr>
      </w:pPr>
      <w:bookmarkStart w:id="924" w:name="_Toc11595"/>
      <w:r>
        <w:rPr>
          <w:rFonts w:ascii="Times New Roman" w:hAnsi="Times New Roman"/>
        </w:rPr>
        <w:t>9.1.1编制依据</w:t>
      </w:r>
      <w:bookmarkEnd w:id="923"/>
      <w:bookmarkEnd w:id="924"/>
    </w:p>
    <w:p>
      <w:pPr>
        <w:ind w:firstLine="480"/>
        <w:contextualSpacing/>
      </w:pPr>
      <w:r>
        <w:t>（1）《水利工程设计概（估）算编制规定》（水总〔2014〕429号）；</w:t>
      </w:r>
    </w:p>
    <w:p>
      <w:pPr>
        <w:ind w:firstLine="480"/>
        <w:contextualSpacing/>
      </w:pPr>
      <w:r>
        <w:t>（2）《水利水电工程环境保护概估算编制规程》（SL359-2006）；</w:t>
      </w:r>
    </w:p>
    <w:p>
      <w:pPr>
        <w:ind w:firstLine="480"/>
        <w:contextualSpacing/>
      </w:pPr>
      <w:r>
        <w:t>（3）《四川省水利厅关于颁发关于〈四川省水利水电建筑工程预算定额〉〈四 川省水利水电工程设计概（估）算编制规定〉的通知》（川水发〔2007〕20号）；</w:t>
      </w:r>
    </w:p>
    <w:p>
      <w:pPr>
        <w:ind w:firstLine="480"/>
        <w:contextualSpacing/>
      </w:pPr>
      <w:r>
        <w:t>（4）《水利工程施工机械台时费定额》（水利部水总〔2002〕116号）；</w:t>
      </w:r>
    </w:p>
    <w:p>
      <w:pPr>
        <w:ind w:firstLine="480"/>
        <w:contextualSpacing/>
      </w:pPr>
      <w:r>
        <w:t>（5）《工程建设监理收费标准》（发改委〔2007〕670 号）；</w:t>
      </w:r>
    </w:p>
    <w:p>
      <w:pPr>
        <w:ind w:firstLine="480"/>
        <w:contextualSpacing/>
      </w:pPr>
      <w:r>
        <w:t>（6）涉及材料基础单价与主体工程相同。</w:t>
      </w:r>
    </w:p>
    <w:p>
      <w:pPr>
        <w:pStyle w:val="5"/>
        <w:ind w:firstLine="0" w:firstLineChars="0"/>
        <w:contextualSpacing/>
        <w:rPr>
          <w:rFonts w:ascii="Times New Roman" w:hAnsi="Times New Roman"/>
        </w:rPr>
      </w:pPr>
      <w:bookmarkStart w:id="925" w:name="_Toc4279"/>
      <w:bookmarkStart w:id="926" w:name="_Toc6683"/>
      <w:r>
        <w:rPr>
          <w:rFonts w:ascii="Times New Roman" w:hAnsi="Times New Roman"/>
        </w:rPr>
        <w:t>9.1.2编制原则</w:t>
      </w:r>
      <w:bookmarkEnd w:id="925"/>
      <w:bookmarkEnd w:id="926"/>
    </w:p>
    <w:p>
      <w:pPr>
        <w:ind w:firstLine="480"/>
        <w:contextualSpacing/>
      </w:pPr>
      <w:r>
        <w:t>（1）以水利水电工程设计概算编制的有关规定为基础，结合工程建设情况和环境保护工程的特点，采用单价法和指标法来计算环境保护投资；</w:t>
      </w:r>
    </w:p>
    <w:p>
      <w:pPr>
        <w:ind w:firstLine="480"/>
        <w:contextualSpacing/>
      </w:pPr>
      <w:r>
        <w:t>（2）价格水平年与主体工程一致；</w:t>
      </w:r>
    </w:p>
    <w:p>
      <w:pPr>
        <w:ind w:firstLine="480"/>
        <w:contextualSpacing/>
      </w:pPr>
      <w:r>
        <w:t>（3）主体工程本身具有的环境保护功能设施的费用列入主体工程概算，本概算不再重复计列；</w:t>
      </w:r>
    </w:p>
    <w:p>
      <w:pPr>
        <w:ind w:firstLine="480"/>
        <w:contextualSpacing/>
      </w:pPr>
      <w:r>
        <w:t>（4）主要材料价格及建筑工程单价与主体工程一致。</w:t>
      </w:r>
    </w:p>
    <w:p>
      <w:pPr>
        <w:ind w:firstLine="480"/>
        <w:contextualSpacing/>
      </w:pPr>
      <w:r>
        <w:t>（5）对于没有定额、主体工程中亦无单价的项目，其单价采用类比法结合市场调查法确定。</w:t>
      </w:r>
    </w:p>
    <w:p>
      <w:pPr>
        <w:ind w:firstLine="480"/>
        <w:contextualSpacing/>
      </w:pPr>
      <w:r>
        <w:t>（6）独立费用按主体工程概算独立费用取费标准计算。</w:t>
      </w:r>
    </w:p>
    <w:p>
      <w:pPr>
        <w:pStyle w:val="5"/>
        <w:ind w:firstLine="0" w:firstLineChars="0"/>
        <w:contextualSpacing/>
        <w:rPr>
          <w:rFonts w:ascii="Times New Roman" w:hAnsi="Times New Roman"/>
        </w:rPr>
      </w:pPr>
      <w:bookmarkStart w:id="927" w:name="_Toc3370"/>
      <w:bookmarkStart w:id="928" w:name="_Toc23421"/>
      <w:r>
        <w:rPr>
          <w:rFonts w:ascii="Times New Roman" w:hAnsi="Times New Roman"/>
        </w:rPr>
        <w:t>9.1.3费用构成</w:t>
      </w:r>
      <w:bookmarkEnd w:id="927"/>
      <w:bookmarkEnd w:id="928"/>
    </w:p>
    <w:p>
      <w:pPr>
        <w:ind w:firstLine="480"/>
        <w:contextualSpacing/>
      </w:pPr>
      <w:r>
        <w:t>工程环境保护投资估算按措施内容划分，包括水土保持工程费用、水环境保护工程费用、环境空气保护工程费用、声环境保护工程费用、陆生动植物保护工程费用、生活垃圾处置工程费用、人群健康保护费用、环境监测费用和运行费用。按照项目划分，又可分为枢纽建筑物、建设征地移民安置、独立费用等部分。</w:t>
      </w:r>
    </w:p>
    <w:p>
      <w:pPr>
        <w:pStyle w:val="5"/>
        <w:ind w:firstLine="0" w:firstLineChars="0"/>
        <w:contextualSpacing/>
        <w:rPr>
          <w:rFonts w:ascii="Times New Roman" w:hAnsi="Times New Roman"/>
        </w:rPr>
      </w:pPr>
      <w:bookmarkStart w:id="929" w:name="_Toc9627"/>
      <w:r>
        <w:rPr>
          <w:rFonts w:ascii="Times New Roman" w:hAnsi="Times New Roman"/>
        </w:rPr>
        <w:t>9.1.4环境保护投资</w:t>
      </w:r>
      <w:bookmarkEnd w:id="929"/>
    </w:p>
    <w:p>
      <w:pPr>
        <w:pStyle w:val="65"/>
        <w:spacing w:line="360" w:lineRule="auto"/>
        <w:ind w:firstLine="480"/>
        <w:contextualSpacing/>
        <w:rPr>
          <w:b/>
          <w:bCs/>
          <w:sz w:val="21"/>
          <w:szCs w:val="21"/>
        </w:rPr>
      </w:pPr>
      <w:r>
        <w:t>寒溪寺水库工程环境保护投资</w:t>
      </w:r>
      <w:r>
        <w:rPr>
          <w:rFonts w:hint="eastAsia"/>
        </w:rPr>
        <w:t>1161.66</w:t>
      </w:r>
      <w:r>
        <w:t>万元，占工程静总投资（26266.01</w:t>
      </w:r>
      <w:r>
        <w:rPr>
          <w:rFonts w:hint="eastAsia"/>
        </w:rPr>
        <w:t>万元</w:t>
      </w:r>
      <w:r>
        <w:t>）的4.4%。</w:t>
      </w:r>
    </w:p>
    <w:p>
      <w:pPr>
        <w:ind w:firstLine="422"/>
        <w:contextualSpacing/>
        <w:jc w:val="center"/>
        <w:rPr>
          <w:b/>
          <w:bCs/>
          <w:sz w:val="21"/>
          <w:szCs w:val="21"/>
        </w:rPr>
      </w:pPr>
      <w:r>
        <w:rPr>
          <w:b/>
          <w:bCs/>
          <w:sz w:val="21"/>
          <w:szCs w:val="21"/>
        </w:rPr>
        <w:t>表9.1.4  环境保护投资概算总表</w:t>
      </w:r>
    </w:p>
    <w:tbl>
      <w:tblPr>
        <w:tblStyle w:val="38"/>
        <w:tblW w:w="4900" w:type="pct"/>
        <w:jc w:val="center"/>
        <w:tblLayout w:type="autofit"/>
        <w:tblCellMar>
          <w:top w:w="0" w:type="dxa"/>
          <w:left w:w="108" w:type="dxa"/>
          <w:bottom w:w="0" w:type="dxa"/>
          <w:right w:w="108" w:type="dxa"/>
        </w:tblCellMar>
      </w:tblPr>
      <w:tblGrid>
        <w:gridCol w:w="941"/>
        <w:gridCol w:w="2893"/>
        <w:gridCol w:w="752"/>
        <w:gridCol w:w="952"/>
        <w:gridCol w:w="1569"/>
        <w:gridCol w:w="1245"/>
      </w:tblGrid>
      <w:tr>
        <w:tblPrEx>
          <w:tblCellMar>
            <w:top w:w="0" w:type="dxa"/>
            <w:left w:w="108" w:type="dxa"/>
            <w:bottom w:w="0" w:type="dxa"/>
            <w:right w:w="108" w:type="dxa"/>
          </w:tblCellMar>
        </w:tblPrEx>
        <w:trPr>
          <w:trHeight w:val="27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序号</w:t>
            </w:r>
          </w:p>
        </w:tc>
        <w:tc>
          <w:tcPr>
            <w:tcW w:w="2893"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项目</w:t>
            </w:r>
          </w:p>
        </w:tc>
        <w:tc>
          <w:tcPr>
            <w:tcW w:w="752"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数量</w:t>
            </w:r>
          </w:p>
        </w:tc>
        <w:tc>
          <w:tcPr>
            <w:tcW w:w="952"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单价</w:t>
            </w:r>
          </w:p>
          <w:p>
            <w:pPr>
              <w:widowControl/>
              <w:spacing w:line="240" w:lineRule="auto"/>
              <w:ind w:firstLine="0" w:firstLineChars="0"/>
              <w:contextualSpacing/>
              <w:jc w:val="center"/>
              <w:rPr>
                <w:kern w:val="0"/>
                <w:sz w:val="21"/>
                <w:szCs w:val="21"/>
              </w:rPr>
            </w:pPr>
            <w:r>
              <w:rPr>
                <w:kern w:val="0"/>
                <w:sz w:val="21"/>
                <w:szCs w:val="21"/>
              </w:rPr>
              <w:t>（万元）</w:t>
            </w:r>
          </w:p>
        </w:tc>
        <w:tc>
          <w:tcPr>
            <w:tcW w:w="1569"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环境保护投资（万元）</w:t>
            </w:r>
          </w:p>
        </w:tc>
        <w:tc>
          <w:tcPr>
            <w:tcW w:w="1245"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备注</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bCs/>
                <w:kern w:val="0"/>
                <w:sz w:val="21"/>
                <w:szCs w:val="21"/>
              </w:rPr>
            </w:pPr>
            <w:r>
              <w:rPr>
                <w:b/>
                <w:bCs/>
                <w:kern w:val="0"/>
                <w:sz w:val="21"/>
                <w:szCs w:val="21"/>
              </w:rPr>
              <w:t>一、环境保护措施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236.2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生态保护措施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195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陆生生态保护</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保护宣传标牌</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100个</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0.1</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宣传手册</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200份</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0.05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水土保持措施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计入水土保持方案</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水生生态保护</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栖息地保护</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效果评估</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5年</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（二）</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水质保护</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管理区生活污水处理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16</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库底清理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计入移民安置工程</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xml:space="preserve">水源保护标识牌 </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计入主体</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生态放水设施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计入主体</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生态流量监控设施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（三）</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生活垃圾处置</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4个</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0.05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bCs/>
                <w:kern w:val="0"/>
                <w:sz w:val="21"/>
                <w:szCs w:val="21"/>
              </w:rPr>
            </w:pPr>
            <w:r>
              <w:rPr>
                <w:b/>
                <w:bCs/>
                <w:kern w:val="0"/>
                <w:sz w:val="21"/>
                <w:szCs w:val="21"/>
              </w:rPr>
              <w:t>二、环境监测措施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rFonts w:hint="eastAsia"/>
                <w:b/>
                <w:bCs/>
                <w:kern w:val="0"/>
                <w:sz w:val="21"/>
                <w:szCs w:val="21"/>
              </w:rPr>
              <w:t>233</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水质监测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施工期地表水水质监测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施工期废（污）水监测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9</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施工期地下水水质监测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运行期地表水水质监测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运行期水温监测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90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90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（二）</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大气监测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16</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（三）</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噪声监测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（四）</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80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水生生态调查</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8期</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8</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陆生生态环境调查</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8期</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8</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64</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（五）</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水土流失监测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计入水土保持工程</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（六）</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人群健康监测</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2次</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bCs/>
                <w:kern w:val="0"/>
                <w:sz w:val="21"/>
                <w:szCs w:val="21"/>
              </w:rPr>
            </w:pPr>
            <w:r>
              <w:rPr>
                <w:b/>
                <w:bCs/>
                <w:kern w:val="0"/>
                <w:sz w:val="21"/>
                <w:szCs w:val="21"/>
              </w:rPr>
              <w:t>三、环境保护仪器设备及安装</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81.2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生态流量泄放措施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生态放水设施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计入主体工程</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生态流量在线监测系统</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（二）</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洒水车</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30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（三）</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垃圾箱</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24个</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0.05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bCs/>
                <w:kern w:val="0"/>
                <w:sz w:val="21"/>
                <w:szCs w:val="21"/>
              </w:rPr>
            </w:pPr>
            <w:r>
              <w:rPr>
                <w:b/>
                <w:bCs/>
                <w:kern w:val="0"/>
                <w:sz w:val="21"/>
                <w:szCs w:val="21"/>
              </w:rPr>
              <w:t>四、环境保护临时措施</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rFonts w:hint="eastAsia"/>
                <w:b/>
                <w:bCs/>
                <w:kern w:val="0"/>
                <w:sz w:val="21"/>
                <w:szCs w:val="21"/>
              </w:rPr>
              <w:t>297.8</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施工废（污）水处理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176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混凝土拌合废水处理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w:t>
            </w:r>
            <w:r>
              <w:rPr>
                <w:rFonts w:hint="eastAsia"/>
                <w:kern w:val="0"/>
                <w:sz w:val="21"/>
                <w:szCs w:val="21"/>
              </w:rPr>
              <w:t>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8</w:t>
            </w:r>
            <w:r>
              <w:rPr>
                <w:kern w:val="0"/>
                <w:sz w:val="21"/>
                <w:szCs w:val="21"/>
              </w:rPr>
              <w:t>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含油废水处理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2处</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基坑</w:t>
            </w:r>
            <w:r>
              <w:rPr>
                <w:rFonts w:hint="eastAsia"/>
                <w:kern w:val="0"/>
                <w:sz w:val="21"/>
                <w:szCs w:val="21"/>
              </w:rPr>
              <w:t>排水</w:t>
            </w:r>
            <w:r>
              <w:rPr>
                <w:kern w:val="0"/>
                <w:sz w:val="21"/>
                <w:szCs w:val="21"/>
              </w:rPr>
              <w:t>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4</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隧洞排水处理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5</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施工营地生活废水</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枢纽区一体化废水处理设备</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1套</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灌区施工生活污水处理</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1套</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旱厕收集</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（二）</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生态流量保障</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蓄水期间</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（三）</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大气防治</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混凝土拌合系统除尘</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砂石料堆场扬尘</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1处</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道路、施工厂区浇洒</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（四）</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噪声防治</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施工运输警示标志牌</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3个</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rFonts w:hint="eastAsia"/>
                <w:kern w:val="0"/>
                <w:sz w:val="21"/>
                <w:szCs w:val="21"/>
              </w:rPr>
            </w:pPr>
            <w:r>
              <w:rPr>
                <w:kern w:val="0"/>
                <w:sz w:val="21"/>
                <w:szCs w:val="21"/>
              </w:rPr>
              <w:t>施工</w:t>
            </w:r>
            <w:r>
              <w:rPr>
                <w:rFonts w:hint="eastAsia"/>
                <w:kern w:val="0"/>
                <w:sz w:val="21"/>
                <w:szCs w:val="21"/>
              </w:rPr>
              <w:t>期移动式声屏障</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w:t>
            </w:r>
            <w:r>
              <w:rPr>
                <w:kern w:val="0"/>
                <w:sz w:val="21"/>
                <w:szCs w:val="21"/>
              </w:rPr>
              <w:t>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19.8</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kern w:val="0"/>
                <w:sz w:val="21"/>
                <w:szCs w:val="21"/>
              </w:rPr>
              <w:t>19.8</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（五）</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固体废物处置</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9</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施工区垃圾收集与清运</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危险废物处置</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（六）</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人群健康保护</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消杀药品储备费用</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健康教育宣传费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防鼠灭鼠费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xml:space="preserve">一～四合计 </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sz w:val="21"/>
                <w:szCs w:val="21"/>
              </w:rPr>
              <w:t>848.2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auto"/>
              <w:ind w:firstLine="0" w:firstLineChars="0"/>
              <w:contextualSpacing/>
              <w:jc w:val="left"/>
              <w:rPr>
                <w:b/>
                <w:bCs/>
                <w:kern w:val="0"/>
                <w:sz w:val="21"/>
                <w:szCs w:val="21"/>
              </w:rPr>
            </w:pPr>
            <w:r>
              <w:rPr>
                <w:b/>
                <w:bCs/>
                <w:kern w:val="0"/>
                <w:sz w:val="21"/>
                <w:szCs w:val="21"/>
              </w:rPr>
              <w:t>五、环境保护独立费用</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sz w:val="21"/>
                <w:szCs w:val="21"/>
              </w:rPr>
              <w:t>226.92</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bCs/>
                <w:kern w:val="0"/>
                <w:sz w:val="21"/>
                <w:szCs w:val="21"/>
              </w:rPr>
            </w:pPr>
            <w:r>
              <w:rPr>
                <w:b/>
                <w:bCs/>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建设管理费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72.41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建设管理费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 xml:space="preserve">25.45 </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一~四的3%计</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环保宣传及技术培训费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 xml:space="preserve">16.96 </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一~四的2%计</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xml:space="preserve">环保设施竣工验收费 </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30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（二）</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环境监理费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35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（三）</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科研勘测设计技术咨询</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120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　</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环境影响评价费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45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2</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饮用水水源保护地设置费用</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25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3</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水源区防治规划费用</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30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941"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4</w:t>
            </w:r>
          </w:p>
        </w:tc>
        <w:tc>
          <w:tcPr>
            <w:tcW w:w="2893"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饮用水源突发环境事件应急预案</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1项</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rFonts w:hint="eastAsia"/>
                <w:sz w:val="21"/>
                <w:szCs w:val="21"/>
              </w:rPr>
              <w:t>/</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kern w:val="0"/>
                <w:sz w:val="21"/>
                <w:szCs w:val="21"/>
              </w:rPr>
            </w:pPr>
            <w:r>
              <w:rPr>
                <w:kern w:val="0"/>
                <w:sz w:val="21"/>
                <w:szCs w:val="21"/>
                <w:lang w:bidi="ar"/>
              </w:rPr>
              <w:t>20</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kern w:val="0"/>
                <w:sz w:val="21"/>
                <w:szCs w:val="21"/>
              </w:rPr>
            </w:pPr>
            <w:r>
              <w:rPr>
                <w:kern w:val="0"/>
                <w:sz w:val="21"/>
                <w:szCs w:val="21"/>
              </w:rPr>
              <w:t>按实际需要估列</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kern w:val="0"/>
                <w:sz w:val="21"/>
                <w:szCs w:val="21"/>
              </w:rPr>
            </w:pPr>
            <w:r>
              <w:rPr>
                <w:b/>
                <w:kern w:val="0"/>
                <w:sz w:val="21"/>
                <w:szCs w:val="21"/>
              </w:rPr>
              <w:t>一至五项合计</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rFonts w:hint="eastAsia"/>
                <w:b/>
                <w:sz w:val="21"/>
                <w:szCs w:val="21"/>
              </w:rPr>
              <w:t>1075.61</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kern w:val="0"/>
                <w:sz w:val="21"/>
                <w:szCs w:val="21"/>
              </w:rPr>
            </w:pPr>
            <w:r>
              <w:rPr>
                <w:b/>
                <w:kern w:val="0"/>
                <w:sz w:val="21"/>
                <w:szCs w:val="21"/>
              </w:rPr>
              <w:t>基本预备费</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sz w:val="21"/>
                <w:szCs w:val="21"/>
              </w:rPr>
              <w:t>8</w:t>
            </w:r>
            <w:r>
              <w:rPr>
                <w:rFonts w:hint="eastAsia"/>
                <w:b/>
                <w:sz w:val="21"/>
                <w:szCs w:val="21"/>
              </w:rPr>
              <w:t>6.05</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一~五的8%</w:t>
            </w:r>
          </w:p>
        </w:tc>
      </w:tr>
      <w:tr>
        <w:tblPrEx>
          <w:tblCellMar>
            <w:top w:w="0" w:type="dxa"/>
            <w:left w:w="108" w:type="dxa"/>
            <w:bottom w:w="0" w:type="dxa"/>
            <w:right w:w="108" w:type="dxa"/>
          </w:tblCellMar>
        </w:tblPrEx>
        <w:trPr>
          <w:trHeight w:val="270" w:hRule="atLeast"/>
          <w:jc w:val="center"/>
        </w:trPr>
        <w:tc>
          <w:tcPr>
            <w:tcW w:w="383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left"/>
              <w:rPr>
                <w:b/>
                <w:kern w:val="0"/>
                <w:sz w:val="21"/>
                <w:szCs w:val="21"/>
              </w:rPr>
            </w:pPr>
            <w:r>
              <w:rPr>
                <w:b/>
                <w:kern w:val="0"/>
                <w:sz w:val="21"/>
                <w:szCs w:val="21"/>
              </w:rPr>
              <w:t>静态总投资</w:t>
            </w:r>
          </w:p>
        </w:tc>
        <w:tc>
          <w:tcPr>
            <w:tcW w:w="7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952"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c>
          <w:tcPr>
            <w:tcW w:w="1569"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rFonts w:hint="eastAsia"/>
                <w:b/>
                <w:sz w:val="21"/>
                <w:szCs w:val="21"/>
              </w:rPr>
              <w:t>1161.66</w:t>
            </w:r>
          </w:p>
        </w:tc>
        <w:tc>
          <w:tcPr>
            <w:tcW w:w="1245" w:type="dxa"/>
            <w:tcBorders>
              <w:top w:val="nil"/>
              <w:left w:val="nil"/>
              <w:bottom w:val="single" w:color="auto" w:sz="4" w:space="0"/>
              <w:right w:val="single" w:color="auto" w:sz="4" w:space="0"/>
            </w:tcBorders>
            <w:vAlign w:val="center"/>
          </w:tcPr>
          <w:p>
            <w:pPr>
              <w:widowControl/>
              <w:spacing w:line="240" w:lineRule="auto"/>
              <w:ind w:firstLine="0" w:firstLineChars="0"/>
              <w:contextualSpacing/>
              <w:jc w:val="center"/>
              <w:rPr>
                <w:b/>
                <w:kern w:val="0"/>
                <w:sz w:val="21"/>
                <w:szCs w:val="21"/>
              </w:rPr>
            </w:pPr>
            <w:r>
              <w:rPr>
                <w:b/>
                <w:kern w:val="0"/>
                <w:sz w:val="21"/>
                <w:szCs w:val="21"/>
              </w:rPr>
              <w:t>　</w:t>
            </w:r>
          </w:p>
        </w:tc>
      </w:tr>
    </w:tbl>
    <w:p>
      <w:pPr>
        <w:pStyle w:val="4"/>
        <w:ind w:firstLine="0" w:firstLineChars="0"/>
        <w:contextualSpacing/>
      </w:pPr>
      <w:bookmarkStart w:id="930" w:name="_Toc130753470"/>
      <w:bookmarkStart w:id="931" w:name="_Toc27493"/>
      <w:r>
        <w:t>9.2环境影响经济损益分析</w:t>
      </w:r>
      <w:bookmarkEnd w:id="930"/>
      <w:bookmarkEnd w:id="931"/>
    </w:p>
    <w:p>
      <w:pPr>
        <w:pStyle w:val="5"/>
        <w:ind w:firstLine="0" w:firstLineChars="0"/>
        <w:contextualSpacing/>
        <w:rPr>
          <w:rFonts w:ascii="Times New Roman" w:hAnsi="Times New Roman"/>
        </w:rPr>
      </w:pPr>
      <w:bookmarkStart w:id="932" w:name="_Toc30089"/>
      <w:r>
        <w:rPr>
          <w:rFonts w:ascii="Times New Roman" w:hAnsi="Times New Roman"/>
        </w:rPr>
        <w:t>9.2.1主要环境效益</w:t>
      </w:r>
      <w:bookmarkEnd w:id="932"/>
    </w:p>
    <w:p>
      <w:pPr>
        <w:ind w:firstLine="0" w:firstLineChars="0"/>
        <w:contextualSpacing/>
        <w:outlineLvl w:val="3"/>
        <w:rPr>
          <w:b/>
          <w:bCs/>
        </w:rPr>
      </w:pPr>
      <w:r>
        <w:rPr>
          <w:b/>
          <w:bCs/>
        </w:rPr>
        <w:t>9.2.1.1灌溉效益</w:t>
      </w:r>
    </w:p>
    <w:p>
      <w:pPr>
        <w:ind w:firstLine="480"/>
        <w:contextualSpacing/>
      </w:pPr>
      <w:r>
        <w:t>工程修建后，灌溉用水得到保证，农作物产量出现明显增长，据灌区有水、缺水主要农作物亩均增产指标与市场价格调查分析计算农作物增产效益，水利灌溉效益采用分摊系数法计算，分摊系数考虑有关资料并结合本灌区情况取定，经计算项目年灌溉效益为2415.39万元。</w:t>
      </w:r>
    </w:p>
    <w:p>
      <w:pPr>
        <w:ind w:firstLine="0" w:firstLineChars="0"/>
        <w:contextualSpacing/>
        <w:outlineLvl w:val="3"/>
        <w:rPr>
          <w:b/>
          <w:bCs/>
        </w:rPr>
      </w:pPr>
      <w:r>
        <w:rPr>
          <w:b/>
          <w:bCs/>
        </w:rPr>
        <w:t>9.2.1.2社会效益</w:t>
      </w:r>
    </w:p>
    <w:p>
      <w:pPr>
        <w:ind w:firstLine="480"/>
        <w:contextualSpacing/>
      </w:pPr>
      <w:r>
        <w:t>随着寒溪寺水库工程建设资金的投入等，将为区域经济发展创造良好的机遇。建设期间大量施工人员的生活需求将主要有当地产品及服务满足。消费需求的大幅增长，将促进当地农业、餐饮业和其它服务业的发展，利于地方产业结构调整和第三产业快速发展。</w:t>
      </w:r>
    </w:p>
    <w:p>
      <w:pPr>
        <w:pStyle w:val="5"/>
        <w:ind w:firstLine="0" w:firstLineChars="0"/>
        <w:contextualSpacing/>
        <w:rPr>
          <w:rFonts w:ascii="Times New Roman" w:hAnsi="Times New Roman"/>
        </w:rPr>
      </w:pPr>
      <w:bookmarkStart w:id="933" w:name="_Toc19237"/>
      <w:r>
        <w:rPr>
          <w:rFonts w:ascii="Times New Roman" w:hAnsi="Times New Roman"/>
        </w:rPr>
        <w:t>9.2.2环境损失分析</w:t>
      </w:r>
      <w:bookmarkEnd w:id="933"/>
    </w:p>
    <w:p>
      <w:pPr>
        <w:ind w:firstLine="480"/>
        <w:contextualSpacing/>
      </w:pPr>
      <w:r>
        <w:t>根据本工程及工程区域环境特点，为减免、恢复或补偿不利环境影响所采取的环境保护措施主要包括以下内容：施工期生产废水及生活污水处理、大气及噪声污染控制措施、固体废弃物处理措施、人群健康保护措施、陆生生物与水生生物保护措施、建设期环境监测、环境管理及环境监理等，在技术经济分析或多方案比选的基础上，提出了各项措施推荐方案及费用概算。工程环境保护措施总费用</w:t>
      </w:r>
      <w:r>
        <w:rPr>
          <w:rFonts w:hint="eastAsia"/>
        </w:rPr>
        <w:t>1161.66</w:t>
      </w:r>
      <w:r>
        <w:t>万元，作为本工程可货币化环境损失。</w:t>
      </w:r>
    </w:p>
    <w:p>
      <w:pPr>
        <w:pStyle w:val="5"/>
        <w:ind w:firstLine="0" w:firstLineChars="0"/>
        <w:contextualSpacing/>
        <w:rPr>
          <w:rFonts w:ascii="Times New Roman" w:hAnsi="Times New Roman"/>
        </w:rPr>
      </w:pPr>
      <w:bookmarkStart w:id="934" w:name="_Toc6811"/>
      <w:r>
        <w:rPr>
          <w:rFonts w:ascii="Times New Roman" w:hAnsi="Times New Roman"/>
        </w:rPr>
        <w:t>9.2.3环境影响损益分析</w:t>
      </w:r>
      <w:bookmarkEnd w:id="934"/>
    </w:p>
    <w:p>
      <w:pPr>
        <w:ind w:firstLine="480"/>
        <w:contextualSpacing/>
      </w:pPr>
      <w:r>
        <w:t>根据以上分析，寒溪寺水库工程具有较好的经济、社会效益，为避免不利环境影响所采取的环保措施总费用为</w:t>
      </w:r>
      <w:r>
        <w:rPr>
          <w:rFonts w:hint="eastAsia"/>
        </w:rPr>
        <w:t>1161.66</w:t>
      </w:r>
      <w:r>
        <w:t>万元，在各项环保措施得到落实的情况下，其费用产生的环境效果较为明显，可较大程度的减免因工程建设产生的环境损失。同时寒溪寺水库工程是一座农业灌溉人畜供水为主的中型水利工程，属国民经济和社会发展的基础产业，有较强的社会公益性，在区域社会经济发展中将起到巨大的促进作用。将工程的环境损失和产生的环境效益进行比较，寒溪寺水库产生的环境效益大于环境损失，因此从环境影响经济损益角度分析，工程建设是可行的。</w:t>
      </w:r>
    </w:p>
    <w:p>
      <w:pPr>
        <w:pStyle w:val="2"/>
        <w:spacing w:before="0"/>
        <w:ind w:left="0" w:firstLine="0" w:firstLineChars="0"/>
        <w:contextualSpacing/>
        <w:rPr>
          <w:rFonts w:ascii="Times New Roman" w:hAnsi="Times New Roman"/>
        </w:rPr>
        <w:sectPr>
          <w:pgSz w:w="11906" w:h="16838"/>
          <w:pgMar w:top="1440" w:right="1800" w:bottom="1440" w:left="1800" w:header="851" w:footer="992" w:gutter="0"/>
          <w:cols w:space="720" w:num="1"/>
          <w:docGrid w:type="lines" w:linePitch="312" w:charSpace="0"/>
        </w:sectPr>
      </w:pPr>
    </w:p>
    <w:p>
      <w:pPr>
        <w:keepNext/>
        <w:keepLines/>
        <w:ind w:firstLine="0" w:firstLineChars="0"/>
        <w:contextualSpacing/>
        <w:jc w:val="center"/>
        <w:outlineLvl w:val="0"/>
        <w:rPr>
          <w:b/>
          <w:kern w:val="44"/>
          <w:sz w:val="44"/>
        </w:rPr>
      </w:pPr>
      <w:bookmarkStart w:id="935" w:name="_Toc130753471"/>
      <w:bookmarkStart w:id="936" w:name="_Toc14520"/>
      <w:bookmarkStart w:id="937" w:name="_Toc24233"/>
      <w:bookmarkStart w:id="938" w:name="_Toc1178"/>
      <w:bookmarkStart w:id="939" w:name="_Toc21421"/>
      <w:bookmarkStart w:id="940" w:name="_Toc9574"/>
      <w:bookmarkStart w:id="941" w:name="_Toc20462"/>
      <w:bookmarkStart w:id="942" w:name="_Toc10532"/>
      <w:bookmarkStart w:id="943" w:name="_Toc32704"/>
      <w:r>
        <w:rPr>
          <w:b/>
          <w:kern w:val="44"/>
          <w:sz w:val="44"/>
        </w:rPr>
        <w:t>10评价结论和建议</w:t>
      </w:r>
      <w:bookmarkEnd w:id="935"/>
      <w:bookmarkEnd w:id="936"/>
      <w:bookmarkEnd w:id="937"/>
      <w:bookmarkEnd w:id="938"/>
      <w:bookmarkEnd w:id="939"/>
      <w:bookmarkEnd w:id="940"/>
      <w:bookmarkEnd w:id="941"/>
      <w:bookmarkEnd w:id="942"/>
      <w:bookmarkEnd w:id="943"/>
    </w:p>
    <w:p>
      <w:pPr>
        <w:pStyle w:val="4"/>
        <w:ind w:firstLine="0" w:firstLineChars="0"/>
        <w:contextualSpacing/>
      </w:pPr>
      <w:bookmarkStart w:id="944" w:name="_Toc30359"/>
      <w:bookmarkStart w:id="945" w:name="_Toc5876"/>
      <w:bookmarkStart w:id="946" w:name="_Toc27811"/>
      <w:bookmarkStart w:id="947" w:name="_Toc24677"/>
      <w:bookmarkStart w:id="948" w:name="_Toc11175"/>
      <w:bookmarkStart w:id="949" w:name="_Toc11791"/>
      <w:bookmarkStart w:id="950" w:name="_Toc25039"/>
      <w:bookmarkStart w:id="951" w:name="_Toc29678"/>
      <w:bookmarkStart w:id="952" w:name="_Toc130753472"/>
      <w:r>
        <w:t>10.1工程</w:t>
      </w:r>
      <w:bookmarkEnd w:id="944"/>
      <w:bookmarkEnd w:id="945"/>
      <w:bookmarkEnd w:id="946"/>
      <w:bookmarkEnd w:id="947"/>
      <w:bookmarkEnd w:id="948"/>
      <w:bookmarkEnd w:id="949"/>
      <w:bookmarkEnd w:id="950"/>
      <w:bookmarkEnd w:id="951"/>
      <w:r>
        <w:t>概况</w:t>
      </w:r>
      <w:bookmarkEnd w:id="952"/>
    </w:p>
    <w:p>
      <w:pPr>
        <w:ind w:firstLine="480"/>
        <w:contextualSpacing/>
        <w:jc w:val="left"/>
        <w:rPr>
          <w:rFonts w:hint="eastAsia" w:hAnsi="宋体"/>
        </w:rPr>
      </w:pPr>
      <w:bookmarkStart w:id="953" w:name="_Toc28401"/>
      <w:bookmarkStart w:id="954" w:name="_Toc21135"/>
      <w:bookmarkStart w:id="955" w:name="_Toc30343"/>
      <w:bookmarkStart w:id="956" w:name="_Toc16194"/>
      <w:bookmarkStart w:id="957" w:name="_Toc14871"/>
      <w:bookmarkStart w:id="958" w:name="_Toc1208"/>
      <w:bookmarkStart w:id="959" w:name="_Toc10889"/>
      <w:bookmarkStart w:id="960" w:name="_Toc30920"/>
      <w:r>
        <w:rPr>
          <w:rFonts w:hint="eastAsia" w:hAnsi="宋体"/>
        </w:rPr>
        <w:t>寒溪寺水库位于渠江左岸二级支流化成河支流蔡家河上，坝址位于巴州区玉堂街道古楼山村，控制蔡家河集水面积4.53km</w:t>
      </w:r>
      <w:r>
        <w:rPr>
          <w:rFonts w:hint="eastAsia" w:hAnsi="宋体"/>
          <w:vertAlign w:val="superscript"/>
        </w:rPr>
        <w:t>2</w:t>
      </w:r>
      <w:r>
        <w:rPr>
          <w:rFonts w:hint="eastAsia" w:hAnsi="宋体"/>
        </w:rPr>
        <w:t>，多年平均来水量264.6万m</w:t>
      </w:r>
      <w:r>
        <w:rPr>
          <w:rFonts w:hint="eastAsia" w:hAnsi="宋体"/>
          <w:vertAlign w:val="superscript"/>
        </w:rPr>
        <w:t>3</w:t>
      </w:r>
      <w:r>
        <w:rPr>
          <w:rFonts w:hint="eastAsia" w:hAnsi="宋体"/>
        </w:rPr>
        <w:t>。水库原设计为具有农业灌溉、乡镇供水功能的小（1）型水利工程，总库容512万m</w:t>
      </w:r>
      <w:r>
        <w:rPr>
          <w:rFonts w:hint="eastAsia" w:hAnsi="宋体"/>
          <w:vertAlign w:val="superscript"/>
        </w:rPr>
        <w:t>3</w:t>
      </w:r>
      <w:r>
        <w:rPr>
          <w:rFonts w:hint="eastAsia" w:hAnsi="宋体"/>
        </w:rPr>
        <w:t>，设计灌面2.26万亩。1976年，工程于建设中期停工，未达到设计规模，其后采取在已成坝体开挖溢洪道等措施，形成目前的小（2）型水库。水库现状坝顶高程668.30m，正常蓄水位666.30m，死水位660.35m，总库容12.1万m</w:t>
      </w:r>
      <w:r>
        <w:rPr>
          <w:rFonts w:hint="eastAsia" w:hAnsi="宋体"/>
          <w:vertAlign w:val="superscript"/>
        </w:rPr>
        <w:t>3</w:t>
      </w:r>
      <w:r>
        <w:rPr>
          <w:rFonts w:hint="eastAsia" w:hAnsi="宋体"/>
        </w:rPr>
        <w:t>，调节库容7.3万m</w:t>
      </w:r>
      <w:r>
        <w:rPr>
          <w:rFonts w:hint="eastAsia" w:hAnsi="宋体"/>
          <w:vertAlign w:val="superscript"/>
        </w:rPr>
        <w:t>3</w:t>
      </w:r>
      <w:r>
        <w:rPr>
          <w:rFonts w:hint="eastAsia" w:hAnsi="宋体"/>
        </w:rPr>
        <w:t>。目前，有代洛供水工程在库区取水，供水范围为玉堂街道印合社区、登高社区及周边村居，供水人口约0.62万人；白岩河供水工程在下游取水，供玉堂街道白岩河村，供水人口0.04万人。</w:t>
      </w:r>
    </w:p>
    <w:p>
      <w:pPr>
        <w:ind w:firstLine="480"/>
        <w:contextualSpacing/>
        <w:jc w:val="left"/>
        <w:rPr>
          <w:rFonts w:hAnsi="宋体"/>
        </w:rPr>
      </w:pPr>
      <w:r>
        <w:rPr>
          <w:rFonts w:hint="eastAsia" w:hAnsi="宋体"/>
        </w:rPr>
        <w:t>根据相关规划、水库建设条件以及周边综合利用要求，寒溪寺水库拟扩建为具有农业灌溉、乡镇和农业供水等综合利用的小（1）型水库。水库供水范围为灌区和拟改扩建的代洛供水工程供水区：灌区位于寒溪寺水库与天星桥水库间的河源集水区，涉及玉堂街道8个村两个社区和化成镇2个村，共10个村两个社区；供水区在灌区基础上，增加天马山镇2个村，共12个村2个社区。</w:t>
      </w:r>
    </w:p>
    <w:p>
      <w:pPr>
        <w:ind w:firstLine="480"/>
        <w:contextualSpacing/>
        <w:jc w:val="left"/>
        <w:rPr>
          <w:rFonts w:ascii="宋体" w:hAnsi="宋体"/>
        </w:rPr>
      </w:pPr>
      <w:r>
        <w:rPr>
          <w:rFonts w:ascii="宋体" w:hAnsi="宋体"/>
        </w:rPr>
        <w:t>拟扩建的寒溪寺水库规划供水范围为</w:t>
      </w:r>
      <w:r>
        <w:rPr>
          <w:rFonts w:hint="eastAsia" w:ascii="宋体" w:hAnsi="宋体"/>
        </w:rPr>
        <w:t>寒溪寺水库</w:t>
      </w:r>
      <w:r>
        <w:rPr>
          <w:rFonts w:ascii="宋体" w:hAnsi="宋体"/>
        </w:rPr>
        <w:t>与天星桥水库之间的分水岭地带，属两水库集水区的旱片死角。灌区耕地和人口大部分布在420.00m</w:t>
      </w:r>
      <w:r>
        <w:rPr>
          <w:rFonts w:hint="eastAsia" w:ascii="宋体" w:hAnsi="宋体"/>
        </w:rPr>
        <w:t>～</w:t>
      </w:r>
      <w:r>
        <w:rPr>
          <w:rFonts w:ascii="宋体" w:hAnsi="宋体"/>
        </w:rPr>
        <w:t>670.00m之间，区域水利设施以塘坝、窖池为主，抗旱能力极低。灌区大部分地处两座中型水库分水邻，河流源短流小，水资源可利用量有限。从周边可利用水源来看，就近有</w:t>
      </w:r>
      <w:r>
        <w:rPr>
          <w:rFonts w:hint="eastAsia" w:ascii="宋体" w:hAnsi="宋体"/>
        </w:rPr>
        <w:t>寒溪寺水库</w:t>
      </w:r>
      <w:r>
        <w:rPr>
          <w:rFonts w:ascii="宋体" w:hAnsi="宋体"/>
        </w:rPr>
        <w:t>和天星桥水库水源，略远有巴河干流水源，此外再无合适的水源可解决区域缺水问题。灌区相邻的</w:t>
      </w:r>
      <w:r>
        <w:rPr>
          <w:rFonts w:hint="eastAsia" w:ascii="宋体" w:hAnsi="宋体"/>
        </w:rPr>
        <w:t>寒溪寺水库</w:t>
      </w:r>
      <w:r>
        <w:rPr>
          <w:rFonts w:ascii="宋体" w:hAnsi="宋体"/>
        </w:rPr>
        <w:t>和天星桥水库控灌高程分别在420.00m以下和370.00m以下，若考虑由</w:t>
      </w:r>
      <w:r>
        <w:rPr>
          <w:rFonts w:hint="eastAsia" w:ascii="宋体" w:hAnsi="宋体"/>
        </w:rPr>
        <w:t>寒溪寺水库</w:t>
      </w:r>
      <w:r>
        <w:rPr>
          <w:rFonts w:ascii="宋体" w:hAnsi="宋体"/>
        </w:rPr>
        <w:t>或天星桥水库供水，最大提水扬程将分别达到250m和300m，且两水库有各自需承担的灌溉供水任务；若考虑自水源丰富的巴河干流提水，就近自枣林镇提水距离将近10km，最大提水扬程达到320m，供水运行成本难以承受。寒溪寺水库坝址位于</w:t>
      </w:r>
      <w:r>
        <w:rPr>
          <w:rFonts w:hint="eastAsia" w:ascii="宋体" w:hAnsi="宋体"/>
        </w:rPr>
        <w:t>寒溪寺水库</w:t>
      </w:r>
      <w:r>
        <w:rPr>
          <w:rFonts w:ascii="宋体" w:hAnsi="宋体"/>
        </w:rPr>
        <w:t>上游支流蔡家河上，两处补水枢纽位于</w:t>
      </w:r>
      <w:r>
        <w:rPr>
          <w:rFonts w:hint="eastAsia" w:ascii="宋体" w:hAnsi="宋体"/>
        </w:rPr>
        <w:t>寒溪寺水库</w:t>
      </w:r>
      <w:r>
        <w:rPr>
          <w:rFonts w:ascii="宋体" w:hAnsi="宋体"/>
        </w:rPr>
        <w:t>上游支流两长河支沟谭家沟、刘家沟，水库控灌高程在665.00m以上，扩建寒溪寺水库，调蓄</w:t>
      </w:r>
      <w:r>
        <w:rPr>
          <w:rFonts w:hint="eastAsia" w:ascii="宋体" w:hAnsi="宋体"/>
        </w:rPr>
        <w:t>寒溪寺水库</w:t>
      </w:r>
      <w:r>
        <w:rPr>
          <w:rFonts w:ascii="宋体" w:hAnsi="宋体"/>
        </w:rPr>
        <w:t>上游集水区来水，高水高用，符合</w:t>
      </w:r>
      <w:r>
        <w:rPr>
          <w:rFonts w:hint="eastAsia" w:ascii="宋体" w:hAnsi="宋体"/>
        </w:rPr>
        <w:t>“</w:t>
      </w:r>
      <w:r>
        <w:rPr>
          <w:rFonts w:ascii="宋体" w:hAnsi="宋体"/>
        </w:rPr>
        <w:t>优化配置</w:t>
      </w:r>
      <w:r>
        <w:rPr>
          <w:rFonts w:hint="eastAsia" w:ascii="宋体" w:hAnsi="宋体"/>
        </w:rPr>
        <w:t>”</w:t>
      </w:r>
      <w:r>
        <w:rPr>
          <w:rFonts w:ascii="宋体" w:hAnsi="宋体"/>
        </w:rPr>
        <w:t>、</w:t>
      </w:r>
      <w:r>
        <w:rPr>
          <w:rFonts w:hint="eastAsia" w:ascii="宋体" w:hAnsi="宋体"/>
        </w:rPr>
        <w:t>“</w:t>
      </w:r>
      <w:r>
        <w:rPr>
          <w:rFonts w:ascii="宋体" w:hAnsi="宋体"/>
        </w:rPr>
        <w:t>空间均衡</w:t>
      </w:r>
      <w:r>
        <w:rPr>
          <w:rFonts w:hint="eastAsia" w:ascii="宋体" w:hAnsi="宋体"/>
        </w:rPr>
        <w:t>”</w:t>
      </w:r>
      <w:r>
        <w:rPr>
          <w:rFonts w:ascii="宋体" w:hAnsi="宋体"/>
        </w:rPr>
        <w:t>的治水思路。</w:t>
      </w:r>
    </w:p>
    <w:p>
      <w:pPr>
        <w:pStyle w:val="72"/>
        <w:spacing w:line="360" w:lineRule="auto"/>
        <w:ind w:firstLine="480"/>
        <w:rPr>
          <w:rFonts w:eastAsia="宋体"/>
          <w:sz w:val="24"/>
          <w:szCs w:val="24"/>
        </w:rPr>
      </w:pPr>
      <w:r>
        <w:rPr>
          <w:rFonts w:eastAsia="宋体"/>
          <w:sz w:val="24"/>
          <w:szCs w:val="24"/>
        </w:rPr>
        <w:t>寒溪寺水库是以农业灌溉、乡村供水等综合利用的小（1）型水利工程。设计灌溉面积2.25万亩，水库正常蓄水位695.00m，总库容337.7万m</w:t>
      </w:r>
      <w:r>
        <w:rPr>
          <w:rFonts w:eastAsia="宋体"/>
          <w:sz w:val="24"/>
          <w:szCs w:val="24"/>
          <w:vertAlign w:val="superscript"/>
        </w:rPr>
        <w:t>3</w:t>
      </w:r>
      <w:r>
        <w:rPr>
          <w:rFonts w:eastAsia="宋体"/>
          <w:sz w:val="24"/>
          <w:szCs w:val="24"/>
        </w:rPr>
        <w:t>。</w:t>
      </w:r>
    </w:p>
    <w:p>
      <w:pPr>
        <w:pStyle w:val="72"/>
        <w:spacing w:line="360" w:lineRule="auto"/>
        <w:ind w:firstLine="480"/>
        <w:rPr>
          <w:rFonts w:eastAsia="宋体"/>
          <w:sz w:val="24"/>
          <w:szCs w:val="24"/>
        </w:rPr>
      </w:pPr>
      <w:r>
        <w:rPr>
          <w:rFonts w:eastAsia="宋体"/>
          <w:sz w:val="24"/>
          <w:szCs w:val="24"/>
        </w:rPr>
        <w:t>水库由枢纽工程、补水工程和灌区工程三部分组成。其中枢纽工程包括拦河大坝、溢洪道、左岸取水放空隧洞等建筑物，补水工程由底格拦栅坝取水枢纽和补水暗渠组成；渠道工程包括1条干渠，4条支渠，由管道、隧洞、渡槽等组成。</w:t>
      </w:r>
    </w:p>
    <w:p>
      <w:pPr>
        <w:pStyle w:val="72"/>
        <w:spacing w:line="360" w:lineRule="auto"/>
        <w:ind w:firstLine="480"/>
        <w:rPr>
          <w:rStyle w:val="71"/>
          <w:rFonts w:eastAsia="宋体"/>
          <w:bCs w:val="0"/>
          <w:sz w:val="24"/>
          <w:szCs w:val="24"/>
        </w:rPr>
      </w:pPr>
      <w:r>
        <w:rPr>
          <w:rStyle w:val="71"/>
          <w:rFonts w:eastAsia="宋体"/>
          <w:bCs w:val="0"/>
          <w:sz w:val="24"/>
          <w:szCs w:val="24"/>
        </w:rPr>
        <w:t>枢纽工程大坝采用沥青混凝土心墙石渣坝，坝轴线全长250.00m，坝顶高程697.00m，最大坝高52.00m，坝顶宽6.00m。上游坝坡从上至下坡比为1：2.25、1：2.50，下游坝坡从上至下坡比为1：2.00、1：2.25、1：1.50。沥青混凝土心墙厚0.60m，心墙上、下游各设2.50m厚的过渡层，大坝上、下游坝壳采用砂泥岩石渣填筑。溢洪道布置于大坝左岸，长298.00m，由侧槽段、调整段、泄槽段、消力池段及尾水渠组成。左岸取水放空隧洞由原已成放空隧洞改建，进口底板高程667.00m，同时施工期做导流洞使用。采用岸塔式取水，由进水口段、闸室段、消能段、无压隧洞段、出口明渠段、台阶式泄槽段组成，全长342.86m。</w:t>
      </w:r>
    </w:p>
    <w:p>
      <w:pPr>
        <w:pStyle w:val="72"/>
        <w:spacing w:line="360" w:lineRule="auto"/>
        <w:ind w:firstLine="480"/>
        <w:rPr>
          <w:rFonts w:eastAsia="宋体"/>
          <w:sz w:val="24"/>
          <w:szCs w:val="24"/>
        </w:rPr>
      </w:pPr>
      <w:r>
        <w:rPr>
          <w:rFonts w:eastAsia="宋体"/>
          <w:sz w:val="24"/>
          <w:szCs w:val="24"/>
        </w:rPr>
        <w:t>补水工程由2座补水枢纽和2条补水渠道组成。2座补水枢纽分别为谭家河补水枢纽和刘家河补水枢纽，2条补水渠道分别为谭家河补水渠道和刘家河补水渠道。谭家河补水枢纽（原1#底格拦栅坝）位于左支沟谭家河上李家碥处，补水坝采用底格拦栅坝，坝轴线处净宽18m，最大坝高6.50m。底格拦栅坝右岸进水闸后接补水渠道，全长1236.85m，末端接入刘家河补水渠道。刘家河补水枢纽（原2#底格拦栅坝）位于右支沟刘家河上中华咀处，补水坝底格拦栅坝坝轴线处净宽22m，最大坝高6.60m。底格拦栅坝右岸进水闸后接补水渠道，全长2360.24m（明、暗渠425.47m，隧洞 1934.77m），末端接入寒溪寺水库库尾河道，出口底板高程696.22m。</w:t>
      </w:r>
    </w:p>
    <w:p>
      <w:pPr>
        <w:pStyle w:val="72"/>
        <w:spacing w:line="360" w:lineRule="auto"/>
        <w:ind w:firstLine="480"/>
        <w:rPr>
          <w:rFonts w:eastAsia="宋体"/>
          <w:sz w:val="24"/>
          <w:szCs w:val="24"/>
        </w:rPr>
      </w:pPr>
      <w:r>
        <w:rPr>
          <w:rFonts w:eastAsia="宋体"/>
          <w:sz w:val="24"/>
          <w:szCs w:val="24"/>
        </w:rPr>
        <w:t>水库灌区范围为：北起尖佛山，西至龙潭子河东岸及天星桥水库，南止于原石门乡与兴文镇边界，东以</w:t>
      </w:r>
      <w:r>
        <w:rPr>
          <w:rFonts w:hint="eastAsia" w:eastAsia="宋体"/>
          <w:sz w:val="24"/>
          <w:szCs w:val="24"/>
        </w:rPr>
        <w:t>寒溪寺水库</w:t>
      </w:r>
      <w:r>
        <w:rPr>
          <w:rFonts w:eastAsia="宋体"/>
          <w:sz w:val="24"/>
          <w:szCs w:val="24"/>
        </w:rPr>
        <w:t>及其右干渠灌区为界。灌区范围涉及玉堂街道、化成镇和天马山镇3个乡镇17个村共2.25万亩耕园地，其中：新增1.47万亩，改善0.78万亩；供水人口2.33万人（其中场镇人口0.70万人）。灌区共布置干渠1条，支渠4条（不计入本次投资），渠道走向大致由北向南，由左岸取水隧洞出口后沿蔡家河左岸行至陈家山，建渡槽跨至右岸，之后干渠南行过岳家坡、尖佛山、何家塝、冯家梁，到达原凌云乡代洛山，建隧洞穿山进入石门乡，之后继续南行止于登高寨。灌区干渠总长7.887km。</w:t>
      </w:r>
    </w:p>
    <w:p>
      <w:pPr>
        <w:pStyle w:val="72"/>
        <w:spacing w:line="360" w:lineRule="auto"/>
        <w:ind w:firstLine="480"/>
        <w:rPr>
          <w:rFonts w:eastAsia="宋体"/>
          <w:sz w:val="24"/>
          <w:szCs w:val="24"/>
        </w:rPr>
      </w:pPr>
      <w:r>
        <w:rPr>
          <w:rFonts w:eastAsia="宋体"/>
          <w:sz w:val="24"/>
          <w:szCs w:val="24"/>
        </w:rPr>
        <w:t>工程建设总工期：枢纽及补水工程32个月，灌区工程23个月。</w:t>
      </w:r>
    </w:p>
    <w:p>
      <w:pPr>
        <w:pStyle w:val="72"/>
        <w:spacing w:line="360" w:lineRule="auto"/>
        <w:ind w:firstLine="480"/>
        <w:rPr>
          <w:rFonts w:eastAsia="宋体"/>
          <w:sz w:val="24"/>
          <w:szCs w:val="24"/>
        </w:rPr>
      </w:pPr>
      <w:r>
        <w:rPr>
          <w:rFonts w:eastAsia="宋体"/>
          <w:sz w:val="24"/>
          <w:szCs w:val="24"/>
        </w:rPr>
        <w:t>本工程概算总投资26266.01万元，其中枢纽工程21940.25万元、灌区工程4325.76万元。</w:t>
      </w:r>
    </w:p>
    <w:p>
      <w:pPr>
        <w:pStyle w:val="72"/>
        <w:spacing w:line="360" w:lineRule="auto"/>
        <w:ind w:firstLine="480"/>
        <w:rPr>
          <w:rFonts w:eastAsia="宋体"/>
          <w:sz w:val="24"/>
          <w:szCs w:val="24"/>
        </w:rPr>
      </w:pPr>
      <w:r>
        <w:rPr>
          <w:rFonts w:eastAsia="宋体"/>
          <w:sz w:val="24"/>
          <w:szCs w:val="24"/>
        </w:rPr>
        <w:t>工程经济净现值3496.93万元，内部回收率7.3%，效益费用比1.36。</w:t>
      </w:r>
    </w:p>
    <w:p>
      <w:pPr>
        <w:pStyle w:val="4"/>
        <w:ind w:firstLine="0" w:firstLineChars="0"/>
        <w:contextualSpacing/>
      </w:pPr>
      <w:bookmarkStart w:id="961" w:name="_Toc130753473"/>
      <w:r>
        <w:t>10.2</w:t>
      </w:r>
      <w:bookmarkEnd w:id="953"/>
      <w:bookmarkEnd w:id="954"/>
      <w:bookmarkEnd w:id="955"/>
      <w:bookmarkEnd w:id="956"/>
      <w:bookmarkEnd w:id="957"/>
      <w:bookmarkEnd w:id="958"/>
      <w:bookmarkEnd w:id="959"/>
      <w:bookmarkEnd w:id="960"/>
      <w:r>
        <w:t>环境现状评价</w:t>
      </w:r>
      <w:bookmarkEnd w:id="961"/>
    </w:p>
    <w:p>
      <w:pPr>
        <w:ind w:firstLine="480"/>
        <w:contextualSpacing/>
      </w:pPr>
      <w:r>
        <w:t>（1）水环境</w:t>
      </w:r>
    </w:p>
    <w:p>
      <w:pPr>
        <w:ind w:firstLine="480"/>
        <w:contextualSpacing/>
      </w:pPr>
      <w:r>
        <w:rPr>
          <w:rFonts w:hint="eastAsia"/>
        </w:rPr>
        <w:t>现状监测及评价结果表明，区域地表水监测断面各项监测指标均能满足《地表水环境质量标准》（GB 3838-2002）中的Ⅲ类水域标准要求。</w:t>
      </w:r>
    </w:p>
    <w:p>
      <w:pPr>
        <w:ind w:firstLine="480"/>
        <w:contextualSpacing/>
      </w:pPr>
      <w:r>
        <w:t>（2）生态</w:t>
      </w:r>
    </w:p>
    <w:p>
      <w:pPr>
        <w:ind w:firstLine="480"/>
        <w:contextualSpacing/>
      </w:pPr>
      <w:r>
        <w:rPr>
          <w:rFonts w:hint="eastAsia"/>
        </w:rPr>
        <w:t>本项目评价范围内无大型陆生野生动物，也无国家保护的陆生珍稀野生动植物及珍稀水生动植物。</w:t>
      </w:r>
    </w:p>
    <w:p>
      <w:pPr>
        <w:ind w:firstLine="480"/>
        <w:contextualSpacing/>
      </w:pPr>
      <w:r>
        <w:t>（3）大气与声环境</w:t>
      </w:r>
    </w:p>
    <w:p>
      <w:pPr>
        <w:ind w:firstLine="480"/>
        <w:contextualSpacing/>
      </w:pPr>
      <w:r>
        <w:t>寒溪寺水库工程运营后不产生环境空气基本污染物，不会对区域大气环境质量产生影响。项目区域声环境质量达《声环境质量标准》（GB3096-2008）中的1类标准。</w:t>
      </w:r>
    </w:p>
    <w:p>
      <w:pPr>
        <w:pStyle w:val="4"/>
        <w:ind w:firstLine="0" w:firstLineChars="0"/>
        <w:contextualSpacing/>
      </w:pPr>
      <w:bookmarkStart w:id="962" w:name="_Toc8175"/>
      <w:bookmarkStart w:id="963" w:name="_Toc27920"/>
      <w:bookmarkStart w:id="964" w:name="_Toc5782"/>
      <w:bookmarkStart w:id="965" w:name="_Toc6273"/>
      <w:bookmarkStart w:id="966" w:name="_Toc29469"/>
      <w:bookmarkStart w:id="967" w:name="_Toc2402"/>
      <w:bookmarkStart w:id="968" w:name="_Toc16619"/>
      <w:bookmarkStart w:id="969" w:name="_Toc12750"/>
      <w:bookmarkStart w:id="970" w:name="_Toc130753474"/>
      <w:r>
        <w:t>10.3环境影响评价与环保对策措施</w:t>
      </w:r>
      <w:bookmarkEnd w:id="962"/>
      <w:bookmarkEnd w:id="963"/>
      <w:bookmarkEnd w:id="964"/>
      <w:bookmarkEnd w:id="965"/>
      <w:bookmarkEnd w:id="966"/>
      <w:bookmarkEnd w:id="967"/>
      <w:bookmarkEnd w:id="968"/>
      <w:bookmarkEnd w:id="969"/>
      <w:bookmarkEnd w:id="970"/>
    </w:p>
    <w:p>
      <w:pPr>
        <w:pStyle w:val="5"/>
        <w:ind w:firstLine="0" w:firstLineChars="0"/>
        <w:contextualSpacing/>
        <w:rPr>
          <w:rFonts w:ascii="Times New Roman" w:hAnsi="Times New Roman"/>
        </w:rPr>
      </w:pPr>
      <w:bookmarkStart w:id="971" w:name="_Toc18731"/>
      <w:bookmarkStart w:id="972" w:name="_Toc14326"/>
      <w:bookmarkStart w:id="973" w:name="_Toc810"/>
      <w:bookmarkStart w:id="974" w:name="_Toc8017"/>
      <w:bookmarkStart w:id="975" w:name="_Toc5208"/>
      <w:bookmarkStart w:id="976" w:name="_Toc22478"/>
      <w:bookmarkStart w:id="977" w:name="_Toc22750"/>
      <w:r>
        <w:rPr>
          <w:rFonts w:ascii="Times New Roman" w:hAnsi="Times New Roman"/>
        </w:rPr>
        <w:t>10.3.1施工期</w:t>
      </w:r>
      <w:bookmarkEnd w:id="971"/>
      <w:bookmarkEnd w:id="972"/>
      <w:bookmarkEnd w:id="973"/>
      <w:bookmarkEnd w:id="974"/>
      <w:bookmarkEnd w:id="975"/>
      <w:bookmarkEnd w:id="976"/>
      <w:bookmarkEnd w:id="977"/>
    </w:p>
    <w:p>
      <w:pPr>
        <w:ind w:firstLine="480"/>
        <w:contextualSpacing/>
      </w:pPr>
      <w:bookmarkStart w:id="978" w:name="_Toc18935"/>
      <w:bookmarkStart w:id="979" w:name="_Toc11124"/>
      <w:bookmarkStart w:id="980" w:name="_Toc14068"/>
      <w:r>
        <w:t>（1）生态环境</w:t>
      </w:r>
      <w:bookmarkEnd w:id="978"/>
      <w:bookmarkEnd w:id="979"/>
      <w:bookmarkEnd w:id="980"/>
    </w:p>
    <w:p>
      <w:pPr>
        <w:ind w:firstLine="480"/>
        <w:contextualSpacing/>
      </w:pPr>
      <w:r>
        <w:t>工程建设过程中，将不可避免地对施工区的植被、动植物、景观和周围环境产生一定影响。有些影响是永久性的和不可逆的，如大坝建设的永久占地，有些影响是暂时性的，如施工临时占地。后者可通过采取自然或人工辅助措施的方法加以恢复与重建，前者可通过采取人工措施的方法改建或重建，使区域生态系统的结构和功能整体得到逐步改善。</w:t>
      </w:r>
    </w:p>
    <w:p>
      <w:pPr>
        <w:ind w:firstLine="480"/>
        <w:contextualSpacing/>
      </w:pPr>
      <w:bookmarkStart w:id="981" w:name="_Toc23509"/>
      <w:bookmarkStart w:id="982" w:name="_Toc118"/>
      <w:bookmarkStart w:id="983" w:name="_Toc19617"/>
      <w:r>
        <w:t>（2）废水</w:t>
      </w:r>
      <w:bookmarkEnd w:id="981"/>
      <w:bookmarkEnd w:id="982"/>
      <w:bookmarkEnd w:id="983"/>
    </w:p>
    <w:p>
      <w:pPr>
        <w:ind w:firstLine="480"/>
        <w:contextualSpacing/>
      </w:pPr>
      <w:r>
        <w:t>施工生产废水主要来自混凝土拌和系统废水、大坝施工基坑废水、汽车保养系统含油废水。混凝土拌和系统废水、大坝施工基坑废水主要污染物是SS，通过修建临时排水沟、沉砂池等沉淀处理后，综合用于生产或场地抑尘洒水。含油废水设隔油池+气浮隔油处理后，重复利用，不排入蔡家河。施工生活营地、业主管理房生活污水采取一体化污水处理装置处理后用作临近农地施肥。</w:t>
      </w:r>
    </w:p>
    <w:p>
      <w:pPr>
        <w:ind w:firstLine="480"/>
        <w:contextualSpacing/>
      </w:pPr>
      <w:r>
        <w:t>施工废水在严格落实报告书提出的环保要求后，对蔡家河水质环境影响小。</w:t>
      </w:r>
    </w:p>
    <w:p>
      <w:pPr>
        <w:ind w:firstLine="480"/>
        <w:contextualSpacing/>
      </w:pPr>
      <w:bookmarkStart w:id="984" w:name="_Toc16641"/>
      <w:bookmarkStart w:id="985" w:name="_Toc9439"/>
      <w:bookmarkStart w:id="986" w:name="_Toc30516"/>
      <w:r>
        <w:t>（3）废气</w:t>
      </w:r>
      <w:bookmarkEnd w:id="984"/>
      <w:bookmarkEnd w:id="985"/>
      <w:bookmarkEnd w:id="986"/>
    </w:p>
    <w:p>
      <w:pPr>
        <w:ind w:firstLine="480"/>
        <w:contextualSpacing/>
      </w:pPr>
      <w:r>
        <w:t>主要以施工粉尘和车辆运输二次扬尘为主。施工粉尘来源于混凝土拌和区、临时堆料场、渣场、大坝施工作业区，尤以土石方开挖、混凝土拌和粉尘影响较大。在通过采取作业面洒水抑尘、拌和系统密闭输料并采取布袋除尘措施后，粉尘影响范围减小，对作业区周边辅以喷淋压尘后，施工粉尘对周边环境影响不大。汽车运输二次扬尘会对沿线居民点造成一定程度的扬尘污染，运输易起尘物料和渣土车在采取密闭运输、不超装冒装、低速行驶后，对道路沿线范围内居民点影响有限。场区内道路在采取适时洒水，保持路面干净的情况下，二次扬尘将得到进一步控制和减轻。</w:t>
      </w:r>
    </w:p>
    <w:p>
      <w:pPr>
        <w:ind w:firstLine="480"/>
        <w:contextualSpacing/>
      </w:pPr>
      <w:bookmarkStart w:id="987" w:name="_Toc28864"/>
      <w:bookmarkStart w:id="988" w:name="_Toc30821"/>
      <w:bookmarkStart w:id="989" w:name="_Toc1307"/>
      <w:r>
        <w:t>（4）噪声</w:t>
      </w:r>
      <w:bookmarkEnd w:id="987"/>
      <w:bookmarkEnd w:id="988"/>
      <w:bookmarkEnd w:id="989"/>
    </w:p>
    <w:p>
      <w:pPr>
        <w:ind w:firstLine="480"/>
        <w:contextualSpacing/>
      </w:pPr>
      <w:r>
        <w:t>主要为混凝土拌和、土石方作业、爆破及各类施工机械施工噪声以及载重汽车运输活动产生的交通噪声。施工噪声影响区主要集中在大坝枢纽区，影响范围为施工作业面周边40~150m范围。对受工程施工噪声影响较大的淹没区内居民采取在工程施工前搬迁；对征地红线外、且距离较近的肖兵村、进场道路旁等近距离农户应加强沟通，施工时设置移动式隔声屏障（高3.0m，采用金属和复合材料结构）。同时加强施工管理，如优先选择低噪声设备、低噪声的施工工艺，采用缓冲或微差爆破；合理安排施工作业，施工活动安排在白天进行，夜间不施工。加强载重汽车交通运输管理，拟通过限制车速、减少鸣笛等管理措施来减轻交通噪声的影响。</w:t>
      </w:r>
    </w:p>
    <w:p>
      <w:pPr>
        <w:ind w:firstLine="480"/>
        <w:contextualSpacing/>
      </w:pPr>
      <w:bookmarkStart w:id="990" w:name="_Toc28050"/>
      <w:bookmarkStart w:id="991" w:name="_Toc20690"/>
      <w:r>
        <w:t>（5）固体废物</w:t>
      </w:r>
      <w:bookmarkEnd w:id="990"/>
      <w:bookmarkEnd w:id="991"/>
    </w:p>
    <w:p>
      <w:pPr>
        <w:ind w:firstLine="480"/>
        <w:contextualSpacing/>
      </w:pPr>
      <w:r>
        <w:t>主要包括施工人员生活垃圾和弃土弃渣。施工期间，共产生生活垃圾312.6t，产生量较少，通过设置垃圾箱体收集后，委托环卫部门统一清运，无二次环境污染。弃土弃渣主要运至规划渣场集填埋，禁止将生活垃圾、弃渣倾倒至蔡家河。</w:t>
      </w:r>
    </w:p>
    <w:p>
      <w:pPr>
        <w:ind w:firstLine="0" w:firstLineChars="0"/>
        <w:contextualSpacing/>
      </w:pPr>
      <w:r>
        <w:t>产生废弃土石方统一运至渣场回填处理。清库弃渣由清库承包方按分类收集、分类处理的原则，分别运至有处理能力的建筑消纳场、垃圾填埋场处理，不进入工程渣场。</w:t>
      </w:r>
    </w:p>
    <w:p>
      <w:pPr>
        <w:pStyle w:val="5"/>
        <w:ind w:firstLine="0" w:firstLineChars="0"/>
        <w:contextualSpacing/>
        <w:rPr>
          <w:rFonts w:ascii="Times New Roman" w:hAnsi="Times New Roman"/>
        </w:rPr>
      </w:pPr>
      <w:bookmarkStart w:id="992" w:name="_Toc29724"/>
      <w:bookmarkStart w:id="993" w:name="_Toc19411"/>
      <w:bookmarkStart w:id="994" w:name="_Toc27144"/>
      <w:bookmarkStart w:id="995" w:name="_Toc15165"/>
      <w:bookmarkStart w:id="996" w:name="_Toc5479"/>
      <w:bookmarkStart w:id="997" w:name="_Toc23711"/>
      <w:bookmarkStart w:id="998" w:name="_Toc30007"/>
      <w:r>
        <w:rPr>
          <w:rFonts w:ascii="Times New Roman" w:hAnsi="Times New Roman"/>
        </w:rPr>
        <w:t>10.3.2运营期</w:t>
      </w:r>
      <w:bookmarkEnd w:id="992"/>
      <w:bookmarkEnd w:id="993"/>
      <w:bookmarkEnd w:id="994"/>
      <w:bookmarkEnd w:id="995"/>
      <w:bookmarkEnd w:id="996"/>
      <w:bookmarkEnd w:id="997"/>
      <w:bookmarkEnd w:id="998"/>
    </w:p>
    <w:p>
      <w:pPr>
        <w:ind w:firstLine="480"/>
        <w:contextualSpacing/>
      </w:pPr>
      <w:r>
        <w:t>（1）水文情势</w:t>
      </w:r>
    </w:p>
    <w:p>
      <w:pPr>
        <w:ind w:firstLine="480"/>
        <w:contextualSpacing/>
      </w:pPr>
      <w:r>
        <w:t>寒溪寺水库建成后，随着水位的抬升，水库坝前至库尾水深均不同程度增加，水库水位、水深变化将导至库岸滑坡体稳定变化及库内水质、水温的变化。对库区而言，水库形成后，将使库区水位抬升，水体体积和水面面积均将增加，库区原有的部分陆地变成水域，大量植被、耕地淹没，使库区周边自然系统的生产力降低，使区域生态完整性受到一定损失；部分动物栖息地的淹没会导致被迫上移，若找不到合适的生境，则该种生物的生存将受到威胁。水库面积增加，引起局地气候的变化，水体增温或降温效应，有利于喜暖植物或经济植物的生长。坝下河段，由于水库大坝隔挡在一定程度上改变了水资源的时空分布。水库下泄流量减少，对蔡家河中下游河段农业用水和生态用水会产生一定影响。同时还会造成中下游河段水体自净能力下降，对水质环境和水生生物有一定的影响。</w:t>
      </w:r>
    </w:p>
    <w:p>
      <w:pPr>
        <w:ind w:firstLine="480"/>
        <w:contextualSpacing/>
      </w:pPr>
      <w:r>
        <w:t>寒溪寺水库具有调节功能，水库建成后，丰水年、平水年和枯水年的月均流量变化大体一致，丰水期和平水期月均下泄流量有所减少，枯水期有所增加。减水河段在下泄生态流量后，保证河道不断流，可维持减水河段基本水生生境。</w:t>
      </w:r>
    </w:p>
    <w:p>
      <w:pPr>
        <w:ind w:firstLine="480"/>
        <w:contextualSpacing/>
      </w:pPr>
      <w:r>
        <w:t>（2）水质</w:t>
      </w:r>
    </w:p>
    <w:p>
      <w:pPr>
        <w:ind w:firstLine="480"/>
        <w:contextualSpacing/>
      </w:pPr>
      <w:r>
        <w:t>现状水质总氮、总磷略有超标，在经过库区农业面源控制、库底清理后，水质将得到改善，能满足《地表水环境质量标准》（GB3838-2002）中Ⅲ水质标准，库区发生富营养化的可能性小。</w:t>
      </w:r>
    </w:p>
    <w:p>
      <w:pPr>
        <w:ind w:firstLine="480"/>
        <w:contextualSpacing/>
      </w:pPr>
      <w:r>
        <w:t>坝下减水河段无现有集中工业区和集中排污口，水库在下泄生态基流的情况下，坝下减水河段满足Ⅲ类水域功能要求。</w:t>
      </w:r>
    </w:p>
    <w:p>
      <w:pPr>
        <w:ind w:firstLine="480"/>
        <w:contextualSpacing/>
      </w:pPr>
      <w:r>
        <w:t>运营期枢纽管理房生活污水通过一体化污水处理设备处理后，用作临近农地农肥，不外排。</w:t>
      </w:r>
    </w:p>
    <w:p>
      <w:pPr>
        <w:ind w:firstLine="480"/>
        <w:contextualSpacing/>
      </w:pPr>
      <w:r>
        <w:t>（3）地下水</w:t>
      </w:r>
    </w:p>
    <w:p>
      <w:pPr>
        <w:ind w:firstLine="480"/>
        <w:contextualSpacing/>
      </w:pPr>
      <w:r>
        <w:t>寒溪寺库区地下水类型以孔隙水和基岩裂隙水为主，地下水均接受大气降水补给，向河道排泄。回水库岸范围内坡度较缓，无压覆重要矿产资源，无大型居民点及大片农田，无水库浸没。水库库区分布在隔水岩层，加之库区地质构造简单，未发现断层通向库区，水库封闭条件好，不存在水库渗漏。枢纽区主坝、副坝基础在采用泥灌浆帷幕防渗处理后，寒溪寺水库发生永久性渗漏的可能性较小，对坝下游地下水位的影响有限。</w:t>
      </w:r>
    </w:p>
    <w:p>
      <w:pPr>
        <w:ind w:firstLine="480"/>
        <w:contextualSpacing/>
      </w:pPr>
      <w:r>
        <w:t>（5）陆生生态</w:t>
      </w:r>
    </w:p>
    <w:p>
      <w:pPr>
        <w:ind w:firstLine="480"/>
        <w:contextualSpacing/>
      </w:pPr>
      <w:r>
        <w:t>1）陆生植物</w:t>
      </w:r>
    </w:p>
    <w:p>
      <w:pPr>
        <w:ind w:firstLine="480"/>
        <w:contextualSpacing/>
      </w:pPr>
      <w:r>
        <w:rPr>
          <w:rFonts w:hint="eastAsia"/>
        </w:rPr>
        <w:t>工程评价范围内无国家级或省级重点保护野生植物、古树名木分布。对区域陆生植物影响主要为淹没损失。受淹没区内植物均为常见种，植被均为常见类型，工程蓄水对区域植物及植被影响小。</w:t>
      </w:r>
    </w:p>
    <w:p>
      <w:pPr>
        <w:ind w:firstLine="480"/>
        <w:contextualSpacing/>
      </w:pPr>
      <w:r>
        <w:t>2）陆生动物</w:t>
      </w:r>
    </w:p>
    <w:p>
      <w:pPr>
        <w:ind w:firstLine="480"/>
        <w:contextualSpacing/>
      </w:pPr>
      <w:r>
        <w:t>水库建成蓄水后，库区水域面积的增大，对游禽、涉禽等类型的鸟类，如䴙䴘目、鸻形目的部分种类有一定的吸引作用，这些类型鸟类的种类和数量将会明显增加。爬行类和小型哺乳动物，受水库淹没影响，在蓄水初期会向库周合适的生境中迁移，使这些地区的动物种群密度相应的有所上升，经过一段时间的调节后，其种群密度将达到新的平衡状态。</w:t>
      </w:r>
    </w:p>
    <w:p>
      <w:pPr>
        <w:ind w:firstLine="480"/>
        <w:contextualSpacing/>
      </w:pPr>
      <w:r>
        <w:t>（6）水生生态</w:t>
      </w:r>
    </w:p>
    <w:p>
      <w:pPr>
        <w:ind w:firstLine="480"/>
        <w:contextualSpacing/>
      </w:pPr>
      <w:r>
        <w:t>1）底栖生物</w:t>
      </w:r>
    </w:p>
    <w:p>
      <w:pPr>
        <w:ind w:firstLine="480"/>
        <w:contextualSpacing/>
      </w:pPr>
      <w:r>
        <w:t>水库建成后，有利于现状静水性、耐污性种类生物量进一步增加，甲壳动物中的虾类等将逐渐增多，并成为中、下层鱼类的重要饵料；软体动物中如萝卜螺、田螺、蚬类在种类和数量上将有所增加，并成为优势种类，原适宜流动水体的水生昆虫等在种群和数量上会呈下降趋势。坝下河段受清水冲刷下切，河流并滩归槽，底栖动物生存空间萎缩，坝下底栖动物的现存量将有所下降，但种类组成变化不明显，仍以河流性流水种类为主。</w:t>
      </w:r>
    </w:p>
    <w:p>
      <w:pPr>
        <w:ind w:firstLine="480"/>
        <w:contextualSpacing/>
      </w:pPr>
      <w:r>
        <w:t>2）高等水生植物</w:t>
      </w:r>
    </w:p>
    <w:p>
      <w:pPr>
        <w:ind w:firstLine="480"/>
        <w:contextualSpacing/>
      </w:pPr>
      <w:r>
        <w:t>建坝后，水面增大，透明度升高，营养物质累积，有利于水生维管束植物的生长。尤其是库区原有高程较高的沿岸滩地及库尾、库湾河谷，被淹没后水深相对较浅，有利于沉水植物的生长，特别是眼子菜类的沉水植物。现状河段水生维管束植物稀少，建库后坝下河流仍保持流水特征，但流量相对减小，坝下河段水生维管束植物种类和现存量基本维持现状水平。</w:t>
      </w:r>
    </w:p>
    <w:p>
      <w:pPr>
        <w:ind w:firstLine="480"/>
        <w:contextualSpacing/>
      </w:pPr>
      <w:r>
        <w:t>3）鱼类</w:t>
      </w:r>
    </w:p>
    <w:p>
      <w:pPr>
        <w:ind w:firstLine="480"/>
        <w:contextualSpacing/>
      </w:pPr>
      <w:r>
        <w:t>大坝将阻隔鱼类上下迁移及短距离生殖洄游，库区水文情势变化改变主要鱼类种群组成。工程评价河段内无珍稀濒危鱼类分布，干流没有比较集中、规模较大的产卵场、索饵场和越冬场。鱼类种类以经济鱼为主。</w:t>
      </w:r>
    </w:p>
    <w:p>
      <w:pPr>
        <w:ind w:firstLine="480"/>
        <w:contextualSpacing/>
      </w:pPr>
      <w:r>
        <w:t>鱼类保护以维持或改善该河段主要经济鱼类种类及数量为主。施工期生产、生活污水必须落实环评报告书中各项废水处理措施。运营期间，应加强水源地保护，加强上游农业面源、生活污水控制，限制不利于水资源保护的生态资源开发活动，通过不定期水质监测确保库区水质达标，通过在线流量监测确保下泄最低流量生态用水。加强渔政管理，加强水源地渔业行政执法，尤其在鱼类繁殖产卵季节，应加强水域管理，保护产卵群体能够顺利产卵和繁殖。在满足工程开发任务的前提下，通过制定生态调度方案，减缓河道水文情势变化对水生生境的破坏，保护鱼类资源。</w:t>
      </w:r>
    </w:p>
    <w:p>
      <w:pPr>
        <w:ind w:firstLine="480"/>
        <w:contextualSpacing/>
      </w:pPr>
      <w:r>
        <w:t>（7）声环境与大气环境</w:t>
      </w:r>
    </w:p>
    <w:p>
      <w:pPr>
        <w:ind w:firstLine="480"/>
        <w:contextualSpacing/>
      </w:pPr>
      <w:r>
        <w:t>1）环境现状与保护目标</w:t>
      </w:r>
    </w:p>
    <w:p>
      <w:pPr>
        <w:ind w:firstLine="480"/>
        <w:contextualSpacing/>
      </w:pPr>
      <w:r>
        <w:rPr>
          <w:rFonts w:hint="eastAsia"/>
        </w:rPr>
        <w:t>工程地区现状</w:t>
      </w:r>
      <w:r>
        <w:t>PM</w:t>
      </w:r>
      <w:r>
        <w:rPr>
          <w:vertAlign w:val="subscript"/>
        </w:rPr>
        <w:t>10</w:t>
      </w:r>
      <w:r>
        <w:rPr>
          <w:rFonts w:hint="eastAsia"/>
        </w:rPr>
        <w:t>、</w:t>
      </w:r>
      <w:r>
        <w:t>NO</w:t>
      </w:r>
      <w:r>
        <w:rPr>
          <w:vertAlign w:val="subscript"/>
        </w:rPr>
        <w:t>2</w:t>
      </w:r>
      <w:r>
        <w:rPr>
          <w:rFonts w:hint="eastAsia"/>
        </w:rPr>
        <w:t>和</w:t>
      </w:r>
      <w:r>
        <w:t>SO</w:t>
      </w:r>
      <w:r>
        <w:rPr>
          <w:vertAlign w:val="subscript"/>
        </w:rPr>
        <w:t>2</w:t>
      </w:r>
      <w:r>
        <w:rPr>
          <w:rFonts w:hint="eastAsia"/>
        </w:rPr>
        <w:t>监测结果均满足《环境空气质量标准》（</w:t>
      </w:r>
      <w:r>
        <w:t>GB3095-2012</w:t>
      </w:r>
      <w:r>
        <w:rPr>
          <w:rFonts w:hint="eastAsia"/>
        </w:rPr>
        <w:t>）中的二级标准，声环境质量均符合《声环境质量标准》（</w:t>
      </w:r>
      <w:r>
        <w:t>GB3096-2008</w:t>
      </w:r>
      <w:r>
        <w:rPr>
          <w:rFonts w:hint="eastAsia"/>
        </w:rPr>
        <w:t>）</w:t>
      </w:r>
      <w:r>
        <w:t>1</w:t>
      </w:r>
      <w:r>
        <w:rPr>
          <w:rFonts w:hint="eastAsia"/>
        </w:rPr>
        <w:t>类标准。</w:t>
      </w:r>
    </w:p>
    <w:p>
      <w:pPr>
        <w:ind w:firstLine="480"/>
        <w:contextualSpacing/>
      </w:pPr>
      <w:r>
        <w:t>2）主要环境影响</w:t>
      </w:r>
    </w:p>
    <w:p>
      <w:pPr>
        <w:ind w:firstLine="480"/>
        <w:contextualSpacing/>
      </w:pPr>
      <w:r>
        <w:t>本工程施工期声环境评价范围内声环境敏感目标包括施工区周边居民点。可能对环境敏感目标产生噪声影响的主要为坝下施工区产生的机械生产噪声和交通噪声。</w:t>
      </w:r>
    </w:p>
    <w:p>
      <w:pPr>
        <w:ind w:firstLine="480"/>
        <w:contextualSpacing/>
      </w:pPr>
      <w:r>
        <w:t>在非正常情况下，未采取任何措施的情况下，施工区的粉尘等污染物对附近居民点的大气环境有一定不利影响。</w:t>
      </w:r>
    </w:p>
    <w:p>
      <w:pPr>
        <w:ind w:firstLine="480"/>
        <w:contextualSpacing/>
      </w:pPr>
      <w:r>
        <w:t>3）声环境及环境空气保护措施</w:t>
      </w:r>
    </w:p>
    <w:p>
      <w:pPr>
        <w:ind w:firstLine="480"/>
        <w:contextualSpacing/>
      </w:pPr>
      <w:r>
        <w:t>应在施工前设置隔声屏障，同时对各类施工机械等采取降噪措施，保护施工区附近声环境敏感点。采用全封闭式混凝土搅拌系统、定时洒水降尘、地面清扫、堆场防风、做好运输车辆的密封和车辆保洁等方式保护环境空气。</w:t>
      </w:r>
    </w:p>
    <w:p>
      <w:pPr>
        <w:ind w:firstLine="480"/>
        <w:contextualSpacing/>
      </w:pPr>
      <w:r>
        <w:t>（8）社会环境</w:t>
      </w:r>
    </w:p>
    <w:p>
      <w:pPr>
        <w:ind w:firstLine="480"/>
        <w:contextualSpacing/>
      </w:pPr>
      <w:r>
        <w:t>1）工程对社会经济的影响</w:t>
      </w:r>
    </w:p>
    <w:p>
      <w:pPr>
        <w:ind w:firstLine="480"/>
        <w:contextualSpacing/>
      </w:pPr>
      <w:r>
        <w:t>工程施工物资的运输有可能会对当地的交通造成一定的干扰，特别是在运输高峰期可能造成当地交通堵塞，因此，在项目施工允许的情况下应选择当地交通流量低时进行物资运输。工程施工需要一定的劳动力，可以充分利用当地的多余劳动力，从而促进当地经济的发展。施工期间大量施工人员入场，各种生活需求增加，将会刺激当地经济的发展。工程施工需要大量的建筑材料，基本就近从当地市场购买，促进当地建材业的发展。工程建成运行后，上缴的利税对促进当地经济发展和提高财政收入有一定的作用。</w:t>
      </w:r>
    </w:p>
    <w:p>
      <w:pPr>
        <w:ind w:firstLine="480"/>
        <w:contextualSpacing/>
      </w:pPr>
      <w:r>
        <w:t>2）工程对人群健康的影响</w:t>
      </w:r>
    </w:p>
    <w:p>
      <w:pPr>
        <w:ind w:firstLine="480"/>
        <w:contextualSpacing/>
      </w:pPr>
      <w:r>
        <w:t>施工中产生的噪声、扬尘等产生的有害气体对施工人群的健康将产生不利影响；施工过程中，大量外来施工人员进入现场，若不加强环境卫生、饮用水卫生、食品卫生管理，有可能造成痢疾、病毒性肝炎等传染病流行。施工人员产生的生活废水、生活垃圾增多，若处理不当，将会引起蚊蝇大量滋生，造成施工场地内传染病的传播途径增加，对施工人员的健康造成影响。</w:t>
      </w:r>
    </w:p>
    <w:p>
      <w:pPr>
        <w:ind w:firstLine="480"/>
        <w:contextualSpacing/>
      </w:pPr>
      <w:r>
        <w:t>水库的形成，使得环境条件有一定的变化，但变化不大，因此诱发传染病的可能性较小，且库区内污染源很少，水库本身水质较好，对库周区人群健康影响较小。</w:t>
      </w:r>
    </w:p>
    <w:p>
      <w:pPr>
        <w:pStyle w:val="4"/>
        <w:ind w:firstLine="0" w:firstLineChars="0"/>
        <w:contextualSpacing/>
      </w:pPr>
      <w:bookmarkStart w:id="999" w:name="_Toc10608"/>
      <w:bookmarkStart w:id="1000" w:name="_Toc7168"/>
      <w:bookmarkStart w:id="1001" w:name="_Toc28896"/>
      <w:bookmarkStart w:id="1002" w:name="_Toc22119"/>
      <w:bookmarkStart w:id="1003" w:name="_Toc12798"/>
      <w:bookmarkStart w:id="1004" w:name="_Toc15455"/>
      <w:bookmarkStart w:id="1005" w:name="_Toc29432"/>
      <w:bookmarkStart w:id="1006" w:name="_Toc130753475"/>
      <w:r>
        <w:t>10.4环境监测与管理计划</w:t>
      </w:r>
      <w:bookmarkEnd w:id="999"/>
      <w:bookmarkEnd w:id="1000"/>
      <w:bookmarkEnd w:id="1001"/>
      <w:bookmarkEnd w:id="1002"/>
      <w:bookmarkEnd w:id="1003"/>
      <w:bookmarkEnd w:id="1004"/>
      <w:bookmarkEnd w:id="1005"/>
      <w:bookmarkEnd w:id="1006"/>
    </w:p>
    <w:p>
      <w:pPr>
        <w:pStyle w:val="5"/>
        <w:ind w:firstLine="0" w:firstLineChars="0"/>
        <w:contextualSpacing/>
        <w:rPr>
          <w:rFonts w:ascii="Times New Roman" w:hAnsi="Times New Roman"/>
        </w:rPr>
      </w:pPr>
      <w:bookmarkStart w:id="1007" w:name="_Toc2890"/>
      <w:bookmarkStart w:id="1008" w:name="_Toc30832"/>
      <w:bookmarkStart w:id="1009" w:name="_Toc19186"/>
      <w:bookmarkStart w:id="1010" w:name="_Toc30012"/>
      <w:bookmarkStart w:id="1011" w:name="_Toc4117"/>
      <w:bookmarkStart w:id="1012" w:name="_Toc15078"/>
      <w:r>
        <w:rPr>
          <w:rFonts w:ascii="Times New Roman" w:hAnsi="Times New Roman"/>
        </w:rPr>
        <w:t>10.4.1环境监测</w:t>
      </w:r>
      <w:bookmarkEnd w:id="1007"/>
      <w:bookmarkEnd w:id="1008"/>
      <w:bookmarkEnd w:id="1009"/>
      <w:bookmarkEnd w:id="1010"/>
      <w:bookmarkEnd w:id="1011"/>
      <w:bookmarkEnd w:id="1012"/>
    </w:p>
    <w:p>
      <w:pPr>
        <w:ind w:firstLine="480"/>
        <w:contextualSpacing/>
      </w:pPr>
      <w:r>
        <w:t>根据本工程环境影响特点，确定本工程施工期环境监测项目为施工废（污）水、施工供水、地表水、地下水、环境空气、噪声、陆生生态及水生生态监测8项；运行期环境监测项目为：地表水、地下水、水温、陆生生态及水生生态环境5项。</w:t>
      </w:r>
    </w:p>
    <w:p>
      <w:pPr>
        <w:pStyle w:val="5"/>
        <w:ind w:firstLine="0" w:firstLineChars="0"/>
        <w:contextualSpacing/>
        <w:rPr>
          <w:rFonts w:ascii="Times New Roman" w:hAnsi="Times New Roman"/>
        </w:rPr>
      </w:pPr>
      <w:bookmarkStart w:id="1013" w:name="_Toc29437"/>
      <w:bookmarkStart w:id="1014" w:name="_Toc24244"/>
      <w:bookmarkStart w:id="1015" w:name="_Toc3723"/>
      <w:bookmarkStart w:id="1016" w:name="_Toc25997"/>
      <w:bookmarkStart w:id="1017" w:name="_Toc30462"/>
      <w:bookmarkStart w:id="1018" w:name="_Toc9291"/>
      <w:r>
        <w:rPr>
          <w:rFonts w:ascii="Times New Roman" w:hAnsi="Times New Roman"/>
        </w:rPr>
        <w:t>10.4.2环境管理</w:t>
      </w:r>
      <w:bookmarkEnd w:id="1013"/>
      <w:bookmarkEnd w:id="1014"/>
      <w:bookmarkEnd w:id="1015"/>
      <w:bookmarkEnd w:id="1016"/>
      <w:bookmarkEnd w:id="1017"/>
      <w:bookmarkEnd w:id="1018"/>
    </w:p>
    <w:p>
      <w:pPr>
        <w:ind w:firstLine="480"/>
        <w:contextualSpacing/>
      </w:pPr>
      <w:r>
        <w:t>本工程应设置环境管理机构，以完成工程环境管理任务。根据工程环境管</w:t>
      </w:r>
    </w:p>
    <w:p>
      <w:pPr>
        <w:ind w:firstLine="0" w:firstLineChars="0"/>
        <w:contextualSpacing/>
      </w:pPr>
      <w:r>
        <w:t>理任务，工程建设期和运行期环境保护办公室分别由1名办公室主任和相应的</w:t>
      </w:r>
    </w:p>
    <w:p>
      <w:pPr>
        <w:ind w:firstLine="0" w:firstLineChars="0"/>
        <w:contextualSpacing/>
      </w:pPr>
      <w:r>
        <w:t>卫生防疫、环境监测、水土保持、生物等专业的人员专职或兼职组成，由于工</w:t>
      </w:r>
    </w:p>
    <w:p>
      <w:pPr>
        <w:ind w:firstLine="0" w:firstLineChars="0"/>
        <w:contextualSpacing/>
      </w:pPr>
      <w:r>
        <w:t>程所处位置的特点，管理机构人员还应有涉及县环保局、林业局管理部门人员。在管理过程中，应与监理单位密切合作，做好本工程的环境保护工作。</w:t>
      </w:r>
    </w:p>
    <w:p>
      <w:pPr>
        <w:pStyle w:val="4"/>
        <w:ind w:firstLine="0" w:firstLineChars="0"/>
        <w:contextualSpacing/>
      </w:pPr>
      <w:bookmarkStart w:id="1019" w:name="_Toc130753476"/>
      <w:bookmarkStart w:id="1020" w:name="_Toc24810"/>
      <w:bookmarkStart w:id="1021" w:name="_Toc10058"/>
      <w:bookmarkStart w:id="1022" w:name="_Toc22358"/>
      <w:bookmarkStart w:id="1023" w:name="_Toc23130"/>
      <w:bookmarkStart w:id="1024" w:name="_Toc2015"/>
      <w:bookmarkStart w:id="1025" w:name="_Toc28221"/>
      <w:bookmarkStart w:id="1026" w:name="_Toc24681"/>
      <w:r>
        <w:t>10.5环境风险分析与应急措施</w:t>
      </w:r>
      <w:bookmarkEnd w:id="1019"/>
    </w:p>
    <w:p>
      <w:pPr>
        <w:ind w:firstLine="480"/>
        <w:contextualSpacing/>
      </w:pPr>
      <w:r>
        <w:t>根据寒溪寺水库工程特点，本工程的建设、运行和管理中具有潜在风险的类型有：供水风险、生态风险、施工期突发性事故风险和火灾爆炸风险等。各种风险均可采取一定措施予以防范，事故一旦发生也可通过已制定的应急计划及时处理，减小事故产生后的损失。因此，上述各类环境风险均不构成影响工程能否建设或运行的关键因素。</w:t>
      </w:r>
    </w:p>
    <w:p>
      <w:pPr>
        <w:pStyle w:val="4"/>
        <w:ind w:firstLine="0" w:firstLineChars="0"/>
        <w:contextualSpacing/>
      </w:pPr>
      <w:bookmarkStart w:id="1027" w:name="_Toc130753477"/>
      <w:r>
        <w:t>10.6环保措施投资</w:t>
      </w:r>
      <w:bookmarkEnd w:id="1027"/>
    </w:p>
    <w:p>
      <w:pPr>
        <w:ind w:firstLine="480"/>
        <w:contextualSpacing/>
      </w:pPr>
      <w:r>
        <w:t>经估算，本工程环境保护投资为</w:t>
      </w:r>
      <w:r>
        <w:rPr>
          <w:rFonts w:hint="eastAsia"/>
        </w:rPr>
        <w:t>1161.66</w:t>
      </w:r>
      <w:r>
        <w:t>万元，水土保持投资为1074.92万元。通过工程的环境损失和产生的环境效益进行比较，工程建设所带来的环境正效益是长期的，而所采取的环保措施投入是短期的，本工程的环境效益更加显著。</w:t>
      </w:r>
    </w:p>
    <w:p>
      <w:pPr>
        <w:pStyle w:val="4"/>
        <w:ind w:firstLine="0" w:firstLineChars="0"/>
        <w:contextualSpacing/>
      </w:pPr>
      <w:bookmarkStart w:id="1028" w:name="_Toc130753478"/>
      <w:r>
        <w:t>10.7公众参与</w:t>
      </w:r>
      <w:bookmarkEnd w:id="1020"/>
      <w:bookmarkEnd w:id="1021"/>
      <w:bookmarkEnd w:id="1022"/>
      <w:bookmarkEnd w:id="1023"/>
      <w:bookmarkEnd w:id="1024"/>
      <w:bookmarkEnd w:id="1025"/>
      <w:bookmarkEnd w:id="1026"/>
      <w:bookmarkEnd w:id="1028"/>
    </w:p>
    <w:p>
      <w:pPr>
        <w:widowControl/>
        <w:ind w:firstLine="480"/>
        <w:contextualSpacing/>
        <w:jc w:val="left"/>
      </w:pPr>
      <w:r>
        <w:rPr>
          <w:kern w:val="0"/>
        </w:rPr>
        <w:t xml:space="preserve">公众参与以张贴公告、网站公示、媒体公告的形式听取评价范围内有关单位及群众代表对项目建设的意见和建议。 </w:t>
      </w:r>
    </w:p>
    <w:p>
      <w:pPr>
        <w:widowControl/>
        <w:ind w:firstLine="480"/>
        <w:contextualSpacing/>
        <w:jc w:val="left"/>
        <w:rPr>
          <w:kern w:val="0"/>
        </w:rPr>
      </w:pPr>
      <w:r>
        <w:rPr>
          <w:kern w:val="0"/>
        </w:rPr>
        <w:t>建设单位在正式委托开展工作的7日内，</w:t>
      </w:r>
      <w:r>
        <w:t>在</w:t>
      </w:r>
      <w:r>
        <w:rPr>
          <w:rFonts w:hint="eastAsia"/>
        </w:rPr>
        <w:t>巴州区</w:t>
      </w:r>
      <w:r>
        <w:t>人民</w:t>
      </w:r>
      <w:r>
        <w:rPr>
          <w:kern w:val="0"/>
        </w:rPr>
        <w:t xml:space="preserve">政府网站进行了项目的第一次公示，公示期十个工作日，在公示期间未收到公众的反对意见。 </w:t>
      </w:r>
    </w:p>
    <w:p>
      <w:pPr>
        <w:pStyle w:val="4"/>
        <w:ind w:firstLine="0" w:firstLineChars="0"/>
        <w:contextualSpacing/>
      </w:pPr>
      <w:bookmarkStart w:id="1029" w:name="_Toc4805"/>
      <w:bookmarkStart w:id="1030" w:name="_Toc29699"/>
      <w:bookmarkStart w:id="1031" w:name="_Toc19842"/>
      <w:bookmarkStart w:id="1032" w:name="_Toc10515"/>
      <w:bookmarkStart w:id="1033" w:name="_Toc31071"/>
      <w:bookmarkStart w:id="1034" w:name="_Toc23776"/>
      <w:bookmarkStart w:id="1035" w:name="_Toc24045"/>
      <w:bookmarkStart w:id="1036" w:name="_Toc22983"/>
      <w:bookmarkStart w:id="1037" w:name="_Toc130753479"/>
      <w:r>
        <w:t>10.7综合评价结论</w:t>
      </w:r>
      <w:bookmarkEnd w:id="1029"/>
      <w:bookmarkEnd w:id="1030"/>
      <w:bookmarkEnd w:id="1031"/>
      <w:bookmarkEnd w:id="1032"/>
      <w:bookmarkEnd w:id="1033"/>
      <w:bookmarkEnd w:id="1034"/>
      <w:bookmarkEnd w:id="1035"/>
      <w:bookmarkEnd w:id="1036"/>
      <w:bookmarkEnd w:id="1037"/>
    </w:p>
    <w:p>
      <w:pPr>
        <w:ind w:firstLine="480"/>
        <w:contextualSpacing/>
      </w:pPr>
      <w:r>
        <w:t>寒溪寺水库工程建设符合国家相关法律法规、产业政策及规划要求。工程建设有利于提高蔡家河下游区域灌溉供水能力；提高城市供水安全保障能力，促进地区经济社会可持续发展；改善区域水生态环境，维护河流健康生命，提升城市品位。因此，本项目具有比较明显的社会、经济、环境效益。通过对寒溪寺水库工程区环境现状及工程建设的环境影响预测评价，综合分析认为，寒溪寺水库工程具有较大的经济效益和社会效益。</w:t>
      </w:r>
    </w:p>
    <w:p>
      <w:pPr>
        <w:ind w:firstLine="480"/>
        <w:contextualSpacing/>
      </w:pPr>
      <w:r>
        <w:t>寒溪寺水库工程建设也带来了一些不利影响，主要影响表现在对水文情势及水环境的影响、闸坝阻隔鱼类迁移、水库淹没及施工占地破坏植被及动植物资源、移民安置环境影响、施工期“三废”及噪声污染、施工扰动地表产生的水土流失影响等方面。针对上述各方面的不利影响，环境保护设计规划了水资源保护及水污染防治、水环境治理措施；植被恢复措施、野生动、植物和鱼类的保护、管理措施，如下泄生态流量、栖息地保护等主要措施，尽可能地减小工程建设对生态环境产生的各种不利环境影响；设计了施工期“三废”及噪声污染防治措施，施工期污染物能按排放标准达标排放，有效减免了对居民点和周边环境的影响。</w:t>
      </w:r>
    </w:p>
    <w:p>
      <w:pPr>
        <w:ind w:firstLine="480"/>
        <w:contextualSpacing/>
      </w:pPr>
      <w:r>
        <w:t>寒溪寺水库工程选址和施工布置基本合理，工程建设产生的负面影响是可以控制的，只要切实落实好各项环境保护措施及建议，完成水源区污染源治理，工程建设对环境的不利影响能够减免到最小程度。从环境影响的角度分析，寒溪寺水库工程的建设是可行的。</w:t>
      </w:r>
    </w:p>
    <w:p>
      <w:pPr>
        <w:pStyle w:val="4"/>
        <w:ind w:firstLine="0" w:firstLineChars="0"/>
        <w:contextualSpacing/>
      </w:pPr>
      <w:bookmarkStart w:id="1038" w:name="_Toc4998"/>
      <w:bookmarkStart w:id="1039" w:name="_Toc21277"/>
      <w:bookmarkStart w:id="1040" w:name="_Toc12825"/>
      <w:bookmarkStart w:id="1041" w:name="_Toc7889"/>
      <w:bookmarkStart w:id="1042" w:name="_Toc8625"/>
      <w:bookmarkStart w:id="1043" w:name="_Toc12806"/>
      <w:bookmarkStart w:id="1044" w:name="_Toc25063"/>
      <w:bookmarkStart w:id="1045" w:name="_Toc27152"/>
      <w:bookmarkStart w:id="1046" w:name="_Toc130753480"/>
      <w:r>
        <w:t>10.8建议</w:t>
      </w:r>
      <w:bookmarkEnd w:id="1038"/>
      <w:bookmarkEnd w:id="1039"/>
      <w:bookmarkEnd w:id="1040"/>
      <w:bookmarkEnd w:id="1041"/>
      <w:bookmarkEnd w:id="1042"/>
      <w:bookmarkEnd w:id="1043"/>
      <w:bookmarkEnd w:id="1044"/>
      <w:bookmarkEnd w:id="1045"/>
      <w:bookmarkEnd w:id="1046"/>
    </w:p>
    <w:p>
      <w:pPr>
        <w:ind w:firstLine="480"/>
        <w:contextualSpacing/>
      </w:pPr>
      <w:r>
        <w:t>（1）制定水源保护区划，将寒溪寺水库划为水源保护区。</w:t>
      </w:r>
    </w:p>
    <w:p>
      <w:pPr>
        <w:ind w:firstLine="480"/>
        <w:contextualSpacing/>
      </w:pPr>
      <w:r>
        <w:t>（2）建设单位应委托专业机构开展工程的环境保护、水土保持设计工作，对环保措施进行进一步深入研究和细化，及时改进、完善环保工艺，同时在设计过程中应充分重视环保工程与主体工程的协调。</w:t>
      </w:r>
    </w:p>
    <w:p>
      <w:pPr>
        <w:ind w:firstLine="480"/>
        <w:contextualSpacing/>
      </w:pPr>
      <w:r>
        <w:t>（3）严格遵循“三同时”制度，及时落实环保投资，确保各项环保措施的实施。</w:t>
      </w:r>
    </w:p>
    <w:p>
      <w:pPr>
        <w:ind w:firstLine="480"/>
        <w:contextualSpacing/>
      </w:pPr>
      <w:r>
        <w:t>（4）委托相关部门及时开展工程建设期的环境监测和环境监理工作，及时了解环境变化情况。</w:t>
      </w:r>
    </w:p>
    <w:p>
      <w:pPr>
        <w:ind w:firstLine="480"/>
        <w:contextualSpacing/>
      </w:pPr>
      <w:r>
        <w:t>（5）将工程建设及运行中突发环境事件应急预案演练和应急物资管理作为日常工作任务，不断提升环境风险防范应急保障能力。</w:t>
      </w:r>
      <w:bookmarkEnd w:id="804"/>
      <w:bookmarkEnd w:id="805"/>
      <w:bookmarkEnd w:id="806"/>
      <w:bookmarkEnd w:id="807"/>
      <w:bookmarkEnd w:id="808"/>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CG Times">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5408" behindDoc="0" locked="0" layoutInCell="1" allowOverlap="1">
              <wp:simplePos x="0" y="0"/>
              <wp:positionH relativeFrom="margin">
                <wp:posOffset>2548255</wp:posOffset>
              </wp:positionH>
              <wp:positionV relativeFrom="paragraph">
                <wp:posOffset>47625</wp:posOffset>
              </wp:positionV>
              <wp:extent cx="570230" cy="280035"/>
              <wp:effectExtent l="0" t="0" r="3810" b="0"/>
              <wp:wrapNone/>
              <wp:docPr id="3"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570230" cy="280035"/>
                      </a:xfrm>
                      <a:prstGeom prst="rect">
                        <a:avLst/>
                      </a:prstGeom>
                      <a:noFill/>
                      <a:ln>
                        <a:noFill/>
                      </a:ln>
                    </wps:spPr>
                    <wps:txbx>
                      <w:txbxContent>
                        <w:p>
                          <w:pPr>
                            <w:pStyle w:val="25"/>
                            <w:ind w:firstLine="0" w:firstLineChars="0"/>
                            <w:jc w:val="center"/>
                          </w:pPr>
                          <w:r>
                            <w:fldChar w:fldCharType="begin"/>
                          </w:r>
                          <w:r>
                            <w:instrText xml:space="preserve"> PAGE  \* MERGEFORMAT </w:instrText>
                          </w:r>
                          <w:r>
                            <w:fldChar w:fldCharType="separate"/>
                          </w:r>
                          <w:r>
                            <w:t>139</w:t>
                          </w:r>
                          <w:r>
                            <w:fldChar w:fldCharType="end"/>
                          </w:r>
                        </w:p>
                      </w:txbxContent>
                    </wps:txbx>
                    <wps:bodyPr rot="0" vert="horz" wrap="square" lIns="0" tIns="0" rIns="0" bIns="0" anchor="t" anchorCtr="0" upright="1">
                      <a:noAutofit/>
                    </wps:bodyPr>
                  </wps:wsp>
                </a:graphicData>
              </a:graphic>
            </wp:anchor>
          </w:drawing>
        </mc:Choice>
        <mc:Fallback>
          <w:pict>
            <v:shape id="文本框 44" o:spid="_x0000_s1026" o:spt="202" type="#_x0000_t202" style="position:absolute;left:0pt;margin-left:200.65pt;margin-top:3.75pt;height:22.05pt;width:44.9pt;mso-position-horizontal-relative:margin;z-index:251665408;mso-width-relative:page;mso-height-relative:page;" filled="f" stroked="f" coordsize="21600,21600" o:gfxdata="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aP0irYAAAACAEAAA8AAAAAAAAAAQAg&#10;AAAAIgAAAGRycy9kb3ducmV2LnhtbFBLAQIUABQAAAAIAIdO4kB5A5NeDgIAAAUEAAAOAAAAAAAA&#10;AAEAIAAAACcBAABkcnMvZTJvRG9jLnhtbFBLBQYAAAAABgAGAFkBAACnBQAAAAA=&#10;">
              <v:fill on="f" focussize="0,0"/>
              <v:stroke on="f"/>
              <v:imagedata o:title=""/>
              <o:lock v:ext="edit" aspectratio="f"/>
              <v:textbox inset="0mm,0mm,0mm,0mm">
                <w:txbxContent>
                  <w:p>
                    <w:pPr>
                      <w:pStyle w:val="25"/>
                      <w:ind w:firstLine="0" w:firstLineChars="0"/>
                      <w:jc w:val="center"/>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00685" cy="19685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a:xfrm>
                        <a:off x="0" y="0"/>
                        <a:ext cx="400685"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31.55pt;mso-position-horizontal:center;mso-position-horizontal-relative:margin;mso-wrap-style:none;z-index:251664384;mso-width-relative:page;mso-height-relative:page;" filled="f" stroked="f" coordsize="21600,21600" o:gfxdata="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CfU40gAAAAMBAAAPAAAAAAAAAAEAIAAA&#10;ACIAAABkcnMvZG93bnJldi54bWxQSwECFAAUAAAACACHTuJArmoH1ksCAACRBAAADgAAAAAAAAAB&#10;ACAAAAAhAQAAZHJzL2Uyb0RvYy54bWxQSwUGAAAAAAYABgBZAQAA3gU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1968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a:xfrm>
                        <a:off x="0" y="0"/>
                        <a:ext cx="400685"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31.55pt;mso-position-horizontal:center;mso-position-horizontal-relative:margin;mso-wrap-style:none;z-index:251659264;mso-width-relative:page;mso-height-relative:page;" filled="f" stroked="f" coordsize="21600,21600" o:gfxdata="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QJ9TjSAAAAAwEAAA8AAAAAAAAAAQAgAAAA&#10;IgAAAGRycy9kb3ducmV2LnhtbFBLAQIUABQAAAAIAIdO4kBIVlsLSgIAAJEEAAAOAAAAAAAAAAEA&#10;IAAAACEBAABkcnMvZTJvRG9jLnhtbFBLBQYAAAAABgAGAFkBAADdBQ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fldChar w:fldCharType="begin"/>
    </w:r>
    <w:r>
      <w:instrText xml:space="preserve">PAGE   \* MERGEFORMAT</w:instrText>
    </w:r>
    <w:r>
      <w:fldChar w:fldCharType="separate"/>
    </w:r>
    <w:r>
      <w:rPr>
        <w:lang w:val="zh-CN"/>
      </w:rPr>
      <w:t>226</w:t>
    </w:r>
    <w:r>
      <w:rPr>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fldChar w:fldCharType="begin"/>
    </w:r>
    <w:r>
      <w:instrText xml:space="preserve">PAGE   \* MERGEFORMAT</w:instrText>
    </w:r>
    <w:r>
      <w:fldChar w:fldCharType="separate"/>
    </w:r>
    <w:r>
      <w:rPr>
        <w:lang w:val="zh-CN"/>
      </w:rPr>
      <w:t>355</w:t>
    </w:r>
    <w:r>
      <w:rPr>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9250" cy="19685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a:xfrm>
                        <a:off x="0" y="0"/>
                        <a:ext cx="349250"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7.5pt;mso-position-horizontal:center;mso-position-horizontal-relative:margin;mso-wrap-style:none;z-index:251663360;mso-width-relative:page;mso-height-relative:page;" filled="f" stroked="f" coordsize="21600,21600" o:gfxdata="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3zfbRAAAAAwEAAA8AAAAAAAAAAQAgAAAA&#10;IgAAAGRycy9kb3ducmV2LnhtbFBLAQIUABQAAAAIAIdO4kAyZm16SwIAAJEEAAAOAAAAAAAAAAEA&#10;IAAAACABAABkcnMvZTJvRG9jLnhtbFBLBQYAAAAABgAGAFkBAADdBQ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66700" cy="19685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a:xfrm>
                        <a:off x="0" y="0"/>
                        <a:ext cx="266700"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1pt;mso-position-horizontal:center;mso-position-horizontal-relative:margin;mso-wrap-style:none;z-index:251663360;mso-width-relative:page;mso-height-relative:page;" filled="f" stroked="f" coordsize="21600,21600" o:gfxdata="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XcOR0QAAAAMBAAAPAAAAAAAAAAEAIAAA&#10;ACIAAABkcnMvZG93bnJldi54bWxQSwECFAAUAAAACACHTuJAvEirLEwCAACRBAAADgAAAAAAAAAB&#10;ACAAAAAgAQAAZHJzL2Uyb0RvYy54bWxQSwUGAAAAAAYABgBZAQAA3gU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7350" cy="19685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a:xfrm>
                        <a:off x="0" y="0"/>
                        <a:ext cx="387350"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30.5pt;mso-position-horizontal:center;mso-position-horizontal-relative:margin;mso-wrap-style:none;z-index:251661312;mso-width-relative:page;mso-height-relative:page;" filled="f" stroked="f" coordsize="21600,21600" o:gfxdata="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6BJV0AAAAAMBAAAPAAAAAAAAAAEAIAAAACIA&#10;AABkcnMvZG93bnJldi54bWxQSwECFAAUAAAACACHTuJAllO9/0oCAACRBAAADgAAAAAAAAABACAA&#10;AAAfAQAAZHJzL2Uyb0RvYy54bWxQSwUGAAAAAAYABgBZAQAA2wU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VII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11150" cy="19685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a:xfrm>
                        <a:off x="0" y="0"/>
                        <a:ext cx="311150" cy="19685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4.5pt;mso-position-horizontal:center;mso-position-horizontal-relative:margin;mso-wrap-style:none;z-index:251662336;mso-width-relative:page;mso-height-relative:page;" filled="f" stroked="f" coordsize="21600,21600" o:gfxdata="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srKe0QAAAAMBAAAPAAAAAAAAAAEAIAAAACIA&#10;AABkcnMvZG93bnJldi54bWxQSwECFAAUAAAACACHTuJAqh0mQkkCAACRBAAADgAAAAAAAAABACAA&#10;AAAgAQAAZHJzL2Uyb0RvYy54bWxQSwUGAAAAAAYABgBZAQAA2wU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60288" behindDoc="0" locked="0" layoutInCell="1" allowOverlap="1">
              <wp:simplePos x="0" y="0"/>
              <wp:positionH relativeFrom="margin">
                <wp:posOffset>2228850</wp:posOffset>
              </wp:positionH>
              <wp:positionV relativeFrom="paragraph">
                <wp:posOffset>-51435</wp:posOffset>
              </wp:positionV>
              <wp:extent cx="714375" cy="387350"/>
              <wp:effectExtent l="0" t="3175" r="0" b="0"/>
              <wp:wrapNone/>
              <wp:docPr id="5"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714375" cy="38735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13</w:t>
                          </w:r>
                          <w:r>
                            <w:fldChar w:fldCharType="end"/>
                          </w:r>
                        </w:p>
                      </w:txbxContent>
                    </wps:txbx>
                    <wps:bodyPr rot="0" vert="horz" wrap="square" lIns="0" tIns="0" rIns="0" bIns="0" anchor="t" anchorCtr="0" upright="1">
                      <a:noAutofit/>
                    </wps:bodyPr>
                  </wps:wsp>
                </a:graphicData>
              </a:graphic>
            </wp:anchor>
          </w:drawing>
        </mc:Choice>
        <mc:Fallback>
          <w:pict>
            <v:shape id="文本框 119" o:spid="_x0000_s1026" o:spt="202" type="#_x0000_t202" style="position:absolute;left:0pt;margin-left:175.5pt;margin-top:-4.05pt;height:30.5pt;width:56.25pt;mso-position-horizontal-relative:margin;z-index:251660288;mso-width-relative:page;mso-height-relative:page;" filled="f" stroked="f" coordsize="21600,21600" o:gfxdata="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HlnraAAAACQEAAA8AAAAAAAAA&#10;AQAgAAAAIgAAAGRycy9kb3ducmV2LnhtbFBLAQIUABQAAAAIAIdO4kBXUfHfDwIAAAYEAAAOAAAA&#10;AAAAAAEAIAAAACkBAABkcnMvZTJvRG9jLnhtbFBLBQYAAAAABgAGAFkBAACqBQAAAAA=&#10;">
              <v:fill on="f" focussize="0,0"/>
              <v:stroke on="f"/>
              <v:imagedata o:title=""/>
              <o:lock v:ext="edit" aspectratio="f"/>
              <v:textbox inset="0mm,0mm,0mm,0mm">
                <w:txbxContent>
                  <w:p>
                    <w:pPr>
                      <w:pStyle w:val="25"/>
                      <w:ind w:firstLine="36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posOffset>2512695</wp:posOffset>
              </wp:positionH>
              <wp:positionV relativeFrom="paragraph">
                <wp:posOffset>142240</wp:posOffset>
              </wp:positionV>
              <wp:extent cx="711835" cy="363220"/>
              <wp:effectExtent l="0" t="0" r="4445" b="1905"/>
              <wp:wrapNone/>
              <wp:docPr id="4"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711835" cy="363220"/>
                      </a:xfrm>
                      <a:prstGeom prst="rect">
                        <a:avLst/>
                      </a:prstGeom>
                      <a:noFill/>
                      <a:ln>
                        <a:noFill/>
                      </a:ln>
                    </wps:spPr>
                    <wps:txbx>
                      <w:txbxContent>
                        <w:p>
                          <w:pPr>
                            <w:pStyle w:val="25"/>
                            <w:ind w:firstLine="360"/>
                          </w:pPr>
                          <w:r>
                            <w:fldChar w:fldCharType="begin"/>
                          </w:r>
                          <w:r>
                            <w:instrText xml:space="preserve"> PAGE  \* MERGEFORMAT </w:instrText>
                          </w:r>
                          <w:r>
                            <w:fldChar w:fldCharType="separate"/>
                          </w:r>
                          <w:r>
                            <w:t>123</w:t>
                          </w:r>
                          <w:r>
                            <w:fldChar w:fldCharType="end"/>
                          </w:r>
                        </w:p>
                      </w:txbxContent>
                    </wps:txbx>
                    <wps:bodyPr rot="0" vert="horz" wrap="square" lIns="0" tIns="0" rIns="0" bIns="0" anchor="t" anchorCtr="0" upright="1">
                      <a:noAutofit/>
                    </wps:bodyPr>
                  </wps:wsp>
                </a:graphicData>
              </a:graphic>
            </wp:anchor>
          </w:drawing>
        </mc:Choice>
        <mc:Fallback>
          <w:pict>
            <v:shape id="文本框 42" o:spid="_x0000_s1026" o:spt="202" type="#_x0000_t202" style="position:absolute;left:0pt;margin-left:197.85pt;margin-top:11.2pt;height:28.6pt;width:56.05pt;mso-position-horizontal-relative:margin;z-index:251666432;mso-width-relative:page;mso-height-relative:page;" filled="f" stroked="f" coordsize="21600,21600" o:gfxdata="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bVBv2QAAAAkBAAAPAAAAAAAAAAEA&#10;IAAAACIAAABkcnMvZG93bnJldi54bWxQSwECFAAUAAAACACHTuJAXjWbgg4CAAAFBAAADgAAAAAA&#10;AAABACAAAAAoAQAAZHJzL2Uyb0RvYy54bWxQSwUGAAAAAAYABgBZAQAAqAUAAAAA&#10;">
              <v:fill on="f" focussize="0,0"/>
              <v:stroke on="f"/>
              <v:imagedata o:title=""/>
              <o:lock v:ext="edit" aspectratio="f"/>
              <v:textbox inset="0mm,0mm,0mm,0mm">
                <w:txbxContent>
                  <w:p>
                    <w:pPr>
                      <w:pStyle w:val="25"/>
                      <w:ind w:firstLine="360"/>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nThickThinSmallGap" w:color="auto" w:sz="18" w:space="1"/>
      </w:pBdr>
      <w:spacing w:line="240" w:lineRule="auto"/>
      <w:ind w:firstLine="0" w:firstLineChars="0"/>
      <w:rPr>
        <w:rFonts w:ascii="楷体" w:hAnsi="楷体" w:eastAsia="楷体" w:cs="楷体"/>
        <w:b/>
        <w:bCs/>
        <w:sz w:val="20"/>
        <w:szCs w:val="28"/>
      </w:rPr>
    </w:pPr>
    <w:r>
      <w:rPr>
        <w:rFonts w:hint="eastAsia" w:ascii="楷体" w:hAnsi="楷体" w:eastAsia="楷体" w:cs="楷体"/>
        <w:b/>
        <w:bCs/>
        <w:sz w:val="20"/>
        <w:szCs w:val="28"/>
      </w:rPr>
      <w:t>巴中市巴州区寒溪寺水库扩建工程环境影响报告书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nThickThinSmallGap" w:color="auto" w:sz="18" w:space="1"/>
      </w:pBdr>
      <w:spacing w:line="240" w:lineRule="auto"/>
      <w:ind w:firstLine="0" w:firstLineChars="0"/>
    </w:pPr>
    <w:r>
      <w:rPr>
        <w:rFonts w:hint="eastAsia" w:ascii="楷体" w:hAnsi="楷体" w:eastAsia="楷体" w:cs="楷体"/>
        <w:b/>
        <w:bCs/>
        <w:sz w:val="20"/>
        <w:szCs w:val="28"/>
      </w:rPr>
      <w:t>巴中市巴州区寒溪寺水库扩建工程环境影响报告书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F1B9D"/>
    <w:multiLevelType w:val="singleLevel"/>
    <w:tmpl w:val="83DF1B9D"/>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1">
    <w:nsid w:val="4ECECA45"/>
    <w:multiLevelType w:val="singleLevel"/>
    <w:tmpl w:val="4ECECA45"/>
    <w:lvl w:ilvl="0" w:tentative="0">
      <w:start w:val="1"/>
      <w:numFmt w:val="decimal"/>
      <w:suff w:val="nothing"/>
      <w:lvlText w:val="%1、"/>
      <w:lvlJc w:val="left"/>
      <w:pPr>
        <w:ind w:left="-315"/>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cumentProtection w:enforcement="0"/>
  <w:defaultTabStop w:val="420"/>
  <w:drawingGridHorizontalSpacing w:val="120"/>
  <w:drawingGridVerticalSpacing w:val="163"/>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0M2VlMzAxNjhhMDgwMTE1ZTIwYWRmZTA4ZTFhMDEifQ=="/>
  </w:docVars>
  <w:rsids>
    <w:rsidRoot w:val="6DD2611F"/>
    <w:rsid w:val="00013CB5"/>
    <w:rsid w:val="000140E9"/>
    <w:rsid w:val="00020E11"/>
    <w:rsid w:val="00024296"/>
    <w:rsid w:val="00024F6C"/>
    <w:rsid w:val="00031703"/>
    <w:rsid w:val="00034235"/>
    <w:rsid w:val="000342F7"/>
    <w:rsid w:val="00041FB6"/>
    <w:rsid w:val="000449D0"/>
    <w:rsid w:val="00046BB5"/>
    <w:rsid w:val="00050D47"/>
    <w:rsid w:val="00051B77"/>
    <w:rsid w:val="0005245E"/>
    <w:rsid w:val="000524AD"/>
    <w:rsid w:val="00053667"/>
    <w:rsid w:val="00055514"/>
    <w:rsid w:val="000560AE"/>
    <w:rsid w:val="00060160"/>
    <w:rsid w:val="00060316"/>
    <w:rsid w:val="000623AB"/>
    <w:rsid w:val="00063E2E"/>
    <w:rsid w:val="00063EB2"/>
    <w:rsid w:val="0007078A"/>
    <w:rsid w:val="00074DFA"/>
    <w:rsid w:val="00074EF8"/>
    <w:rsid w:val="00075D13"/>
    <w:rsid w:val="00077A59"/>
    <w:rsid w:val="000810DD"/>
    <w:rsid w:val="00081542"/>
    <w:rsid w:val="0008239D"/>
    <w:rsid w:val="000848EB"/>
    <w:rsid w:val="00086551"/>
    <w:rsid w:val="00087094"/>
    <w:rsid w:val="00091F90"/>
    <w:rsid w:val="0009477C"/>
    <w:rsid w:val="0009659E"/>
    <w:rsid w:val="00097114"/>
    <w:rsid w:val="000971DD"/>
    <w:rsid w:val="0009721E"/>
    <w:rsid w:val="000973D4"/>
    <w:rsid w:val="00097944"/>
    <w:rsid w:val="000A0ADD"/>
    <w:rsid w:val="000A18EF"/>
    <w:rsid w:val="000A246F"/>
    <w:rsid w:val="000A66EC"/>
    <w:rsid w:val="000B3960"/>
    <w:rsid w:val="000B677F"/>
    <w:rsid w:val="000B7744"/>
    <w:rsid w:val="000C3F2E"/>
    <w:rsid w:val="000C4FE6"/>
    <w:rsid w:val="000C593A"/>
    <w:rsid w:val="000C6A67"/>
    <w:rsid w:val="000D265A"/>
    <w:rsid w:val="000D27CA"/>
    <w:rsid w:val="000D2B7F"/>
    <w:rsid w:val="000D4D5F"/>
    <w:rsid w:val="000E2EDF"/>
    <w:rsid w:val="000E55A0"/>
    <w:rsid w:val="000E67B9"/>
    <w:rsid w:val="000F592E"/>
    <w:rsid w:val="000F6560"/>
    <w:rsid w:val="000F6D07"/>
    <w:rsid w:val="001052A3"/>
    <w:rsid w:val="00107EBE"/>
    <w:rsid w:val="001105AF"/>
    <w:rsid w:val="00111EB0"/>
    <w:rsid w:val="00112993"/>
    <w:rsid w:val="00114DC2"/>
    <w:rsid w:val="00117F1E"/>
    <w:rsid w:val="00120DC2"/>
    <w:rsid w:val="00121255"/>
    <w:rsid w:val="001224A0"/>
    <w:rsid w:val="001231E3"/>
    <w:rsid w:val="00125B52"/>
    <w:rsid w:val="00131E16"/>
    <w:rsid w:val="00133AC0"/>
    <w:rsid w:val="00134954"/>
    <w:rsid w:val="00141091"/>
    <w:rsid w:val="001421C1"/>
    <w:rsid w:val="00144098"/>
    <w:rsid w:val="0014453A"/>
    <w:rsid w:val="0014465F"/>
    <w:rsid w:val="00145B65"/>
    <w:rsid w:val="001467AA"/>
    <w:rsid w:val="00147E75"/>
    <w:rsid w:val="00150780"/>
    <w:rsid w:val="001512D2"/>
    <w:rsid w:val="001515F6"/>
    <w:rsid w:val="00151F3D"/>
    <w:rsid w:val="0015431E"/>
    <w:rsid w:val="0015572A"/>
    <w:rsid w:val="001564E4"/>
    <w:rsid w:val="001579E6"/>
    <w:rsid w:val="0016128E"/>
    <w:rsid w:val="00162516"/>
    <w:rsid w:val="001632F4"/>
    <w:rsid w:val="00166E10"/>
    <w:rsid w:val="001673C1"/>
    <w:rsid w:val="00170FAA"/>
    <w:rsid w:val="00174FBF"/>
    <w:rsid w:val="0017596A"/>
    <w:rsid w:val="00180CFA"/>
    <w:rsid w:val="001841FF"/>
    <w:rsid w:val="00184D7C"/>
    <w:rsid w:val="0018506C"/>
    <w:rsid w:val="001852FD"/>
    <w:rsid w:val="00185621"/>
    <w:rsid w:val="00185F05"/>
    <w:rsid w:val="0018695B"/>
    <w:rsid w:val="0019122D"/>
    <w:rsid w:val="0019510E"/>
    <w:rsid w:val="0019701D"/>
    <w:rsid w:val="001A465C"/>
    <w:rsid w:val="001A65CF"/>
    <w:rsid w:val="001B217E"/>
    <w:rsid w:val="001B472F"/>
    <w:rsid w:val="001B5038"/>
    <w:rsid w:val="001B7FC9"/>
    <w:rsid w:val="001C03AD"/>
    <w:rsid w:val="001C589F"/>
    <w:rsid w:val="001C6F55"/>
    <w:rsid w:val="001D15CF"/>
    <w:rsid w:val="001D3DB9"/>
    <w:rsid w:val="001D5990"/>
    <w:rsid w:val="001D74A1"/>
    <w:rsid w:val="001D75A1"/>
    <w:rsid w:val="001E3133"/>
    <w:rsid w:val="001E480F"/>
    <w:rsid w:val="001E54E9"/>
    <w:rsid w:val="001E5632"/>
    <w:rsid w:val="001F0E1D"/>
    <w:rsid w:val="001F2FCC"/>
    <w:rsid w:val="001F469F"/>
    <w:rsid w:val="001F6C9D"/>
    <w:rsid w:val="001F7304"/>
    <w:rsid w:val="001F774F"/>
    <w:rsid w:val="00203AB4"/>
    <w:rsid w:val="00204806"/>
    <w:rsid w:val="0020700C"/>
    <w:rsid w:val="00210F12"/>
    <w:rsid w:val="002271A5"/>
    <w:rsid w:val="00227B2F"/>
    <w:rsid w:val="00231434"/>
    <w:rsid w:val="002316BF"/>
    <w:rsid w:val="00232EC1"/>
    <w:rsid w:val="00234109"/>
    <w:rsid w:val="002379B8"/>
    <w:rsid w:val="00242D95"/>
    <w:rsid w:val="00243B4A"/>
    <w:rsid w:val="00246E34"/>
    <w:rsid w:val="00253EB5"/>
    <w:rsid w:val="00254319"/>
    <w:rsid w:val="002575D6"/>
    <w:rsid w:val="00257C45"/>
    <w:rsid w:val="00257E62"/>
    <w:rsid w:val="00260C42"/>
    <w:rsid w:val="00260E1E"/>
    <w:rsid w:val="00267EE4"/>
    <w:rsid w:val="00274B18"/>
    <w:rsid w:val="00275DE2"/>
    <w:rsid w:val="00277F70"/>
    <w:rsid w:val="002803C8"/>
    <w:rsid w:val="00281023"/>
    <w:rsid w:val="00281E3E"/>
    <w:rsid w:val="00285EDB"/>
    <w:rsid w:val="00292F08"/>
    <w:rsid w:val="002A1264"/>
    <w:rsid w:val="002A2B1C"/>
    <w:rsid w:val="002A3AFA"/>
    <w:rsid w:val="002A652D"/>
    <w:rsid w:val="002A7576"/>
    <w:rsid w:val="002B15BF"/>
    <w:rsid w:val="002B1FF1"/>
    <w:rsid w:val="002B5C0B"/>
    <w:rsid w:val="002B6394"/>
    <w:rsid w:val="002C06E7"/>
    <w:rsid w:val="002C1EB2"/>
    <w:rsid w:val="002C4B03"/>
    <w:rsid w:val="002C5367"/>
    <w:rsid w:val="002C5D80"/>
    <w:rsid w:val="002C7666"/>
    <w:rsid w:val="002D103C"/>
    <w:rsid w:val="002D73DB"/>
    <w:rsid w:val="002E09E3"/>
    <w:rsid w:val="002E0A7D"/>
    <w:rsid w:val="002E32B6"/>
    <w:rsid w:val="002E3807"/>
    <w:rsid w:val="002E637C"/>
    <w:rsid w:val="002E7ABC"/>
    <w:rsid w:val="002F0793"/>
    <w:rsid w:val="002F12B4"/>
    <w:rsid w:val="002F27B5"/>
    <w:rsid w:val="002F41CD"/>
    <w:rsid w:val="002F4E7F"/>
    <w:rsid w:val="002F6634"/>
    <w:rsid w:val="002F7475"/>
    <w:rsid w:val="002F7D53"/>
    <w:rsid w:val="003017A0"/>
    <w:rsid w:val="0030369F"/>
    <w:rsid w:val="003042EB"/>
    <w:rsid w:val="00314A4C"/>
    <w:rsid w:val="003204E4"/>
    <w:rsid w:val="003223CC"/>
    <w:rsid w:val="003267E0"/>
    <w:rsid w:val="00326830"/>
    <w:rsid w:val="00332568"/>
    <w:rsid w:val="00337835"/>
    <w:rsid w:val="00340438"/>
    <w:rsid w:val="00342C6B"/>
    <w:rsid w:val="00347956"/>
    <w:rsid w:val="00347F78"/>
    <w:rsid w:val="00350596"/>
    <w:rsid w:val="003542AB"/>
    <w:rsid w:val="00355C39"/>
    <w:rsid w:val="003615BB"/>
    <w:rsid w:val="00366A3D"/>
    <w:rsid w:val="003708F0"/>
    <w:rsid w:val="00373A67"/>
    <w:rsid w:val="0037620F"/>
    <w:rsid w:val="003808CA"/>
    <w:rsid w:val="00382A5B"/>
    <w:rsid w:val="00383380"/>
    <w:rsid w:val="00385E03"/>
    <w:rsid w:val="00386EB8"/>
    <w:rsid w:val="003872BE"/>
    <w:rsid w:val="003877DA"/>
    <w:rsid w:val="00390D5A"/>
    <w:rsid w:val="00392B0F"/>
    <w:rsid w:val="003947B3"/>
    <w:rsid w:val="00396012"/>
    <w:rsid w:val="00396EF5"/>
    <w:rsid w:val="003A16C9"/>
    <w:rsid w:val="003A21D7"/>
    <w:rsid w:val="003A2DA1"/>
    <w:rsid w:val="003A4627"/>
    <w:rsid w:val="003A5138"/>
    <w:rsid w:val="003A695B"/>
    <w:rsid w:val="003B0E55"/>
    <w:rsid w:val="003B3184"/>
    <w:rsid w:val="003B62B7"/>
    <w:rsid w:val="003C30B8"/>
    <w:rsid w:val="003C408D"/>
    <w:rsid w:val="003C4475"/>
    <w:rsid w:val="003C71C6"/>
    <w:rsid w:val="003D2631"/>
    <w:rsid w:val="003D41E2"/>
    <w:rsid w:val="003D4DCE"/>
    <w:rsid w:val="003D7790"/>
    <w:rsid w:val="003D7CF1"/>
    <w:rsid w:val="003E115C"/>
    <w:rsid w:val="003E4BDE"/>
    <w:rsid w:val="003E53EC"/>
    <w:rsid w:val="003E767F"/>
    <w:rsid w:val="003E769E"/>
    <w:rsid w:val="003F05D6"/>
    <w:rsid w:val="003F2132"/>
    <w:rsid w:val="003F22D8"/>
    <w:rsid w:val="003F3077"/>
    <w:rsid w:val="003F47A4"/>
    <w:rsid w:val="003F6AEE"/>
    <w:rsid w:val="003F6E19"/>
    <w:rsid w:val="003F7827"/>
    <w:rsid w:val="003F7831"/>
    <w:rsid w:val="004001A8"/>
    <w:rsid w:val="0040021C"/>
    <w:rsid w:val="0040080F"/>
    <w:rsid w:val="00400E8F"/>
    <w:rsid w:val="00401618"/>
    <w:rsid w:val="00402275"/>
    <w:rsid w:val="00406550"/>
    <w:rsid w:val="00406E45"/>
    <w:rsid w:val="00410F40"/>
    <w:rsid w:val="004111D7"/>
    <w:rsid w:val="004114A7"/>
    <w:rsid w:val="004127F0"/>
    <w:rsid w:val="004158E3"/>
    <w:rsid w:val="004207CA"/>
    <w:rsid w:val="004228B5"/>
    <w:rsid w:val="00424B54"/>
    <w:rsid w:val="00427C2C"/>
    <w:rsid w:val="00427E33"/>
    <w:rsid w:val="0043165E"/>
    <w:rsid w:val="00432A51"/>
    <w:rsid w:val="004340EE"/>
    <w:rsid w:val="00435407"/>
    <w:rsid w:val="004375E2"/>
    <w:rsid w:val="004410C8"/>
    <w:rsid w:val="004424B6"/>
    <w:rsid w:val="00444021"/>
    <w:rsid w:val="004477F2"/>
    <w:rsid w:val="00451352"/>
    <w:rsid w:val="004539F9"/>
    <w:rsid w:val="00457183"/>
    <w:rsid w:val="00461546"/>
    <w:rsid w:val="00461920"/>
    <w:rsid w:val="00461C6B"/>
    <w:rsid w:val="00463F30"/>
    <w:rsid w:val="00472C44"/>
    <w:rsid w:val="00473CC5"/>
    <w:rsid w:val="00477566"/>
    <w:rsid w:val="004775DB"/>
    <w:rsid w:val="00483B01"/>
    <w:rsid w:val="00487706"/>
    <w:rsid w:val="00490C79"/>
    <w:rsid w:val="00491C68"/>
    <w:rsid w:val="00494DDA"/>
    <w:rsid w:val="004A24AF"/>
    <w:rsid w:val="004B0026"/>
    <w:rsid w:val="004B0213"/>
    <w:rsid w:val="004B17E5"/>
    <w:rsid w:val="004B2FDF"/>
    <w:rsid w:val="004B3B7E"/>
    <w:rsid w:val="004B3E07"/>
    <w:rsid w:val="004B5810"/>
    <w:rsid w:val="004C3CAB"/>
    <w:rsid w:val="004D0FD6"/>
    <w:rsid w:val="004D4B5A"/>
    <w:rsid w:val="004E1716"/>
    <w:rsid w:val="004E1D3B"/>
    <w:rsid w:val="004E1DFA"/>
    <w:rsid w:val="004E1F1B"/>
    <w:rsid w:val="004E210A"/>
    <w:rsid w:val="004F0BEC"/>
    <w:rsid w:val="004F1894"/>
    <w:rsid w:val="004F2077"/>
    <w:rsid w:val="004F53AD"/>
    <w:rsid w:val="004F54B4"/>
    <w:rsid w:val="004F7DE8"/>
    <w:rsid w:val="0050093C"/>
    <w:rsid w:val="00501D6C"/>
    <w:rsid w:val="005134F9"/>
    <w:rsid w:val="005157D3"/>
    <w:rsid w:val="00516099"/>
    <w:rsid w:val="00517176"/>
    <w:rsid w:val="005176C3"/>
    <w:rsid w:val="005207D6"/>
    <w:rsid w:val="0052496B"/>
    <w:rsid w:val="00526633"/>
    <w:rsid w:val="00530243"/>
    <w:rsid w:val="00532B12"/>
    <w:rsid w:val="005338F4"/>
    <w:rsid w:val="00542B41"/>
    <w:rsid w:val="005434CF"/>
    <w:rsid w:val="005444D2"/>
    <w:rsid w:val="00550B3D"/>
    <w:rsid w:val="00553D39"/>
    <w:rsid w:val="00554D07"/>
    <w:rsid w:val="00556836"/>
    <w:rsid w:val="00561DBB"/>
    <w:rsid w:val="005629F2"/>
    <w:rsid w:val="0056576B"/>
    <w:rsid w:val="00565D20"/>
    <w:rsid w:val="00567B00"/>
    <w:rsid w:val="005717D9"/>
    <w:rsid w:val="00576DA3"/>
    <w:rsid w:val="00577523"/>
    <w:rsid w:val="005822DC"/>
    <w:rsid w:val="005826B1"/>
    <w:rsid w:val="0058421F"/>
    <w:rsid w:val="005842E8"/>
    <w:rsid w:val="00591A43"/>
    <w:rsid w:val="005925DF"/>
    <w:rsid w:val="00592699"/>
    <w:rsid w:val="00594288"/>
    <w:rsid w:val="0059496C"/>
    <w:rsid w:val="00597B74"/>
    <w:rsid w:val="005A52EF"/>
    <w:rsid w:val="005A59EF"/>
    <w:rsid w:val="005B03E1"/>
    <w:rsid w:val="005B1E38"/>
    <w:rsid w:val="005B32BE"/>
    <w:rsid w:val="005B6804"/>
    <w:rsid w:val="005B6860"/>
    <w:rsid w:val="005B765B"/>
    <w:rsid w:val="005C077A"/>
    <w:rsid w:val="005C442F"/>
    <w:rsid w:val="005D0490"/>
    <w:rsid w:val="005D2F9A"/>
    <w:rsid w:val="005D39EA"/>
    <w:rsid w:val="005D53C8"/>
    <w:rsid w:val="005E31FC"/>
    <w:rsid w:val="005E54A6"/>
    <w:rsid w:val="005F2DC0"/>
    <w:rsid w:val="005F30F8"/>
    <w:rsid w:val="005F3641"/>
    <w:rsid w:val="005F53FA"/>
    <w:rsid w:val="005F5DD0"/>
    <w:rsid w:val="005F642C"/>
    <w:rsid w:val="00605AD4"/>
    <w:rsid w:val="00610FA8"/>
    <w:rsid w:val="0061257D"/>
    <w:rsid w:val="0061367B"/>
    <w:rsid w:val="00615930"/>
    <w:rsid w:val="00615D69"/>
    <w:rsid w:val="006172DB"/>
    <w:rsid w:val="006179E5"/>
    <w:rsid w:val="00623C54"/>
    <w:rsid w:val="00624AF6"/>
    <w:rsid w:val="006253ED"/>
    <w:rsid w:val="00626AC9"/>
    <w:rsid w:val="00634E83"/>
    <w:rsid w:val="00635267"/>
    <w:rsid w:val="00642EEB"/>
    <w:rsid w:val="00642F16"/>
    <w:rsid w:val="00645F74"/>
    <w:rsid w:val="006513F2"/>
    <w:rsid w:val="006514A5"/>
    <w:rsid w:val="0065272B"/>
    <w:rsid w:val="00654157"/>
    <w:rsid w:val="006719E5"/>
    <w:rsid w:val="0067333B"/>
    <w:rsid w:val="00675BF0"/>
    <w:rsid w:val="00676BC6"/>
    <w:rsid w:val="00676C5D"/>
    <w:rsid w:val="006827D1"/>
    <w:rsid w:val="006868DC"/>
    <w:rsid w:val="006870A5"/>
    <w:rsid w:val="00694B85"/>
    <w:rsid w:val="006A1287"/>
    <w:rsid w:val="006A1E9D"/>
    <w:rsid w:val="006A3590"/>
    <w:rsid w:val="006A60E8"/>
    <w:rsid w:val="006B1BA8"/>
    <w:rsid w:val="006B2F39"/>
    <w:rsid w:val="006C107C"/>
    <w:rsid w:val="006C24CF"/>
    <w:rsid w:val="006D34C0"/>
    <w:rsid w:val="006D43D7"/>
    <w:rsid w:val="006E3B73"/>
    <w:rsid w:val="006E7AFF"/>
    <w:rsid w:val="006E7FE5"/>
    <w:rsid w:val="006F0C3D"/>
    <w:rsid w:val="006F2B9E"/>
    <w:rsid w:val="006F2F2E"/>
    <w:rsid w:val="006F315F"/>
    <w:rsid w:val="006F399B"/>
    <w:rsid w:val="006F3D79"/>
    <w:rsid w:val="006F737C"/>
    <w:rsid w:val="006F7C1B"/>
    <w:rsid w:val="0070055A"/>
    <w:rsid w:val="00703DCD"/>
    <w:rsid w:val="0070408C"/>
    <w:rsid w:val="00712444"/>
    <w:rsid w:val="007125B9"/>
    <w:rsid w:val="00712615"/>
    <w:rsid w:val="007130DE"/>
    <w:rsid w:val="007137FC"/>
    <w:rsid w:val="00714DAC"/>
    <w:rsid w:val="007235A4"/>
    <w:rsid w:val="00724588"/>
    <w:rsid w:val="00725471"/>
    <w:rsid w:val="007257E2"/>
    <w:rsid w:val="00727369"/>
    <w:rsid w:val="00727DC1"/>
    <w:rsid w:val="007310F6"/>
    <w:rsid w:val="007323BF"/>
    <w:rsid w:val="00735C14"/>
    <w:rsid w:val="007406BF"/>
    <w:rsid w:val="007410C4"/>
    <w:rsid w:val="007415D3"/>
    <w:rsid w:val="00741731"/>
    <w:rsid w:val="0074368F"/>
    <w:rsid w:val="00744740"/>
    <w:rsid w:val="0074786C"/>
    <w:rsid w:val="00750194"/>
    <w:rsid w:val="00755A1A"/>
    <w:rsid w:val="00760709"/>
    <w:rsid w:val="007612E9"/>
    <w:rsid w:val="00762B90"/>
    <w:rsid w:val="00763F1A"/>
    <w:rsid w:val="0076581D"/>
    <w:rsid w:val="00770D70"/>
    <w:rsid w:val="0077142B"/>
    <w:rsid w:val="00775611"/>
    <w:rsid w:val="00775F28"/>
    <w:rsid w:val="007774DE"/>
    <w:rsid w:val="007800AC"/>
    <w:rsid w:val="007806A0"/>
    <w:rsid w:val="00782F9B"/>
    <w:rsid w:val="007831F6"/>
    <w:rsid w:val="00784C97"/>
    <w:rsid w:val="00793353"/>
    <w:rsid w:val="00797663"/>
    <w:rsid w:val="007A2368"/>
    <w:rsid w:val="007A3C25"/>
    <w:rsid w:val="007A4EEF"/>
    <w:rsid w:val="007A5156"/>
    <w:rsid w:val="007B02C1"/>
    <w:rsid w:val="007B25BE"/>
    <w:rsid w:val="007B5084"/>
    <w:rsid w:val="007B6CFD"/>
    <w:rsid w:val="007C2D9B"/>
    <w:rsid w:val="007C440F"/>
    <w:rsid w:val="007D60D4"/>
    <w:rsid w:val="007E31F4"/>
    <w:rsid w:val="007F201F"/>
    <w:rsid w:val="007F34A9"/>
    <w:rsid w:val="008003E9"/>
    <w:rsid w:val="0080207E"/>
    <w:rsid w:val="0080445C"/>
    <w:rsid w:val="00806E50"/>
    <w:rsid w:val="0080798C"/>
    <w:rsid w:val="008100E2"/>
    <w:rsid w:val="00810855"/>
    <w:rsid w:val="00811198"/>
    <w:rsid w:val="00811E0D"/>
    <w:rsid w:val="00813ACA"/>
    <w:rsid w:val="00824C57"/>
    <w:rsid w:val="00826BE9"/>
    <w:rsid w:val="0082787D"/>
    <w:rsid w:val="00830F09"/>
    <w:rsid w:val="0083376E"/>
    <w:rsid w:val="00836DC9"/>
    <w:rsid w:val="008407EA"/>
    <w:rsid w:val="00843B99"/>
    <w:rsid w:val="00845CBE"/>
    <w:rsid w:val="00847189"/>
    <w:rsid w:val="0084743B"/>
    <w:rsid w:val="00850F2C"/>
    <w:rsid w:val="008517C2"/>
    <w:rsid w:val="00853BC7"/>
    <w:rsid w:val="00860DA5"/>
    <w:rsid w:val="00862139"/>
    <w:rsid w:val="0086494A"/>
    <w:rsid w:val="00865B7C"/>
    <w:rsid w:val="008700F3"/>
    <w:rsid w:val="00871485"/>
    <w:rsid w:val="00872F74"/>
    <w:rsid w:val="008767A9"/>
    <w:rsid w:val="00881CF1"/>
    <w:rsid w:val="00884D88"/>
    <w:rsid w:val="0089336A"/>
    <w:rsid w:val="00893428"/>
    <w:rsid w:val="0089383F"/>
    <w:rsid w:val="008A00BC"/>
    <w:rsid w:val="008A27F5"/>
    <w:rsid w:val="008A32A7"/>
    <w:rsid w:val="008A5CC5"/>
    <w:rsid w:val="008A6013"/>
    <w:rsid w:val="008A704C"/>
    <w:rsid w:val="008A74A5"/>
    <w:rsid w:val="008B1A83"/>
    <w:rsid w:val="008B5A9B"/>
    <w:rsid w:val="008B7FF7"/>
    <w:rsid w:val="008C51B6"/>
    <w:rsid w:val="008D4556"/>
    <w:rsid w:val="008E2E7A"/>
    <w:rsid w:val="008E7785"/>
    <w:rsid w:val="008F0268"/>
    <w:rsid w:val="008F2A24"/>
    <w:rsid w:val="008F78AC"/>
    <w:rsid w:val="008F7F59"/>
    <w:rsid w:val="00905F3B"/>
    <w:rsid w:val="0090718B"/>
    <w:rsid w:val="009112F3"/>
    <w:rsid w:val="00911A5A"/>
    <w:rsid w:val="00913D50"/>
    <w:rsid w:val="00914BFF"/>
    <w:rsid w:val="00916B87"/>
    <w:rsid w:val="00917F75"/>
    <w:rsid w:val="00922109"/>
    <w:rsid w:val="009276DD"/>
    <w:rsid w:val="00930D58"/>
    <w:rsid w:val="0093182A"/>
    <w:rsid w:val="00931D71"/>
    <w:rsid w:val="00933DEE"/>
    <w:rsid w:val="0093579A"/>
    <w:rsid w:val="00940C46"/>
    <w:rsid w:val="00945F5B"/>
    <w:rsid w:val="0094609F"/>
    <w:rsid w:val="009461D7"/>
    <w:rsid w:val="00951ECA"/>
    <w:rsid w:val="009529EF"/>
    <w:rsid w:val="00955022"/>
    <w:rsid w:val="00955B7F"/>
    <w:rsid w:val="00955E05"/>
    <w:rsid w:val="00956BEE"/>
    <w:rsid w:val="00961912"/>
    <w:rsid w:val="009656EE"/>
    <w:rsid w:val="00967A2A"/>
    <w:rsid w:val="00970635"/>
    <w:rsid w:val="009732B2"/>
    <w:rsid w:val="009739A4"/>
    <w:rsid w:val="00973E0B"/>
    <w:rsid w:val="009752A6"/>
    <w:rsid w:val="00975FA8"/>
    <w:rsid w:val="0097652F"/>
    <w:rsid w:val="009867D0"/>
    <w:rsid w:val="0099092C"/>
    <w:rsid w:val="00991FFE"/>
    <w:rsid w:val="00997560"/>
    <w:rsid w:val="009A0F18"/>
    <w:rsid w:val="009A34F4"/>
    <w:rsid w:val="009A5B4C"/>
    <w:rsid w:val="009A694A"/>
    <w:rsid w:val="009B040D"/>
    <w:rsid w:val="009B367C"/>
    <w:rsid w:val="009B5DF5"/>
    <w:rsid w:val="009B79F2"/>
    <w:rsid w:val="009C12BD"/>
    <w:rsid w:val="009C54F2"/>
    <w:rsid w:val="009C6F72"/>
    <w:rsid w:val="009D1B81"/>
    <w:rsid w:val="009D3A16"/>
    <w:rsid w:val="009D3D4B"/>
    <w:rsid w:val="009D4821"/>
    <w:rsid w:val="009E3273"/>
    <w:rsid w:val="009E37B3"/>
    <w:rsid w:val="009E5027"/>
    <w:rsid w:val="009E6594"/>
    <w:rsid w:val="009F0466"/>
    <w:rsid w:val="009F0876"/>
    <w:rsid w:val="009F0BA8"/>
    <w:rsid w:val="009F2517"/>
    <w:rsid w:val="009F364B"/>
    <w:rsid w:val="00A007C8"/>
    <w:rsid w:val="00A03BBB"/>
    <w:rsid w:val="00A05D87"/>
    <w:rsid w:val="00A142CD"/>
    <w:rsid w:val="00A2137C"/>
    <w:rsid w:val="00A24BF5"/>
    <w:rsid w:val="00A3348D"/>
    <w:rsid w:val="00A334E8"/>
    <w:rsid w:val="00A37349"/>
    <w:rsid w:val="00A41213"/>
    <w:rsid w:val="00A41E28"/>
    <w:rsid w:val="00A42005"/>
    <w:rsid w:val="00A42772"/>
    <w:rsid w:val="00A46D69"/>
    <w:rsid w:val="00A46E89"/>
    <w:rsid w:val="00A4731B"/>
    <w:rsid w:val="00A52170"/>
    <w:rsid w:val="00A62DD9"/>
    <w:rsid w:val="00A674D4"/>
    <w:rsid w:val="00A72F3C"/>
    <w:rsid w:val="00A735E9"/>
    <w:rsid w:val="00A73FA1"/>
    <w:rsid w:val="00A7432B"/>
    <w:rsid w:val="00A77387"/>
    <w:rsid w:val="00A8112A"/>
    <w:rsid w:val="00A854DB"/>
    <w:rsid w:val="00A90B99"/>
    <w:rsid w:val="00A9144E"/>
    <w:rsid w:val="00A93D3A"/>
    <w:rsid w:val="00A96491"/>
    <w:rsid w:val="00A96E24"/>
    <w:rsid w:val="00AA1112"/>
    <w:rsid w:val="00AA2FDD"/>
    <w:rsid w:val="00AA5165"/>
    <w:rsid w:val="00AB22AF"/>
    <w:rsid w:val="00AB287E"/>
    <w:rsid w:val="00AB4DD0"/>
    <w:rsid w:val="00AC27E6"/>
    <w:rsid w:val="00AC5E07"/>
    <w:rsid w:val="00AC6F10"/>
    <w:rsid w:val="00AC7180"/>
    <w:rsid w:val="00AD02CF"/>
    <w:rsid w:val="00AD101D"/>
    <w:rsid w:val="00AD120D"/>
    <w:rsid w:val="00AD158F"/>
    <w:rsid w:val="00AD3E5C"/>
    <w:rsid w:val="00AD4EC1"/>
    <w:rsid w:val="00AD50A6"/>
    <w:rsid w:val="00AE3AA7"/>
    <w:rsid w:val="00AE4D55"/>
    <w:rsid w:val="00AE590A"/>
    <w:rsid w:val="00AE5A0F"/>
    <w:rsid w:val="00AF178A"/>
    <w:rsid w:val="00AF1DA2"/>
    <w:rsid w:val="00AF3826"/>
    <w:rsid w:val="00AF70D2"/>
    <w:rsid w:val="00B00FCE"/>
    <w:rsid w:val="00B042F7"/>
    <w:rsid w:val="00B11FDF"/>
    <w:rsid w:val="00B12764"/>
    <w:rsid w:val="00B14114"/>
    <w:rsid w:val="00B15EE4"/>
    <w:rsid w:val="00B20FFF"/>
    <w:rsid w:val="00B2105B"/>
    <w:rsid w:val="00B21192"/>
    <w:rsid w:val="00B21B1C"/>
    <w:rsid w:val="00B23DEB"/>
    <w:rsid w:val="00B26AC2"/>
    <w:rsid w:val="00B271E0"/>
    <w:rsid w:val="00B27641"/>
    <w:rsid w:val="00B27960"/>
    <w:rsid w:val="00B3040E"/>
    <w:rsid w:val="00B31133"/>
    <w:rsid w:val="00B37F27"/>
    <w:rsid w:val="00B40D1C"/>
    <w:rsid w:val="00B42A47"/>
    <w:rsid w:val="00B438AC"/>
    <w:rsid w:val="00B43903"/>
    <w:rsid w:val="00B45568"/>
    <w:rsid w:val="00B4556A"/>
    <w:rsid w:val="00B52292"/>
    <w:rsid w:val="00B52B5E"/>
    <w:rsid w:val="00B53512"/>
    <w:rsid w:val="00B55216"/>
    <w:rsid w:val="00B60F4A"/>
    <w:rsid w:val="00B61342"/>
    <w:rsid w:val="00B61C06"/>
    <w:rsid w:val="00B62540"/>
    <w:rsid w:val="00B62E7F"/>
    <w:rsid w:val="00B63FB5"/>
    <w:rsid w:val="00B700BC"/>
    <w:rsid w:val="00B76705"/>
    <w:rsid w:val="00B82FE7"/>
    <w:rsid w:val="00B83B7C"/>
    <w:rsid w:val="00B847CA"/>
    <w:rsid w:val="00B849E7"/>
    <w:rsid w:val="00B90455"/>
    <w:rsid w:val="00B905CE"/>
    <w:rsid w:val="00B9370D"/>
    <w:rsid w:val="00B94C64"/>
    <w:rsid w:val="00B95324"/>
    <w:rsid w:val="00B979F9"/>
    <w:rsid w:val="00B97CDC"/>
    <w:rsid w:val="00BA1F89"/>
    <w:rsid w:val="00BA2912"/>
    <w:rsid w:val="00BA470E"/>
    <w:rsid w:val="00BB0077"/>
    <w:rsid w:val="00BB32A6"/>
    <w:rsid w:val="00BB3C35"/>
    <w:rsid w:val="00BB4907"/>
    <w:rsid w:val="00BB6739"/>
    <w:rsid w:val="00BC00B2"/>
    <w:rsid w:val="00BC3978"/>
    <w:rsid w:val="00BC6EEF"/>
    <w:rsid w:val="00BD1021"/>
    <w:rsid w:val="00BD18D8"/>
    <w:rsid w:val="00BD485A"/>
    <w:rsid w:val="00BD4AAF"/>
    <w:rsid w:val="00BD6F03"/>
    <w:rsid w:val="00BD76F2"/>
    <w:rsid w:val="00BE320D"/>
    <w:rsid w:val="00BF4506"/>
    <w:rsid w:val="00BF53C2"/>
    <w:rsid w:val="00BF5473"/>
    <w:rsid w:val="00BF57D1"/>
    <w:rsid w:val="00BF743E"/>
    <w:rsid w:val="00C033DE"/>
    <w:rsid w:val="00C05E17"/>
    <w:rsid w:val="00C10F38"/>
    <w:rsid w:val="00C116FB"/>
    <w:rsid w:val="00C11ABE"/>
    <w:rsid w:val="00C13B87"/>
    <w:rsid w:val="00C142A9"/>
    <w:rsid w:val="00C161B1"/>
    <w:rsid w:val="00C20900"/>
    <w:rsid w:val="00C238D7"/>
    <w:rsid w:val="00C25A99"/>
    <w:rsid w:val="00C26BD4"/>
    <w:rsid w:val="00C30F40"/>
    <w:rsid w:val="00C365CE"/>
    <w:rsid w:val="00C377E8"/>
    <w:rsid w:val="00C40C77"/>
    <w:rsid w:val="00C44395"/>
    <w:rsid w:val="00C54DE2"/>
    <w:rsid w:val="00C556E4"/>
    <w:rsid w:val="00C64DB0"/>
    <w:rsid w:val="00C65CC0"/>
    <w:rsid w:val="00C67B40"/>
    <w:rsid w:val="00C711DD"/>
    <w:rsid w:val="00C73C33"/>
    <w:rsid w:val="00C762DE"/>
    <w:rsid w:val="00C77ECF"/>
    <w:rsid w:val="00C8228B"/>
    <w:rsid w:val="00C8680E"/>
    <w:rsid w:val="00C913B9"/>
    <w:rsid w:val="00C93D97"/>
    <w:rsid w:val="00C96785"/>
    <w:rsid w:val="00CA004A"/>
    <w:rsid w:val="00CA069E"/>
    <w:rsid w:val="00CA293D"/>
    <w:rsid w:val="00CA5935"/>
    <w:rsid w:val="00CA5C8D"/>
    <w:rsid w:val="00CB00F3"/>
    <w:rsid w:val="00CB0460"/>
    <w:rsid w:val="00CB4769"/>
    <w:rsid w:val="00CB4D11"/>
    <w:rsid w:val="00CC0158"/>
    <w:rsid w:val="00CC5687"/>
    <w:rsid w:val="00CD34AA"/>
    <w:rsid w:val="00CD39BC"/>
    <w:rsid w:val="00CD4753"/>
    <w:rsid w:val="00CD4C40"/>
    <w:rsid w:val="00CD7820"/>
    <w:rsid w:val="00CE23C7"/>
    <w:rsid w:val="00CE2A5F"/>
    <w:rsid w:val="00CE4925"/>
    <w:rsid w:val="00CE5D38"/>
    <w:rsid w:val="00CF4E8B"/>
    <w:rsid w:val="00CF68DE"/>
    <w:rsid w:val="00CF7464"/>
    <w:rsid w:val="00D0007E"/>
    <w:rsid w:val="00D0094A"/>
    <w:rsid w:val="00D02EFF"/>
    <w:rsid w:val="00D05593"/>
    <w:rsid w:val="00D06E19"/>
    <w:rsid w:val="00D10EE7"/>
    <w:rsid w:val="00D1246D"/>
    <w:rsid w:val="00D17491"/>
    <w:rsid w:val="00D22181"/>
    <w:rsid w:val="00D23D50"/>
    <w:rsid w:val="00D240EE"/>
    <w:rsid w:val="00D27205"/>
    <w:rsid w:val="00D312DE"/>
    <w:rsid w:val="00D33CA0"/>
    <w:rsid w:val="00D34D88"/>
    <w:rsid w:val="00D34E23"/>
    <w:rsid w:val="00D43773"/>
    <w:rsid w:val="00D437AE"/>
    <w:rsid w:val="00D44741"/>
    <w:rsid w:val="00D47F85"/>
    <w:rsid w:val="00D601A5"/>
    <w:rsid w:val="00D60AA8"/>
    <w:rsid w:val="00D7106F"/>
    <w:rsid w:val="00D7464F"/>
    <w:rsid w:val="00D74998"/>
    <w:rsid w:val="00D74FD3"/>
    <w:rsid w:val="00D766B4"/>
    <w:rsid w:val="00D813D6"/>
    <w:rsid w:val="00D82E17"/>
    <w:rsid w:val="00D86151"/>
    <w:rsid w:val="00D868E8"/>
    <w:rsid w:val="00D91659"/>
    <w:rsid w:val="00D939A2"/>
    <w:rsid w:val="00D94334"/>
    <w:rsid w:val="00DA2D5F"/>
    <w:rsid w:val="00DA5413"/>
    <w:rsid w:val="00DB04CC"/>
    <w:rsid w:val="00DB0C31"/>
    <w:rsid w:val="00DB1907"/>
    <w:rsid w:val="00DB3332"/>
    <w:rsid w:val="00DB4732"/>
    <w:rsid w:val="00DB5111"/>
    <w:rsid w:val="00DB7E64"/>
    <w:rsid w:val="00DC078B"/>
    <w:rsid w:val="00DC200F"/>
    <w:rsid w:val="00DC219F"/>
    <w:rsid w:val="00DC4649"/>
    <w:rsid w:val="00DC5BB7"/>
    <w:rsid w:val="00DD10F0"/>
    <w:rsid w:val="00DD4237"/>
    <w:rsid w:val="00DD7153"/>
    <w:rsid w:val="00DD7B45"/>
    <w:rsid w:val="00DD7BB6"/>
    <w:rsid w:val="00DE305D"/>
    <w:rsid w:val="00DE74D6"/>
    <w:rsid w:val="00DF185F"/>
    <w:rsid w:val="00DF44C6"/>
    <w:rsid w:val="00DF5163"/>
    <w:rsid w:val="00DF6F5B"/>
    <w:rsid w:val="00E00059"/>
    <w:rsid w:val="00E00879"/>
    <w:rsid w:val="00E03031"/>
    <w:rsid w:val="00E0313E"/>
    <w:rsid w:val="00E1019F"/>
    <w:rsid w:val="00E10648"/>
    <w:rsid w:val="00E10958"/>
    <w:rsid w:val="00E14CDB"/>
    <w:rsid w:val="00E25650"/>
    <w:rsid w:val="00E25AD3"/>
    <w:rsid w:val="00E3073F"/>
    <w:rsid w:val="00E35A88"/>
    <w:rsid w:val="00E3718C"/>
    <w:rsid w:val="00E372AD"/>
    <w:rsid w:val="00E4463F"/>
    <w:rsid w:val="00E46698"/>
    <w:rsid w:val="00E46BE8"/>
    <w:rsid w:val="00E46F3D"/>
    <w:rsid w:val="00E51706"/>
    <w:rsid w:val="00E53E89"/>
    <w:rsid w:val="00E540B5"/>
    <w:rsid w:val="00E56765"/>
    <w:rsid w:val="00E61898"/>
    <w:rsid w:val="00E64A26"/>
    <w:rsid w:val="00E65694"/>
    <w:rsid w:val="00E66C49"/>
    <w:rsid w:val="00E76B2F"/>
    <w:rsid w:val="00E808F7"/>
    <w:rsid w:val="00E814D4"/>
    <w:rsid w:val="00E83ED5"/>
    <w:rsid w:val="00E87CF9"/>
    <w:rsid w:val="00E9043D"/>
    <w:rsid w:val="00E91E7C"/>
    <w:rsid w:val="00E93582"/>
    <w:rsid w:val="00E94D5A"/>
    <w:rsid w:val="00E955A2"/>
    <w:rsid w:val="00E97385"/>
    <w:rsid w:val="00EA04AD"/>
    <w:rsid w:val="00EA27A7"/>
    <w:rsid w:val="00EA3FB7"/>
    <w:rsid w:val="00EA427E"/>
    <w:rsid w:val="00EA4E5E"/>
    <w:rsid w:val="00EA62D4"/>
    <w:rsid w:val="00EA7E27"/>
    <w:rsid w:val="00EB091F"/>
    <w:rsid w:val="00EB0D66"/>
    <w:rsid w:val="00EB2EE4"/>
    <w:rsid w:val="00EB3D4F"/>
    <w:rsid w:val="00EB468A"/>
    <w:rsid w:val="00EC008B"/>
    <w:rsid w:val="00ED0997"/>
    <w:rsid w:val="00ED30D6"/>
    <w:rsid w:val="00EE074F"/>
    <w:rsid w:val="00EE0F97"/>
    <w:rsid w:val="00EF0A66"/>
    <w:rsid w:val="00EF11D5"/>
    <w:rsid w:val="00EF1584"/>
    <w:rsid w:val="00EF208D"/>
    <w:rsid w:val="00EF2189"/>
    <w:rsid w:val="00EF23B7"/>
    <w:rsid w:val="00EF2DF0"/>
    <w:rsid w:val="00EF5695"/>
    <w:rsid w:val="00EF7312"/>
    <w:rsid w:val="00F014AF"/>
    <w:rsid w:val="00F01B82"/>
    <w:rsid w:val="00F029D5"/>
    <w:rsid w:val="00F03100"/>
    <w:rsid w:val="00F03478"/>
    <w:rsid w:val="00F06452"/>
    <w:rsid w:val="00F06638"/>
    <w:rsid w:val="00F079BE"/>
    <w:rsid w:val="00F15102"/>
    <w:rsid w:val="00F20DE3"/>
    <w:rsid w:val="00F210E5"/>
    <w:rsid w:val="00F21182"/>
    <w:rsid w:val="00F220B4"/>
    <w:rsid w:val="00F228CB"/>
    <w:rsid w:val="00F22D48"/>
    <w:rsid w:val="00F2439A"/>
    <w:rsid w:val="00F244F6"/>
    <w:rsid w:val="00F2527F"/>
    <w:rsid w:val="00F277A9"/>
    <w:rsid w:val="00F3032E"/>
    <w:rsid w:val="00F354D7"/>
    <w:rsid w:val="00F40447"/>
    <w:rsid w:val="00F40B91"/>
    <w:rsid w:val="00F41E65"/>
    <w:rsid w:val="00F41EB4"/>
    <w:rsid w:val="00F44DD4"/>
    <w:rsid w:val="00F45133"/>
    <w:rsid w:val="00F51DBA"/>
    <w:rsid w:val="00F526F1"/>
    <w:rsid w:val="00F5496B"/>
    <w:rsid w:val="00F5509E"/>
    <w:rsid w:val="00F6014F"/>
    <w:rsid w:val="00F63C7A"/>
    <w:rsid w:val="00F655E9"/>
    <w:rsid w:val="00F66745"/>
    <w:rsid w:val="00F67576"/>
    <w:rsid w:val="00F677E2"/>
    <w:rsid w:val="00F72E1A"/>
    <w:rsid w:val="00F74E52"/>
    <w:rsid w:val="00F80F04"/>
    <w:rsid w:val="00F8167C"/>
    <w:rsid w:val="00F83875"/>
    <w:rsid w:val="00F92B42"/>
    <w:rsid w:val="00F93EDA"/>
    <w:rsid w:val="00F95CF5"/>
    <w:rsid w:val="00F96E62"/>
    <w:rsid w:val="00F975C9"/>
    <w:rsid w:val="00FA1321"/>
    <w:rsid w:val="00FA30B4"/>
    <w:rsid w:val="00FB1467"/>
    <w:rsid w:val="00FB303A"/>
    <w:rsid w:val="00FB45DD"/>
    <w:rsid w:val="00FB5979"/>
    <w:rsid w:val="00FB5F87"/>
    <w:rsid w:val="00FD27F0"/>
    <w:rsid w:val="00FD57C2"/>
    <w:rsid w:val="00FD6799"/>
    <w:rsid w:val="00FD6FB4"/>
    <w:rsid w:val="00FD7504"/>
    <w:rsid w:val="00FD7A42"/>
    <w:rsid w:val="00FE4227"/>
    <w:rsid w:val="00FE4490"/>
    <w:rsid w:val="00FF1A3A"/>
    <w:rsid w:val="01041BF5"/>
    <w:rsid w:val="02512D27"/>
    <w:rsid w:val="02A52D67"/>
    <w:rsid w:val="02B32502"/>
    <w:rsid w:val="03BB7314"/>
    <w:rsid w:val="054B6606"/>
    <w:rsid w:val="09600A35"/>
    <w:rsid w:val="0A643D43"/>
    <w:rsid w:val="0B616A83"/>
    <w:rsid w:val="0D051E9D"/>
    <w:rsid w:val="0EA87EFB"/>
    <w:rsid w:val="0ED62150"/>
    <w:rsid w:val="1074577C"/>
    <w:rsid w:val="11186A50"/>
    <w:rsid w:val="12F04EC3"/>
    <w:rsid w:val="13165C04"/>
    <w:rsid w:val="135D7869"/>
    <w:rsid w:val="13CA4ADE"/>
    <w:rsid w:val="15FC6C61"/>
    <w:rsid w:val="166D5C37"/>
    <w:rsid w:val="18A01079"/>
    <w:rsid w:val="18DE6E3C"/>
    <w:rsid w:val="1A9832D4"/>
    <w:rsid w:val="1B2F4DEC"/>
    <w:rsid w:val="1B7E7B1D"/>
    <w:rsid w:val="1BA66075"/>
    <w:rsid w:val="1BB3508F"/>
    <w:rsid w:val="1D5C4168"/>
    <w:rsid w:val="201977B2"/>
    <w:rsid w:val="20D93F85"/>
    <w:rsid w:val="210A3A98"/>
    <w:rsid w:val="21ED4759"/>
    <w:rsid w:val="263251E4"/>
    <w:rsid w:val="29AB66D1"/>
    <w:rsid w:val="2A0E3E92"/>
    <w:rsid w:val="2B7F2A03"/>
    <w:rsid w:val="2C036AF1"/>
    <w:rsid w:val="2EF83593"/>
    <w:rsid w:val="32274465"/>
    <w:rsid w:val="3254180F"/>
    <w:rsid w:val="3316226B"/>
    <w:rsid w:val="3459700D"/>
    <w:rsid w:val="363F1316"/>
    <w:rsid w:val="37085B0E"/>
    <w:rsid w:val="3AAC1B84"/>
    <w:rsid w:val="3C95765B"/>
    <w:rsid w:val="3CDC19BF"/>
    <w:rsid w:val="3CE82ECA"/>
    <w:rsid w:val="3EE04C35"/>
    <w:rsid w:val="3FB31EC1"/>
    <w:rsid w:val="40125D18"/>
    <w:rsid w:val="428F1872"/>
    <w:rsid w:val="434E0EE9"/>
    <w:rsid w:val="4383680D"/>
    <w:rsid w:val="44A659F8"/>
    <w:rsid w:val="45B6130F"/>
    <w:rsid w:val="46171F31"/>
    <w:rsid w:val="471A7BC0"/>
    <w:rsid w:val="47D40A59"/>
    <w:rsid w:val="4A111A77"/>
    <w:rsid w:val="4A37282C"/>
    <w:rsid w:val="4B7E4279"/>
    <w:rsid w:val="4BF02DC5"/>
    <w:rsid w:val="4C150EE4"/>
    <w:rsid w:val="50B03D90"/>
    <w:rsid w:val="53F30EF6"/>
    <w:rsid w:val="553D36FC"/>
    <w:rsid w:val="564045BE"/>
    <w:rsid w:val="56962603"/>
    <w:rsid w:val="577725A7"/>
    <w:rsid w:val="588270DD"/>
    <w:rsid w:val="59341267"/>
    <w:rsid w:val="5AA1777D"/>
    <w:rsid w:val="5DB26972"/>
    <w:rsid w:val="5DD86ABE"/>
    <w:rsid w:val="60501AF1"/>
    <w:rsid w:val="618E5F52"/>
    <w:rsid w:val="62C465A7"/>
    <w:rsid w:val="63473BF7"/>
    <w:rsid w:val="64032214"/>
    <w:rsid w:val="64AB0412"/>
    <w:rsid w:val="64DE6A31"/>
    <w:rsid w:val="653862FA"/>
    <w:rsid w:val="666A02E9"/>
    <w:rsid w:val="669F48E0"/>
    <w:rsid w:val="67695AC1"/>
    <w:rsid w:val="679C614E"/>
    <w:rsid w:val="67B21268"/>
    <w:rsid w:val="692F5C73"/>
    <w:rsid w:val="6A7A2AF3"/>
    <w:rsid w:val="6AC3768D"/>
    <w:rsid w:val="6B24745C"/>
    <w:rsid w:val="6BD7544B"/>
    <w:rsid w:val="6DD2611F"/>
    <w:rsid w:val="6F7A0B05"/>
    <w:rsid w:val="706E7D99"/>
    <w:rsid w:val="70B0555B"/>
    <w:rsid w:val="70E7649F"/>
    <w:rsid w:val="734A6C88"/>
    <w:rsid w:val="77033CA5"/>
    <w:rsid w:val="77DE49B7"/>
    <w:rsid w:val="78B83176"/>
    <w:rsid w:val="793F1FB8"/>
    <w:rsid w:val="794B0F6F"/>
    <w:rsid w:val="79D34923"/>
    <w:rsid w:val="7A1F0FD2"/>
    <w:rsid w:val="7D086611"/>
    <w:rsid w:val="7E3A2A66"/>
    <w:rsid w:val="7F656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nhideWhenUsed="0" w:uiPriority="0" w:semiHidden="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qFormat="1" w:unhideWhenUsed="0" w:uiPriority="99"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6"/>
    <w:qFormat/>
    <w:uiPriority w:val="9"/>
    <w:pPr>
      <w:keepNext/>
      <w:keepLines/>
      <w:jc w:val="center"/>
      <w:outlineLvl w:val="0"/>
    </w:pPr>
    <w:rPr>
      <w:rFonts w:ascii="Calibri" w:hAnsi="Calibri"/>
      <w:b/>
      <w:kern w:val="44"/>
      <w:sz w:val="44"/>
    </w:rPr>
  </w:style>
  <w:style w:type="paragraph" w:styleId="4">
    <w:name w:val="heading 2"/>
    <w:basedOn w:val="1"/>
    <w:next w:val="1"/>
    <w:link w:val="47"/>
    <w:qFormat/>
    <w:uiPriority w:val="9"/>
    <w:pPr>
      <w:keepNext/>
      <w:keepLines/>
      <w:outlineLvl w:val="1"/>
    </w:pPr>
    <w:rPr>
      <w:b/>
      <w:sz w:val="32"/>
    </w:rPr>
  </w:style>
  <w:style w:type="paragraph" w:styleId="5">
    <w:name w:val="heading 3"/>
    <w:basedOn w:val="1"/>
    <w:next w:val="1"/>
    <w:link w:val="48"/>
    <w:qFormat/>
    <w:uiPriority w:val="9"/>
    <w:pPr>
      <w:keepNext/>
      <w:keepLines/>
      <w:outlineLvl w:val="2"/>
    </w:pPr>
    <w:rPr>
      <w:rFonts w:ascii="Calibri" w:hAnsi="Calibri"/>
      <w:b/>
      <w:sz w:val="28"/>
    </w:rPr>
  </w:style>
  <w:style w:type="paragraph" w:styleId="6">
    <w:name w:val="heading 4"/>
    <w:basedOn w:val="1"/>
    <w:next w:val="1"/>
    <w:link w:val="49"/>
    <w:qFormat/>
    <w:uiPriority w:val="9"/>
    <w:pPr>
      <w:keepNext/>
      <w:keepLines/>
      <w:spacing w:before="280" w:after="290" w:line="376" w:lineRule="auto"/>
      <w:outlineLvl w:val="3"/>
    </w:pPr>
    <w:rPr>
      <w:rFonts w:ascii="Cambria" w:hAnsi="Cambria"/>
      <w:b/>
      <w:bCs/>
      <w:sz w:val="28"/>
      <w:szCs w:val="28"/>
    </w:rPr>
  </w:style>
  <w:style w:type="paragraph" w:styleId="7">
    <w:name w:val="heading 6"/>
    <w:basedOn w:val="1"/>
    <w:next w:val="1"/>
    <w:link w:val="50"/>
    <w:qFormat/>
    <w:uiPriority w:val="0"/>
    <w:pPr>
      <w:keepNext/>
      <w:keepLines/>
      <w:spacing w:before="240" w:after="64" w:line="320" w:lineRule="auto"/>
      <w:outlineLvl w:val="5"/>
    </w:pPr>
    <w:rPr>
      <w:rFonts w:ascii="Calibri Light" w:hAnsi="Calibri Light"/>
      <w:b/>
      <w:bCs/>
    </w:rPr>
  </w:style>
  <w:style w:type="paragraph" w:styleId="8">
    <w:name w:val="heading 9"/>
    <w:basedOn w:val="1"/>
    <w:next w:val="1"/>
    <w:link w:val="51"/>
    <w:qFormat/>
    <w:uiPriority w:val="0"/>
    <w:pPr>
      <w:keepNext/>
      <w:keepLines/>
      <w:spacing w:before="240" w:after="64" w:line="320" w:lineRule="auto"/>
      <w:outlineLvl w:val="8"/>
    </w:pPr>
    <w:rPr>
      <w:rFonts w:ascii="Calibri Light" w:hAnsi="Calibri Light"/>
      <w:sz w:val="21"/>
      <w:szCs w:val="21"/>
    </w:rPr>
  </w:style>
  <w:style w:type="character" w:default="1" w:styleId="40">
    <w:name w:val="Default Paragraph Font"/>
    <w:unhideWhenUsed/>
    <w:uiPriority w:val="1"/>
  </w:style>
  <w:style w:type="table" w:default="1" w:styleId="38">
    <w:name w:val="Normal Table"/>
    <w:unhideWhenUsed/>
    <w:qFormat/>
    <w:uiPriority w:val="99"/>
    <w:tblPr>
      <w:tblCellMar>
        <w:top w:w="0" w:type="dxa"/>
        <w:left w:w="108" w:type="dxa"/>
        <w:bottom w:w="0" w:type="dxa"/>
        <w:right w:w="108" w:type="dxa"/>
      </w:tblCellMar>
    </w:tblPr>
  </w:style>
  <w:style w:type="paragraph" w:styleId="2">
    <w:name w:val="Body Text"/>
    <w:basedOn w:val="1"/>
    <w:link w:val="45"/>
    <w:qFormat/>
    <w:uiPriority w:val="0"/>
    <w:pPr>
      <w:spacing w:before="135"/>
      <w:ind w:left="138"/>
    </w:pPr>
    <w:rPr>
      <w:rFonts w:ascii="宋体" w:hAnsi="宋体"/>
    </w:rPr>
  </w:style>
  <w:style w:type="paragraph" w:styleId="9">
    <w:name w:val="toc 7"/>
    <w:basedOn w:val="1"/>
    <w:next w:val="1"/>
    <w:unhideWhenUsed/>
    <w:qFormat/>
    <w:uiPriority w:val="39"/>
    <w:pPr>
      <w:spacing w:line="240" w:lineRule="auto"/>
      <w:ind w:left="2520" w:leftChars="1200" w:firstLine="0" w:firstLineChars="0"/>
    </w:pPr>
    <w:rPr>
      <w:rFonts w:ascii="Calibri" w:hAnsi="Calibri"/>
      <w:sz w:val="21"/>
      <w:szCs w:val="22"/>
    </w:rPr>
  </w:style>
  <w:style w:type="paragraph" w:styleId="10">
    <w:name w:val="Normal Indent"/>
    <w:basedOn w:val="1"/>
    <w:link w:val="52"/>
    <w:unhideWhenUsed/>
    <w:qFormat/>
    <w:uiPriority w:val="0"/>
    <w:pPr>
      <w:ind w:firstLine="420"/>
    </w:pPr>
  </w:style>
  <w:style w:type="paragraph" w:styleId="11">
    <w:name w:val="caption"/>
    <w:basedOn w:val="1"/>
    <w:next w:val="1"/>
    <w:qFormat/>
    <w:uiPriority w:val="0"/>
    <w:pPr>
      <w:spacing w:line="240" w:lineRule="auto"/>
      <w:ind w:firstLine="0" w:firstLineChars="0"/>
      <w:jc w:val="center"/>
    </w:pPr>
    <w:rPr>
      <w:rFonts w:ascii="Arial" w:hAnsi="Arial" w:cs="Arial"/>
      <w:b/>
      <w:kern w:val="0"/>
      <w:sz w:val="21"/>
      <w:szCs w:val="20"/>
    </w:rPr>
  </w:style>
  <w:style w:type="paragraph" w:styleId="12">
    <w:name w:val="Document Map"/>
    <w:basedOn w:val="1"/>
    <w:link w:val="53"/>
    <w:qFormat/>
    <w:uiPriority w:val="99"/>
    <w:rPr>
      <w:rFonts w:ascii="宋体"/>
      <w:sz w:val="18"/>
      <w:szCs w:val="18"/>
    </w:rPr>
  </w:style>
  <w:style w:type="paragraph" w:styleId="13">
    <w:name w:val="toa heading"/>
    <w:basedOn w:val="1"/>
    <w:next w:val="1"/>
    <w:qFormat/>
    <w:uiPriority w:val="99"/>
    <w:pPr>
      <w:spacing w:before="120" w:line="240" w:lineRule="auto"/>
      <w:ind w:firstLine="0" w:firstLineChars="0"/>
    </w:pPr>
    <w:rPr>
      <w:rFonts w:ascii="Arial" w:hAnsi="Arial" w:cs="Arial"/>
    </w:rPr>
  </w:style>
  <w:style w:type="paragraph" w:styleId="14">
    <w:name w:val="annotation text"/>
    <w:basedOn w:val="1"/>
    <w:link w:val="54"/>
    <w:qFormat/>
    <w:uiPriority w:val="0"/>
    <w:pPr>
      <w:jc w:val="left"/>
    </w:pPr>
  </w:style>
  <w:style w:type="paragraph" w:styleId="15">
    <w:name w:val="Body Text Indent"/>
    <w:basedOn w:val="1"/>
    <w:qFormat/>
    <w:uiPriority w:val="0"/>
    <w:pPr>
      <w:spacing w:after="120"/>
      <w:ind w:left="420" w:leftChars="200" w:firstLine="200"/>
    </w:pPr>
    <w:rPr>
      <w:sz w:val="21"/>
    </w:rPr>
  </w:style>
  <w:style w:type="paragraph" w:styleId="16">
    <w:name w:val="Block Text"/>
    <w:basedOn w:val="1"/>
    <w:qFormat/>
    <w:uiPriority w:val="0"/>
    <w:pPr>
      <w:spacing w:before="120" w:line="320" w:lineRule="exact"/>
      <w:ind w:left="178" w:leftChars="85" w:right="122" w:rightChars="58" w:firstLine="0" w:firstLineChars="0"/>
    </w:pPr>
    <w:rPr>
      <w:rFonts w:ascii="Calibri" w:hAnsi="Calibri"/>
      <w:sz w:val="21"/>
      <w:szCs w:val="21"/>
    </w:rPr>
  </w:style>
  <w:style w:type="paragraph" w:styleId="17">
    <w:name w:val="toc 5"/>
    <w:basedOn w:val="1"/>
    <w:next w:val="1"/>
    <w:unhideWhenUsed/>
    <w:qFormat/>
    <w:uiPriority w:val="39"/>
    <w:pPr>
      <w:spacing w:line="240" w:lineRule="auto"/>
      <w:ind w:left="1680" w:leftChars="800" w:firstLine="0" w:firstLineChars="0"/>
    </w:pPr>
    <w:rPr>
      <w:rFonts w:ascii="Calibri" w:hAnsi="Calibri"/>
      <w:sz w:val="21"/>
      <w:szCs w:val="22"/>
    </w:rPr>
  </w:style>
  <w:style w:type="paragraph" w:styleId="18">
    <w:name w:val="toc 3"/>
    <w:basedOn w:val="1"/>
    <w:next w:val="1"/>
    <w:unhideWhenUsed/>
    <w:qFormat/>
    <w:uiPriority w:val="39"/>
    <w:pPr>
      <w:spacing w:line="240" w:lineRule="auto"/>
      <w:ind w:left="840" w:leftChars="400" w:firstLine="0" w:firstLineChars="0"/>
    </w:pPr>
    <w:rPr>
      <w:rFonts w:ascii="Calibri" w:hAnsi="Calibri"/>
      <w:sz w:val="21"/>
      <w:szCs w:val="22"/>
    </w:rPr>
  </w:style>
  <w:style w:type="paragraph" w:styleId="19">
    <w:name w:val="Plain Text"/>
    <w:basedOn w:val="1"/>
    <w:link w:val="55"/>
    <w:qFormat/>
    <w:uiPriority w:val="0"/>
    <w:pPr>
      <w:spacing w:line="240" w:lineRule="auto"/>
      <w:ind w:firstLine="0" w:firstLineChars="0"/>
      <w:jc w:val="center"/>
    </w:pPr>
    <w:rPr>
      <w:sz w:val="21"/>
      <w:szCs w:val="20"/>
    </w:rPr>
  </w:style>
  <w:style w:type="paragraph" w:styleId="20">
    <w:name w:val="List Bullet 5"/>
    <w:basedOn w:val="1"/>
    <w:qFormat/>
    <w:uiPriority w:val="0"/>
    <w:pPr>
      <w:numPr>
        <w:ilvl w:val="0"/>
        <w:numId w:val="1"/>
      </w:numPr>
      <w:spacing w:line="240" w:lineRule="auto"/>
      <w:ind w:firstLineChars="0"/>
    </w:pPr>
    <w:rPr>
      <w:rFonts w:ascii="Calibri" w:hAnsi="Calibri"/>
      <w:sz w:val="21"/>
    </w:rPr>
  </w:style>
  <w:style w:type="paragraph" w:styleId="21">
    <w:name w:val="toc 8"/>
    <w:basedOn w:val="1"/>
    <w:next w:val="1"/>
    <w:unhideWhenUsed/>
    <w:qFormat/>
    <w:uiPriority w:val="39"/>
    <w:pPr>
      <w:spacing w:line="240" w:lineRule="auto"/>
      <w:ind w:left="2940" w:leftChars="1400" w:firstLine="0" w:firstLineChars="0"/>
    </w:pPr>
    <w:rPr>
      <w:rFonts w:ascii="Calibri" w:hAnsi="Calibri"/>
      <w:sz w:val="21"/>
      <w:szCs w:val="22"/>
    </w:rPr>
  </w:style>
  <w:style w:type="paragraph" w:styleId="22">
    <w:name w:val="Date"/>
    <w:basedOn w:val="1"/>
    <w:next w:val="1"/>
    <w:link w:val="56"/>
    <w:qFormat/>
    <w:uiPriority w:val="0"/>
    <w:pPr>
      <w:ind w:left="100" w:leftChars="2500"/>
    </w:pPr>
  </w:style>
  <w:style w:type="paragraph" w:styleId="23">
    <w:name w:val="Body Text Indent 2"/>
    <w:basedOn w:val="1"/>
    <w:qFormat/>
    <w:uiPriority w:val="0"/>
    <w:pPr>
      <w:ind w:firstLine="549" w:firstLineChars="196"/>
    </w:pPr>
    <w:rPr>
      <w:rFonts w:eastAsia="新宋体"/>
      <w:color w:val="000000"/>
      <w:sz w:val="28"/>
      <w:szCs w:val="20"/>
    </w:rPr>
  </w:style>
  <w:style w:type="paragraph" w:styleId="24">
    <w:name w:val="Balloon Text"/>
    <w:basedOn w:val="1"/>
    <w:link w:val="57"/>
    <w:qFormat/>
    <w:uiPriority w:val="99"/>
    <w:pPr>
      <w:spacing w:line="240" w:lineRule="auto"/>
    </w:pPr>
    <w:rPr>
      <w:sz w:val="18"/>
      <w:szCs w:val="18"/>
    </w:rPr>
  </w:style>
  <w:style w:type="paragraph" w:styleId="25">
    <w:name w:val="footer"/>
    <w:basedOn w:val="1"/>
    <w:link w:val="58"/>
    <w:qFormat/>
    <w:uiPriority w:val="0"/>
    <w:pPr>
      <w:tabs>
        <w:tab w:val="center" w:pos="4153"/>
        <w:tab w:val="right" w:pos="8306"/>
      </w:tabs>
      <w:snapToGrid w:val="0"/>
      <w:jc w:val="left"/>
    </w:pPr>
    <w:rPr>
      <w:sz w:val="18"/>
    </w:rPr>
  </w:style>
  <w:style w:type="paragraph" w:styleId="26">
    <w:name w:val="header"/>
    <w:basedOn w:val="1"/>
    <w:link w:val="59"/>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unhideWhenUsed/>
    <w:qFormat/>
    <w:uiPriority w:val="39"/>
    <w:pPr>
      <w:spacing w:line="240" w:lineRule="auto"/>
      <w:ind w:left="1260" w:leftChars="600" w:firstLine="0" w:firstLineChars="0"/>
    </w:pPr>
    <w:rPr>
      <w:rFonts w:ascii="Calibri" w:hAnsi="Calibri"/>
      <w:sz w:val="21"/>
      <w:szCs w:val="22"/>
    </w:rPr>
  </w:style>
  <w:style w:type="paragraph" w:styleId="29">
    <w:name w:val="index heading"/>
    <w:basedOn w:val="1"/>
    <w:next w:val="30"/>
    <w:qFormat/>
    <w:uiPriority w:val="99"/>
    <w:pPr>
      <w:jc w:val="center"/>
    </w:pPr>
    <w:rPr>
      <w:rFonts w:eastAsia="黑体" w:cs="Arial"/>
      <w:bCs/>
    </w:rPr>
  </w:style>
  <w:style w:type="paragraph" w:styleId="30">
    <w:name w:val="index 1"/>
    <w:basedOn w:val="1"/>
    <w:next w:val="1"/>
    <w:semiHidden/>
    <w:qFormat/>
    <w:uiPriority w:val="99"/>
    <w:pPr>
      <w:tabs>
        <w:tab w:val="left" w:pos="5580"/>
      </w:tabs>
      <w:spacing w:line="280" w:lineRule="exact"/>
    </w:pPr>
    <w:rPr>
      <w:rFonts w:ascii="宋体" w:hAnsi="宋体" w:cs="宋体"/>
      <w:spacing w:val="10"/>
    </w:rPr>
  </w:style>
  <w:style w:type="paragraph" w:styleId="31">
    <w:name w:val="toc 6"/>
    <w:basedOn w:val="1"/>
    <w:next w:val="1"/>
    <w:unhideWhenUsed/>
    <w:qFormat/>
    <w:uiPriority w:val="39"/>
    <w:pPr>
      <w:spacing w:line="240" w:lineRule="auto"/>
      <w:ind w:left="2100" w:leftChars="1000" w:firstLine="0" w:firstLineChars="0"/>
    </w:pPr>
    <w:rPr>
      <w:rFonts w:ascii="Calibri" w:hAnsi="Calibri"/>
      <w:sz w:val="21"/>
      <w:szCs w:val="22"/>
    </w:rPr>
  </w:style>
  <w:style w:type="paragraph" w:styleId="32">
    <w:name w:val="table of figures"/>
    <w:basedOn w:val="1"/>
    <w:next w:val="1"/>
    <w:unhideWhenUsed/>
    <w:qFormat/>
    <w:uiPriority w:val="99"/>
    <w:pPr>
      <w:spacing w:line="240" w:lineRule="auto"/>
      <w:ind w:left="200" w:leftChars="200" w:hanging="200" w:hangingChars="200"/>
    </w:pPr>
    <w:rPr>
      <w:rFonts w:ascii="Calibri" w:hAnsi="Calibri"/>
      <w:sz w:val="21"/>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spacing w:line="240" w:lineRule="auto"/>
      <w:ind w:left="3360" w:leftChars="1600" w:firstLine="0" w:firstLineChars="0"/>
    </w:pPr>
    <w:rPr>
      <w:rFonts w:ascii="Calibri" w:hAnsi="Calibri"/>
      <w:sz w:val="21"/>
      <w:szCs w:val="22"/>
    </w:rPr>
  </w:style>
  <w:style w:type="paragraph" w:styleId="35">
    <w:name w:val="Normal (Web)"/>
    <w:basedOn w:val="1"/>
    <w:link w:val="60"/>
    <w:qFormat/>
    <w:uiPriority w:val="0"/>
    <w:pPr>
      <w:widowControl/>
      <w:spacing w:before="100" w:beforeAutospacing="1" w:after="100" w:afterAutospacing="1"/>
      <w:jc w:val="left"/>
    </w:pPr>
    <w:rPr>
      <w:rFonts w:ascii="宋体" w:hAnsi="宋体" w:cs="宋体"/>
      <w:kern w:val="0"/>
    </w:rPr>
  </w:style>
  <w:style w:type="paragraph" w:styleId="36">
    <w:name w:val="Title"/>
    <w:basedOn w:val="1"/>
    <w:next w:val="1"/>
    <w:link w:val="61"/>
    <w:qFormat/>
    <w:uiPriority w:val="10"/>
    <w:pPr>
      <w:spacing w:line="460" w:lineRule="exact"/>
      <w:ind w:firstLine="200"/>
      <w:jc w:val="center"/>
    </w:pPr>
    <w:rPr>
      <w:rFonts w:ascii="黑体" w:hAnsi="黑体" w:eastAsia="黑体"/>
      <w:kern w:val="0"/>
      <w:sz w:val="32"/>
      <w:szCs w:val="32"/>
    </w:rPr>
  </w:style>
  <w:style w:type="paragraph" w:styleId="37">
    <w:name w:val="annotation subject"/>
    <w:basedOn w:val="14"/>
    <w:next w:val="14"/>
    <w:link w:val="62"/>
    <w:qFormat/>
    <w:uiPriority w:val="0"/>
    <w:rPr>
      <w:b/>
      <w:bCs/>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22"/>
    <w:rPr>
      <w:b/>
      <w:bCs/>
    </w:rPr>
  </w:style>
  <w:style w:type="character" w:styleId="42">
    <w:name w:val="Emphasis"/>
    <w:qFormat/>
    <w:uiPriority w:val="20"/>
    <w:rPr>
      <w:i/>
      <w:iCs/>
    </w:rPr>
  </w:style>
  <w:style w:type="character" w:styleId="43">
    <w:name w:val="Hyperlink"/>
    <w:unhideWhenUsed/>
    <w:qFormat/>
    <w:uiPriority w:val="99"/>
    <w:rPr>
      <w:color w:val="0563C1"/>
      <w:u w:val="single"/>
    </w:rPr>
  </w:style>
  <w:style w:type="character" w:styleId="44">
    <w:name w:val="annotation reference"/>
    <w:qFormat/>
    <w:uiPriority w:val="0"/>
    <w:rPr>
      <w:sz w:val="21"/>
      <w:szCs w:val="21"/>
    </w:rPr>
  </w:style>
  <w:style w:type="character" w:customStyle="1" w:styleId="45">
    <w:name w:val="正文文本 字符"/>
    <w:link w:val="2"/>
    <w:qFormat/>
    <w:uiPriority w:val="0"/>
    <w:rPr>
      <w:rFonts w:ascii="宋体" w:hAnsi="宋体" w:eastAsia="宋体" w:cs="Times New Roman"/>
      <w:kern w:val="2"/>
      <w:sz w:val="24"/>
      <w:szCs w:val="24"/>
    </w:rPr>
  </w:style>
  <w:style w:type="character" w:customStyle="1" w:styleId="46">
    <w:name w:val="标题 1 字符"/>
    <w:link w:val="3"/>
    <w:qFormat/>
    <w:uiPriority w:val="9"/>
    <w:rPr>
      <w:rFonts w:ascii="Calibri" w:hAnsi="Calibri" w:eastAsia="宋体" w:cs="Times New Roman"/>
      <w:b/>
      <w:kern w:val="44"/>
      <w:sz w:val="44"/>
      <w:szCs w:val="24"/>
    </w:rPr>
  </w:style>
  <w:style w:type="character" w:customStyle="1" w:styleId="47">
    <w:name w:val="标题 2 字符"/>
    <w:link w:val="4"/>
    <w:qFormat/>
    <w:uiPriority w:val="9"/>
    <w:rPr>
      <w:rFonts w:ascii="Times New Roman" w:hAnsi="Times New Roman" w:eastAsia="宋体" w:cs="Times New Roman"/>
      <w:b/>
      <w:kern w:val="2"/>
      <w:sz w:val="32"/>
      <w:szCs w:val="24"/>
    </w:rPr>
  </w:style>
  <w:style w:type="character" w:customStyle="1" w:styleId="48">
    <w:name w:val="标题 3 字符"/>
    <w:link w:val="5"/>
    <w:qFormat/>
    <w:uiPriority w:val="9"/>
    <w:rPr>
      <w:rFonts w:ascii="Calibri" w:hAnsi="Calibri" w:eastAsia="宋体" w:cs="Times New Roman"/>
      <w:b/>
      <w:kern w:val="2"/>
      <w:sz w:val="28"/>
      <w:szCs w:val="24"/>
    </w:rPr>
  </w:style>
  <w:style w:type="character" w:customStyle="1" w:styleId="49">
    <w:name w:val="标题 4 字符"/>
    <w:link w:val="6"/>
    <w:qFormat/>
    <w:uiPriority w:val="9"/>
    <w:rPr>
      <w:rFonts w:ascii="Cambria" w:hAnsi="Cambria" w:eastAsia="宋体" w:cs="Times New Roman"/>
      <w:b/>
      <w:bCs/>
      <w:kern w:val="2"/>
      <w:sz w:val="28"/>
      <w:szCs w:val="28"/>
    </w:rPr>
  </w:style>
  <w:style w:type="character" w:customStyle="1" w:styleId="50">
    <w:name w:val="标题 6 字符"/>
    <w:link w:val="7"/>
    <w:semiHidden/>
    <w:qFormat/>
    <w:uiPriority w:val="0"/>
    <w:rPr>
      <w:rFonts w:ascii="Calibri Light" w:hAnsi="Calibri Light" w:eastAsia="宋体" w:cs="Times New Roman"/>
      <w:b/>
      <w:bCs/>
      <w:kern w:val="2"/>
      <w:sz w:val="24"/>
      <w:szCs w:val="24"/>
    </w:rPr>
  </w:style>
  <w:style w:type="character" w:customStyle="1" w:styleId="51">
    <w:name w:val="标题 9 字符"/>
    <w:link w:val="8"/>
    <w:semiHidden/>
    <w:qFormat/>
    <w:uiPriority w:val="0"/>
    <w:rPr>
      <w:rFonts w:ascii="Calibri Light" w:hAnsi="Calibri Light" w:eastAsia="宋体" w:cs="Times New Roman"/>
      <w:kern w:val="2"/>
      <w:sz w:val="21"/>
      <w:szCs w:val="21"/>
    </w:rPr>
  </w:style>
  <w:style w:type="character" w:customStyle="1" w:styleId="52">
    <w:name w:val="正文缩进 字符"/>
    <w:link w:val="10"/>
    <w:qFormat/>
    <w:uiPriority w:val="0"/>
    <w:rPr>
      <w:rFonts w:ascii="Times New Roman" w:hAnsi="Times New Roman" w:eastAsia="宋体" w:cs="Times New Roman"/>
      <w:kern w:val="2"/>
      <w:sz w:val="24"/>
      <w:szCs w:val="24"/>
    </w:rPr>
  </w:style>
  <w:style w:type="character" w:customStyle="1" w:styleId="53">
    <w:name w:val="文档结构图 字符"/>
    <w:link w:val="12"/>
    <w:qFormat/>
    <w:uiPriority w:val="99"/>
    <w:rPr>
      <w:rFonts w:ascii="宋体" w:hAnsi="Times New Roman" w:eastAsia="宋体" w:cs="Times New Roman"/>
      <w:kern w:val="2"/>
      <w:sz w:val="18"/>
      <w:szCs w:val="18"/>
    </w:rPr>
  </w:style>
  <w:style w:type="character" w:customStyle="1" w:styleId="54">
    <w:name w:val="批注文字 字符"/>
    <w:link w:val="14"/>
    <w:qFormat/>
    <w:uiPriority w:val="0"/>
    <w:rPr>
      <w:rFonts w:ascii="Times New Roman" w:hAnsi="Times New Roman" w:eastAsia="宋体" w:cs="Times New Roman"/>
      <w:kern w:val="2"/>
      <w:sz w:val="24"/>
      <w:szCs w:val="24"/>
    </w:rPr>
  </w:style>
  <w:style w:type="character" w:customStyle="1" w:styleId="55">
    <w:name w:val="纯文本 字符"/>
    <w:link w:val="19"/>
    <w:qFormat/>
    <w:uiPriority w:val="0"/>
    <w:rPr>
      <w:rFonts w:ascii="Times New Roman" w:hAnsi="Times New Roman" w:eastAsia="宋体" w:cs="Times New Roman"/>
      <w:kern w:val="2"/>
      <w:sz w:val="21"/>
    </w:rPr>
  </w:style>
  <w:style w:type="character" w:customStyle="1" w:styleId="56">
    <w:name w:val="日期 字符"/>
    <w:link w:val="22"/>
    <w:qFormat/>
    <w:uiPriority w:val="0"/>
    <w:rPr>
      <w:rFonts w:ascii="Times New Roman" w:hAnsi="Times New Roman" w:eastAsia="宋体" w:cs="Times New Roman"/>
      <w:kern w:val="2"/>
      <w:sz w:val="24"/>
      <w:szCs w:val="24"/>
    </w:rPr>
  </w:style>
  <w:style w:type="character" w:customStyle="1" w:styleId="57">
    <w:name w:val="批注框文本 字符"/>
    <w:link w:val="24"/>
    <w:qFormat/>
    <w:uiPriority w:val="99"/>
    <w:rPr>
      <w:rFonts w:ascii="Times New Roman" w:hAnsi="Times New Roman" w:eastAsia="宋体" w:cs="Times New Roman"/>
      <w:kern w:val="2"/>
      <w:sz w:val="18"/>
      <w:szCs w:val="18"/>
    </w:rPr>
  </w:style>
  <w:style w:type="character" w:customStyle="1" w:styleId="58">
    <w:name w:val="页脚 字符"/>
    <w:link w:val="25"/>
    <w:qFormat/>
    <w:uiPriority w:val="99"/>
    <w:rPr>
      <w:rFonts w:ascii="Times New Roman" w:hAnsi="Times New Roman" w:eastAsia="宋体" w:cs="Times New Roman"/>
      <w:kern w:val="2"/>
      <w:sz w:val="18"/>
      <w:szCs w:val="24"/>
    </w:rPr>
  </w:style>
  <w:style w:type="character" w:customStyle="1" w:styleId="59">
    <w:name w:val="页眉 字符"/>
    <w:link w:val="26"/>
    <w:qFormat/>
    <w:uiPriority w:val="99"/>
    <w:rPr>
      <w:rFonts w:ascii="Times New Roman" w:hAnsi="Times New Roman" w:eastAsia="宋体" w:cs="Times New Roman"/>
      <w:kern w:val="2"/>
      <w:sz w:val="18"/>
      <w:szCs w:val="18"/>
    </w:rPr>
  </w:style>
  <w:style w:type="character" w:customStyle="1" w:styleId="60">
    <w:name w:val="普通(网站) 字符"/>
    <w:link w:val="35"/>
    <w:qFormat/>
    <w:uiPriority w:val="0"/>
    <w:rPr>
      <w:rFonts w:ascii="宋体" w:hAnsi="宋体" w:eastAsia="宋体" w:cs="宋体"/>
      <w:sz w:val="24"/>
      <w:szCs w:val="24"/>
    </w:rPr>
  </w:style>
  <w:style w:type="character" w:customStyle="1" w:styleId="61">
    <w:name w:val="标题 字符"/>
    <w:link w:val="36"/>
    <w:qFormat/>
    <w:uiPriority w:val="10"/>
    <w:rPr>
      <w:rFonts w:ascii="黑体" w:hAnsi="黑体" w:eastAsia="黑体"/>
      <w:sz w:val="32"/>
      <w:szCs w:val="32"/>
    </w:rPr>
  </w:style>
  <w:style w:type="character" w:customStyle="1" w:styleId="62">
    <w:name w:val="批注主题 字符"/>
    <w:link w:val="37"/>
    <w:qFormat/>
    <w:uiPriority w:val="0"/>
    <w:rPr>
      <w:rFonts w:ascii="Times New Roman" w:hAnsi="Times New Roman" w:eastAsia="宋体" w:cs="Times New Roman"/>
      <w:b/>
      <w:bCs/>
      <w:kern w:val="2"/>
      <w:sz w:val="24"/>
      <w:szCs w:val="24"/>
    </w:rPr>
  </w:style>
  <w:style w:type="paragraph" w:customStyle="1" w:styleId="63">
    <w:name w:val="正文文本首行缩进"/>
    <w:basedOn w:val="2"/>
    <w:link w:val="64"/>
    <w:qFormat/>
    <w:uiPriority w:val="99"/>
    <w:pPr>
      <w:spacing w:before="0" w:after="120"/>
      <w:ind w:left="0" w:firstLine="420" w:firstLineChars="100"/>
    </w:pPr>
    <w:rPr>
      <w:rFonts w:ascii="Times New Roman" w:hAnsi="Times New Roman"/>
    </w:rPr>
  </w:style>
  <w:style w:type="character" w:customStyle="1" w:styleId="64">
    <w:name w:val="正文文本首行缩进 字符"/>
    <w:link w:val="63"/>
    <w:qFormat/>
    <w:uiPriority w:val="0"/>
    <w:rPr>
      <w:rFonts w:ascii="Times New Roman" w:hAnsi="Times New Roman"/>
    </w:rPr>
  </w:style>
  <w:style w:type="paragraph" w:customStyle="1" w:styleId="65">
    <w:name w:val="BT-ZW"/>
    <w:basedOn w:val="10"/>
    <w:link w:val="66"/>
    <w:qFormat/>
    <w:uiPriority w:val="0"/>
    <w:pPr>
      <w:spacing w:line="500" w:lineRule="exact"/>
    </w:pPr>
  </w:style>
  <w:style w:type="character" w:customStyle="1" w:styleId="66">
    <w:name w:val="BT-ZW Char"/>
    <w:link w:val="65"/>
    <w:qFormat/>
    <w:uiPriority w:val="0"/>
    <w:rPr>
      <w:rFonts w:ascii="Times New Roman" w:hAnsi="Times New Roman" w:eastAsia="宋体" w:cs="Times New Roman"/>
      <w:kern w:val="2"/>
      <w:sz w:val="24"/>
      <w:szCs w:val="24"/>
    </w:rPr>
  </w:style>
  <w:style w:type="character" w:customStyle="1" w:styleId="67">
    <w:name w:val="txtcontent11"/>
    <w:qFormat/>
    <w:uiPriority w:val="0"/>
    <w:rPr>
      <w:rFonts w:hint="default" w:ascii="ˎ̥" w:hAnsi="ˎ̥"/>
      <w:color w:val="000000"/>
      <w:sz w:val="23"/>
      <w:szCs w:val="23"/>
    </w:rPr>
  </w:style>
  <w:style w:type="paragraph" w:customStyle="1" w:styleId="68">
    <w:name w:val="Char Char Char Char Char Char Char Char Char Char Char Char Char Char Char Char Char Char Char1"/>
    <w:basedOn w:val="1"/>
    <w:qFormat/>
    <w:uiPriority w:val="0"/>
    <w:pPr>
      <w:tabs>
        <w:tab w:val="left" w:pos="600"/>
      </w:tabs>
      <w:snapToGrid w:val="0"/>
      <w:spacing w:line="440" w:lineRule="exact"/>
      <w:ind w:left="600" w:firstLine="200"/>
    </w:pPr>
    <w:rPr>
      <w:rFonts w:eastAsia="华文中宋"/>
    </w:rPr>
  </w:style>
  <w:style w:type="paragraph" w:customStyle="1" w:styleId="69">
    <w:name w:val="正文 首行缩进:  2 字符"/>
    <w:basedOn w:val="1"/>
    <w:qFormat/>
    <w:uiPriority w:val="0"/>
    <w:pPr>
      <w:spacing w:after="160"/>
    </w:pPr>
    <w:rPr>
      <w:rFonts w:cs="宋体"/>
      <w:kern w:val="0"/>
      <w:szCs w:val="20"/>
    </w:rPr>
  </w:style>
  <w:style w:type="paragraph" w:customStyle="1" w:styleId="70">
    <w:name w:val="正文文字1"/>
    <w:basedOn w:val="1"/>
    <w:qFormat/>
    <w:uiPriority w:val="0"/>
    <w:pPr>
      <w:snapToGrid w:val="0"/>
      <w:ind w:firstLine="480"/>
    </w:pPr>
    <w:rPr>
      <w:rFonts w:ascii="Calibri" w:hAnsi="Calibri"/>
    </w:rPr>
  </w:style>
  <w:style w:type="character" w:customStyle="1" w:styleId="71">
    <w:name w:val="报告正文 Char Char"/>
    <w:link w:val="72"/>
    <w:qFormat/>
    <w:uiPriority w:val="0"/>
    <w:rPr>
      <w:rFonts w:eastAsia="楷体_GB2312"/>
      <w:bCs/>
      <w:kern w:val="2"/>
      <w:sz w:val="28"/>
      <w:szCs w:val="28"/>
      <w:lang w:val="en-US" w:eastAsia="zh-CN" w:bidi="ar-SA"/>
    </w:rPr>
  </w:style>
  <w:style w:type="paragraph" w:customStyle="1" w:styleId="72">
    <w:name w:val="报告正文"/>
    <w:link w:val="71"/>
    <w:qFormat/>
    <w:uiPriority w:val="0"/>
    <w:pPr>
      <w:widowControl w:val="0"/>
      <w:adjustRightInd w:val="0"/>
      <w:snapToGrid w:val="0"/>
      <w:spacing w:line="560" w:lineRule="exact"/>
      <w:ind w:firstLine="200" w:firstLineChars="200"/>
      <w:jc w:val="both"/>
    </w:pPr>
    <w:rPr>
      <w:rFonts w:ascii="Times New Roman" w:hAnsi="Times New Roman" w:eastAsia="楷体_GB2312" w:cs="Times New Roman"/>
      <w:bCs/>
      <w:kern w:val="2"/>
      <w:sz w:val="28"/>
      <w:szCs w:val="28"/>
      <w:lang w:val="en-US" w:eastAsia="zh-CN" w:bidi="ar-SA"/>
    </w:rPr>
  </w:style>
  <w:style w:type="paragraph" w:customStyle="1" w:styleId="73">
    <w:name w:val="报告-图表标注"/>
    <w:basedOn w:val="1"/>
    <w:qFormat/>
    <w:uiPriority w:val="0"/>
    <w:pPr>
      <w:adjustRightInd w:val="0"/>
      <w:snapToGrid w:val="0"/>
      <w:jc w:val="center"/>
    </w:pPr>
    <w:rPr>
      <w:rFonts w:eastAsia="黑体"/>
    </w:rPr>
  </w:style>
  <w:style w:type="paragraph" w:customStyle="1" w:styleId="74">
    <w:name w:val="p0"/>
    <w:basedOn w:val="1"/>
    <w:qFormat/>
    <w:uiPriority w:val="0"/>
    <w:pPr>
      <w:widowControl/>
      <w:ind w:firstLine="420"/>
      <w:jc w:val="left"/>
    </w:pPr>
    <w:rPr>
      <w:rFonts w:ascii="宋体" w:hAnsi="宋体" w:cs="宋体"/>
      <w:kern w:val="0"/>
    </w:rPr>
  </w:style>
  <w:style w:type="character" w:customStyle="1" w:styleId="75">
    <w:name w:val="font51"/>
    <w:qFormat/>
    <w:uiPriority w:val="0"/>
    <w:rPr>
      <w:rFonts w:hint="eastAsia" w:ascii="宋体" w:hAnsi="宋体" w:eastAsia="宋体" w:cs="宋体"/>
      <w:b/>
      <w:color w:val="000000"/>
      <w:sz w:val="21"/>
      <w:szCs w:val="21"/>
      <w:u w:val="none"/>
    </w:rPr>
  </w:style>
  <w:style w:type="character" w:customStyle="1" w:styleId="76">
    <w:name w:val="font161"/>
    <w:qFormat/>
    <w:uiPriority w:val="0"/>
    <w:rPr>
      <w:rFonts w:hint="eastAsia" w:ascii="宋体" w:hAnsi="宋体" w:eastAsia="宋体" w:cs="宋体"/>
      <w:color w:val="0000FF"/>
      <w:sz w:val="18"/>
      <w:szCs w:val="18"/>
      <w:u w:val="none"/>
    </w:rPr>
  </w:style>
  <w:style w:type="character" w:customStyle="1" w:styleId="77">
    <w:name w:val="font41"/>
    <w:qFormat/>
    <w:uiPriority w:val="0"/>
    <w:rPr>
      <w:rFonts w:hint="eastAsia" w:ascii="Times New Roman" w:hAnsi="Times New Roman" w:cs="Times New Roman"/>
      <w:b/>
      <w:color w:val="000000"/>
      <w:kern w:val="2"/>
      <w:sz w:val="22"/>
      <w:szCs w:val="22"/>
      <w:u w:val="none"/>
    </w:rPr>
  </w:style>
  <w:style w:type="character" w:customStyle="1" w:styleId="78">
    <w:name w:val="font11"/>
    <w:qFormat/>
    <w:uiPriority w:val="0"/>
    <w:rPr>
      <w:rFonts w:hint="eastAsia" w:ascii="宋体" w:hAnsi="宋体" w:eastAsia="宋体" w:cs="宋体"/>
      <w:b/>
      <w:color w:val="000000"/>
      <w:kern w:val="2"/>
      <w:sz w:val="22"/>
      <w:szCs w:val="22"/>
      <w:u w:val="none"/>
    </w:rPr>
  </w:style>
  <w:style w:type="paragraph" w:customStyle="1" w:styleId="7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0">
    <w:name w:val="Table Paragraph"/>
    <w:basedOn w:val="1"/>
    <w:qFormat/>
    <w:uiPriority w:val="1"/>
  </w:style>
  <w:style w:type="character" w:customStyle="1" w:styleId="81">
    <w:name w:val="font21"/>
    <w:qFormat/>
    <w:uiPriority w:val="0"/>
    <w:rPr>
      <w:rFonts w:hint="eastAsia" w:ascii="宋体" w:hAnsi="宋体" w:eastAsia="宋体" w:cs="宋体"/>
      <w:color w:val="000000"/>
      <w:sz w:val="21"/>
      <w:szCs w:val="21"/>
      <w:u w:val="none"/>
    </w:rPr>
  </w:style>
  <w:style w:type="character" w:customStyle="1" w:styleId="82">
    <w:name w:val="font61"/>
    <w:qFormat/>
    <w:uiPriority w:val="0"/>
    <w:rPr>
      <w:rFonts w:hint="default" w:ascii="Times New Roman" w:hAnsi="Times New Roman" w:cs="Times New Roman"/>
      <w:color w:val="000000"/>
      <w:sz w:val="21"/>
      <w:szCs w:val="21"/>
      <w:u w:val="none"/>
    </w:rPr>
  </w:style>
  <w:style w:type="paragraph" w:customStyle="1" w:styleId="83">
    <w:name w:val="公式"/>
    <w:basedOn w:val="1"/>
    <w:link w:val="84"/>
    <w:qFormat/>
    <w:uiPriority w:val="0"/>
    <w:pPr>
      <w:adjustRightInd w:val="0"/>
      <w:snapToGrid w:val="0"/>
      <w:spacing w:line="300" w:lineRule="auto"/>
      <w:ind w:firstLine="0" w:firstLineChars="0"/>
      <w:jc w:val="right"/>
    </w:pPr>
    <w:rPr>
      <w:rFonts w:cs="宋体"/>
      <w:szCs w:val="20"/>
    </w:rPr>
  </w:style>
  <w:style w:type="character" w:customStyle="1" w:styleId="84">
    <w:name w:val="公式 Char"/>
    <w:link w:val="83"/>
    <w:qFormat/>
    <w:uiPriority w:val="0"/>
    <w:rPr>
      <w:rFonts w:ascii="Times New Roman" w:hAnsi="Times New Roman" w:eastAsia="宋体" w:cs="宋体"/>
      <w:kern w:val="2"/>
      <w:sz w:val="24"/>
    </w:rPr>
  </w:style>
  <w:style w:type="paragraph" w:customStyle="1" w:styleId="85">
    <w:name w:val="（lxp）正文"/>
    <w:basedOn w:val="86"/>
    <w:qFormat/>
    <w:uiPriority w:val="0"/>
    <w:pPr>
      <w:spacing w:line="360" w:lineRule="auto"/>
      <w:ind w:firstLine="480"/>
      <w:jc w:val="both"/>
    </w:pPr>
    <w:rPr>
      <w:rFonts w:ascii="Times New Roman" w:hAnsi="宋体" w:eastAsia="宋体"/>
      <w:sz w:val="24"/>
      <w:szCs w:val="24"/>
    </w:rPr>
  </w:style>
  <w:style w:type="paragraph" w:customStyle="1" w:styleId="86">
    <w:name w:val="(lxp)表题目小"/>
    <w:basedOn w:val="1"/>
    <w:qFormat/>
    <w:uiPriority w:val="0"/>
    <w:pPr>
      <w:adjustRightInd w:val="0"/>
      <w:snapToGrid w:val="0"/>
      <w:spacing w:line="240" w:lineRule="exact"/>
      <w:jc w:val="left"/>
    </w:pPr>
    <w:rPr>
      <w:rFonts w:ascii="黑体" w:hAnsi="黑体" w:eastAsia="黑体"/>
      <w:sz w:val="21"/>
      <w:szCs w:val="21"/>
      <w:lang w:val="en-GB"/>
    </w:rPr>
  </w:style>
  <w:style w:type="character" w:customStyle="1" w:styleId="87">
    <w:name w:val="正文文本缩进 2 Char"/>
    <w:qFormat/>
    <w:uiPriority w:val="0"/>
    <w:rPr>
      <w:rFonts w:eastAsia="Courier New"/>
      <w:kern w:val="2"/>
      <w:sz w:val="24"/>
      <w:szCs w:val="24"/>
      <w:lang w:val="en-US" w:eastAsia="zh-CN" w:bidi="ar-SA"/>
    </w:rPr>
  </w:style>
  <w:style w:type="paragraph" w:customStyle="1" w:styleId="88">
    <w:name w:val="表号"/>
    <w:basedOn w:val="1"/>
    <w:qFormat/>
    <w:uiPriority w:val="0"/>
    <w:pPr>
      <w:spacing w:line="400" w:lineRule="exact"/>
      <w:ind w:firstLine="200"/>
    </w:pPr>
    <w:rPr>
      <w:rFonts w:ascii="CG Times" w:hAnsi="CG Times"/>
      <w:sz w:val="21"/>
      <w:szCs w:val="20"/>
    </w:rPr>
  </w:style>
  <w:style w:type="paragraph" w:customStyle="1" w:styleId="89">
    <w:name w:val="表头文字"/>
    <w:basedOn w:val="1"/>
    <w:qFormat/>
    <w:uiPriority w:val="0"/>
    <w:pPr>
      <w:adjustRightInd w:val="0"/>
      <w:snapToGrid w:val="0"/>
      <w:spacing w:before="120" w:line="300" w:lineRule="auto"/>
      <w:ind w:firstLine="200"/>
      <w:jc w:val="center"/>
    </w:pPr>
    <w:rPr>
      <w:rFonts w:eastAsia="黑体"/>
      <w:sz w:val="21"/>
    </w:rPr>
  </w:style>
  <w:style w:type="paragraph" w:customStyle="1" w:styleId="90">
    <w:name w:val="表格文字"/>
    <w:basedOn w:val="15"/>
    <w:qFormat/>
    <w:uiPriority w:val="0"/>
    <w:pPr>
      <w:spacing w:after="0"/>
      <w:ind w:left="0" w:leftChars="0"/>
    </w:pPr>
    <w:rPr>
      <w:sz w:val="18"/>
    </w:rPr>
  </w:style>
  <w:style w:type="character" w:customStyle="1" w:styleId="91">
    <w:name w:val="标题4 Char Char Char Char"/>
    <w:link w:val="92"/>
    <w:qFormat/>
    <w:uiPriority w:val="0"/>
    <w:rPr>
      <w:rFonts w:ascii="Times New Roman" w:hAnsi="Times New Roman" w:eastAsia="宋体" w:cs="Times New Roman"/>
      <w:color w:val="000000"/>
      <w:szCs w:val="24"/>
    </w:rPr>
  </w:style>
  <w:style w:type="paragraph" w:customStyle="1" w:styleId="92">
    <w:name w:val="标题4"/>
    <w:basedOn w:val="19"/>
    <w:link w:val="91"/>
    <w:qFormat/>
    <w:uiPriority w:val="0"/>
    <w:pPr>
      <w:spacing w:before="100" w:beforeAutospacing="1" w:line="480" w:lineRule="exact"/>
      <w:ind w:firstLine="482"/>
    </w:pPr>
    <w:rPr>
      <w:color w:val="000000"/>
      <w:szCs w:val="24"/>
    </w:rPr>
  </w:style>
  <w:style w:type="paragraph" w:customStyle="1" w:styleId="93">
    <w:name w:val="表名2"/>
    <w:basedOn w:val="1"/>
    <w:next w:val="1"/>
    <w:link w:val="94"/>
    <w:qFormat/>
    <w:uiPriority w:val="0"/>
    <w:pPr>
      <w:jc w:val="center"/>
    </w:pPr>
    <w:rPr>
      <w:b/>
      <w:bCs/>
      <w:sz w:val="21"/>
      <w:szCs w:val="18"/>
    </w:rPr>
  </w:style>
  <w:style w:type="character" w:customStyle="1" w:styleId="94">
    <w:name w:val="表名2 Char"/>
    <w:link w:val="93"/>
    <w:qFormat/>
    <w:uiPriority w:val="0"/>
    <w:rPr>
      <w:rFonts w:ascii="Times New Roman" w:hAnsi="Times New Roman" w:eastAsia="宋体" w:cs="Times New Roman"/>
      <w:b/>
      <w:bCs/>
      <w:kern w:val="2"/>
      <w:sz w:val="21"/>
      <w:szCs w:val="18"/>
    </w:rPr>
  </w:style>
  <w:style w:type="paragraph" w:customStyle="1" w:styleId="95">
    <w:name w:val="表格"/>
    <w:basedOn w:val="19"/>
    <w:qFormat/>
    <w:uiPriority w:val="0"/>
  </w:style>
  <w:style w:type="paragraph" w:customStyle="1" w:styleId="96">
    <w:name w:val="样式4"/>
    <w:basedOn w:val="1"/>
    <w:qFormat/>
    <w:uiPriority w:val="0"/>
    <w:pPr>
      <w:ind w:firstLine="480"/>
    </w:pPr>
    <w:rPr>
      <w:color w:val="000000"/>
    </w:rPr>
  </w:style>
  <w:style w:type="paragraph" w:customStyle="1" w:styleId="97">
    <w:name w:val="列表段落"/>
    <w:basedOn w:val="1"/>
    <w:link w:val="98"/>
    <w:qFormat/>
    <w:uiPriority w:val="0"/>
    <w:pPr>
      <w:spacing w:before="1"/>
      <w:ind w:left="1379" w:hanging="701"/>
    </w:pPr>
    <w:rPr>
      <w:rFonts w:ascii="宋体" w:hAnsi="宋体" w:cs="宋体"/>
    </w:rPr>
  </w:style>
  <w:style w:type="character" w:customStyle="1" w:styleId="98">
    <w:name w:val="列表段落 字符"/>
    <w:link w:val="97"/>
    <w:qFormat/>
    <w:uiPriority w:val="34"/>
    <w:rPr>
      <w:rFonts w:ascii="宋体" w:hAnsi="宋体" w:eastAsia="宋体" w:cs="宋体"/>
      <w:kern w:val="2"/>
      <w:sz w:val="24"/>
      <w:szCs w:val="24"/>
    </w:rPr>
  </w:style>
  <w:style w:type="character" w:customStyle="1" w:styleId="99">
    <w:name w:val="fontstyle01"/>
    <w:qFormat/>
    <w:uiPriority w:val="0"/>
    <w:rPr>
      <w:rFonts w:ascii="宋体" w:hAnsi="宋体" w:eastAsia="宋体" w:cs="宋体"/>
      <w:color w:val="000000"/>
      <w:kern w:val="2"/>
      <w:sz w:val="22"/>
      <w:szCs w:val="22"/>
    </w:rPr>
  </w:style>
  <w:style w:type="character" w:customStyle="1" w:styleId="100">
    <w:name w:val="fontstyle31"/>
    <w:qFormat/>
    <w:uiPriority w:val="0"/>
    <w:rPr>
      <w:rFonts w:ascii="TimesNewRomanPSMT" w:hAnsi="TimesNewRomanPSMT" w:eastAsia="TimesNewRomanPSMT" w:cs="TimesNewRomanPSMT"/>
      <w:color w:val="000000"/>
      <w:kern w:val="2"/>
      <w:sz w:val="22"/>
      <w:szCs w:val="22"/>
    </w:rPr>
  </w:style>
  <w:style w:type="paragraph" w:customStyle="1" w:styleId="101">
    <w:name w:val="样式6"/>
    <w:basedOn w:val="1"/>
    <w:qFormat/>
    <w:uiPriority w:val="0"/>
    <w:pPr>
      <w:spacing w:line="300" w:lineRule="exact"/>
      <w:ind w:left="-120" w:leftChars="-50" w:right="-120" w:rightChars="-50"/>
      <w:jc w:val="center"/>
    </w:pPr>
    <w:rPr>
      <w:rFonts w:eastAsia="华文中宋"/>
      <w:szCs w:val="21"/>
    </w:rPr>
  </w:style>
  <w:style w:type="paragraph" w:customStyle="1" w:styleId="102">
    <w:name w:val="WPSOffice手动目录 1"/>
    <w:qFormat/>
    <w:uiPriority w:val="0"/>
    <w:rPr>
      <w:rFonts w:ascii="Calibri" w:hAnsi="Calibri" w:eastAsia="宋体" w:cs="Times New Roman"/>
      <w:lang w:val="en-US" w:eastAsia="zh-CN" w:bidi="ar-SA"/>
    </w:rPr>
  </w:style>
  <w:style w:type="paragraph" w:customStyle="1" w:styleId="103">
    <w:name w:val="ZW-1"/>
    <w:basedOn w:val="1"/>
    <w:link w:val="104"/>
    <w:qFormat/>
    <w:uiPriority w:val="0"/>
    <w:pPr>
      <w:adjustRightInd w:val="0"/>
      <w:snapToGrid w:val="0"/>
      <w:ind w:firstLine="200"/>
    </w:pPr>
    <w:rPr>
      <w:szCs w:val="22"/>
    </w:rPr>
  </w:style>
  <w:style w:type="character" w:customStyle="1" w:styleId="104">
    <w:name w:val="ZW-1 字符"/>
    <w:link w:val="103"/>
    <w:qFormat/>
    <w:uiPriority w:val="0"/>
    <w:rPr>
      <w:rFonts w:ascii="Times New Roman" w:hAnsi="Times New Roman" w:eastAsia="宋体"/>
      <w:kern w:val="2"/>
      <w:sz w:val="24"/>
      <w:szCs w:val="22"/>
    </w:rPr>
  </w:style>
  <w:style w:type="paragraph" w:customStyle="1" w:styleId="105">
    <w:name w:val="BT-4"/>
    <w:basedOn w:val="1"/>
    <w:link w:val="106"/>
    <w:qFormat/>
    <w:uiPriority w:val="0"/>
    <w:pPr>
      <w:ind w:firstLine="0" w:firstLineChars="0"/>
      <w:jc w:val="left"/>
      <w:outlineLvl w:val="2"/>
    </w:pPr>
    <w:rPr>
      <w:b/>
      <w:szCs w:val="22"/>
    </w:rPr>
  </w:style>
  <w:style w:type="character" w:customStyle="1" w:styleId="106">
    <w:name w:val="BT-4 字符"/>
    <w:link w:val="105"/>
    <w:qFormat/>
    <w:uiPriority w:val="0"/>
    <w:rPr>
      <w:rFonts w:ascii="Times New Roman" w:hAnsi="Times New Roman" w:eastAsia="宋体"/>
      <w:b/>
      <w:kern w:val="2"/>
      <w:sz w:val="24"/>
      <w:szCs w:val="22"/>
    </w:rPr>
  </w:style>
  <w:style w:type="character" w:customStyle="1" w:styleId="107">
    <w:name w:val="样式 样式 样式 样式 表内字 + 首行缩进:  2 字符 + 段前: 2.4 磅 段后: 2.4 磅 行距: 单倍行距 + 段... Char"/>
    <w:link w:val="108"/>
    <w:qFormat/>
    <w:uiPriority w:val="0"/>
    <w:rPr>
      <w:rFonts w:ascii="宋体" w:hAnsi="宋体" w:eastAsia="楷体_GB2312" w:cs="宋体"/>
      <w:color w:val="000000"/>
      <w:kern w:val="2"/>
      <w:sz w:val="21"/>
      <w:lang w:val="zh-CN"/>
    </w:rPr>
  </w:style>
  <w:style w:type="paragraph" w:customStyle="1" w:styleId="108">
    <w:name w:val="样式 样式 样式 样式 表内字 + 首行缩进:  2 字符 + 段前: 2.4 磅 段后: 2.4 磅 行距: 单倍行距 + 段..."/>
    <w:basedOn w:val="1"/>
    <w:link w:val="107"/>
    <w:qFormat/>
    <w:uiPriority w:val="0"/>
    <w:pPr>
      <w:autoSpaceDE w:val="0"/>
      <w:autoSpaceDN w:val="0"/>
      <w:adjustRightInd w:val="0"/>
      <w:snapToGrid w:val="0"/>
      <w:spacing w:beforeLines="20" w:afterLines="20" w:line="240" w:lineRule="auto"/>
      <w:ind w:firstLine="0" w:firstLineChars="0"/>
      <w:jc w:val="center"/>
    </w:pPr>
    <w:rPr>
      <w:rFonts w:ascii="宋体" w:hAnsi="宋体" w:eastAsia="楷体_GB2312" w:cs="宋体"/>
      <w:color w:val="000000"/>
      <w:sz w:val="21"/>
      <w:szCs w:val="20"/>
      <w:lang w:val="zh-CN"/>
    </w:rPr>
  </w:style>
  <w:style w:type="paragraph" w:customStyle="1" w:styleId="109">
    <w:name w:val="标题 2 水电"/>
    <w:basedOn w:val="4"/>
    <w:qFormat/>
    <w:uiPriority w:val="0"/>
    <w:pPr>
      <w:tabs>
        <w:tab w:val="left" w:pos="432"/>
        <w:tab w:val="left" w:pos="576"/>
      </w:tabs>
      <w:spacing w:before="120" w:after="60" w:line="460" w:lineRule="exact"/>
      <w:ind w:firstLine="0" w:firstLineChars="0"/>
    </w:pPr>
    <w:rPr>
      <w:rFonts w:eastAsia="黑体"/>
      <w:b w:val="0"/>
      <w:bCs/>
      <w:snapToGrid w:val="0"/>
      <w:kern w:val="0"/>
      <w:sz w:val="28"/>
      <w:szCs w:val="28"/>
    </w:rPr>
  </w:style>
  <w:style w:type="paragraph" w:customStyle="1" w:styleId="110">
    <w:name w:val="表 头"/>
    <w:basedOn w:val="1"/>
    <w:qFormat/>
    <w:uiPriority w:val="0"/>
    <w:pPr>
      <w:spacing w:line="460" w:lineRule="exact"/>
      <w:ind w:firstLine="0" w:firstLineChars="0"/>
      <w:jc w:val="center"/>
      <w:textAlignment w:val="baseline"/>
    </w:pPr>
    <w:rPr>
      <w:rFonts w:eastAsia="黑体"/>
      <w:b/>
      <w:kern w:val="0"/>
      <w:u w:val="single"/>
    </w:rPr>
  </w:style>
  <w:style w:type="character" w:customStyle="1" w:styleId="111">
    <w:name w:val="标题 3+ Char"/>
    <w:link w:val="112"/>
    <w:qFormat/>
    <w:uiPriority w:val="0"/>
    <w:rPr>
      <w:rFonts w:eastAsia="黑体"/>
      <w:bCs/>
      <w:spacing w:val="-4"/>
      <w:sz w:val="24"/>
      <w:szCs w:val="24"/>
    </w:rPr>
  </w:style>
  <w:style w:type="paragraph" w:customStyle="1" w:styleId="112">
    <w:name w:val="标题 3+"/>
    <w:basedOn w:val="5"/>
    <w:link w:val="111"/>
    <w:qFormat/>
    <w:uiPriority w:val="0"/>
    <w:pPr>
      <w:keepNext w:val="0"/>
      <w:keepLines w:val="0"/>
      <w:adjustRightInd w:val="0"/>
      <w:snapToGrid w:val="0"/>
      <w:spacing w:before="60" w:after="60" w:line="460" w:lineRule="exact"/>
      <w:ind w:firstLine="0" w:firstLineChars="0"/>
      <w:textAlignment w:val="baseline"/>
    </w:pPr>
    <w:rPr>
      <w:rFonts w:eastAsia="黑体"/>
      <w:b w:val="0"/>
      <w:bCs/>
      <w:spacing w:val="-4"/>
      <w:kern w:val="0"/>
      <w:sz w:val="24"/>
    </w:rPr>
  </w:style>
  <w:style w:type="character" w:customStyle="1" w:styleId="113">
    <w:name w:val="陈正文 Char"/>
    <w:link w:val="114"/>
    <w:qFormat/>
    <w:uiPriority w:val="0"/>
    <w:rPr>
      <w:rFonts w:ascii="宋体" w:hAnsi="宋体" w:eastAsia="宋体" w:cs="宋体"/>
      <w:sz w:val="24"/>
      <w:szCs w:val="24"/>
    </w:rPr>
  </w:style>
  <w:style w:type="paragraph" w:customStyle="1" w:styleId="114">
    <w:name w:val="陈正文"/>
    <w:basedOn w:val="1"/>
    <w:link w:val="113"/>
    <w:qFormat/>
    <w:uiPriority w:val="0"/>
    <w:pPr>
      <w:snapToGrid w:val="0"/>
      <w:ind w:firstLine="200"/>
    </w:pPr>
    <w:rPr>
      <w:rFonts w:ascii="宋体" w:hAnsi="宋体" w:cs="宋体"/>
      <w:kern w:val="0"/>
    </w:rPr>
  </w:style>
  <w:style w:type="paragraph" w:customStyle="1" w:styleId="115">
    <w:name w:val="表格正文"/>
    <w:basedOn w:val="1"/>
    <w:qFormat/>
    <w:uiPriority w:val="0"/>
    <w:pPr>
      <w:spacing w:line="240" w:lineRule="atLeast"/>
      <w:ind w:firstLine="200"/>
    </w:pPr>
    <w:rPr>
      <w:rFonts w:ascii="宋体" w:hAnsi="宋体"/>
      <w:sz w:val="21"/>
    </w:rPr>
  </w:style>
  <w:style w:type="paragraph" w:customStyle="1" w:styleId="116">
    <w:name w:val="jh正文"/>
    <w:basedOn w:val="1"/>
    <w:qFormat/>
    <w:uiPriority w:val="0"/>
    <w:pPr>
      <w:spacing w:line="440" w:lineRule="exact"/>
      <w:ind w:firstLine="480"/>
    </w:pPr>
    <w:rPr>
      <w:rFonts w:eastAsia="等线"/>
    </w:rPr>
  </w:style>
  <w:style w:type="paragraph" w:customStyle="1" w:styleId="117">
    <w:name w:val="基准标题"/>
    <w:basedOn w:val="2"/>
    <w:next w:val="2"/>
    <w:qFormat/>
    <w:uiPriority w:val="0"/>
    <w:pPr>
      <w:spacing w:before="0" w:line="260" w:lineRule="exact"/>
      <w:ind w:left="0" w:firstLine="0" w:firstLineChars="0"/>
      <w:outlineLvl w:val="0"/>
    </w:pPr>
    <w:rPr>
      <w:spacing w:val="-10"/>
      <w:kern w:val="0"/>
      <w:sz w:val="18"/>
      <w:szCs w:val="18"/>
    </w:rPr>
  </w:style>
  <w:style w:type="paragraph" w:customStyle="1" w:styleId="118">
    <w:name w:val="样式 陈四级标题 + (西文) Times New Roman"/>
    <w:basedOn w:val="1"/>
    <w:qFormat/>
    <w:uiPriority w:val="0"/>
    <w:pPr>
      <w:keepNext/>
      <w:keepLines/>
      <w:snapToGrid w:val="0"/>
      <w:spacing w:line="460" w:lineRule="exact"/>
      <w:ind w:firstLine="0" w:firstLineChars="0"/>
      <w:outlineLvl w:val="3"/>
    </w:pPr>
    <w:rPr>
      <w:kern w:val="0"/>
    </w:rPr>
  </w:style>
  <w:style w:type="paragraph" w:customStyle="1" w:styleId="119">
    <w:name w:val="黄藏寺正文"/>
    <w:basedOn w:val="10"/>
    <w:link w:val="120"/>
    <w:qFormat/>
    <w:uiPriority w:val="0"/>
    <w:pPr>
      <w:spacing w:line="400" w:lineRule="exact"/>
      <w:ind w:firstLine="200"/>
      <w:textAlignment w:val="center"/>
    </w:pPr>
    <w:rPr>
      <w:rFonts w:cs="宋体"/>
      <w:lang w:eastAsia="en-US" w:bidi="en-US"/>
    </w:rPr>
  </w:style>
  <w:style w:type="character" w:customStyle="1" w:styleId="120">
    <w:name w:val="黄藏寺正文 Char"/>
    <w:link w:val="119"/>
    <w:qFormat/>
    <w:uiPriority w:val="0"/>
    <w:rPr>
      <w:rFonts w:ascii="Times New Roman" w:hAnsi="Times New Roman" w:eastAsia="宋体" w:cs="宋体"/>
      <w:kern w:val="2"/>
      <w:sz w:val="24"/>
      <w:szCs w:val="24"/>
      <w:lang w:eastAsia="en-US" w:bidi="en-US"/>
    </w:rPr>
  </w:style>
  <w:style w:type="paragraph" w:customStyle="1" w:styleId="121">
    <w:name w:val="图表"/>
    <w:basedOn w:val="97"/>
    <w:link w:val="122"/>
    <w:qFormat/>
    <w:uiPriority w:val="0"/>
    <w:pPr>
      <w:spacing w:before="0" w:line="240" w:lineRule="auto"/>
      <w:ind w:left="0" w:firstLine="0" w:firstLineChars="0"/>
      <w:jc w:val="center"/>
    </w:pPr>
    <w:rPr>
      <w:rFonts w:eastAsia="黑体"/>
      <w:szCs w:val="22"/>
    </w:rPr>
  </w:style>
  <w:style w:type="character" w:customStyle="1" w:styleId="122">
    <w:name w:val="图表 Char"/>
    <w:link w:val="121"/>
    <w:qFormat/>
    <w:uiPriority w:val="0"/>
    <w:rPr>
      <w:rFonts w:eastAsia="黑体"/>
      <w:kern w:val="2"/>
      <w:szCs w:val="22"/>
    </w:rPr>
  </w:style>
  <w:style w:type="paragraph" w:customStyle="1" w:styleId="123">
    <w:name w:val="2正文4号"/>
    <w:basedOn w:val="1"/>
    <w:link w:val="124"/>
    <w:qFormat/>
    <w:uiPriority w:val="0"/>
    <w:pPr>
      <w:widowControl/>
      <w:ind w:firstLine="200"/>
    </w:pPr>
    <w:rPr>
      <w:kern w:val="0"/>
      <w:szCs w:val="28"/>
    </w:rPr>
  </w:style>
  <w:style w:type="character" w:customStyle="1" w:styleId="124">
    <w:name w:val="2正文4号 Char"/>
    <w:link w:val="123"/>
    <w:qFormat/>
    <w:uiPriority w:val="0"/>
    <w:rPr>
      <w:rFonts w:ascii="Times New Roman" w:hAnsi="Times New Roman" w:eastAsia="宋体" w:cs="Times New Roman"/>
      <w:sz w:val="24"/>
      <w:szCs w:val="28"/>
    </w:rPr>
  </w:style>
  <w:style w:type="character" w:customStyle="1" w:styleId="125">
    <w:name w:val="ZW Char Char"/>
    <w:qFormat/>
    <w:uiPriority w:val="0"/>
    <w:rPr>
      <w:rFonts w:ascii="仿宋_GB2312" w:eastAsia="仿宋_GB2312"/>
      <w:snapToGrid/>
      <w:sz w:val="28"/>
      <w:szCs w:val="24"/>
      <w:lang w:val="en-US" w:eastAsia="zh-CN"/>
    </w:rPr>
  </w:style>
  <w:style w:type="character" w:customStyle="1" w:styleId="126">
    <w:name w:val="正文新 Char"/>
    <w:link w:val="127"/>
    <w:qFormat/>
    <w:uiPriority w:val="0"/>
    <w:rPr>
      <w:kern w:val="2"/>
      <w:sz w:val="24"/>
      <w:szCs w:val="24"/>
    </w:rPr>
  </w:style>
  <w:style w:type="paragraph" w:customStyle="1" w:styleId="127">
    <w:name w:val="正文新"/>
    <w:basedOn w:val="1"/>
    <w:link w:val="126"/>
    <w:qFormat/>
    <w:uiPriority w:val="0"/>
    <w:pPr>
      <w:spacing w:line="460" w:lineRule="exact"/>
      <w:ind w:firstLine="480"/>
    </w:pPr>
    <w:rPr>
      <w:rFonts w:ascii="Calibri" w:hAnsi="Calibri"/>
    </w:rPr>
  </w:style>
  <w:style w:type="character" w:customStyle="1" w:styleId="128">
    <w:name w:val="Book-正文 Char"/>
    <w:link w:val="129"/>
    <w:qFormat/>
    <w:uiPriority w:val="0"/>
    <w:rPr>
      <w:rFonts w:eastAsia="宋体"/>
    </w:rPr>
  </w:style>
  <w:style w:type="paragraph" w:customStyle="1" w:styleId="129">
    <w:name w:val="Book-正文"/>
    <w:basedOn w:val="1"/>
    <w:link w:val="128"/>
    <w:qFormat/>
    <w:uiPriority w:val="0"/>
    <w:pPr>
      <w:spacing w:line="240" w:lineRule="auto"/>
      <w:ind w:firstLine="420" w:firstLineChars="0"/>
    </w:pPr>
    <w:rPr>
      <w:rFonts w:ascii="Calibri" w:hAnsi="Calibri"/>
      <w:kern w:val="0"/>
      <w:sz w:val="20"/>
      <w:szCs w:val="20"/>
    </w:rPr>
  </w:style>
  <w:style w:type="paragraph" w:customStyle="1" w:styleId="130">
    <w:name w:val="!表格（alt+t)"/>
    <w:basedOn w:val="1"/>
    <w:qFormat/>
    <w:uiPriority w:val="0"/>
    <w:pPr>
      <w:spacing w:line="240" w:lineRule="atLeast"/>
      <w:jc w:val="center"/>
    </w:pPr>
    <w:rPr>
      <w:rFonts w:hAnsi="宋体"/>
      <w:kern w:val="0"/>
    </w:rPr>
  </w:style>
  <w:style w:type="paragraph" w:customStyle="1" w:styleId="131">
    <w:name w:val="BT-3"/>
    <w:basedOn w:val="5"/>
    <w:next w:val="109"/>
    <w:link w:val="132"/>
    <w:qFormat/>
    <w:uiPriority w:val="0"/>
    <w:pPr>
      <w:keepNext w:val="0"/>
      <w:keepLines w:val="0"/>
      <w:spacing w:beforeLines="50" w:afterLines="50"/>
      <w:ind w:firstLine="0" w:firstLineChars="0"/>
    </w:pPr>
    <w:rPr>
      <w:rFonts w:ascii="Times New Roman" w:hAnsi="Times New Roman"/>
      <w:bCs/>
      <w:kern w:val="10"/>
      <w:szCs w:val="28"/>
    </w:rPr>
  </w:style>
  <w:style w:type="character" w:customStyle="1" w:styleId="132">
    <w:name w:val="BT-3 Char"/>
    <w:link w:val="131"/>
    <w:qFormat/>
    <w:uiPriority w:val="0"/>
    <w:rPr>
      <w:rFonts w:ascii="Times New Roman" w:hAnsi="Times New Roman" w:eastAsia="宋体" w:cs="Times New Roman"/>
      <w:b/>
      <w:bCs/>
      <w:kern w:val="10"/>
      <w:sz w:val="28"/>
      <w:szCs w:val="28"/>
    </w:rPr>
  </w:style>
  <w:style w:type="paragraph" w:customStyle="1" w:styleId="133">
    <w:name w:val="bbbb"/>
    <w:basedOn w:val="1"/>
    <w:link w:val="134"/>
    <w:qFormat/>
    <w:uiPriority w:val="0"/>
    <w:pPr>
      <w:widowControl/>
      <w:adjustRightInd w:val="0"/>
      <w:snapToGrid w:val="0"/>
      <w:spacing w:beforeLines="50" w:afterLines="50" w:line="240" w:lineRule="atLeast"/>
      <w:ind w:firstLine="0" w:firstLineChars="0"/>
      <w:jc w:val="center"/>
      <w:outlineLvl w:val="5"/>
    </w:pPr>
    <w:rPr>
      <w:rFonts w:ascii="Tahoma" w:hAnsi="Tahoma" w:eastAsia="仿宋"/>
      <w:b/>
      <w:kern w:val="0"/>
      <w:sz w:val="21"/>
      <w:szCs w:val="22"/>
    </w:rPr>
  </w:style>
  <w:style w:type="character" w:customStyle="1" w:styleId="134">
    <w:name w:val="bbbb Char"/>
    <w:link w:val="133"/>
    <w:qFormat/>
    <w:uiPriority w:val="0"/>
    <w:rPr>
      <w:rFonts w:ascii="Tahoma" w:hAnsi="Tahoma" w:eastAsia="仿宋"/>
      <w:b/>
      <w:sz w:val="21"/>
      <w:szCs w:val="22"/>
    </w:rPr>
  </w:style>
  <w:style w:type="paragraph" w:customStyle="1" w:styleId="135">
    <w:name w:val="b-w"/>
    <w:basedOn w:val="1"/>
    <w:next w:val="1"/>
    <w:link w:val="136"/>
    <w:qFormat/>
    <w:uiPriority w:val="0"/>
    <w:pPr>
      <w:widowControl/>
      <w:adjustRightInd w:val="0"/>
      <w:snapToGrid w:val="0"/>
      <w:spacing w:line="240" w:lineRule="atLeast"/>
      <w:ind w:firstLine="0" w:firstLineChars="0"/>
      <w:jc w:val="center"/>
    </w:pPr>
    <w:rPr>
      <w:rFonts w:ascii="Tahoma" w:hAnsi="Tahoma" w:eastAsia="仿宋"/>
      <w:kern w:val="0"/>
      <w:sz w:val="18"/>
      <w:szCs w:val="22"/>
    </w:rPr>
  </w:style>
  <w:style w:type="character" w:customStyle="1" w:styleId="136">
    <w:name w:val="b-w Char"/>
    <w:link w:val="135"/>
    <w:qFormat/>
    <w:uiPriority w:val="0"/>
    <w:rPr>
      <w:sz w:val="18"/>
    </w:rPr>
  </w:style>
  <w:style w:type="character" w:customStyle="1" w:styleId="137">
    <w:name w:val="BT-4 Char"/>
    <w:qFormat/>
    <w:uiPriority w:val="0"/>
    <w:rPr>
      <w:rFonts w:ascii="Times New Roman" w:hAnsi="Times New Roman" w:eastAsia="黑体"/>
      <w:b/>
      <w:kern w:val="2"/>
      <w:sz w:val="24"/>
      <w:szCs w:val="24"/>
    </w:rPr>
  </w:style>
  <w:style w:type="paragraph" w:customStyle="1" w:styleId="138">
    <w:name w:val="L正文"/>
    <w:basedOn w:val="1"/>
    <w:qFormat/>
    <w:uiPriority w:val="0"/>
    <w:pPr>
      <w:adjustRightInd w:val="0"/>
      <w:snapToGrid w:val="0"/>
      <w:ind w:firstLine="200"/>
    </w:pPr>
  </w:style>
  <w:style w:type="paragraph" w:customStyle="1" w:styleId="139">
    <w:name w:val="表格文字内容"/>
    <w:basedOn w:val="1"/>
    <w:link w:val="140"/>
    <w:qFormat/>
    <w:uiPriority w:val="0"/>
    <w:pPr>
      <w:adjustRightInd w:val="0"/>
      <w:snapToGrid w:val="0"/>
      <w:spacing w:line="240" w:lineRule="exact"/>
      <w:ind w:firstLine="0" w:firstLineChars="0"/>
      <w:jc w:val="center"/>
    </w:pPr>
    <w:rPr>
      <w:rFonts w:cs="宋体"/>
      <w:sz w:val="18"/>
      <w:szCs w:val="20"/>
    </w:rPr>
  </w:style>
  <w:style w:type="character" w:customStyle="1" w:styleId="140">
    <w:name w:val="表格文字内容 Char"/>
    <w:link w:val="139"/>
    <w:qFormat/>
    <w:uiPriority w:val="0"/>
    <w:rPr>
      <w:rFonts w:cs="宋体"/>
      <w:kern w:val="2"/>
      <w:sz w:val="18"/>
    </w:rPr>
  </w:style>
  <w:style w:type="paragraph" w:customStyle="1" w:styleId="141">
    <w:name w:val="表头"/>
    <w:link w:val="142"/>
    <w:qFormat/>
    <w:uiPriority w:val="0"/>
    <w:pPr>
      <w:spacing w:before="50" w:beforeLines="50" w:line="560" w:lineRule="exact"/>
      <w:jc w:val="center"/>
    </w:pPr>
    <w:rPr>
      <w:rFonts w:ascii="Times New Roman" w:hAnsi="Times New Roman" w:eastAsia="黑体" w:cs="Times New Roman"/>
      <w:sz w:val="24"/>
      <w:lang w:val="en-US" w:eastAsia="zh-CN" w:bidi="ar-SA"/>
    </w:rPr>
  </w:style>
  <w:style w:type="character" w:customStyle="1" w:styleId="142">
    <w:name w:val="表头 Char"/>
    <w:link w:val="141"/>
    <w:qFormat/>
    <w:uiPriority w:val="0"/>
    <w:rPr>
      <w:rFonts w:eastAsia="黑体"/>
      <w:sz w:val="24"/>
    </w:rPr>
  </w:style>
  <w:style w:type="table" w:customStyle="1" w:styleId="143">
    <w:name w:val="报告表格样式"/>
    <w:basedOn w:val="38"/>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nwCell">
      <w:tcPr>
        <w:tcBorders>
          <w:top w:val="nil"/>
          <w:left w:val="nil"/>
          <w:bottom w:val="nil"/>
          <w:right w:val="nil"/>
          <w:insideH w:val="nil"/>
          <w:insideV w:val="nil"/>
          <w:tl2br w:val="nil"/>
          <w:tr2bl w:val="nil"/>
        </w:tcBorders>
      </w:tcPr>
    </w:tblStylePr>
  </w:style>
  <w:style w:type="character" w:customStyle="1" w:styleId="144">
    <w:name w:val="font01"/>
    <w:qFormat/>
    <w:uiPriority w:val="0"/>
    <w:rPr>
      <w:rFonts w:ascii="Calibri" w:hAnsi="Calibri" w:cs="Calibri"/>
      <w:color w:val="000000"/>
      <w:sz w:val="21"/>
      <w:szCs w:val="21"/>
      <w:u w:val="none"/>
    </w:rPr>
  </w:style>
  <w:style w:type="character" w:customStyle="1" w:styleId="145">
    <w:name w:val="font31"/>
    <w:qFormat/>
    <w:uiPriority w:val="0"/>
    <w:rPr>
      <w:rFonts w:hint="default" w:ascii="Times New Roman" w:hAnsi="Times New Roman" w:cs="Times New Roman"/>
      <w:color w:val="000000"/>
      <w:sz w:val="21"/>
      <w:szCs w:val="21"/>
      <w:u w:val="none"/>
    </w:rPr>
  </w:style>
  <w:style w:type="paragraph" w:customStyle="1" w:styleId="146">
    <w:name w:val="表格标题"/>
    <w:basedOn w:val="11"/>
    <w:qFormat/>
    <w:uiPriority w:val="0"/>
    <w:pPr>
      <w:spacing w:line="360" w:lineRule="auto"/>
    </w:pPr>
    <w:rPr>
      <w:rFonts w:ascii="Times New Roman" w:hAnsi="Times New Roman"/>
      <w:kern w:val="2"/>
      <w:szCs w:val="24"/>
    </w:rPr>
  </w:style>
  <w:style w:type="paragraph" w:customStyle="1" w:styleId="147">
    <w:name w:val="表格内容"/>
    <w:basedOn w:val="146"/>
    <w:qFormat/>
    <w:uiPriority w:val="0"/>
    <w:pPr>
      <w:spacing w:line="240" w:lineRule="auto"/>
    </w:pPr>
    <w:rPr>
      <w:rFonts w:eastAsia="楷体_GB2312"/>
      <w:b w:val="0"/>
    </w:rPr>
  </w:style>
  <w:style w:type="paragraph" w:customStyle="1" w:styleId="148">
    <w:name w:val="1、表名"/>
    <w:basedOn w:val="1"/>
    <w:link w:val="149"/>
    <w:qFormat/>
    <w:uiPriority w:val="0"/>
    <w:pPr>
      <w:autoSpaceDE w:val="0"/>
      <w:autoSpaceDN w:val="0"/>
      <w:adjustRightInd w:val="0"/>
      <w:ind w:firstLine="0" w:firstLineChars="0"/>
      <w:jc w:val="center"/>
      <w:textAlignment w:val="baseline"/>
    </w:pPr>
    <w:rPr>
      <w:b/>
      <w:kern w:val="0"/>
      <w:sz w:val="21"/>
      <w:szCs w:val="21"/>
    </w:rPr>
  </w:style>
  <w:style w:type="character" w:customStyle="1" w:styleId="149">
    <w:name w:val="1、表名 Char"/>
    <w:link w:val="148"/>
    <w:qFormat/>
    <w:uiPriority w:val="0"/>
    <w:rPr>
      <w:b/>
      <w:sz w:val="21"/>
      <w:szCs w:val="21"/>
    </w:rPr>
  </w:style>
  <w:style w:type="paragraph" w:customStyle="1" w:styleId="150">
    <w:name w:val="1、表内字"/>
    <w:basedOn w:val="1"/>
    <w:qFormat/>
    <w:uiPriority w:val="0"/>
    <w:pPr>
      <w:widowControl/>
      <w:ind w:firstLine="0" w:firstLineChars="0"/>
      <w:jc w:val="center"/>
      <w:textAlignment w:val="baseline"/>
    </w:pPr>
    <w:rPr>
      <w:kern w:val="0"/>
      <w:sz w:val="21"/>
      <w:szCs w:val="21"/>
    </w:rPr>
  </w:style>
  <w:style w:type="paragraph" w:customStyle="1" w:styleId="151">
    <w:name w:val="正文2"/>
    <w:basedOn w:val="1"/>
    <w:qFormat/>
    <w:uiPriority w:val="0"/>
    <w:pPr>
      <w:spacing w:line="240" w:lineRule="auto"/>
      <w:ind w:firstLine="200"/>
    </w:pPr>
    <w:rPr>
      <w:sz w:val="21"/>
    </w:rPr>
  </w:style>
  <w:style w:type="paragraph" w:customStyle="1" w:styleId="15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5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54">
    <w:name w:val="Table Grid_0"/>
    <w:basedOn w:val="38"/>
    <w:qFormat/>
    <w:uiPriority w:val="0"/>
    <w:rPr>
      <w:rFonts w:eastAsia="仿宋"/>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20.bin"/><Relationship Id="rId97" Type="http://schemas.openxmlformats.org/officeDocument/2006/relationships/image" Target="media/image42.wmf"/><Relationship Id="rId96" Type="http://schemas.openxmlformats.org/officeDocument/2006/relationships/oleObject" Target="embeddings/oleObject19.bin"/><Relationship Id="rId95" Type="http://schemas.openxmlformats.org/officeDocument/2006/relationships/image" Target="media/image41.wmf"/><Relationship Id="rId94" Type="http://schemas.openxmlformats.org/officeDocument/2006/relationships/oleObject" Target="embeddings/oleObject18.bin"/><Relationship Id="rId93" Type="http://schemas.openxmlformats.org/officeDocument/2006/relationships/image" Target="media/image40.png"/><Relationship Id="rId92" Type="http://schemas.openxmlformats.org/officeDocument/2006/relationships/image" Target="media/image39.png"/><Relationship Id="rId91" Type="http://schemas.openxmlformats.org/officeDocument/2006/relationships/image" Target="media/image38.png"/><Relationship Id="rId90" Type="http://schemas.openxmlformats.org/officeDocument/2006/relationships/image" Target="media/image37.png"/><Relationship Id="rId9" Type="http://schemas.openxmlformats.org/officeDocument/2006/relationships/footer" Target="footer2.xml"/><Relationship Id="rId89" Type="http://schemas.openxmlformats.org/officeDocument/2006/relationships/image" Target="media/image36.wmf"/><Relationship Id="rId88" Type="http://schemas.openxmlformats.org/officeDocument/2006/relationships/image" Target="media/image35.png"/><Relationship Id="rId87" Type="http://schemas.openxmlformats.org/officeDocument/2006/relationships/image" Target="media/image34.png"/><Relationship Id="rId86" Type="http://schemas.openxmlformats.org/officeDocument/2006/relationships/image" Target="media/image33.png"/><Relationship Id="rId85" Type="http://schemas.openxmlformats.org/officeDocument/2006/relationships/image" Target="media/image32.wmf"/><Relationship Id="rId84" Type="http://schemas.openxmlformats.org/officeDocument/2006/relationships/oleObject" Target="embeddings/oleObject17.bin"/><Relationship Id="rId83" Type="http://schemas.openxmlformats.org/officeDocument/2006/relationships/image" Target="media/image31.wmf"/><Relationship Id="rId82" Type="http://schemas.openxmlformats.org/officeDocument/2006/relationships/oleObject" Target="embeddings/oleObject16.bin"/><Relationship Id="rId81" Type="http://schemas.openxmlformats.org/officeDocument/2006/relationships/image" Target="media/image30.wmf"/><Relationship Id="rId80" Type="http://schemas.openxmlformats.org/officeDocument/2006/relationships/oleObject" Target="embeddings/oleObject15.bin"/><Relationship Id="rId8" Type="http://schemas.openxmlformats.org/officeDocument/2006/relationships/footer" Target="footer1.xml"/><Relationship Id="rId79" Type="http://schemas.openxmlformats.org/officeDocument/2006/relationships/image" Target="media/image29.wmf"/><Relationship Id="rId78" Type="http://schemas.openxmlformats.org/officeDocument/2006/relationships/oleObject" Target="embeddings/oleObject14.bin"/><Relationship Id="rId77" Type="http://schemas.openxmlformats.org/officeDocument/2006/relationships/image" Target="media/image28.wmf"/><Relationship Id="rId76" Type="http://schemas.openxmlformats.org/officeDocument/2006/relationships/oleObject" Target="embeddings/oleObject13.bin"/><Relationship Id="rId75" Type="http://schemas.openxmlformats.org/officeDocument/2006/relationships/image" Target="media/image27.wmf"/><Relationship Id="rId74" Type="http://schemas.openxmlformats.org/officeDocument/2006/relationships/oleObject" Target="embeddings/oleObject12.bin"/><Relationship Id="rId73" Type="http://schemas.openxmlformats.org/officeDocument/2006/relationships/image" Target="media/image26.png"/><Relationship Id="rId72" Type="http://schemas.openxmlformats.org/officeDocument/2006/relationships/image" Target="media/image25.wmf"/><Relationship Id="rId71" Type="http://schemas.openxmlformats.org/officeDocument/2006/relationships/oleObject" Target="embeddings/oleObject11.bin"/><Relationship Id="rId70" Type="http://schemas.openxmlformats.org/officeDocument/2006/relationships/image" Target="media/image24.wmf"/><Relationship Id="rId7" Type="http://schemas.openxmlformats.org/officeDocument/2006/relationships/header" Target="header3.xml"/><Relationship Id="rId69" Type="http://schemas.openxmlformats.org/officeDocument/2006/relationships/oleObject" Target="embeddings/oleObject10.bin"/><Relationship Id="rId68" Type="http://schemas.openxmlformats.org/officeDocument/2006/relationships/image" Target="media/image23.wmf"/><Relationship Id="rId67" Type="http://schemas.openxmlformats.org/officeDocument/2006/relationships/oleObject" Target="embeddings/oleObject9.bin"/><Relationship Id="rId66" Type="http://schemas.openxmlformats.org/officeDocument/2006/relationships/image" Target="media/image22.wmf"/><Relationship Id="rId65" Type="http://schemas.openxmlformats.org/officeDocument/2006/relationships/oleObject" Target="embeddings/oleObject8.bin"/><Relationship Id="rId64" Type="http://schemas.openxmlformats.org/officeDocument/2006/relationships/image" Target="media/image21.wmf"/><Relationship Id="rId63" Type="http://schemas.openxmlformats.org/officeDocument/2006/relationships/oleObject" Target="embeddings/oleObject7.bin"/><Relationship Id="rId62" Type="http://schemas.openxmlformats.org/officeDocument/2006/relationships/image" Target="media/image20.wmf"/><Relationship Id="rId61" Type="http://schemas.openxmlformats.org/officeDocument/2006/relationships/oleObject" Target="embeddings/oleObject6.bin"/><Relationship Id="rId60" Type="http://schemas.openxmlformats.org/officeDocument/2006/relationships/image" Target="media/image19.wmf"/><Relationship Id="rId6" Type="http://schemas.openxmlformats.org/officeDocument/2006/relationships/header" Target="header2.xml"/><Relationship Id="rId59" Type="http://schemas.openxmlformats.org/officeDocument/2006/relationships/image" Target="media/image18.wmf"/><Relationship Id="rId58" Type="http://schemas.openxmlformats.org/officeDocument/2006/relationships/image" Target="media/image17.wmf"/><Relationship Id="rId57" Type="http://schemas.openxmlformats.org/officeDocument/2006/relationships/oleObject" Target="embeddings/oleObject5.bin"/><Relationship Id="rId56" Type="http://schemas.openxmlformats.org/officeDocument/2006/relationships/image" Target="media/image16.wmf"/><Relationship Id="rId55" Type="http://schemas.openxmlformats.org/officeDocument/2006/relationships/oleObject" Target="embeddings/oleObject4.bin"/><Relationship Id="rId54" Type="http://schemas.openxmlformats.org/officeDocument/2006/relationships/image" Target="media/image15.wmf"/><Relationship Id="rId53" Type="http://schemas.openxmlformats.org/officeDocument/2006/relationships/oleObject" Target="embeddings/oleObject3.bin"/><Relationship Id="rId52" Type="http://schemas.openxmlformats.org/officeDocument/2006/relationships/image" Target="media/image14.wmf"/><Relationship Id="rId51" Type="http://schemas.openxmlformats.org/officeDocument/2006/relationships/oleObject" Target="embeddings/oleObject2.bin"/><Relationship Id="rId50" Type="http://schemas.openxmlformats.org/officeDocument/2006/relationships/image" Target="media/image13.wmf"/><Relationship Id="rId5" Type="http://schemas.openxmlformats.org/officeDocument/2006/relationships/header" Target="header1.xml"/><Relationship Id="rId49" Type="http://schemas.openxmlformats.org/officeDocument/2006/relationships/oleObject" Target="embeddings/oleObject1.bin"/><Relationship Id="rId48" Type="http://schemas.openxmlformats.org/officeDocument/2006/relationships/image" Target="media/image12.jpe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jpeg"/><Relationship Id="rId44" Type="http://schemas.openxmlformats.org/officeDocument/2006/relationships/image" Target="media/image8.jpe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jpeg"/><Relationship Id="rId4" Type="http://schemas.openxmlformats.org/officeDocument/2006/relationships/endnotes" Target="endnotes.xml"/><Relationship Id="rId39" Type="http://schemas.openxmlformats.org/officeDocument/2006/relationships/image" Target="media/image3.jpeg"/><Relationship Id="rId38" Type="http://schemas.openxmlformats.org/officeDocument/2006/relationships/image" Target="media/image2.png"/><Relationship Id="rId37" Type="http://schemas.openxmlformats.org/officeDocument/2006/relationships/image" Target="media/image1.emf"/><Relationship Id="rId36" Type="http://schemas.openxmlformats.org/officeDocument/2006/relationships/oleObject" Target="embeddings/Microsoft_Visio_2003-2010___1.vsd"/><Relationship Id="rId35" Type="http://schemas.openxmlformats.org/officeDocument/2006/relationships/theme" Target="theme/theme1.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header" Target="header10.xml"/><Relationship Id="rId30" Type="http://schemas.openxmlformats.org/officeDocument/2006/relationships/header" Target="header9.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header" Target="header8.xml"/><Relationship Id="rId25" Type="http://schemas.openxmlformats.org/officeDocument/2006/relationships/header" Target="header7.xml"/><Relationship Id="rId24" Type="http://schemas.openxmlformats.org/officeDocument/2006/relationships/footer" Target="footer14.xml"/><Relationship Id="rId233" Type="http://schemas.openxmlformats.org/officeDocument/2006/relationships/fontTable" Target="fontTable.xml"/><Relationship Id="rId232" Type="http://schemas.openxmlformats.org/officeDocument/2006/relationships/customXml" Target="../customXml/item2.xml"/><Relationship Id="rId231" Type="http://schemas.openxmlformats.org/officeDocument/2006/relationships/numbering" Target="numbering.xml"/><Relationship Id="rId230" Type="http://schemas.openxmlformats.org/officeDocument/2006/relationships/customXml" Target="../customXml/item1.xml"/><Relationship Id="rId23" Type="http://schemas.openxmlformats.org/officeDocument/2006/relationships/footer" Target="footer13.xml"/><Relationship Id="rId229" Type="http://schemas.openxmlformats.org/officeDocument/2006/relationships/image" Target="media/image119.png"/><Relationship Id="rId228" Type="http://schemas.openxmlformats.org/officeDocument/2006/relationships/image" Target="media/image118.png"/><Relationship Id="rId227" Type="http://schemas.openxmlformats.org/officeDocument/2006/relationships/image" Target="media/image117.wmf"/><Relationship Id="rId226" Type="http://schemas.openxmlformats.org/officeDocument/2006/relationships/oleObject" Target="embeddings/oleObject74.bin"/><Relationship Id="rId225" Type="http://schemas.openxmlformats.org/officeDocument/2006/relationships/image" Target="media/image116.png"/><Relationship Id="rId224" Type="http://schemas.openxmlformats.org/officeDocument/2006/relationships/image" Target="media/image115.png"/><Relationship Id="rId223" Type="http://schemas.openxmlformats.org/officeDocument/2006/relationships/image" Target="media/image114.png"/><Relationship Id="rId222" Type="http://schemas.openxmlformats.org/officeDocument/2006/relationships/image" Target="media/image113.png"/><Relationship Id="rId221" Type="http://schemas.openxmlformats.org/officeDocument/2006/relationships/image" Target="media/image112.png"/><Relationship Id="rId220" Type="http://schemas.openxmlformats.org/officeDocument/2006/relationships/oleObject" Target="embeddings/oleObject73.bin"/><Relationship Id="rId22" Type="http://schemas.openxmlformats.org/officeDocument/2006/relationships/footer" Target="footer12.xml"/><Relationship Id="rId219" Type="http://schemas.openxmlformats.org/officeDocument/2006/relationships/image" Target="media/image111.png"/><Relationship Id="rId218" Type="http://schemas.openxmlformats.org/officeDocument/2006/relationships/image" Target="media/image110.png"/><Relationship Id="rId217" Type="http://schemas.openxmlformats.org/officeDocument/2006/relationships/image" Target="media/image109.png"/><Relationship Id="rId216" Type="http://schemas.openxmlformats.org/officeDocument/2006/relationships/image" Target="media/image108.png"/><Relationship Id="rId215" Type="http://schemas.openxmlformats.org/officeDocument/2006/relationships/image" Target="media/image107.emf"/><Relationship Id="rId214" Type="http://schemas.openxmlformats.org/officeDocument/2006/relationships/image" Target="media/image106.emf"/><Relationship Id="rId213" Type="http://schemas.openxmlformats.org/officeDocument/2006/relationships/image" Target="media/image105.emf"/><Relationship Id="rId212" Type="http://schemas.openxmlformats.org/officeDocument/2006/relationships/image" Target="media/image104.emf"/><Relationship Id="rId211" Type="http://schemas.openxmlformats.org/officeDocument/2006/relationships/image" Target="media/image103.emf"/><Relationship Id="rId210" Type="http://schemas.openxmlformats.org/officeDocument/2006/relationships/image" Target="media/image102.emf"/><Relationship Id="rId21" Type="http://schemas.openxmlformats.org/officeDocument/2006/relationships/footer" Target="footer11.xml"/><Relationship Id="rId209" Type="http://schemas.openxmlformats.org/officeDocument/2006/relationships/image" Target="media/image101.emf"/><Relationship Id="rId208" Type="http://schemas.openxmlformats.org/officeDocument/2006/relationships/image" Target="media/image100.emf"/><Relationship Id="rId207" Type="http://schemas.openxmlformats.org/officeDocument/2006/relationships/image" Target="media/image99.emf"/><Relationship Id="rId206" Type="http://schemas.openxmlformats.org/officeDocument/2006/relationships/image" Target="media/image98.emf"/><Relationship Id="rId205" Type="http://schemas.openxmlformats.org/officeDocument/2006/relationships/image" Target="media/image97.emf"/><Relationship Id="rId204" Type="http://schemas.openxmlformats.org/officeDocument/2006/relationships/image" Target="media/image96.emf"/><Relationship Id="rId203" Type="http://schemas.openxmlformats.org/officeDocument/2006/relationships/image" Target="media/image95.emf"/><Relationship Id="rId202" Type="http://schemas.openxmlformats.org/officeDocument/2006/relationships/image" Target="media/image94.emf"/><Relationship Id="rId201" Type="http://schemas.openxmlformats.org/officeDocument/2006/relationships/image" Target="media/image93.emf"/><Relationship Id="rId200" Type="http://schemas.openxmlformats.org/officeDocument/2006/relationships/image" Target="media/image92.wmf"/><Relationship Id="rId20" Type="http://schemas.openxmlformats.org/officeDocument/2006/relationships/footer" Target="footer10.xml"/><Relationship Id="rId2" Type="http://schemas.openxmlformats.org/officeDocument/2006/relationships/settings" Target="settings.xml"/><Relationship Id="rId199" Type="http://schemas.openxmlformats.org/officeDocument/2006/relationships/oleObject" Target="embeddings/oleObject72.bin"/><Relationship Id="rId198" Type="http://schemas.openxmlformats.org/officeDocument/2006/relationships/image" Target="media/image91.wmf"/><Relationship Id="rId197" Type="http://schemas.openxmlformats.org/officeDocument/2006/relationships/oleObject" Target="embeddings/oleObject71.bin"/><Relationship Id="rId196" Type="http://schemas.openxmlformats.org/officeDocument/2006/relationships/image" Target="media/image90.wmf"/><Relationship Id="rId195" Type="http://schemas.openxmlformats.org/officeDocument/2006/relationships/oleObject" Target="embeddings/oleObject70.bin"/><Relationship Id="rId194" Type="http://schemas.openxmlformats.org/officeDocument/2006/relationships/image" Target="media/image89.wmf"/><Relationship Id="rId193" Type="http://schemas.openxmlformats.org/officeDocument/2006/relationships/oleObject" Target="embeddings/oleObject69.bin"/><Relationship Id="rId192" Type="http://schemas.openxmlformats.org/officeDocument/2006/relationships/image" Target="media/image88.wmf"/><Relationship Id="rId191" Type="http://schemas.openxmlformats.org/officeDocument/2006/relationships/oleObject" Target="embeddings/oleObject68.bin"/><Relationship Id="rId190" Type="http://schemas.openxmlformats.org/officeDocument/2006/relationships/image" Target="media/image87.wmf"/><Relationship Id="rId19" Type="http://schemas.openxmlformats.org/officeDocument/2006/relationships/header" Target="header6.xml"/><Relationship Id="rId189" Type="http://schemas.openxmlformats.org/officeDocument/2006/relationships/oleObject" Target="embeddings/oleObject67.bin"/><Relationship Id="rId188" Type="http://schemas.openxmlformats.org/officeDocument/2006/relationships/image" Target="media/image86.wmf"/><Relationship Id="rId187" Type="http://schemas.openxmlformats.org/officeDocument/2006/relationships/oleObject" Target="embeddings/oleObject66.bin"/><Relationship Id="rId186" Type="http://schemas.openxmlformats.org/officeDocument/2006/relationships/image" Target="media/image85.wmf"/><Relationship Id="rId185" Type="http://schemas.openxmlformats.org/officeDocument/2006/relationships/oleObject" Target="embeddings/oleObject65.bin"/><Relationship Id="rId184" Type="http://schemas.openxmlformats.org/officeDocument/2006/relationships/image" Target="media/image84.wmf"/><Relationship Id="rId183" Type="http://schemas.openxmlformats.org/officeDocument/2006/relationships/oleObject" Target="embeddings/oleObject64.bin"/><Relationship Id="rId182" Type="http://schemas.openxmlformats.org/officeDocument/2006/relationships/image" Target="media/image83.wmf"/><Relationship Id="rId181" Type="http://schemas.openxmlformats.org/officeDocument/2006/relationships/oleObject" Target="embeddings/oleObject63.bin"/><Relationship Id="rId180" Type="http://schemas.openxmlformats.org/officeDocument/2006/relationships/image" Target="media/image82.wmf"/><Relationship Id="rId18" Type="http://schemas.openxmlformats.org/officeDocument/2006/relationships/header" Target="header5.xml"/><Relationship Id="rId179" Type="http://schemas.openxmlformats.org/officeDocument/2006/relationships/oleObject" Target="embeddings/oleObject62.bin"/><Relationship Id="rId178" Type="http://schemas.openxmlformats.org/officeDocument/2006/relationships/image" Target="media/image81.wmf"/><Relationship Id="rId177" Type="http://schemas.openxmlformats.org/officeDocument/2006/relationships/oleObject" Target="embeddings/oleObject61.bin"/><Relationship Id="rId176" Type="http://schemas.openxmlformats.org/officeDocument/2006/relationships/image" Target="media/image80.wmf"/><Relationship Id="rId175" Type="http://schemas.openxmlformats.org/officeDocument/2006/relationships/oleObject" Target="embeddings/oleObject60.bin"/><Relationship Id="rId174" Type="http://schemas.openxmlformats.org/officeDocument/2006/relationships/image" Target="media/image79.wmf"/><Relationship Id="rId173" Type="http://schemas.openxmlformats.org/officeDocument/2006/relationships/oleObject" Target="embeddings/oleObject59.bin"/><Relationship Id="rId172" Type="http://schemas.openxmlformats.org/officeDocument/2006/relationships/image" Target="media/image78.wmf"/><Relationship Id="rId171" Type="http://schemas.openxmlformats.org/officeDocument/2006/relationships/oleObject" Target="embeddings/oleObject58.bin"/><Relationship Id="rId170" Type="http://schemas.openxmlformats.org/officeDocument/2006/relationships/image" Target="media/image77.wmf"/><Relationship Id="rId17" Type="http://schemas.openxmlformats.org/officeDocument/2006/relationships/footer" Target="footer9.xml"/><Relationship Id="rId169" Type="http://schemas.openxmlformats.org/officeDocument/2006/relationships/oleObject" Target="embeddings/oleObject57.bin"/><Relationship Id="rId168" Type="http://schemas.openxmlformats.org/officeDocument/2006/relationships/image" Target="media/image76.wmf"/><Relationship Id="rId167" Type="http://schemas.openxmlformats.org/officeDocument/2006/relationships/oleObject" Target="embeddings/oleObject56.bin"/><Relationship Id="rId166" Type="http://schemas.openxmlformats.org/officeDocument/2006/relationships/image" Target="media/image75.wmf"/><Relationship Id="rId165" Type="http://schemas.openxmlformats.org/officeDocument/2006/relationships/oleObject" Target="embeddings/oleObject55.bin"/><Relationship Id="rId164" Type="http://schemas.openxmlformats.org/officeDocument/2006/relationships/image" Target="media/image74.wmf"/><Relationship Id="rId163" Type="http://schemas.openxmlformats.org/officeDocument/2006/relationships/oleObject" Target="embeddings/oleObject54.bin"/><Relationship Id="rId162" Type="http://schemas.openxmlformats.org/officeDocument/2006/relationships/image" Target="media/image73.wmf"/><Relationship Id="rId161" Type="http://schemas.openxmlformats.org/officeDocument/2006/relationships/oleObject" Target="embeddings/oleObject53.bin"/><Relationship Id="rId160" Type="http://schemas.openxmlformats.org/officeDocument/2006/relationships/image" Target="media/image72.wmf"/><Relationship Id="rId16" Type="http://schemas.openxmlformats.org/officeDocument/2006/relationships/footer" Target="footer8.xml"/><Relationship Id="rId159" Type="http://schemas.openxmlformats.org/officeDocument/2006/relationships/oleObject" Target="embeddings/oleObject52.bin"/><Relationship Id="rId158" Type="http://schemas.openxmlformats.org/officeDocument/2006/relationships/image" Target="media/image71.wmf"/><Relationship Id="rId157" Type="http://schemas.openxmlformats.org/officeDocument/2006/relationships/oleObject" Target="embeddings/oleObject51.bin"/><Relationship Id="rId156" Type="http://schemas.openxmlformats.org/officeDocument/2006/relationships/image" Target="media/image70.wmf"/><Relationship Id="rId155" Type="http://schemas.openxmlformats.org/officeDocument/2006/relationships/oleObject" Target="embeddings/oleObject50.bin"/><Relationship Id="rId154" Type="http://schemas.openxmlformats.org/officeDocument/2006/relationships/image" Target="media/image69.wmf"/><Relationship Id="rId153" Type="http://schemas.openxmlformats.org/officeDocument/2006/relationships/oleObject" Target="embeddings/oleObject49.bin"/><Relationship Id="rId152" Type="http://schemas.openxmlformats.org/officeDocument/2006/relationships/image" Target="media/image68.wmf"/><Relationship Id="rId151" Type="http://schemas.openxmlformats.org/officeDocument/2006/relationships/oleObject" Target="embeddings/oleObject48.bin"/><Relationship Id="rId150" Type="http://schemas.openxmlformats.org/officeDocument/2006/relationships/image" Target="media/image67.wmf"/><Relationship Id="rId15" Type="http://schemas.openxmlformats.org/officeDocument/2006/relationships/footer" Target="footer7.xml"/><Relationship Id="rId149" Type="http://schemas.openxmlformats.org/officeDocument/2006/relationships/oleObject" Target="embeddings/oleObject47.bin"/><Relationship Id="rId148" Type="http://schemas.openxmlformats.org/officeDocument/2006/relationships/image" Target="media/image66.wmf"/><Relationship Id="rId147" Type="http://schemas.openxmlformats.org/officeDocument/2006/relationships/oleObject" Target="embeddings/oleObject46.bin"/><Relationship Id="rId146" Type="http://schemas.openxmlformats.org/officeDocument/2006/relationships/oleObject" Target="embeddings/oleObject45.bin"/><Relationship Id="rId145" Type="http://schemas.openxmlformats.org/officeDocument/2006/relationships/image" Target="media/image65.wmf"/><Relationship Id="rId144" Type="http://schemas.openxmlformats.org/officeDocument/2006/relationships/oleObject" Target="embeddings/oleObject44.bin"/><Relationship Id="rId143" Type="http://schemas.openxmlformats.org/officeDocument/2006/relationships/image" Target="media/image64.wmf"/><Relationship Id="rId142" Type="http://schemas.openxmlformats.org/officeDocument/2006/relationships/oleObject" Target="embeddings/oleObject43.bin"/><Relationship Id="rId141" Type="http://schemas.openxmlformats.org/officeDocument/2006/relationships/image" Target="media/image63.wmf"/><Relationship Id="rId140" Type="http://schemas.openxmlformats.org/officeDocument/2006/relationships/oleObject" Target="embeddings/oleObject42.bin"/><Relationship Id="rId14" Type="http://schemas.openxmlformats.org/officeDocument/2006/relationships/footer" Target="footer6.xml"/><Relationship Id="rId139" Type="http://schemas.openxmlformats.org/officeDocument/2006/relationships/image" Target="media/image62.wmf"/><Relationship Id="rId138" Type="http://schemas.openxmlformats.org/officeDocument/2006/relationships/oleObject" Target="embeddings/oleObject41.bin"/><Relationship Id="rId137" Type="http://schemas.openxmlformats.org/officeDocument/2006/relationships/image" Target="media/image61.wmf"/><Relationship Id="rId136" Type="http://schemas.openxmlformats.org/officeDocument/2006/relationships/oleObject" Target="embeddings/oleObject40.bin"/><Relationship Id="rId135" Type="http://schemas.openxmlformats.org/officeDocument/2006/relationships/image" Target="media/image60.wmf"/><Relationship Id="rId134" Type="http://schemas.openxmlformats.org/officeDocument/2006/relationships/oleObject" Target="embeddings/oleObject39.bin"/><Relationship Id="rId133" Type="http://schemas.openxmlformats.org/officeDocument/2006/relationships/image" Target="media/image59.wmf"/><Relationship Id="rId132" Type="http://schemas.openxmlformats.org/officeDocument/2006/relationships/oleObject" Target="embeddings/oleObject38.bin"/><Relationship Id="rId131" Type="http://schemas.openxmlformats.org/officeDocument/2006/relationships/image" Target="media/image58.wmf"/><Relationship Id="rId130" Type="http://schemas.openxmlformats.org/officeDocument/2006/relationships/oleObject" Target="embeddings/oleObject37.bin"/><Relationship Id="rId13" Type="http://schemas.openxmlformats.org/officeDocument/2006/relationships/footer" Target="footer5.xml"/><Relationship Id="rId129" Type="http://schemas.openxmlformats.org/officeDocument/2006/relationships/image" Target="media/image57.wmf"/><Relationship Id="rId128" Type="http://schemas.openxmlformats.org/officeDocument/2006/relationships/oleObject" Target="embeddings/oleObject36.bin"/><Relationship Id="rId127" Type="http://schemas.openxmlformats.org/officeDocument/2006/relationships/image" Target="media/image56.wmf"/><Relationship Id="rId126" Type="http://schemas.openxmlformats.org/officeDocument/2006/relationships/oleObject" Target="embeddings/oleObject35.bin"/><Relationship Id="rId125" Type="http://schemas.openxmlformats.org/officeDocument/2006/relationships/image" Target="media/image55.wmf"/><Relationship Id="rId124" Type="http://schemas.openxmlformats.org/officeDocument/2006/relationships/oleObject" Target="embeddings/oleObject34.bin"/><Relationship Id="rId123" Type="http://schemas.openxmlformats.org/officeDocument/2006/relationships/image" Target="media/image54.wmf"/><Relationship Id="rId122" Type="http://schemas.openxmlformats.org/officeDocument/2006/relationships/oleObject" Target="embeddings/oleObject33.bin"/><Relationship Id="rId121" Type="http://schemas.openxmlformats.org/officeDocument/2006/relationships/image" Target="media/image53.wmf"/><Relationship Id="rId120" Type="http://schemas.openxmlformats.org/officeDocument/2006/relationships/oleObject" Target="embeddings/oleObject32.bin"/><Relationship Id="rId12" Type="http://schemas.openxmlformats.org/officeDocument/2006/relationships/footer" Target="footer4.xml"/><Relationship Id="rId119" Type="http://schemas.openxmlformats.org/officeDocument/2006/relationships/image" Target="media/image52.wmf"/><Relationship Id="rId118" Type="http://schemas.openxmlformats.org/officeDocument/2006/relationships/oleObject" Target="embeddings/oleObject31.bin"/><Relationship Id="rId117" Type="http://schemas.openxmlformats.org/officeDocument/2006/relationships/image" Target="media/image51.wmf"/><Relationship Id="rId116" Type="http://schemas.openxmlformats.org/officeDocument/2006/relationships/oleObject" Target="embeddings/oleObject30.bin"/><Relationship Id="rId115" Type="http://schemas.openxmlformats.org/officeDocument/2006/relationships/oleObject" Target="embeddings/oleObject29.bin"/><Relationship Id="rId114" Type="http://schemas.openxmlformats.org/officeDocument/2006/relationships/image" Target="media/image50.wmf"/><Relationship Id="rId113" Type="http://schemas.openxmlformats.org/officeDocument/2006/relationships/oleObject" Target="embeddings/oleObject28.bin"/><Relationship Id="rId112" Type="http://schemas.openxmlformats.org/officeDocument/2006/relationships/image" Target="media/image49.wmf"/><Relationship Id="rId111" Type="http://schemas.openxmlformats.org/officeDocument/2006/relationships/oleObject" Target="embeddings/oleObject27.bin"/><Relationship Id="rId110" Type="http://schemas.openxmlformats.org/officeDocument/2006/relationships/oleObject" Target="embeddings/oleObject26.bin"/><Relationship Id="rId11" Type="http://schemas.openxmlformats.org/officeDocument/2006/relationships/header" Target="header4.xml"/><Relationship Id="rId109" Type="http://schemas.openxmlformats.org/officeDocument/2006/relationships/image" Target="media/image48.wmf"/><Relationship Id="rId108" Type="http://schemas.openxmlformats.org/officeDocument/2006/relationships/oleObject" Target="embeddings/oleObject25.bin"/><Relationship Id="rId107" Type="http://schemas.openxmlformats.org/officeDocument/2006/relationships/image" Target="media/image47.wmf"/><Relationship Id="rId106" Type="http://schemas.openxmlformats.org/officeDocument/2006/relationships/oleObject" Target="embeddings/oleObject24.bin"/><Relationship Id="rId105" Type="http://schemas.openxmlformats.org/officeDocument/2006/relationships/image" Target="media/image46.wmf"/><Relationship Id="rId104" Type="http://schemas.openxmlformats.org/officeDocument/2006/relationships/oleObject" Target="embeddings/oleObject23.bin"/><Relationship Id="rId103" Type="http://schemas.openxmlformats.org/officeDocument/2006/relationships/image" Target="media/image45.wmf"/><Relationship Id="rId102" Type="http://schemas.openxmlformats.org/officeDocument/2006/relationships/oleObject" Target="embeddings/oleObject22.bin"/><Relationship Id="rId101" Type="http://schemas.openxmlformats.org/officeDocument/2006/relationships/image" Target="media/image44.wmf"/><Relationship Id="rId100" Type="http://schemas.openxmlformats.org/officeDocument/2006/relationships/oleObject" Target="embeddings/oleObject21.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519AE0-6891-4BF3-BF59-82E0D68F9C1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362</Pages>
  <Words>225264</Words>
  <Characters>260985</Characters>
  <Lines>2037</Lines>
  <Paragraphs>573</Paragraphs>
  <TotalTime>3</TotalTime>
  <ScaleCrop>false</ScaleCrop>
  <LinksUpToDate>false</LinksUpToDate>
  <CharactersWithSpaces>262710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2023-03-28T02:04:00Z</dcterms:created>
  <dc:creator>耶思</dc:creator>
  <cp:lastModifiedBy>花开花落、</cp:lastModifiedBy>
  <cp:lastPrinted>2021-12-09T11:56:00Z</cp:lastPrinted>
  <dcterms:modified xsi:type="dcterms:W3CDTF">2023-03-28T06:56:57Z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CC9A1F65903F4DBA865069ECE5F7938F</vt:lpwstr>
  </property>
</Properties>
</file>