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巴中市巴州区“免申即享”政策清单（第二批）</w:t>
      </w:r>
    </w:p>
    <w:bookmarkEnd w:id="0"/>
    <w:p>
      <w:pPr>
        <w:spacing w:line="600" w:lineRule="exact"/>
        <w:rPr>
          <w:rFonts w:hint="default" w:ascii="Times New Roman" w:hAnsi="Times New Roman" w:eastAsia="方正小标宋_GBK" w:cs="Times New Roman"/>
          <w:sz w:val="44"/>
          <w:szCs w:val="44"/>
        </w:rPr>
      </w:pPr>
    </w:p>
    <w:tbl>
      <w:tblPr>
        <w:tblStyle w:val="8"/>
        <w:tblW w:w="14600" w:type="dxa"/>
        <w:jc w:val="center"/>
        <w:tblLayout w:type="fixed"/>
        <w:tblCellMar>
          <w:top w:w="0" w:type="dxa"/>
          <w:left w:w="108" w:type="dxa"/>
          <w:bottom w:w="0" w:type="dxa"/>
          <w:right w:w="108" w:type="dxa"/>
        </w:tblCellMar>
      </w:tblPr>
      <w:tblGrid>
        <w:gridCol w:w="886"/>
        <w:gridCol w:w="1568"/>
        <w:gridCol w:w="2644"/>
        <w:gridCol w:w="5643"/>
        <w:gridCol w:w="1161"/>
        <w:gridCol w:w="1638"/>
        <w:gridCol w:w="1060"/>
      </w:tblGrid>
      <w:tr>
        <w:tblPrEx>
          <w:tblCellMar>
            <w:top w:w="0" w:type="dxa"/>
            <w:left w:w="108" w:type="dxa"/>
            <w:bottom w:w="0" w:type="dxa"/>
            <w:right w:w="108" w:type="dxa"/>
          </w:tblCellMar>
        </w:tblPrEx>
        <w:trPr>
          <w:trHeight w:val="623" w:hRule="atLeast"/>
          <w:tblHeade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序号</w:t>
            </w:r>
          </w:p>
        </w:tc>
        <w:tc>
          <w:tcPr>
            <w:tcW w:w="1568"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责任部门</w:t>
            </w:r>
          </w:p>
        </w:tc>
        <w:tc>
          <w:tcPr>
            <w:tcW w:w="26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文件名称</w:t>
            </w:r>
          </w:p>
        </w:tc>
        <w:tc>
          <w:tcPr>
            <w:tcW w:w="5643"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政策内容概要</w:t>
            </w:r>
          </w:p>
        </w:tc>
        <w:tc>
          <w:tcPr>
            <w:tcW w:w="1161"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联系人</w:t>
            </w:r>
          </w:p>
        </w:tc>
        <w:tc>
          <w:tcPr>
            <w:tcW w:w="1638"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咨询电话</w:t>
            </w:r>
          </w:p>
        </w:tc>
        <w:tc>
          <w:tcPr>
            <w:tcW w:w="106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备注</w:t>
            </w:r>
          </w:p>
        </w:tc>
      </w:tr>
      <w:tr>
        <w:tblPrEx>
          <w:tblCellMar>
            <w:top w:w="0" w:type="dxa"/>
            <w:left w:w="108" w:type="dxa"/>
            <w:bottom w:w="0" w:type="dxa"/>
            <w:right w:w="108" w:type="dxa"/>
          </w:tblCellMar>
        </w:tblPrEx>
        <w:trPr>
          <w:trHeight w:val="2362" w:hRule="atLeast"/>
          <w:jc w:val="center"/>
        </w:trPr>
        <w:tc>
          <w:tcPr>
            <w:tcW w:w="886" w:type="dxa"/>
            <w:tcBorders>
              <w:top w:val="nil"/>
              <w:left w:val="single" w:color="auto" w:sz="4" w:space="0"/>
              <w:bottom w:val="single" w:color="auto" w:sz="4" w:space="0"/>
              <w:right w:val="single" w:color="auto" w:sz="4" w:space="0"/>
            </w:tcBorders>
            <w:shd w:val="clear" w:color="auto" w:fill="auto"/>
            <w:vAlign w:val="center"/>
          </w:tcPr>
          <w:p>
            <w:pPr>
              <w:pStyle w:val="10"/>
              <w:spacing w:line="360" w:lineRule="exac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568" w:type="dxa"/>
            <w:tcBorders>
              <w:top w:val="nil"/>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区市场监督管理局</w:t>
            </w:r>
          </w:p>
        </w:tc>
        <w:tc>
          <w:tcPr>
            <w:tcW w:w="2644" w:type="dxa"/>
            <w:tcBorders>
              <w:top w:val="nil"/>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《关于印发巴中市营商环境对标创新行动方案的通知》（巴府办发〔2023〕30号）</w:t>
            </w:r>
          </w:p>
        </w:tc>
        <w:tc>
          <w:tcPr>
            <w:tcW w:w="5643" w:type="dxa"/>
            <w:tcBorders>
              <w:top w:val="nil"/>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对</w:t>
            </w:r>
            <w:r>
              <w:rPr>
                <w:rFonts w:hint="default" w:ascii="Times New Roman" w:hAnsi="Times New Roman" w:eastAsia="方正仿宋_GBK" w:cs="Times New Roman"/>
                <w:sz w:val="24"/>
                <w:szCs w:val="24"/>
              </w:rPr>
              <w:t>在巴州区新注册的企业</w:t>
            </w:r>
            <w:r>
              <w:rPr>
                <w:rFonts w:hint="default" w:ascii="Times New Roman" w:hAnsi="Times New Roman" w:eastAsia="方正仿宋_GBK" w:cs="Times New Roman"/>
                <w:sz w:val="24"/>
                <w:szCs w:val="24"/>
                <w:lang w:val="en-US" w:eastAsia="zh-CN"/>
              </w:rPr>
              <w:t>减免</w:t>
            </w:r>
            <w:r>
              <w:rPr>
                <w:rFonts w:hint="default" w:ascii="Times New Roman" w:hAnsi="Times New Roman" w:eastAsia="方正仿宋_GBK" w:cs="Times New Roman"/>
                <w:sz w:val="24"/>
                <w:szCs w:val="24"/>
              </w:rPr>
              <w:t>首套印章刻制费</w:t>
            </w:r>
            <w:r>
              <w:rPr>
                <w:rFonts w:hint="default" w:ascii="Times New Roman" w:hAnsi="Times New Roman" w:eastAsia="方正仿宋_GBK" w:cs="Times New Roman"/>
                <w:sz w:val="24"/>
                <w:szCs w:val="24"/>
                <w:lang w:val="en-US" w:eastAsia="zh-CN"/>
              </w:rPr>
              <w:t>并提供</w:t>
            </w:r>
            <w:r>
              <w:rPr>
                <w:rFonts w:hint="default" w:ascii="Times New Roman" w:hAnsi="Times New Roman" w:eastAsia="方正仿宋_GBK" w:cs="Times New Roman"/>
                <w:sz w:val="24"/>
                <w:szCs w:val="24"/>
              </w:rPr>
              <w:t>各种证照寄递服务。</w:t>
            </w:r>
          </w:p>
        </w:tc>
        <w:tc>
          <w:tcPr>
            <w:tcW w:w="116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李华容</w:t>
            </w:r>
          </w:p>
        </w:tc>
        <w:tc>
          <w:tcPr>
            <w:tcW w:w="163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13619099993</w:t>
            </w:r>
          </w:p>
        </w:tc>
        <w:tc>
          <w:tcPr>
            <w:tcW w:w="106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color w:val="FF0000"/>
                <w:sz w:val="24"/>
                <w:szCs w:val="24"/>
              </w:rPr>
            </w:pPr>
          </w:p>
        </w:tc>
      </w:tr>
      <w:tr>
        <w:tblPrEx>
          <w:tblCellMar>
            <w:top w:w="0" w:type="dxa"/>
            <w:left w:w="108" w:type="dxa"/>
            <w:bottom w:w="0" w:type="dxa"/>
            <w:right w:w="108" w:type="dxa"/>
          </w:tblCellMar>
        </w:tblPrEx>
        <w:trPr>
          <w:trHeight w:val="2362" w:hRule="atLeast"/>
          <w:jc w:val="center"/>
        </w:trPr>
        <w:tc>
          <w:tcPr>
            <w:tcW w:w="886" w:type="dxa"/>
            <w:tcBorders>
              <w:top w:val="nil"/>
              <w:left w:val="single" w:color="auto" w:sz="4" w:space="0"/>
              <w:bottom w:val="single" w:color="auto" w:sz="4" w:space="0"/>
              <w:right w:val="single" w:color="auto" w:sz="4" w:space="0"/>
            </w:tcBorders>
            <w:shd w:val="clear" w:color="auto" w:fill="auto"/>
            <w:vAlign w:val="center"/>
          </w:tcPr>
          <w:p>
            <w:pPr>
              <w:pStyle w:val="10"/>
              <w:spacing w:line="360" w:lineRule="exac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568" w:type="dxa"/>
            <w:tcBorders>
              <w:top w:val="nil"/>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区粮食和物资储备中心</w:t>
            </w:r>
          </w:p>
        </w:tc>
        <w:tc>
          <w:tcPr>
            <w:tcW w:w="2644" w:type="dxa"/>
            <w:tcBorders>
              <w:top w:val="nil"/>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z w:val="24"/>
                <w:szCs w:val="24"/>
                <w:lang w:val="en-US" w:eastAsia="zh-CN"/>
              </w:rPr>
              <w:t>关于印发</w:t>
            </w:r>
            <w:r>
              <w:rPr>
                <w:rFonts w:hint="default" w:ascii="Times New Roman" w:hAnsi="Times New Roman" w:eastAsia="方正仿宋_GBK" w:cs="Times New Roman"/>
                <w:sz w:val="24"/>
                <w:szCs w:val="24"/>
              </w:rPr>
              <w:t>巴州区区级储备粮油管理办法</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lang w:val="en-US" w:eastAsia="zh-CN"/>
              </w:rPr>
              <w:t>暂行</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z w:val="24"/>
                <w:szCs w:val="24"/>
                <w:lang w:val="en-US" w:eastAsia="zh-CN"/>
              </w:rPr>
              <w:t>的通知</w:t>
            </w:r>
            <w:r>
              <w:rPr>
                <w:rFonts w:hint="default" w:ascii="Times New Roman" w:hAnsi="Times New Roman" w:eastAsia="方正仿宋_GBK" w:cs="Times New Roman"/>
                <w:sz w:val="24"/>
                <w:szCs w:val="24"/>
              </w:rPr>
              <w:t>（巴区发改〔2022〕7号）</w:t>
            </w:r>
          </w:p>
        </w:tc>
        <w:tc>
          <w:tcPr>
            <w:tcW w:w="5643" w:type="dxa"/>
            <w:tcBorders>
              <w:top w:val="nil"/>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对储备粮油的承储企业给予利息费用补贴。</w:t>
            </w:r>
          </w:p>
        </w:tc>
        <w:tc>
          <w:tcPr>
            <w:tcW w:w="116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李雯</w:t>
            </w:r>
          </w:p>
        </w:tc>
        <w:tc>
          <w:tcPr>
            <w:tcW w:w="163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18382793173</w:t>
            </w:r>
          </w:p>
        </w:tc>
        <w:tc>
          <w:tcPr>
            <w:tcW w:w="1060" w:type="dxa"/>
            <w:tcBorders>
              <w:top w:val="nil"/>
              <w:left w:val="nil"/>
              <w:bottom w:val="single" w:color="auto" w:sz="4" w:space="0"/>
              <w:right w:val="single" w:color="auto" w:sz="4" w:space="0"/>
            </w:tcBorders>
            <w:shd w:val="clear" w:color="auto" w:fill="auto"/>
            <w:vAlign w:val="center"/>
          </w:tcPr>
          <w:p>
            <w:pPr>
              <w:pStyle w:val="10"/>
              <w:spacing w:line="360" w:lineRule="exact"/>
              <w:ind w:firstLine="0" w:firstLineChars="0"/>
              <w:jc w:val="center"/>
              <w:rPr>
                <w:rFonts w:hint="default" w:ascii="Times New Roman" w:hAnsi="Times New Roman" w:eastAsia="方正仿宋_GBK" w:cs="Times New Roman"/>
                <w:sz w:val="24"/>
                <w:szCs w:val="24"/>
              </w:rPr>
            </w:pPr>
          </w:p>
        </w:tc>
      </w:tr>
      <w:tr>
        <w:tblPrEx>
          <w:tblCellMar>
            <w:top w:w="0" w:type="dxa"/>
            <w:left w:w="108" w:type="dxa"/>
            <w:bottom w:w="0" w:type="dxa"/>
            <w:right w:w="108" w:type="dxa"/>
          </w:tblCellMar>
        </w:tblPrEx>
        <w:trPr>
          <w:trHeight w:val="2542" w:hRule="atLeast"/>
          <w:jc w:val="center"/>
        </w:trPr>
        <w:tc>
          <w:tcPr>
            <w:tcW w:w="886" w:type="dxa"/>
            <w:tcBorders>
              <w:top w:val="nil"/>
              <w:left w:val="single" w:color="auto" w:sz="4" w:space="0"/>
              <w:bottom w:val="single" w:color="auto" w:sz="4" w:space="0"/>
              <w:right w:val="single" w:color="auto" w:sz="4" w:space="0"/>
            </w:tcBorders>
            <w:shd w:val="clear" w:color="auto" w:fill="auto"/>
            <w:vAlign w:val="center"/>
          </w:tcPr>
          <w:p>
            <w:pPr>
              <w:pStyle w:val="10"/>
              <w:spacing w:line="360" w:lineRule="exac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568" w:type="dxa"/>
            <w:tcBorders>
              <w:top w:val="nil"/>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区商务局</w:t>
            </w:r>
          </w:p>
        </w:tc>
        <w:tc>
          <w:tcPr>
            <w:tcW w:w="2644" w:type="dxa"/>
            <w:tcBorders>
              <w:top w:val="nil"/>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《关于推动服务业高质量发展建设服务业强区的意见》（巴区委发〔2020〕9号）</w:t>
            </w:r>
          </w:p>
        </w:tc>
        <w:tc>
          <w:tcPr>
            <w:tcW w:w="5643" w:type="dxa"/>
            <w:tcBorders>
              <w:top w:val="nil"/>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主营业务收入首次超过1亿元的商贸流通批发零售企业和年主营业务首次超过3000万元的住宿餐饮企业，分别给予企业10万元、5万元奖励。对本地特色餐饮入驻特色街区且经营一年以上的给予2万元一次性奖励。对首次年网络销售额超过1000万元、2000万元、5000万元的电商企业，分别给予2万元、5万元、10万元的一次性奖励。</w:t>
            </w:r>
          </w:p>
        </w:tc>
        <w:tc>
          <w:tcPr>
            <w:tcW w:w="116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叶东</w:t>
            </w:r>
          </w:p>
        </w:tc>
        <w:tc>
          <w:tcPr>
            <w:tcW w:w="163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13550467817</w:t>
            </w:r>
          </w:p>
        </w:tc>
        <w:tc>
          <w:tcPr>
            <w:tcW w:w="106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p>
        </w:tc>
      </w:tr>
      <w:tr>
        <w:tblPrEx>
          <w:tblCellMar>
            <w:top w:w="0" w:type="dxa"/>
            <w:left w:w="108" w:type="dxa"/>
            <w:bottom w:w="0" w:type="dxa"/>
            <w:right w:w="108" w:type="dxa"/>
          </w:tblCellMar>
        </w:tblPrEx>
        <w:trPr>
          <w:trHeight w:val="3724" w:hRule="atLeast"/>
          <w:jc w:val="center"/>
        </w:trPr>
        <w:tc>
          <w:tcPr>
            <w:tcW w:w="886" w:type="dxa"/>
            <w:tcBorders>
              <w:top w:val="nil"/>
              <w:left w:val="single" w:color="auto" w:sz="4" w:space="0"/>
              <w:bottom w:val="single" w:color="auto" w:sz="4" w:space="0"/>
              <w:right w:val="single" w:color="auto" w:sz="4" w:space="0"/>
            </w:tcBorders>
            <w:shd w:val="clear" w:color="auto" w:fill="auto"/>
            <w:vAlign w:val="center"/>
          </w:tcPr>
          <w:p>
            <w:pPr>
              <w:pStyle w:val="10"/>
              <w:spacing w:line="360" w:lineRule="exac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568" w:type="dxa"/>
            <w:tcBorders>
              <w:top w:val="nil"/>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区商务局</w:t>
            </w:r>
          </w:p>
        </w:tc>
        <w:tc>
          <w:tcPr>
            <w:tcW w:w="2644" w:type="dxa"/>
            <w:tcBorders>
              <w:top w:val="nil"/>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《巴中市推动现代服务业高质量发展十六条措施的通知》（巴府办规〔2022〕2号）</w:t>
            </w:r>
          </w:p>
        </w:tc>
        <w:tc>
          <w:tcPr>
            <w:tcW w:w="5643" w:type="dxa"/>
            <w:tcBorders>
              <w:top w:val="nil"/>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纳入地区生产总值核算且年营业收入达0.3亿元、0.5亿元、1亿元及以上，年增长率超过20%的规上服务业企业，分别给予4万元、8万元、15万元的一次性奖励；对批发业年销售收入达0.5亿元、1亿元、5亿元及以上，零售业年销售收入达0.3亿元、0.5亿元、1亿元及以上，住宿餐饮业年营业收入达0.1亿元、0.2亿元、0.3亿元及以上，且年增长率超过20%的限上商贸流通企业，分别给予3万元、5万元、8万元的一次性奖励。</w:t>
            </w:r>
          </w:p>
        </w:tc>
        <w:tc>
          <w:tcPr>
            <w:tcW w:w="116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叶东</w:t>
            </w:r>
          </w:p>
        </w:tc>
        <w:tc>
          <w:tcPr>
            <w:tcW w:w="163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13550467817</w:t>
            </w:r>
          </w:p>
        </w:tc>
        <w:tc>
          <w:tcPr>
            <w:tcW w:w="106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p>
        </w:tc>
      </w:tr>
      <w:tr>
        <w:tblPrEx>
          <w:tblCellMar>
            <w:top w:w="0" w:type="dxa"/>
            <w:left w:w="108" w:type="dxa"/>
            <w:bottom w:w="0" w:type="dxa"/>
            <w:right w:w="108" w:type="dxa"/>
          </w:tblCellMar>
        </w:tblPrEx>
        <w:trPr>
          <w:trHeight w:val="493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spacing w:line="360" w:lineRule="exac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568"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区住房和城乡建设局</w:t>
            </w:r>
          </w:p>
        </w:tc>
        <w:tc>
          <w:tcPr>
            <w:tcW w:w="2644"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lang w:val="en-US" w:eastAsia="zh-CN"/>
              </w:rPr>
              <w:t>关于印发</w:t>
            </w:r>
            <w:r>
              <w:rPr>
                <w:rFonts w:hint="default" w:ascii="Times New Roman" w:hAnsi="Times New Roman" w:eastAsia="方正仿宋_GBK" w:cs="Times New Roman"/>
                <w:sz w:val="24"/>
                <w:szCs w:val="24"/>
              </w:rPr>
              <w:t>巴中市支持建筑业发展九条措施</w:t>
            </w:r>
            <w:r>
              <w:rPr>
                <w:rFonts w:hint="default" w:ascii="Times New Roman" w:hAnsi="Times New Roman" w:eastAsia="方正仿宋_GBK" w:cs="Times New Roman"/>
                <w:sz w:val="24"/>
                <w:szCs w:val="24"/>
                <w:lang w:val="en-US" w:eastAsia="zh-CN"/>
              </w:rPr>
              <w:t>的通知》</w:t>
            </w:r>
            <w:r>
              <w:rPr>
                <w:rFonts w:hint="default" w:ascii="Times New Roman" w:hAnsi="Times New Roman" w:eastAsia="方正仿宋_GBK" w:cs="Times New Roman"/>
                <w:sz w:val="24"/>
                <w:szCs w:val="24"/>
              </w:rPr>
              <w:t>（巴府办规〔2022〕6号）</w:t>
            </w:r>
          </w:p>
        </w:tc>
        <w:tc>
          <w:tcPr>
            <w:tcW w:w="564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建筑业企业年度营业收入首次迈入20亿元、10亿元、5亿元级台阶的，分别给予20万元、10万元、5万元资金奖补；对建筑施工总承包企业资质晋升为特级的，一次性奖励200万元；对建筑业企业施工总承包企业资质晋开为一级的，一次性奖励50万元；对水利、水电、电力、桥梁、隧道等专业承包企业资质晋升为一级的，一次性奖励10 万元；对勘察、设计、监理企业晋升为甲级资质的，一次性奖励20万元；对荣获“鲁班奖”“詹天佑奖” 或国家优质工程金奖的建设项目，给予一次性奖励50万元；对荣获“天府杯”金奖、银奖和省结构优质工程的建设项目，分别一次性奖励20万元、15万元、10万元；对落户巴中企业实行奖励政策，对持有施工总承包特级资质、施工总承包一级资质和专业承包一级资质的企业，正常开展营业活动1年以上的，分别给子200 万元、50万元、10万元一次性奖励。</w:t>
            </w:r>
          </w:p>
        </w:tc>
        <w:tc>
          <w:tcPr>
            <w:tcW w:w="116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熊焰</w:t>
            </w:r>
          </w:p>
        </w:tc>
        <w:tc>
          <w:tcPr>
            <w:tcW w:w="163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18282102926</w:t>
            </w:r>
          </w:p>
        </w:tc>
        <w:tc>
          <w:tcPr>
            <w:tcW w:w="106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p>
        </w:tc>
      </w:tr>
      <w:tr>
        <w:tblPrEx>
          <w:tblCellMar>
            <w:top w:w="0" w:type="dxa"/>
            <w:left w:w="108" w:type="dxa"/>
            <w:bottom w:w="0" w:type="dxa"/>
            <w:right w:w="108" w:type="dxa"/>
          </w:tblCellMar>
        </w:tblPrEx>
        <w:trPr>
          <w:trHeight w:val="5966"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spacing w:line="360" w:lineRule="exac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1568"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区税务局</w:t>
            </w:r>
          </w:p>
        </w:tc>
        <w:tc>
          <w:tcPr>
            <w:tcW w:w="26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《财政部 税务总局关于进一步加大增值税期末留抵退税政策实施力度的公告》（财政部 税务总局公告2022年第14号）</w:t>
            </w:r>
          </w:p>
          <w:p>
            <w:p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《国家税务总局关于进一步加大增值税期末留抵退税政策实施力度有关征管事项的公告》（国家税务总局公告2022年第4号）</w:t>
            </w:r>
          </w:p>
          <w:p>
            <w:pPr>
              <w:spacing w:line="360" w:lineRule="exact"/>
              <w:jc w:val="left"/>
              <w:rPr>
                <w:rFonts w:hint="default" w:ascii="Times New Roman" w:hAnsi="Times New Roman" w:eastAsia="方正仿宋_GBK" w:cs="Times New Roman"/>
                <w:sz w:val="24"/>
                <w:szCs w:val="24"/>
              </w:rPr>
            </w:pPr>
          </w:p>
        </w:tc>
        <w:tc>
          <w:tcPr>
            <w:tcW w:w="5643"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对先进制造业按月全额退还增值税、增量留抵税额，政策范围扩大至符合条件的小微企业（含个体工商户，下同），并一次性退还小微企业存量留抵税额。</w:t>
            </w:r>
          </w:p>
        </w:tc>
        <w:tc>
          <w:tcPr>
            <w:tcW w:w="1161"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傅森林</w:t>
            </w:r>
          </w:p>
        </w:tc>
        <w:tc>
          <w:tcPr>
            <w:tcW w:w="1638"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0827-5241570</w:t>
            </w:r>
          </w:p>
        </w:tc>
        <w:tc>
          <w:tcPr>
            <w:tcW w:w="106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p>
        </w:tc>
      </w:tr>
      <w:tr>
        <w:tblPrEx>
          <w:tblCellMar>
            <w:top w:w="0" w:type="dxa"/>
            <w:left w:w="108" w:type="dxa"/>
            <w:bottom w:w="0" w:type="dxa"/>
            <w:right w:w="108" w:type="dxa"/>
          </w:tblCellMar>
        </w:tblPrEx>
        <w:trPr>
          <w:trHeight w:val="2064"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spacing w:line="360" w:lineRule="exac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1568"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区税务局</w:t>
            </w:r>
          </w:p>
        </w:tc>
        <w:tc>
          <w:tcPr>
            <w:tcW w:w="26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《财政部 税务总局关于延续实施普惠金融有关税收优惠政策的公告》（财政部 税务总局公告2020年第22号）</w:t>
            </w:r>
          </w:p>
        </w:tc>
        <w:tc>
          <w:tcPr>
            <w:tcW w:w="5643"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对农户、小型企业、微型企业及个体工商户借款、发行债券提供融资担保取得的担保费收入，以及为上述融资担保提供再担保取得的再担保费收入，免征增值税。</w:t>
            </w:r>
          </w:p>
        </w:tc>
        <w:tc>
          <w:tcPr>
            <w:tcW w:w="1161"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傅森林</w:t>
            </w:r>
          </w:p>
        </w:tc>
        <w:tc>
          <w:tcPr>
            <w:tcW w:w="1638"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0827-5241570</w:t>
            </w:r>
          </w:p>
        </w:tc>
        <w:tc>
          <w:tcPr>
            <w:tcW w:w="106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24"/>
                <w:szCs w:val="24"/>
              </w:rPr>
            </w:pPr>
          </w:p>
        </w:tc>
      </w:tr>
    </w:tbl>
    <w:p>
      <w:pPr>
        <w:pStyle w:val="2"/>
        <w:rPr>
          <w:rFonts w:hint="default" w:ascii="Times New Roman" w:hAnsi="Times New Roman" w:eastAsia="方正小标宋_GBK" w:cs="Times New Roman"/>
          <w:color w:val="FF0000"/>
        </w:rPr>
      </w:pPr>
    </w:p>
    <w:p>
      <w:pPr>
        <w:pStyle w:val="3"/>
        <w:jc w:val="both"/>
        <w:rPr>
          <w:rFonts w:hint="default" w:ascii="Times New Roman" w:hAnsi="Times New Roman" w:eastAsia="方正小标宋_GBK" w:cs="Times New Roman"/>
          <w:color w:val="FF0000"/>
        </w:rPr>
        <w:sectPr>
          <w:headerReference r:id="rId3" w:type="default"/>
          <w:footerReference r:id="rId4" w:type="default"/>
          <w:pgSz w:w="16838" w:h="11906" w:orient="landscape"/>
          <w:pgMar w:top="1304" w:right="1440" w:bottom="1134" w:left="1440" w:header="851" w:footer="992" w:gutter="0"/>
          <w:cols w:space="425" w:num="1"/>
          <w:docGrid w:type="lines" w:linePitch="312" w:charSpace="0"/>
        </w:sect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 xml:space="preserve">  </w:t>
      </w:r>
    </w:p>
    <w:p>
      <w:pPr>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widowControl/>
        <w:adjustRightInd w:val="0"/>
        <w:snapToGrid w:val="0"/>
        <w:spacing w:line="600" w:lineRule="exact"/>
        <w:jc w:val="left"/>
        <w:rPr>
          <w:rFonts w:hint="default" w:ascii="Times New Roman" w:hAnsi="Times New Roman" w:eastAsia="黑体" w:cs="Times New Roman"/>
          <w:b/>
          <w:bCs/>
          <w:color w:val="000000"/>
          <w:kern w:val="0"/>
          <w:sz w:val="32"/>
          <w:szCs w:val="28"/>
        </w:rPr>
      </w:pPr>
      <w:r>
        <w:rPr>
          <w:rFonts w:hint="default" w:ascii="Times New Roman" w:hAnsi="Times New Roman" w:eastAsia="方正黑体_GBK" w:cs="Times New Roman"/>
          <w:b/>
          <w:bCs/>
          <w:color w:val="000000"/>
          <w:kern w:val="0"/>
          <w:sz w:val="32"/>
          <w:szCs w:val="28"/>
        </w:rPr>
        <w:t>信息公开选项：</w:t>
      </w:r>
      <w:r>
        <w:rPr>
          <w:rFonts w:hint="default" w:ascii="Times New Roman" w:hAnsi="Times New Roman" w:eastAsia="方正黑体_GBK" w:cs="Times New Roman"/>
          <w:color w:val="000000"/>
          <w:kern w:val="0"/>
          <w:sz w:val="32"/>
          <w:szCs w:val="28"/>
        </w:rPr>
        <w:t>主动公开</w:t>
      </w:r>
    </w:p>
    <w:p>
      <w:pPr>
        <w:widowControl/>
        <w:pBdr>
          <w:top w:val="single" w:color="auto" w:sz="4" w:space="1"/>
          <w:bottom w:val="single" w:color="auto" w:sz="4" w:space="0"/>
        </w:pBdr>
        <w:adjustRightInd w:val="0"/>
        <w:snapToGrid w:val="0"/>
        <w:spacing w:line="400" w:lineRule="exact"/>
        <w:ind w:firstLine="284" w:firstLineChars="100"/>
        <w:jc w:val="left"/>
        <w:rPr>
          <w:rFonts w:hint="default" w:ascii="Times New Roman" w:hAnsi="Times New Roman" w:eastAsia="仿宋_GB2312" w:cs="Times New Roman"/>
          <w:color w:val="000000"/>
          <w:spacing w:val="-15"/>
          <w:sz w:val="28"/>
          <w:szCs w:val="28"/>
          <w:lang w:val="en-US" w:eastAsia="zh-CN" w:bidi="ar"/>
        </w:rPr>
      </w:pPr>
      <w:r>
        <w:rPr>
          <w:rFonts w:hint="default" w:ascii="Times New Roman" w:hAnsi="Times New Roman" w:eastAsia="仿宋_GB2312" w:cs="Times New Roman"/>
          <w:color w:val="000000"/>
          <w:spacing w:val="2"/>
          <w:sz w:val="28"/>
          <w:szCs w:val="28"/>
          <w:lang w:bidi="ar"/>
        </w:rPr>
        <w:t>抄送：区</w:t>
      </w:r>
      <w:r>
        <w:rPr>
          <w:rFonts w:hint="default" w:ascii="Times New Roman" w:hAnsi="Times New Roman" w:eastAsia="仿宋_GB2312" w:cs="Times New Roman"/>
          <w:color w:val="000000"/>
          <w:spacing w:val="-15"/>
          <w:sz w:val="28"/>
          <w:szCs w:val="28"/>
          <w:lang w:bidi="ar"/>
        </w:rPr>
        <w:t>委办公室，区人大常委会办公室，区政协办公室，区纪委监委机关，</w:t>
      </w:r>
      <w:r>
        <w:rPr>
          <w:rFonts w:hint="default" w:ascii="Times New Roman" w:hAnsi="Times New Roman" w:eastAsia="仿宋_GB2312" w:cs="Times New Roman"/>
          <w:color w:val="000000"/>
          <w:spacing w:val="-15"/>
          <w:sz w:val="28"/>
          <w:szCs w:val="28"/>
          <w:lang w:val="en-US" w:eastAsia="zh-CN" w:bidi="ar"/>
        </w:rPr>
        <w:t xml:space="preserve"> </w:t>
      </w:r>
    </w:p>
    <w:p>
      <w:pPr>
        <w:widowControl/>
        <w:pBdr>
          <w:top w:val="single" w:color="auto" w:sz="4" w:space="1"/>
          <w:bottom w:val="single" w:color="auto" w:sz="4" w:space="0"/>
        </w:pBdr>
        <w:adjustRightInd w:val="0"/>
        <w:snapToGrid w:val="0"/>
        <w:spacing w:line="400" w:lineRule="exact"/>
        <w:ind w:firstLine="250" w:firstLineChars="100"/>
        <w:jc w:val="left"/>
        <w:rPr>
          <w:rFonts w:hint="default" w:ascii="Times New Roman" w:hAnsi="Times New Roman" w:cs="Times New Roman"/>
        </w:rPr>
      </w:pPr>
      <w:r>
        <w:rPr>
          <w:rFonts w:hint="default" w:ascii="Times New Roman" w:hAnsi="Times New Roman" w:eastAsia="仿宋_GB2312" w:cs="Times New Roman"/>
          <w:color w:val="000000"/>
          <w:spacing w:val="-15"/>
          <w:sz w:val="28"/>
          <w:szCs w:val="28"/>
          <w:lang w:val="en-US" w:eastAsia="zh-CN" w:bidi="ar"/>
        </w:rPr>
        <w:t xml:space="preserve">        </w:t>
      </w:r>
      <w:r>
        <w:rPr>
          <w:rFonts w:hint="default" w:ascii="Times New Roman" w:hAnsi="Times New Roman" w:eastAsia="仿宋_GB2312" w:cs="Times New Roman"/>
          <w:color w:val="000000"/>
          <w:spacing w:val="2"/>
          <w:sz w:val="28"/>
          <w:szCs w:val="28"/>
          <w:lang w:bidi="ar"/>
        </w:rPr>
        <w:t>区法院，区检察院，区人武部。</w:t>
      </w:r>
    </w:p>
    <w:sectPr>
      <w:footerReference r:id="rId5" w:type="default"/>
      <w:pgSz w:w="11906" w:h="16838"/>
      <w:pgMar w:top="2098" w:right="1474" w:bottom="1984" w:left="1587" w:header="851" w:footer="158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iN2FhOGFiYjY4OThmMjI3YmJhZjc2N2E0OWI3NGIifQ=="/>
  </w:docVars>
  <w:rsids>
    <w:rsidRoot w:val="00571BA2"/>
    <w:rsid w:val="00085253"/>
    <w:rsid w:val="00122D56"/>
    <w:rsid w:val="00135235"/>
    <w:rsid w:val="0018231A"/>
    <w:rsid w:val="001979B8"/>
    <w:rsid w:val="00273A2E"/>
    <w:rsid w:val="002748DF"/>
    <w:rsid w:val="00287ECD"/>
    <w:rsid w:val="002C04E0"/>
    <w:rsid w:val="002C5DB0"/>
    <w:rsid w:val="004B62CA"/>
    <w:rsid w:val="004D2CA7"/>
    <w:rsid w:val="00571BA2"/>
    <w:rsid w:val="00601732"/>
    <w:rsid w:val="00686EB7"/>
    <w:rsid w:val="006961BE"/>
    <w:rsid w:val="00753A6F"/>
    <w:rsid w:val="007B523C"/>
    <w:rsid w:val="00994E93"/>
    <w:rsid w:val="00997F6F"/>
    <w:rsid w:val="009D44AA"/>
    <w:rsid w:val="009D4E02"/>
    <w:rsid w:val="00AD65BD"/>
    <w:rsid w:val="00AF2444"/>
    <w:rsid w:val="00B52FD7"/>
    <w:rsid w:val="00B7033B"/>
    <w:rsid w:val="00BD1316"/>
    <w:rsid w:val="00D0081B"/>
    <w:rsid w:val="00D02B34"/>
    <w:rsid w:val="00D06F03"/>
    <w:rsid w:val="00D218EC"/>
    <w:rsid w:val="00DE729B"/>
    <w:rsid w:val="00DF4700"/>
    <w:rsid w:val="00F72704"/>
    <w:rsid w:val="00F92DE0"/>
    <w:rsid w:val="00FC49B2"/>
    <w:rsid w:val="00FF4A3E"/>
    <w:rsid w:val="07B64940"/>
    <w:rsid w:val="1018453B"/>
    <w:rsid w:val="17942D23"/>
    <w:rsid w:val="255D3875"/>
    <w:rsid w:val="30777D64"/>
    <w:rsid w:val="34FE5DA1"/>
    <w:rsid w:val="39630F4F"/>
    <w:rsid w:val="455F5860"/>
    <w:rsid w:val="48E74F92"/>
    <w:rsid w:val="6CFB6FA4"/>
    <w:rsid w:val="792C0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footer"/>
    <w:basedOn w:val="1"/>
    <w:next w:val="3"/>
    <w:link w:val="13"/>
    <w:unhideWhenUsed/>
    <w:qFormat/>
    <w:uiPriority w:val="99"/>
    <w:pPr>
      <w:tabs>
        <w:tab w:val="center" w:pos="4153"/>
        <w:tab w:val="right" w:pos="8306"/>
      </w:tabs>
      <w:snapToGrid w:val="0"/>
      <w:jc w:val="left"/>
    </w:pPr>
    <w:rPr>
      <w:sz w:val="18"/>
      <w:szCs w:val="18"/>
    </w:rPr>
  </w:style>
  <w:style w:type="paragraph" w:styleId="3">
    <w:name w:val="Title"/>
    <w:basedOn w:val="1"/>
    <w:next w:val="1"/>
    <w:qFormat/>
    <w:uiPriority w:val="0"/>
    <w:pPr>
      <w:spacing w:before="240" w:after="60"/>
      <w:jc w:val="center"/>
      <w:outlineLvl w:val="0"/>
    </w:pPr>
    <w:rPr>
      <w:rFonts w:ascii="Arial" w:hAnsi="Arial" w:cs="Arial"/>
      <w:b/>
      <w:bCs/>
      <w:sz w:val="32"/>
      <w:szCs w:val="32"/>
    </w:rPr>
  </w:style>
  <w:style w:type="paragraph" w:styleId="4">
    <w:name w:val="Body Text"/>
    <w:basedOn w:val="1"/>
    <w:link w:val="11"/>
    <w:unhideWhenUsed/>
    <w:qFormat/>
    <w:uiPriority w:val="99"/>
    <w:pPr>
      <w:spacing w:after="120"/>
    </w:pPr>
  </w:style>
  <w:style w:type="paragraph" w:styleId="5">
    <w:name w:val="Balloon Text"/>
    <w:basedOn w:val="1"/>
    <w:link w:val="14"/>
    <w:semiHidden/>
    <w:unhideWhenUsed/>
    <w:qFormat/>
    <w:uiPriority w:val="99"/>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customStyle="1" w:styleId="10">
    <w:name w:val="列出段落1"/>
    <w:basedOn w:val="1"/>
    <w:qFormat/>
    <w:uiPriority w:val="34"/>
    <w:pPr>
      <w:ind w:firstLine="420" w:firstLineChars="200"/>
    </w:pPr>
  </w:style>
  <w:style w:type="character" w:customStyle="1" w:styleId="11">
    <w:name w:val="正文文本 字符"/>
    <w:basedOn w:val="9"/>
    <w:link w:val="4"/>
    <w:qFormat/>
    <w:uiPriority w:val="99"/>
  </w:style>
  <w:style w:type="character" w:customStyle="1" w:styleId="12">
    <w:name w:val="页眉 字符"/>
    <w:basedOn w:val="9"/>
    <w:link w:val="6"/>
    <w:qFormat/>
    <w:uiPriority w:val="99"/>
    <w:rPr>
      <w:sz w:val="18"/>
      <w:szCs w:val="18"/>
    </w:rPr>
  </w:style>
  <w:style w:type="character" w:customStyle="1" w:styleId="13">
    <w:name w:val="页脚 字符"/>
    <w:basedOn w:val="9"/>
    <w:link w:val="2"/>
    <w:qFormat/>
    <w:uiPriority w:val="99"/>
    <w:rPr>
      <w:sz w:val="18"/>
      <w:szCs w:val="18"/>
    </w:rPr>
  </w:style>
  <w:style w:type="character" w:customStyle="1" w:styleId="14">
    <w:name w:val="批注框文本 字符"/>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1640</Words>
  <Characters>1806</Characters>
  <Lines>14</Lines>
  <Paragraphs>3</Paragraphs>
  <TotalTime>2</TotalTime>
  <ScaleCrop>false</ScaleCrop>
  <LinksUpToDate>false</LinksUpToDate>
  <CharactersWithSpaces>1825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2023-03-06T03:22:00Z</dcterms:created>
  <dc:creator>马勇</dc:creator>
  <cp:lastModifiedBy>伴，随。</cp:lastModifiedBy>
  <cp:lastPrinted>2023-04-21T01:47:00Z</cp:lastPrinted>
  <dcterms:modified xsi:type="dcterms:W3CDTF">2023-05-19T02:34:23Z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D6A55821503E45A6A4153597D2B759A6_13</vt:lpwstr>
  </property>
</Properties>
</file>