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52"/>
          <w:lang w:eastAsia="zh-CN"/>
        </w:rPr>
      </w:pPr>
      <w:r>
        <w:rPr>
          <w:rFonts w:hint="eastAsia" w:ascii="方正小标宋简体" w:hAnsi="方正小标宋简体" w:eastAsia="方正小标宋简体" w:cs="方正小标宋简体"/>
          <w:b w:val="0"/>
          <w:bCs w:val="0"/>
          <w:sz w:val="44"/>
          <w:szCs w:val="52"/>
          <w:lang w:eastAsia="zh-CN"/>
        </w:rPr>
        <w:t>巴中市巴州区国有资产监督管理局</w:t>
      </w:r>
      <w:r>
        <w:rPr>
          <w:rFonts w:hint="eastAsia" w:ascii="方正小标宋简体" w:hAnsi="方正小标宋简体" w:eastAsia="方正小标宋简体" w:cs="方正小标宋简体"/>
          <w:b w:val="0"/>
          <w:bCs w:val="0"/>
          <w:sz w:val="44"/>
          <w:szCs w:val="5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52"/>
          <w:lang w:eastAsia="zh-CN"/>
        </w:rPr>
      </w:pPr>
      <w:r>
        <w:rPr>
          <w:rFonts w:hint="eastAsia" w:ascii="方正小标宋简体" w:hAnsi="方正小标宋简体" w:eastAsia="方正小标宋简体" w:cs="方正小标宋简体"/>
          <w:b w:val="0"/>
          <w:bCs w:val="0"/>
          <w:sz w:val="44"/>
          <w:szCs w:val="52"/>
          <w:lang w:val="en-US" w:eastAsia="zh-CN"/>
        </w:rPr>
        <w:t xml:space="preserve">  </w:t>
      </w:r>
      <w:r>
        <w:rPr>
          <w:rFonts w:hint="eastAsia" w:ascii="方正小标宋简体" w:hAnsi="方正小标宋简体" w:eastAsia="方正小标宋简体" w:cs="方正小标宋简体"/>
          <w:b w:val="0"/>
          <w:bCs w:val="0"/>
          <w:spacing w:val="-23"/>
          <w:sz w:val="44"/>
          <w:szCs w:val="52"/>
          <w:lang w:eastAsia="zh-CN"/>
        </w:rPr>
        <w:t>关于汇鑫公司十三五易地扶贫搬迁贷款付息项目的</w:t>
      </w:r>
      <w:r>
        <w:rPr>
          <w:rFonts w:hint="eastAsia" w:ascii="方正小标宋简体" w:hAnsi="方正小标宋简体" w:eastAsia="方正小标宋简体" w:cs="方正小标宋简体"/>
          <w:b w:val="0"/>
          <w:bCs w:val="0"/>
          <w:sz w:val="44"/>
          <w:szCs w:val="52"/>
          <w:lang w:eastAsia="zh-CN"/>
        </w:rPr>
        <w:t>绩效评价报告</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_GBK" w:cs="Times New Roman"/>
          <w:b w:val="0"/>
          <w:bCs w:val="0"/>
          <w:sz w:val="32"/>
          <w:szCs w:val="40"/>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_GBK" w:cs="Times New Roman"/>
          <w:b w:val="0"/>
          <w:bCs w:val="0"/>
          <w:sz w:val="32"/>
          <w:szCs w:val="40"/>
          <w:lang w:eastAsia="zh-CN"/>
        </w:rPr>
      </w:pPr>
      <w:r>
        <w:rPr>
          <w:rFonts w:hint="default" w:ascii="Times New Roman" w:hAnsi="Times New Roman" w:eastAsia="方正黑体_GBK" w:cs="Times New Roman"/>
          <w:b w:val="0"/>
          <w:bCs w:val="0"/>
          <w:sz w:val="32"/>
          <w:szCs w:val="40"/>
          <w:lang w:eastAsia="zh-CN"/>
        </w:rPr>
        <w:t>一、项目概况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方正仿宋简体" w:hAnsi="方正仿宋简体" w:eastAsia="方正仿宋简体" w:cs="方正仿宋简体"/>
          <w:b w:val="0"/>
          <w:bCs w:val="0"/>
          <w:sz w:val="32"/>
          <w:szCs w:val="40"/>
          <w:lang w:val="en-US" w:eastAsia="zh-CN"/>
        </w:rPr>
      </w:pPr>
      <w:r>
        <w:rPr>
          <w:rFonts w:hint="default" w:ascii="Times New Roman" w:hAnsi="Times New Roman" w:eastAsia="方正楷体_GBK" w:cs="Times New Roman"/>
          <w:b w:val="0"/>
          <w:bCs w:val="0"/>
          <w:sz w:val="32"/>
          <w:szCs w:val="40"/>
          <w:lang w:eastAsia="zh-CN"/>
        </w:rPr>
        <w:t>（一）项目基本情况</w:t>
      </w:r>
      <w:r>
        <w:rPr>
          <w:rFonts w:hint="eastAsia" w:ascii="方正仿宋简体" w:hAnsi="方正仿宋简体" w:eastAsia="方正仿宋简体" w:cs="方正仿宋简体"/>
          <w:b w:val="0"/>
          <w:bCs w:val="0"/>
          <w:sz w:val="32"/>
          <w:szCs w:val="40"/>
          <w:lang w:eastAsia="zh-CN"/>
        </w:rPr>
        <w:t>。根据《巴中市财政局</w:t>
      </w:r>
      <w:r>
        <w:rPr>
          <w:rFonts w:hint="eastAsia" w:ascii="方正仿宋简体" w:hAnsi="方正仿宋简体" w:eastAsia="方正仿宋简体" w:cs="方正仿宋简体"/>
          <w:b w:val="0"/>
          <w:bCs w:val="0"/>
          <w:sz w:val="32"/>
          <w:szCs w:val="40"/>
          <w:lang w:val="en-US" w:eastAsia="zh-CN"/>
        </w:rPr>
        <w:t xml:space="preserve"> 巴中市乡村振兴局 巴中市民族宗教事务局关于提前下达2022年中央和省级财政衔接推进乡村振兴补助资金预算的通知》（巴财农〔2021〕80号）和《巴中市巴州区财政局 巴中市巴州区乡村振兴局关于下达2022年中央财政衔接推进乡村振兴补助资金预算的通知》（巴区财农〔2022〕2号）文件精神，2022年下达区国资局2022年中央财政衔接推进乡村振兴补助资金预算指标4067万元，专项用于“十三五”时期易地扶贫搬迁贷款本息的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方正仿宋简体" w:hAnsi="方正仿宋简体" w:eastAsia="方正仿宋简体" w:cs="方正仿宋简体"/>
          <w:b w:val="0"/>
          <w:bCs w:val="0"/>
          <w:sz w:val="32"/>
          <w:szCs w:val="40"/>
          <w:lang w:val="en-US" w:eastAsia="zh-CN"/>
        </w:rPr>
      </w:pPr>
      <w:r>
        <w:rPr>
          <w:rFonts w:hint="eastAsia" w:ascii="方正楷体_GBK" w:hAnsi="方正楷体_GBK" w:eastAsia="方正楷体_GBK" w:cs="方正楷体_GBK"/>
          <w:b w:val="0"/>
          <w:bCs w:val="0"/>
          <w:sz w:val="32"/>
          <w:szCs w:val="40"/>
          <w:lang w:val="en-US" w:eastAsia="zh-CN"/>
        </w:rPr>
        <w:t>（二）项目绩效目标。</w:t>
      </w:r>
      <w:r>
        <w:rPr>
          <w:rFonts w:hint="default" w:ascii="方正仿宋简体" w:hAnsi="方正仿宋简体" w:eastAsia="方正仿宋简体" w:cs="方正仿宋简体"/>
          <w:b w:val="0"/>
          <w:bCs w:val="0"/>
          <w:sz w:val="32"/>
          <w:szCs w:val="40"/>
          <w:lang w:val="en-US" w:eastAsia="zh-CN"/>
        </w:rPr>
        <w:t>根据</w:t>
      </w:r>
      <w:r>
        <w:rPr>
          <w:rFonts w:hint="eastAsia" w:ascii="方正仿宋简体" w:hAnsi="方正仿宋简体" w:eastAsia="方正仿宋简体" w:cs="方正仿宋简体"/>
          <w:b w:val="0"/>
          <w:bCs w:val="0"/>
          <w:sz w:val="32"/>
          <w:szCs w:val="40"/>
          <w:lang w:val="en-US" w:eastAsia="zh-CN"/>
        </w:rPr>
        <w:t>《巴中市巴州区财政局 巴中市巴州区乡村振兴局关于下达2022年中央财政衔接推进乡村振兴补助资金预算的通知》（巴区财农〔2022〕2号）</w:t>
      </w:r>
      <w:r>
        <w:rPr>
          <w:rFonts w:hint="default" w:ascii="方正仿宋简体" w:hAnsi="方正仿宋简体" w:eastAsia="方正仿宋简体" w:cs="方正仿宋简体"/>
          <w:b w:val="0"/>
          <w:bCs w:val="0"/>
          <w:sz w:val="32"/>
          <w:szCs w:val="40"/>
          <w:lang w:val="en-US" w:eastAsia="zh-CN"/>
        </w:rPr>
        <w:t>要求，</w:t>
      </w:r>
      <w:r>
        <w:rPr>
          <w:rFonts w:hint="eastAsia" w:ascii="方正仿宋简体" w:hAnsi="方正仿宋简体" w:eastAsia="方正仿宋简体" w:cs="方正仿宋简体"/>
          <w:b w:val="0"/>
          <w:bCs w:val="0"/>
          <w:sz w:val="32"/>
          <w:szCs w:val="40"/>
          <w:lang w:val="en-US" w:eastAsia="zh-CN"/>
        </w:rPr>
        <w:t>区国资局按照还本付息时间节点及时拨付企业资金，确保其按时还款并有效防范地方债务风险。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sz w:val="32"/>
          <w:szCs w:val="40"/>
          <w:lang w:val="en-US" w:eastAsia="zh-CN"/>
        </w:rPr>
      </w:pPr>
      <w:r>
        <w:rPr>
          <w:rFonts w:hint="eastAsia" w:ascii="方正黑体_GBK" w:hAnsi="方正黑体_GBK" w:eastAsia="方正黑体_GBK" w:cs="方正黑体_GBK"/>
          <w:b w:val="0"/>
          <w:bCs w:val="0"/>
          <w:sz w:val="32"/>
          <w:szCs w:val="40"/>
          <w:lang w:val="en-US" w:eastAsia="zh-CN"/>
        </w:rPr>
        <w:t>二、项目资金申报及使用情况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方正仿宋简体" w:hAnsi="方正仿宋简体" w:eastAsia="方正仿宋简体" w:cs="方正仿宋简体"/>
          <w:b w:val="0"/>
          <w:bCs w:val="0"/>
          <w:sz w:val="32"/>
          <w:szCs w:val="40"/>
          <w:lang w:val="en-US" w:eastAsia="zh-CN"/>
        </w:rPr>
      </w:pPr>
      <w:r>
        <w:rPr>
          <w:rFonts w:hint="eastAsia" w:ascii="方正楷体_GBK" w:hAnsi="方正楷体_GBK" w:eastAsia="方正楷体_GBK" w:cs="方正楷体_GBK"/>
          <w:b w:val="0"/>
          <w:bCs w:val="0"/>
          <w:sz w:val="32"/>
          <w:szCs w:val="40"/>
          <w:lang w:val="en-US" w:eastAsia="zh-CN"/>
        </w:rPr>
        <w:t>（一）项目资金申报及批复情况。</w:t>
      </w:r>
      <w:r>
        <w:rPr>
          <w:rFonts w:hint="eastAsia" w:ascii="方正仿宋_GBK" w:hAnsi="方正仿宋_GBK" w:eastAsia="方正仿宋_GBK" w:cs="方正仿宋_GBK"/>
          <w:b w:val="0"/>
          <w:bCs w:val="0"/>
          <w:sz w:val="32"/>
          <w:szCs w:val="40"/>
          <w:lang w:val="en-US" w:eastAsia="zh-CN"/>
        </w:rPr>
        <w:t>经区国资局申报，区委财经委员会和区人民政府常务委员会审定通过，计划安排中央财政衔接资金4067万元，</w:t>
      </w:r>
      <w:r>
        <w:rPr>
          <w:rFonts w:hint="eastAsia" w:ascii="方正仿宋简体" w:hAnsi="方正仿宋简体" w:eastAsia="方正仿宋简体" w:cs="方正仿宋简体"/>
          <w:b w:val="0"/>
          <w:bCs w:val="0"/>
          <w:sz w:val="32"/>
          <w:szCs w:val="40"/>
          <w:lang w:val="en-US" w:eastAsia="zh-CN"/>
        </w:rPr>
        <w:t>专项用于“十三五”时期易地扶贫搬迁贷款本息的支出。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b w:val="0"/>
          <w:bCs w:val="0"/>
          <w:sz w:val="32"/>
          <w:szCs w:val="40"/>
          <w:lang w:val="en-US" w:eastAsia="zh-CN"/>
        </w:rPr>
      </w:pPr>
      <w:r>
        <w:rPr>
          <w:rFonts w:hint="eastAsia" w:ascii="方正楷体_GBK" w:hAnsi="方正楷体_GBK" w:eastAsia="方正楷体_GBK" w:cs="方正楷体_GBK"/>
          <w:b w:val="0"/>
          <w:bCs w:val="0"/>
          <w:sz w:val="32"/>
          <w:szCs w:val="40"/>
          <w:lang w:val="en-US" w:eastAsia="zh-CN"/>
        </w:rPr>
        <w:t>（二）资金计划、到位及使用情况。《</w:t>
      </w:r>
      <w:r>
        <w:rPr>
          <w:rFonts w:hint="eastAsia" w:ascii="方正仿宋简体" w:hAnsi="方正仿宋简体" w:eastAsia="方正仿宋简体" w:cs="方正仿宋简体"/>
          <w:b w:val="0"/>
          <w:bCs w:val="0"/>
          <w:sz w:val="32"/>
          <w:szCs w:val="40"/>
          <w:lang w:val="en-US" w:eastAsia="zh-CN"/>
        </w:rPr>
        <w:t>巴中市巴州区财政局 巴中市巴州区乡村振兴局关于下达2022年中央财政衔接推进乡村振补助资金预算的通知》（巴区财农〔2022〕2号）</w:t>
      </w:r>
      <w:r>
        <w:rPr>
          <w:rFonts w:hint="eastAsia" w:ascii="方正仿宋_GBK" w:hAnsi="方正仿宋_GBK" w:eastAsia="方正仿宋_GBK" w:cs="方正仿宋_GBK"/>
          <w:b w:val="0"/>
          <w:bCs w:val="0"/>
          <w:color w:val="auto"/>
          <w:sz w:val="32"/>
          <w:szCs w:val="40"/>
          <w:lang w:val="en-US" w:eastAsia="zh-CN"/>
        </w:rPr>
        <w:t>下达</w:t>
      </w:r>
      <w:r>
        <w:rPr>
          <w:rFonts w:hint="eastAsia" w:ascii="方正仿宋_GBK" w:hAnsi="方正仿宋_GBK" w:eastAsia="方正仿宋_GBK" w:cs="方正仿宋_GBK"/>
          <w:b w:val="0"/>
          <w:bCs w:val="0"/>
          <w:sz w:val="32"/>
          <w:szCs w:val="40"/>
          <w:lang w:val="en-US" w:eastAsia="zh-CN"/>
        </w:rPr>
        <w:t>区国资局</w:t>
      </w:r>
      <w:r>
        <w:rPr>
          <w:rFonts w:hint="eastAsia" w:ascii="方正仿宋简体" w:hAnsi="方正仿宋简体" w:eastAsia="方正仿宋简体" w:cs="方正仿宋简体"/>
          <w:b w:val="0"/>
          <w:bCs w:val="0"/>
          <w:sz w:val="32"/>
          <w:szCs w:val="40"/>
          <w:lang w:val="en-US" w:eastAsia="zh-CN"/>
        </w:rPr>
        <w:t>用于汇鑫公司十三五易地扶贫搬迁贷款付息项目资金4067万元。该项目严格执行上级“十三五”时期易地扶贫搬迁贷款本息政策，</w:t>
      </w:r>
      <w:r>
        <w:rPr>
          <w:rFonts w:hint="eastAsia" w:ascii="方正仿宋_GBK" w:hAnsi="方正仿宋_GBK" w:eastAsia="方正仿宋_GBK" w:cs="方正仿宋_GBK"/>
          <w:b w:val="0"/>
          <w:bCs w:val="0"/>
          <w:sz w:val="32"/>
          <w:szCs w:val="40"/>
          <w:lang w:val="en-US" w:eastAsia="zh-CN"/>
        </w:rPr>
        <w:t>资金使用符合相关规定，所有资金全部支付到位。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 w:val="0"/>
          <w:bCs w:val="0"/>
          <w:sz w:val="32"/>
          <w:szCs w:val="40"/>
          <w:lang w:val="en-US" w:eastAsia="zh-CN"/>
        </w:rPr>
      </w:pPr>
      <w:r>
        <w:rPr>
          <w:rFonts w:hint="eastAsia" w:ascii="方正楷体_GBK" w:hAnsi="方正楷体_GBK" w:eastAsia="方正楷体_GBK" w:cs="方正楷体_GBK"/>
          <w:b w:val="0"/>
          <w:bCs w:val="0"/>
          <w:sz w:val="32"/>
          <w:szCs w:val="40"/>
          <w:lang w:val="en-US" w:eastAsia="zh-CN"/>
        </w:rPr>
        <w:t>（三）项目财务管理情况。</w:t>
      </w:r>
      <w:r>
        <w:rPr>
          <w:rFonts w:hint="eastAsia" w:ascii="方正仿宋简体" w:hAnsi="方正仿宋简体" w:eastAsia="方正仿宋简体" w:cs="方正仿宋简体"/>
          <w:b w:val="0"/>
          <w:bCs w:val="0"/>
          <w:sz w:val="32"/>
          <w:szCs w:val="40"/>
          <w:lang w:val="en-US" w:eastAsia="zh-CN"/>
        </w:rPr>
        <w:t>按照“专账专户、封闭运行”原则，该项目资金按照相关程序要求，及时拨付到企业，无违规违纪现象。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sz w:val="32"/>
          <w:szCs w:val="40"/>
          <w:lang w:val="en-US" w:eastAsia="zh-CN"/>
        </w:rPr>
      </w:pPr>
      <w:r>
        <w:rPr>
          <w:rFonts w:hint="eastAsia" w:ascii="方正黑体_GBK" w:hAnsi="方正黑体_GBK" w:eastAsia="方正黑体_GBK" w:cs="方正黑体_GBK"/>
          <w:b w:val="0"/>
          <w:bCs w:val="0"/>
          <w:sz w:val="32"/>
          <w:szCs w:val="40"/>
          <w:lang w:val="en-US" w:eastAsia="zh-CN"/>
        </w:rPr>
        <w:t>三、项目实施及管理情况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 w:val="0"/>
          <w:bCs w:val="0"/>
          <w:sz w:val="32"/>
          <w:szCs w:val="40"/>
          <w:lang w:val="en-US" w:eastAsia="zh-CN"/>
        </w:rPr>
      </w:pPr>
      <w:r>
        <w:rPr>
          <w:rFonts w:hint="eastAsia" w:ascii="方正楷体_GBK" w:hAnsi="方正楷体_GBK" w:eastAsia="方正楷体_GBK" w:cs="方正楷体_GBK"/>
          <w:b w:val="0"/>
          <w:bCs w:val="0"/>
          <w:sz w:val="32"/>
          <w:szCs w:val="40"/>
          <w:lang w:val="en-US" w:eastAsia="zh-CN"/>
        </w:rPr>
        <w:t>（一）项目组织架构及实施实施流程。</w:t>
      </w:r>
      <w:r>
        <w:rPr>
          <w:rFonts w:hint="eastAsia" w:ascii="方正仿宋简体" w:hAnsi="方正仿宋简体" w:eastAsia="方正仿宋简体" w:cs="方正仿宋简体"/>
          <w:b w:val="0"/>
          <w:bCs w:val="0"/>
          <w:sz w:val="32"/>
          <w:szCs w:val="40"/>
          <w:lang w:val="en-US" w:eastAsia="zh-CN"/>
        </w:rPr>
        <w:t>该项目由汇鑫公司承接“十三五”易地扶贫搬迁项目的中长期贷款，区国资局按照还本付息时间节点，及时将资金拨付给企业，确保按时还款并有效防范地方政府债务风险。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 w:val="0"/>
          <w:bCs w:val="0"/>
          <w:sz w:val="32"/>
          <w:szCs w:val="40"/>
          <w:lang w:val="en-US" w:eastAsia="zh-CN"/>
        </w:rPr>
      </w:pPr>
      <w:r>
        <w:rPr>
          <w:rFonts w:hint="eastAsia" w:ascii="方正楷体_GBK" w:hAnsi="方正楷体_GBK" w:eastAsia="方正楷体_GBK" w:cs="方正楷体_GBK"/>
          <w:b w:val="0"/>
          <w:bCs w:val="0"/>
          <w:sz w:val="32"/>
          <w:szCs w:val="40"/>
          <w:lang w:val="en-US" w:eastAsia="zh-CN"/>
        </w:rPr>
        <w:t>（二）项目管理情况。</w:t>
      </w:r>
      <w:r>
        <w:rPr>
          <w:rFonts w:hint="eastAsia" w:ascii="方正仿宋简体" w:hAnsi="方正仿宋简体" w:eastAsia="方正仿宋简体" w:cs="方正仿宋简体"/>
          <w:b w:val="0"/>
          <w:bCs w:val="0"/>
          <w:sz w:val="32"/>
          <w:szCs w:val="40"/>
          <w:lang w:val="en-US" w:eastAsia="zh-CN"/>
        </w:rPr>
        <w:t>区国资局按照财政一体化平台管理资金，扎实做好项目管理工作，确保预算管理一体化系统项目库和全国防返贫监测信息系统项目库信息数据及时录入，动态更新，并保持“两库”信息数据有效统一。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 w:val="0"/>
          <w:bCs w:val="0"/>
          <w:sz w:val="32"/>
          <w:szCs w:val="40"/>
          <w:lang w:val="en-US" w:eastAsia="zh-CN"/>
        </w:rPr>
      </w:pPr>
      <w:r>
        <w:rPr>
          <w:rFonts w:hint="eastAsia" w:ascii="方正楷体_GBK" w:hAnsi="方正楷体_GBK" w:eastAsia="方正楷体_GBK" w:cs="方正楷体_GBK"/>
          <w:b w:val="0"/>
          <w:bCs w:val="0"/>
          <w:sz w:val="32"/>
          <w:szCs w:val="40"/>
          <w:lang w:val="en-US" w:eastAsia="zh-CN"/>
        </w:rPr>
        <w:t>（三）项目监管情况。</w:t>
      </w:r>
      <w:r>
        <w:rPr>
          <w:rFonts w:hint="eastAsia" w:ascii="方正仿宋简体" w:hAnsi="方正仿宋简体" w:eastAsia="方正仿宋简体" w:cs="方正仿宋简体"/>
          <w:b w:val="0"/>
          <w:bCs w:val="0"/>
          <w:sz w:val="32"/>
          <w:szCs w:val="40"/>
          <w:lang w:val="en-US" w:eastAsia="zh-CN"/>
        </w:rPr>
        <w:t>区国资局共开展项目情况全覆盖督查1次，办公会议专项研究2次，有效保障了项目实施进度和质量。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sz w:val="32"/>
          <w:szCs w:val="40"/>
          <w:lang w:val="en-US" w:eastAsia="zh-CN"/>
        </w:rPr>
      </w:pPr>
      <w:r>
        <w:rPr>
          <w:rFonts w:hint="eastAsia" w:ascii="方正黑体_GBK" w:hAnsi="方正黑体_GBK" w:eastAsia="方正黑体_GBK" w:cs="方正黑体_GBK"/>
          <w:b w:val="0"/>
          <w:bCs w:val="0"/>
          <w:sz w:val="32"/>
          <w:szCs w:val="40"/>
          <w:lang w:val="en-US" w:eastAsia="zh-CN"/>
        </w:rPr>
        <w:t>四、目标及绩效完成情况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 w:val="0"/>
          <w:bCs w:val="0"/>
          <w:sz w:val="32"/>
          <w:szCs w:val="40"/>
          <w:lang w:val="en-US" w:eastAsia="zh-CN"/>
        </w:rPr>
      </w:pPr>
      <w:r>
        <w:rPr>
          <w:rFonts w:hint="eastAsia" w:ascii="方正楷体_GBK" w:hAnsi="方正楷体_GBK" w:eastAsia="方正楷体_GBK" w:cs="方正楷体_GBK"/>
          <w:b w:val="0"/>
          <w:bCs w:val="0"/>
          <w:sz w:val="32"/>
          <w:szCs w:val="40"/>
          <w:lang w:val="en-US" w:eastAsia="zh-CN"/>
        </w:rPr>
        <w:t>（一）目标任务完成情况。</w:t>
      </w:r>
      <w:r>
        <w:rPr>
          <w:rFonts w:hint="eastAsia" w:ascii="方正仿宋简体" w:hAnsi="方正仿宋简体" w:eastAsia="方正仿宋简体" w:cs="方正仿宋简体"/>
          <w:b w:val="0"/>
          <w:bCs w:val="0"/>
          <w:sz w:val="32"/>
          <w:szCs w:val="40"/>
          <w:lang w:val="en-US" w:eastAsia="zh-CN"/>
        </w:rPr>
        <w:t>该项目根据还本付息节点，按时拨付企业资金确保按时还款，目前，资金全部到位。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b w:val="0"/>
          <w:bCs w:val="0"/>
          <w:sz w:val="32"/>
          <w:szCs w:val="40"/>
          <w:lang w:val="en-US" w:eastAsia="zh-CN"/>
        </w:rPr>
      </w:pPr>
      <w:r>
        <w:rPr>
          <w:rFonts w:hint="eastAsia" w:ascii="方正楷体_GBK" w:hAnsi="方正楷体_GBK" w:eastAsia="方正楷体_GBK" w:cs="方正楷体_GBK"/>
          <w:b w:val="0"/>
          <w:bCs w:val="0"/>
          <w:sz w:val="32"/>
          <w:szCs w:val="40"/>
          <w:lang w:val="en-US" w:eastAsia="zh-CN"/>
        </w:rPr>
        <w:t>（二）项目效益情况。</w:t>
      </w:r>
      <w:r>
        <w:rPr>
          <w:rFonts w:hint="eastAsia" w:ascii="方正仿宋简体" w:hAnsi="方正仿宋简体" w:eastAsia="方正仿宋简体" w:cs="方正仿宋简体"/>
          <w:b w:val="0"/>
          <w:bCs w:val="0"/>
          <w:sz w:val="32"/>
          <w:szCs w:val="40"/>
          <w:lang w:val="en-US" w:eastAsia="zh-CN"/>
        </w:rPr>
        <w:t>该项目的顺利推进，切实加强了财政扶贫项目资金的管理，提高了资金的使用效益，并有效地防范了地方政府债务风险。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sz w:val="32"/>
          <w:szCs w:val="40"/>
          <w:lang w:val="en-US" w:eastAsia="zh-CN"/>
        </w:rPr>
      </w:pPr>
      <w:r>
        <w:rPr>
          <w:rFonts w:hint="eastAsia" w:ascii="方正黑体_GBK" w:hAnsi="方正黑体_GBK" w:eastAsia="方正黑体_GBK" w:cs="方正黑体_GBK"/>
          <w:b w:val="0"/>
          <w:bCs w:val="0"/>
          <w:sz w:val="32"/>
          <w:szCs w:val="40"/>
          <w:lang w:val="en-US" w:eastAsia="zh-CN"/>
        </w:rPr>
        <w:t>五、评价结论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 w:val="0"/>
          <w:bCs w:val="0"/>
          <w:sz w:val="32"/>
          <w:szCs w:val="40"/>
          <w:lang w:val="en-US" w:eastAsia="zh-CN"/>
        </w:rPr>
      </w:pPr>
      <w:r>
        <w:rPr>
          <w:rFonts w:hint="eastAsia" w:ascii="方正仿宋简体" w:hAnsi="方正仿宋简体" w:eastAsia="方正仿宋简体" w:cs="方正仿宋简体"/>
          <w:b w:val="0"/>
          <w:bCs w:val="0"/>
          <w:sz w:val="32"/>
          <w:szCs w:val="40"/>
          <w:lang w:val="en-US" w:eastAsia="zh-CN"/>
        </w:rPr>
        <w:t>该项目实施程序合规，资金使用符合相关规定，资金效益明显、群众全面认可，达到了预计绩效目标。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sz w:val="32"/>
          <w:szCs w:val="40"/>
          <w:lang w:val="en-US" w:eastAsia="zh-CN"/>
        </w:rPr>
      </w:pPr>
      <w:r>
        <w:rPr>
          <w:rFonts w:hint="eastAsia" w:ascii="方正黑体_GBK" w:hAnsi="方正黑体_GBK" w:eastAsia="方正黑体_GBK" w:cs="方正黑体_GBK"/>
          <w:b w:val="0"/>
          <w:bCs w:val="0"/>
          <w:sz w:val="32"/>
          <w:szCs w:val="40"/>
          <w:lang w:val="en-US" w:eastAsia="zh-CN"/>
        </w:rPr>
        <w:t>六、存在问题及建议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 w:val="0"/>
          <w:bCs w:val="0"/>
          <w:sz w:val="32"/>
          <w:szCs w:val="40"/>
          <w:lang w:val="en-US" w:eastAsia="zh-CN"/>
        </w:rPr>
      </w:pPr>
      <w:r>
        <w:rPr>
          <w:rFonts w:hint="eastAsia" w:ascii="方正仿宋简体" w:hAnsi="方正仿宋简体" w:eastAsia="方正仿宋简体" w:cs="方正仿宋简体"/>
          <w:b w:val="0"/>
          <w:bCs w:val="0"/>
          <w:sz w:val="32"/>
          <w:szCs w:val="40"/>
          <w:lang w:val="en-US" w:eastAsia="zh-CN"/>
        </w:rPr>
        <w:t>建议财政局加强业务培训，进一步加强财务人员对专项资金的性质和重要性的深刻了解，从而规范专项资金的支出监管和财务处理，通过发现问题，探讨问题，解决问题来共同促进财务管理水平质效双提升。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 w:val="0"/>
          <w:bCs w:val="0"/>
          <w:sz w:val="32"/>
          <w:szCs w:val="40"/>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default" w:ascii="方正仿宋简体" w:hAnsi="方正仿宋简体" w:eastAsia="方正仿宋简体" w:cs="方正仿宋简体"/>
          <w:b w:val="0"/>
          <w:bCs w:val="0"/>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200" w:firstLineChars="1000"/>
        <w:jc w:val="both"/>
        <w:textAlignment w:val="auto"/>
        <w:rPr>
          <w:rFonts w:hint="eastAsia" w:ascii="方正仿宋简体" w:hAnsi="方正仿宋简体" w:eastAsia="方正仿宋简体" w:cs="方正仿宋简体"/>
          <w:b w:val="0"/>
          <w:bCs w:val="0"/>
          <w:sz w:val="32"/>
          <w:szCs w:val="40"/>
          <w:lang w:val="en-US" w:eastAsia="zh-CN"/>
        </w:rPr>
      </w:pPr>
      <w:r>
        <w:rPr>
          <w:rFonts w:hint="eastAsia" w:ascii="方正仿宋简体" w:hAnsi="方正仿宋简体" w:eastAsia="方正仿宋简体" w:cs="方正仿宋简体"/>
          <w:b w:val="0"/>
          <w:bCs w:val="0"/>
          <w:sz w:val="32"/>
          <w:szCs w:val="40"/>
          <w:lang w:val="en-US" w:eastAsia="zh-CN"/>
        </w:rPr>
        <w:t>巴中市巴州区国有资产监督管理局</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jc w:val="both"/>
        <w:textAlignment w:val="auto"/>
        <w:rPr>
          <w:rFonts w:hint="default" w:ascii="方正仿宋简体" w:hAnsi="方正仿宋简体" w:eastAsia="方正仿宋简体" w:cs="方正仿宋简体"/>
          <w:b w:val="0"/>
          <w:bCs w:val="0"/>
          <w:sz w:val="32"/>
          <w:szCs w:val="40"/>
          <w:lang w:val="en-US" w:eastAsia="zh-CN"/>
        </w:rPr>
      </w:pPr>
      <w:r>
        <w:rPr>
          <w:rFonts w:hint="eastAsia" w:ascii="方正仿宋简体" w:hAnsi="方正仿宋简体" w:eastAsia="方正仿宋简体" w:cs="方正仿宋简体"/>
          <w:b w:val="0"/>
          <w:bCs w:val="0"/>
          <w:sz w:val="32"/>
          <w:szCs w:val="40"/>
          <w:lang w:val="en-US" w:eastAsia="zh-CN"/>
        </w:rPr>
        <w:t>2023年5月31日</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default" w:ascii="方正仿宋简体" w:hAnsi="方正仿宋简体" w:eastAsia="方正仿宋简体" w:cs="方正仿宋简体"/>
          <w:b w:val="0"/>
          <w:bCs w:val="0"/>
          <w:sz w:val="32"/>
          <w:szCs w:val="40"/>
          <w:lang w:val="en-US" w:eastAsia="zh-CN"/>
        </w:rPr>
      </w:pPr>
    </w:p>
    <w:sectPr>
      <w:pgSz w:w="11906" w:h="16838"/>
      <w:pgMar w:top="2098" w:right="1361" w:bottom="1814"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embedRegular r:id="rId1" w:fontKey="{8A730D15-1C76-4F48-A29B-98B1F685F395}"/>
  </w:font>
  <w:font w:name="方正小标宋_GBK">
    <w:panose1 w:val="02000000000000000000"/>
    <w:charset w:val="86"/>
    <w:family w:val="auto"/>
    <w:pitch w:val="default"/>
    <w:sig w:usb0="00000000" w:usb1="00000000" w:usb2="00000000" w:usb3="00000000" w:csb0="00000000" w:csb1="00000000"/>
    <w:embedRegular r:id="rId2" w:fontKey="{38F35E1C-8ED2-41B3-95F6-AF179D11A0B4}"/>
  </w:font>
  <w:font w:name="方正黑体_GBK">
    <w:altName w:val="微软雅黑"/>
    <w:panose1 w:val="03000509000000000000"/>
    <w:charset w:val="86"/>
    <w:family w:val="auto"/>
    <w:pitch w:val="default"/>
    <w:sig w:usb0="00000000" w:usb1="00000000" w:usb2="00000000" w:usb3="00000000" w:csb0="00040000" w:csb1="00000000"/>
    <w:embedRegular r:id="rId3" w:fontKey="{7FA2F3DE-7752-493D-A6C6-C9D65512248A}"/>
  </w:font>
  <w:font w:name="方正仿宋简体">
    <w:panose1 w:val="02010601030101010101"/>
    <w:charset w:val="86"/>
    <w:family w:val="auto"/>
    <w:pitch w:val="default"/>
    <w:sig w:usb0="00000001" w:usb1="080E0000" w:usb2="00000000" w:usb3="00000000" w:csb0="00040000" w:csb1="00000000"/>
    <w:embedRegular r:id="rId4" w:fontKey="{FB6B379C-18D3-41F9-9CE6-E9508B1DCF14}"/>
  </w:font>
  <w:font w:name="方正楷体_GBK">
    <w:panose1 w:val="02000000000000000000"/>
    <w:charset w:val="86"/>
    <w:family w:val="auto"/>
    <w:pitch w:val="default"/>
    <w:sig w:usb0="00000000" w:usb1="00000000" w:usb2="00000000" w:usb3="00000000" w:csb0="00000000" w:csb1="00000000"/>
    <w:embedRegular r:id="rId5" w:fontKey="{FE0FA6B3-20DE-4F6C-B814-BF6DBB534311}"/>
  </w:font>
  <w:font w:name="方正仿宋_GBK">
    <w:panose1 w:val="02000000000000000000"/>
    <w:charset w:val="86"/>
    <w:family w:val="auto"/>
    <w:pitch w:val="default"/>
    <w:sig w:usb0="00000000" w:usb1="00000000" w:usb2="00000000" w:usb3="00000000" w:csb0="00000000" w:csb1="00000000"/>
    <w:embedRegular r:id="rId6" w:fontKey="{3CBD748C-9AB2-42D9-B05F-00E67233556C}"/>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2NjAyM2IwMDlkOGJiMmM5ODI2OTc3YzBiMGM2ZGYifQ=="/>
  </w:docVars>
  <w:rsids>
    <w:rsidRoot w:val="17F93EA5"/>
    <w:rsid w:val="01AB5978"/>
    <w:rsid w:val="033B4D9E"/>
    <w:rsid w:val="04D53281"/>
    <w:rsid w:val="05207BD0"/>
    <w:rsid w:val="092103E2"/>
    <w:rsid w:val="09455880"/>
    <w:rsid w:val="0C511CC9"/>
    <w:rsid w:val="0CE25A91"/>
    <w:rsid w:val="0FF259CA"/>
    <w:rsid w:val="11D95E9B"/>
    <w:rsid w:val="14D864EE"/>
    <w:rsid w:val="15FC23D9"/>
    <w:rsid w:val="16D00BED"/>
    <w:rsid w:val="17F93EA5"/>
    <w:rsid w:val="182B350C"/>
    <w:rsid w:val="1C3B312F"/>
    <w:rsid w:val="2B704B4C"/>
    <w:rsid w:val="2C9C7268"/>
    <w:rsid w:val="2CF03525"/>
    <w:rsid w:val="2FB66074"/>
    <w:rsid w:val="3059254F"/>
    <w:rsid w:val="346A59E0"/>
    <w:rsid w:val="3685231B"/>
    <w:rsid w:val="379C2230"/>
    <w:rsid w:val="391B05DB"/>
    <w:rsid w:val="3A160601"/>
    <w:rsid w:val="3DA13C68"/>
    <w:rsid w:val="3E74316D"/>
    <w:rsid w:val="47AB4AEC"/>
    <w:rsid w:val="481C03D5"/>
    <w:rsid w:val="483612F0"/>
    <w:rsid w:val="49B347AB"/>
    <w:rsid w:val="4AB149A2"/>
    <w:rsid w:val="4FEA1411"/>
    <w:rsid w:val="58A87C08"/>
    <w:rsid w:val="58DA2B73"/>
    <w:rsid w:val="59E44CEE"/>
    <w:rsid w:val="5BD40D92"/>
    <w:rsid w:val="609F151E"/>
    <w:rsid w:val="66695E0D"/>
    <w:rsid w:val="68387DAA"/>
    <w:rsid w:val="6CA05584"/>
    <w:rsid w:val="730652E6"/>
    <w:rsid w:val="76C6013A"/>
    <w:rsid w:val="7DCD53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333333"/>
      <w:u w:val="none"/>
    </w:rPr>
  </w:style>
  <w:style w:type="character" w:styleId="6">
    <w:name w:val="Emphasis"/>
    <w:basedOn w:val="4"/>
    <w:qFormat/>
    <w:uiPriority w:val="0"/>
  </w:style>
  <w:style w:type="character" w:styleId="7">
    <w:name w:val="HTML Definition"/>
    <w:basedOn w:val="4"/>
    <w:qFormat/>
    <w:uiPriority w:val="0"/>
  </w:style>
  <w:style w:type="character" w:styleId="8">
    <w:name w:val="HTML Acronym"/>
    <w:basedOn w:val="4"/>
    <w:qFormat/>
    <w:uiPriority w:val="0"/>
  </w:style>
  <w:style w:type="character" w:styleId="9">
    <w:name w:val="HTML Variable"/>
    <w:basedOn w:val="4"/>
    <w:qFormat/>
    <w:uiPriority w:val="0"/>
  </w:style>
  <w:style w:type="character" w:styleId="10">
    <w:name w:val="Hyperlink"/>
    <w:basedOn w:val="4"/>
    <w:qFormat/>
    <w:uiPriority w:val="0"/>
    <w:rPr>
      <w:color w:val="333333"/>
      <w:u w:val="none"/>
    </w:rPr>
  </w:style>
  <w:style w:type="character" w:styleId="11">
    <w:name w:val="HTML Code"/>
    <w:basedOn w:val="4"/>
    <w:qFormat/>
    <w:uiPriority w:val="0"/>
    <w:rPr>
      <w:rFonts w:ascii="Courier New" w:hAnsi="Courier New"/>
      <w:sz w:val="20"/>
    </w:rPr>
  </w:style>
  <w:style w:type="character" w:styleId="12">
    <w:name w:val="HTML Cite"/>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1620</Words>
  <Characters>1679</Characters>
  <Lines>0</Lines>
  <Paragraphs>0</Paragraphs>
  <TotalTime>1</TotalTime>
  <ScaleCrop>false</ScaleCrop>
  <LinksUpToDate>false</LinksUpToDate>
  <CharactersWithSpaces>1681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2022-06-27T01:47:00Z</dcterms:created>
  <dc:creator>吴佳俊</dc:creator>
  <cp:lastModifiedBy>Administrator</cp:lastModifiedBy>
  <cp:lastPrinted>2023-06-01T03:00:46Z</cp:lastPrinted>
  <dcterms:modified xsi:type="dcterms:W3CDTF">2023-06-01T03:02:18Z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ICV">
    <vt:lpwstr>0C3C52ADF67E414D81F6218E6840FFAA</vt:lpwstr>
  </property>
</Properties>
</file>