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方正小标宋简体" w:hAnsi="宋体" w:eastAsia="方正小标宋简体" w:cs="宋体"/>
          <w:color w:val="000000" w:themeColor="text1"/>
          <w:kern w:val="0"/>
          <w:sz w:val="36"/>
          <w:szCs w:val="36"/>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巴中市巴州区水宁寺镇农业综合服务中心</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202</w:t>
      </w:r>
      <w: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t>3</w:t>
      </w:r>
      <w:r>
        <w:rPr>
          <w:rFonts w:hint="eastAsia" w:ascii="方正小标宋简体" w:hAnsi="宋体" w:eastAsia="方正小标宋简体" w:cs="宋体"/>
          <w:color w:val="000000" w:themeColor="text1"/>
          <w:kern w:val="0"/>
          <w:sz w:val="36"/>
          <w:szCs w:val="36"/>
          <w14:textFill>
            <w14:solidFill>
              <w14:schemeClr w14:val="tx1"/>
            </w14:solidFill>
          </w14:textFill>
        </w:rPr>
        <w:t>年部门预算编制说明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r>
        <w:rPr>
          <w:rFonts w:hint="eastAsia" w:ascii="仿宋_GB2312" w:hAnsi="宋体" w:eastAsia="仿宋_GB2312" w:cs="宋体"/>
          <w:color w:val="000000" w:themeColor="text1"/>
          <w:kern w:val="0"/>
          <w:sz w:val="44"/>
          <w:szCs w:val="44"/>
          <w:lang w:val="en-US" w:eastAsia="zh-CN"/>
          <w14:textFill>
            <w14:solidFill>
              <w14:schemeClr w14:val="tx1"/>
            </w14:solidFill>
          </w14:textFill>
        </w:rPr>
        <w:t>目       录</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基本职能及主要工作</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财政拨款收支预算情况说明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一般公共预算当年拨款收支预算情况说明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一般公共预算基本支出预算情况说明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“三公”经费财政拨款预算安排情况说明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政府性基金预算支出情况说明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其他重要事项的情况说明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附件：2023年部门预算公开报表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6</w:t>
      </w: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spacing w:line="480" w:lineRule="atLeast"/>
        <w:jc w:val="left"/>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　　一、基本职能及主要工作</w:t>
      </w:r>
    </w:p>
    <w:p>
      <w:pPr>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水宁寺镇位于巴中市巴州区东部，辖15个行政村,2个居委会，106个村(居)民小组，幅员面积95平方公里，全镇10200户,总人口40556人。</w:t>
      </w:r>
    </w:p>
    <w:p>
      <w:pPr>
        <w:ind w:firstLine="640"/>
        <w:rPr>
          <w:rFonts w:ascii="仿宋" w:hAnsi="仿宋" w:eastAsia="仿宋"/>
          <w:sz w:val="28"/>
          <w:szCs w:val="28"/>
        </w:rPr>
      </w:pPr>
      <w:r>
        <w:rPr>
          <w:rFonts w:hint="eastAsia" w:ascii="仿宋" w:hAnsi="仿宋" w:eastAsia="仿宋"/>
          <w:sz w:val="28"/>
          <w:szCs w:val="28"/>
        </w:rPr>
        <w:t>负责贯彻执行涉及农业农村、林业、畜牧业、渔业、水利方面的法律法规和政策规定；拟订农林牧水渔产业发展规划和年度计划并组织实施；负责农业农村、乡村振兴综合服务工作；负责种植业、畜牧业、农业机械、农村能源的新品种、新技术、新设备的应用和推广服务；负责农村“厕所革命”、人居环境整治、新农村建设等服务性工作；负责农作物病虫害的监测防治；协调配合种子、农药、化肥、饲料等农业投入品的检验检测及日常监管；开展农业用地的地力监测；负责组织农机抢险和跨区域农机作业、农机安全检查和事故的预防、报告和处理；负责动物免疫、疫病防控，流行病学调查和疾病的诊断、治疗；</w:t>
      </w:r>
      <w:r>
        <w:rPr>
          <w:rFonts w:ascii="仿宋" w:hAnsi="仿宋" w:eastAsia="仿宋"/>
          <w:sz w:val="28"/>
          <w:szCs w:val="28"/>
        </w:rPr>
        <w:t>负责森林防灭火、森林资源和野生动植物资源保护管理、造林绿化、天然林保护、退耕还林、林业有害生物防治等工作；负责林业资源的调查、林权纠纷调处、林业技术培训推广和林业统计等工作；协助配合林政案件查处</w:t>
      </w:r>
      <w:r>
        <w:rPr>
          <w:rFonts w:hint="eastAsia" w:ascii="仿宋" w:hAnsi="仿宋" w:eastAsia="仿宋"/>
          <w:sz w:val="28"/>
          <w:szCs w:val="28"/>
        </w:rPr>
        <w:t>；负责辖区内防汛抗旱、水土保持、农田水利建设、水资源保护、</w:t>
      </w:r>
      <w:r>
        <w:rPr>
          <w:rFonts w:ascii="仿宋" w:hAnsi="仿宋" w:eastAsia="仿宋"/>
          <w:sz w:val="28"/>
          <w:szCs w:val="28"/>
        </w:rPr>
        <w:t>水利工程及村镇供水管理等工作</w:t>
      </w:r>
      <w:r>
        <w:rPr>
          <w:rFonts w:hint="eastAsia" w:ascii="仿宋" w:hAnsi="仿宋" w:eastAsia="仿宋"/>
          <w:sz w:val="28"/>
          <w:szCs w:val="28"/>
        </w:rPr>
        <w:t>；负责农业产权交易信息的收集、整理、审核和上报工作；会同相关部门提出特色产业发展规划，承担特色产业项目的前期调研和特色产业项目的协调、跟踪、建设、推荐等服务性工作；开展农产品质量安全标准的宣传，承担辖区农产品质量安全日常监督检验工作；负责河（湖）长制相关服务工作。</w:t>
      </w:r>
    </w:p>
    <w:p>
      <w:pPr>
        <w:widowControl/>
        <w:wordWrap w:val="0"/>
        <w:spacing w:line="480" w:lineRule="atLeast"/>
        <w:ind w:firstLine="560" w:firstLineChars="200"/>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二、收支预算情况说明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按照综合预算的原则，巴中市巴州区水宁寺镇农业综合服务中心所有收入和支出均纳入部门预算管理。收入包括：一般公共预算拨款收入、政府性基金预算拨款收入；支出包括：一般公共服务支出、社会保障和就业支出、医疗卫生与计划生育支出、住房保障支出。巴中市巴州区水宁寺镇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（一）收入预算情况</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年收入预算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14:textFill>
            <w14:solidFill>
              <w14:schemeClr w14:val="tx1"/>
            </w14:solidFill>
          </w14:textFill>
        </w:rPr>
        <w:t xml:space="preserve"> 万元，其中：一般公共预算拨款收入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14:textFill>
            <w14:solidFill>
              <w14:schemeClr w14:val="tx1"/>
            </w14:solidFill>
          </w14:textFill>
        </w:rPr>
        <w:t xml:space="preserve"> 万元，占100%，上级补助收入0万元。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（二）支出预算情况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巴中市巴州区水宁寺镇农业综合服务中心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14:textFill>
            <w14:solidFill>
              <w14:schemeClr w14:val="tx1"/>
            </w14:solidFill>
          </w14:textFill>
        </w:rPr>
        <w:t xml:space="preserve"> 万元，其中：基本支出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14:textFill>
            <w14:solidFill>
              <w14:schemeClr w14:val="tx1"/>
            </w14:solidFill>
          </w14:textFill>
        </w:rPr>
        <w:t xml:space="preserve">万元，占100%. </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三、财政拨款收支预算情况说明</w:t>
      </w:r>
      <w:r>
        <w:rPr>
          <w:rFonts w:hint="eastAsia" w:ascii="黑体" w:hAnsi="黑体" w:eastAsia="黑体" w:cs="宋体"/>
          <w:color w:val="000000" w:themeColor="text1"/>
          <w:kern w:val="0"/>
          <w:sz w:val="28"/>
          <w:szCs w:val="28"/>
          <w14:textFill>
            <w14:solidFill>
              <w14:schemeClr w14:val="tx1"/>
            </w14:solidFill>
          </w14:textFill>
        </w:rPr>
        <w:br w:type="textWrapping"/>
      </w:r>
      <w:r>
        <w:rPr>
          <w:rFonts w:hint="eastAsia" w:ascii="黑体" w:hAnsi="黑体" w:eastAsia="黑体"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14:textFill>
            <w14:solidFill>
              <w14:schemeClr w14:val="tx1"/>
            </w14:solidFill>
          </w14:textFill>
        </w:rPr>
        <w:t>水宁寺镇农业综合服务中心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年财政拨款收支总预算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14:textFill>
            <w14:solidFill>
              <w14:schemeClr w14:val="tx1"/>
            </w14:solidFill>
          </w14:textFill>
        </w:rPr>
        <w:t>万元。收入包括：本年一般公共预算拨款收入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14:textFill>
            <w14:solidFill>
              <w14:schemeClr w14:val="tx1"/>
            </w14:solidFill>
          </w14:textFill>
        </w:rPr>
        <w:t>万元、政府性基金预算拨款收入0万元；支出包括：农林水支出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176.76</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themeColor="text1"/>
          <w:kern w:val="0"/>
          <w:sz w:val="28"/>
          <w:szCs w:val="28"/>
          <w14:textFill>
            <w14:solidFill>
              <w14:schemeClr w14:val="tx1"/>
            </w14:solidFill>
          </w14:textFill>
        </w:rPr>
        <w:t>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22.25</w:t>
      </w:r>
      <w:r>
        <w:rPr>
          <w:rFonts w:hint="eastAsia" w:ascii="仿宋_GB2312" w:hAnsi="宋体" w:eastAsia="仿宋_GB2312" w:cs="宋体"/>
          <w:color w:val="000000" w:themeColor="text1"/>
          <w:kern w:val="0"/>
          <w:sz w:val="28"/>
          <w:szCs w:val="28"/>
          <w14:textFill>
            <w14:solidFill>
              <w14:schemeClr w14:val="tx1"/>
            </w14:solidFill>
          </w14:textFill>
        </w:rPr>
        <w:t>万元、医疗卫生与计划生育支出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9.57</w:t>
      </w:r>
      <w:r>
        <w:rPr>
          <w:rFonts w:hint="eastAsia" w:ascii="仿宋_GB2312" w:hAnsi="宋体" w:eastAsia="仿宋_GB2312" w:cs="宋体"/>
          <w:color w:val="000000" w:themeColor="text1"/>
          <w:kern w:val="0"/>
          <w:sz w:val="28"/>
          <w:szCs w:val="28"/>
          <w14:textFill>
            <w14:solidFill>
              <w14:schemeClr w14:val="tx1"/>
            </w14:solidFill>
          </w14:textFill>
        </w:rPr>
        <w:t>万元、住房保障支出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18.82</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color w:val="000000" w:themeColor="text1"/>
          <w:kern w:val="0"/>
          <w:sz w:val="28"/>
          <w:szCs w:val="28"/>
          <w14:textFill>
            <w14:solidFill>
              <w14:schemeClr w14:val="tx1"/>
            </w14:solidFill>
          </w14:textFill>
        </w:rPr>
        <w:t xml:space="preserve"> 四</w:t>
      </w:r>
      <w:r>
        <w:rPr>
          <w:rFonts w:hint="eastAsia" w:ascii="黑体" w:hAnsi="黑体" w:eastAsia="黑体" w:cs="宋体"/>
          <w:color w:val="000000" w:themeColor="text1"/>
          <w:kern w:val="0"/>
          <w:sz w:val="28"/>
          <w:szCs w:val="28"/>
          <w14:textFill>
            <w14:solidFill>
              <w14:schemeClr w14:val="tx1"/>
            </w14:solidFill>
          </w14:textFill>
        </w:rPr>
        <w:t>、一般公共预算当年拨款情况说明</w:t>
      </w:r>
      <w:r>
        <w:rPr>
          <w:rFonts w:hint="eastAsia" w:ascii="黑体" w:hAnsi="黑体" w:eastAsia="黑体"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　（一）一般公共预算当年拨款规模变化情况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巴中市巴州区水宁寺</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镇农业综合服务中心</w:t>
      </w:r>
      <w:r>
        <w:rPr>
          <w:rFonts w:hint="eastAsia" w:ascii="仿宋_GB2312" w:hAnsi="宋体" w:eastAsia="仿宋_GB2312" w:cs="宋体"/>
          <w:color w:val="000000" w:themeColor="text1"/>
          <w:kern w:val="0"/>
          <w:sz w:val="28"/>
          <w:szCs w:val="28"/>
          <w:shd w:val="clear" w:color="auto" w:fill="auto"/>
          <w:lang w:eastAsia="zh-CN"/>
          <w14:textFill>
            <w14:solidFill>
              <w14:schemeClr w14:val="tx1"/>
            </w14:solidFill>
          </w14:textFill>
        </w:rPr>
        <w:t>202</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年一般公共预算当年拨款</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万元，比202</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年预算数</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增加11.77</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万元。</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br w:type="textWrapping"/>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　　</w:t>
      </w:r>
      <w:r>
        <w:rPr>
          <w:rFonts w:hint="eastAsia" w:ascii="楷体_GB2312" w:hAnsi="宋体" w:eastAsia="楷体_GB2312" w:cs="宋体"/>
          <w:color w:val="000000" w:themeColor="text1"/>
          <w:kern w:val="0"/>
          <w:sz w:val="28"/>
          <w:szCs w:val="28"/>
          <w:shd w:val="clear" w:color="auto" w:fill="auto"/>
          <w14:textFill>
            <w14:solidFill>
              <w14:schemeClr w14:val="tx1"/>
            </w14:solidFill>
          </w14:textFill>
        </w:rPr>
        <w:t>（二）一般公共预算当年拨款结构情况</w:t>
      </w:r>
      <w:r>
        <w:rPr>
          <w:rFonts w:hint="eastAsia" w:ascii="楷体_GB2312" w:hAnsi="宋体" w:eastAsia="楷体_GB2312" w:cs="宋体"/>
          <w:color w:val="000000" w:themeColor="text1"/>
          <w:kern w:val="0"/>
          <w:sz w:val="28"/>
          <w:szCs w:val="28"/>
          <w:shd w:val="pct10" w:color="auto" w:fill="FFFFFF"/>
          <w14:textFill>
            <w14:solidFill>
              <w14:schemeClr w14:val="tx1"/>
            </w14:solidFill>
          </w14:textFill>
        </w:rPr>
        <w:br w:type="textWrapping"/>
      </w:r>
      <w:r>
        <w:rPr>
          <w:rFonts w:hint="eastAsia" w:ascii="仿宋_GB2312" w:hAnsi="宋体" w:eastAsia="仿宋_GB2312" w:cs="宋体"/>
          <w:kern w:val="0"/>
          <w:sz w:val="28"/>
          <w:szCs w:val="28"/>
        </w:rPr>
        <w:t>　　一</w:t>
      </w:r>
      <w:r>
        <w:rPr>
          <w:rFonts w:hint="eastAsia" w:ascii="楷体_GB2312" w:hAnsi="宋体" w:eastAsia="楷体_GB2312" w:cs="宋体"/>
          <w:kern w:val="0"/>
          <w:sz w:val="28"/>
          <w:szCs w:val="28"/>
        </w:rPr>
        <w:t>般公共预算</w:t>
      </w:r>
      <w:r>
        <w:rPr>
          <w:rFonts w:hint="eastAsia" w:ascii="仿宋_GB2312" w:hAnsi="宋体" w:eastAsia="仿宋_GB2312" w:cs="宋体"/>
          <w:kern w:val="0"/>
          <w:sz w:val="28"/>
          <w:szCs w:val="28"/>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kern w:val="0"/>
          <w:sz w:val="28"/>
          <w:szCs w:val="28"/>
        </w:rPr>
        <w:t>万元，占100%；政府性基金预算支出0</w:t>
      </w:r>
      <w:r>
        <w:rPr>
          <w:rFonts w:hint="eastAsia" w:ascii="仿宋_GB2312" w:hAnsi="宋体" w:eastAsia="仿宋_GB2312" w:cs="宋体"/>
          <w:color w:val="000000" w:themeColor="text1"/>
          <w:kern w:val="0"/>
          <w:sz w:val="28"/>
          <w:szCs w:val="28"/>
          <w14:textFill>
            <w14:solidFill>
              <w14:schemeClr w14:val="tx1"/>
            </w14:solidFill>
          </w14:textFill>
        </w:rPr>
        <w:t>万元，占0%。</w:t>
      </w:r>
    </w:p>
    <w:p>
      <w:pPr>
        <w:widowControl/>
        <w:wordWrap w:val="0"/>
        <w:spacing w:line="480" w:lineRule="atLeast"/>
        <w:ind w:firstLine="570"/>
        <w:rPr>
          <w:rFonts w:ascii="仿宋_GB2312" w:hAnsi="宋体" w:eastAsia="仿宋_GB2312" w:cs="宋体"/>
          <w:b/>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（三）一般公共预算当年拨款具体使用情况</w:t>
      </w:r>
    </w:p>
    <w:p>
      <w:pPr>
        <w:widowControl/>
        <w:wordWrap w:val="0"/>
        <w:spacing w:line="480" w:lineRule="atLeast"/>
        <w:ind w:firstLine="967" w:firstLineChars="344"/>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1</w:t>
      </w:r>
      <w:r>
        <w:rPr>
          <w:rFonts w:ascii="仿宋_GB2312" w:hAnsi="宋体" w:eastAsia="仿宋_GB2312" w:cs="宋体"/>
          <w:b/>
          <w:color w:val="000000" w:themeColor="text1"/>
          <w:kern w:val="0"/>
          <w:sz w:val="28"/>
          <w:szCs w:val="28"/>
          <w14:textFill>
            <w14:solidFill>
              <w14:schemeClr w14:val="tx1"/>
            </w14:solidFill>
          </w14:textFill>
        </w:rPr>
        <w:t>.农林水支出(类)农业(款)事业运行(项)：</w:t>
      </w:r>
      <w:r>
        <w:rPr>
          <w:rFonts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176.76</w:t>
      </w:r>
      <w:r>
        <w:rPr>
          <w:rFonts w:ascii="仿宋_GB2312" w:hAnsi="宋体" w:eastAsia="仿宋_GB2312" w:cs="宋体"/>
          <w:color w:val="000000" w:themeColor="text1"/>
          <w:kern w:val="0"/>
          <w:sz w:val="28"/>
          <w:szCs w:val="28"/>
          <w14:textFill>
            <w14:solidFill>
              <w14:schemeClr w14:val="tx1"/>
            </w14:solidFill>
          </w14:textFill>
        </w:rPr>
        <w:t>万元；主要用于农业服务中心中农技、农机、畜牧岗位正常运转的基本支出，包括基本工资、津贴补贴等人员经费以及办公费、印刷费、水电费等日常公用经费。</w:t>
      </w:r>
    </w:p>
    <w:p>
      <w:pPr>
        <w:widowControl/>
        <w:wordWrap w:val="0"/>
        <w:spacing w:line="480" w:lineRule="atLeast"/>
        <w:ind w:firstLine="984" w:firstLineChars="350"/>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2</w:t>
      </w:r>
      <w:r>
        <w:rPr>
          <w:rFonts w:ascii="仿宋_GB2312" w:hAnsi="宋体" w:eastAsia="仿宋_GB2312" w:cs="宋体"/>
          <w:b/>
          <w:color w:val="000000" w:themeColor="text1"/>
          <w:kern w:val="0"/>
          <w:sz w:val="28"/>
          <w:szCs w:val="28"/>
          <w14:textFill>
            <w14:solidFill>
              <w14:schemeClr w14:val="tx1"/>
            </w14:solidFill>
          </w14:textFill>
        </w:rPr>
        <w:t>、社会保障和就业支出(类)行政事业单位离退休(款)机关事业单位基本养老保险缴费支出(项)：</w:t>
      </w:r>
      <w:r>
        <w:rPr>
          <w:rFonts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22.25</w:t>
      </w:r>
      <w:r>
        <w:rPr>
          <w:rFonts w:ascii="仿宋_GB2312" w:hAnsi="宋体" w:eastAsia="仿宋_GB2312" w:cs="宋体"/>
          <w:color w:val="000000" w:themeColor="text1"/>
          <w:kern w:val="0"/>
          <w:sz w:val="28"/>
          <w:szCs w:val="28"/>
          <w14:textFill>
            <w14:solidFill>
              <w14:schemeClr w14:val="tx1"/>
            </w14:solidFill>
          </w14:textFill>
        </w:rPr>
        <w:t xml:space="preserve">万元，主要用于：实施养老保险制度后，部门按规定由单位缴纳的基本养老保险费支出。 </w:t>
      </w:r>
    </w:p>
    <w:p>
      <w:pPr>
        <w:widowControl/>
        <w:wordWrap w:val="0"/>
        <w:spacing w:line="480" w:lineRule="atLeast"/>
        <w:rPr>
          <w:rFonts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3</w:t>
      </w:r>
      <w:r>
        <w:rPr>
          <w:rFonts w:ascii="仿宋_GB2312" w:hAnsi="宋体" w:eastAsia="仿宋_GB2312" w:cs="宋体"/>
          <w:b/>
          <w:color w:val="000000" w:themeColor="text1"/>
          <w:kern w:val="0"/>
          <w:sz w:val="28"/>
          <w:szCs w:val="28"/>
          <w14:textFill>
            <w14:solidFill>
              <w14:schemeClr w14:val="tx1"/>
            </w14:solidFill>
          </w14:textFill>
        </w:rPr>
        <w:t>、医疗卫生与计划生育支出(类)行政事业单位医疗(款)行政单位医疗(项)：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9.57</w:t>
      </w:r>
      <w:r>
        <w:rPr>
          <w:rFonts w:ascii="仿宋_GB2312" w:hAnsi="宋体" w:eastAsia="仿宋_GB2312" w:cs="宋体"/>
          <w:color w:val="000000" w:themeColor="text1"/>
          <w:kern w:val="0"/>
          <w:sz w:val="28"/>
          <w:szCs w:val="28"/>
          <w14:textFill>
            <w14:solidFill>
              <w14:schemeClr w14:val="tx1"/>
            </w14:solidFill>
          </w14:textFill>
        </w:rPr>
        <w:t>万元，主要用于机关单位基本医疗保险缴费支出。</w:t>
      </w:r>
    </w:p>
    <w:p>
      <w:pPr>
        <w:widowControl/>
        <w:wordWrap w:val="0"/>
        <w:spacing w:line="480" w:lineRule="atLeast"/>
        <w:rPr>
          <w:rFonts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color w:val="000000" w:themeColor="text1"/>
          <w:kern w:val="0"/>
          <w:sz w:val="28"/>
          <w:szCs w:val="28"/>
          <w14:textFill>
            <w14:solidFill>
              <w14:schemeClr w14:val="tx1"/>
            </w14:solidFill>
          </w14:textFill>
        </w:rPr>
        <w:t xml:space="preserve">     4</w:t>
      </w:r>
      <w:r>
        <w:rPr>
          <w:rFonts w:ascii="仿宋_GB2312" w:hAnsi="宋体" w:eastAsia="仿宋_GB2312" w:cs="宋体"/>
          <w:b/>
          <w:color w:val="000000" w:themeColor="text1"/>
          <w:kern w:val="0"/>
          <w:sz w:val="28"/>
          <w:szCs w:val="28"/>
          <w14:textFill>
            <w14:solidFill>
              <w14:schemeClr w14:val="tx1"/>
            </w14:solidFill>
          </w14:textFill>
        </w:rPr>
        <w:t>.住房保障支出(类)住房改革支出(款)住房公积金(项)：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18.82</w:t>
      </w:r>
      <w:r>
        <w:rPr>
          <w:rFonts w:ascii="仿宋_GB2312" w:hAnsi="宋体" w:eastAsia="仿宋_GB2312" w:cs="宋体"/>
          <w:color w:val="000000" w:themeColor="text1"/>
          <w:kern w:val="0"/>
          <w:sz w:val="28"/>
          <w:szCs w:val="28"/>
          <w14:textFill>
            <w14:solidFill>
              <w14:schemeClr w14:val="tx1"/>
            </w14:solidFill>
          </w14:textFill>
        </w:rPr>
        <w:t>万元，主要用于：部门按人力资源和社会保障部、财政部规定的基本工资和津贴补贴以及规定比例为职工缴纳的住房公积金支出。</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黑体" w:hAnsi="黑体" w:eastAsia="黑体" w:cs="宋体"/>
          <w:color w:val="000000"/>
          <w:kern w:val="0"/>
          <w:sz w:val="28"/>
          <w:szCs w:val="28"/>
        </w:rPr>
        <w:t>五、一般公共预算基本支出情况说明</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仿宋_GB2312" w:hAnsi="宋体" w:eastAsia="仿宋_GB2312" w:cs="宋体"/>
          <w:color w:val="000000"/>
          <w:kern w:val="0"/>
          <w:sz w:val="28"/>
          <w:szCs w:val="28"/>
          <w:lang w:eastAsia="zh-CN"/>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年一般公共预算基本支出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227.4</w:t>
      </w:r>
      <w:r>
        <w:rPr>
          <w:rFonts w:hint="eastAsia" w:ascii="仿宋_GB2312" w:hAnsi="宋体" w:eastAsia="仿宋_GB2312" w:cs="宋体"/>
          <w:color w:val="000000"/>
          <w:kern w:val="0"/>
          <w:sz w:val="28"/>
          <w:szCs w:val="28"/>
        </w:rPr>
        <w:t>万元，其中：人员经费</w:t>
      </w:r>
      <w:r>
        <w:rPr>
          <w:rFonts w:hint="eastAsia" w:ascii="仿宋_GB2312" w:hAnsi="宋体" w:eastAsia="仿宋_GB2312" w:cs="宋体"/>
          <w:color w:val="000000"/>
          <w:kern w:val="0"/>
          <w:sz w:val="28"/>
          <w:szCs w:val="28"/>
          <w:lang w:val="en-US" w:eastAsia="zh-CN"/>
        </w:rPr>
        <w:t>209.41</w:t>
      </w:r>
      <w:r>
        <w:rPr>
          <w:rFonts w:hint="eastAsia" w:ascii="仿宋_GB2312" w:hAnsi="宋体" w:eastAsia="仿宋_GB2312" w:cs="宋体"/>
          <w:color w:val="000000"/>
          <w:kern w:val="0"/>
          <w:sz w:val="28"/>
          <w:szCs w:val="28"/>
        </w:rPr>
        <w:t>万元，主要包括：基本工资、津贴补贴、奖金、社会保险缴费、绩效工资、机关事业单位基本养老保险缴费、职业年金缴费、其他工资福利支出、离休费、住房公积金、其他对个人和家庭的补助支出。公用经费</w:t>
      </w:r>
      <w:r>
        <w:rPr>
          <w:rFonts w:hint="eastAsia" w:ascii="仿宋_GB2312" w:hAnsi="宋体" w:eastAsia="仿宋_GB2312" w:cs="宋体"/>
          <w:color w:val="000000"/>
          <w:kern w:val="0"/>
          <w:sz w:val="28"/>
          <w:szCs w:val="28"/>
          <w:lang w:val="en-US" w:eastAsia="zh-CN"/>
        </w:rPr>
        <w:t>17.95</w:t>
      </w:r>
      <w:r>
        <w:rPr>
          <w:rFonts w:hint="eastAsia" w:ascii="仿宋_GB2312" w:hAnsi="宋体" w:eastAsia="仿宋_GB2312" w:cs="宋体"/>
          <w:color w:val="000000"/>
          <w:kern w:val="0"/>
          <w:sz w:val="28"/>
          <w:szCs w:val="28"/>
        </w:rPr>
        <w:t>万元，主要包括：办公费、印刷费、手续费、水费、电费、邮电费、差旅费、维修（护）费、会议费、培训费、劳务费、工会经费、福利费、其他交通费、其他商品和服务支出。</w:t>
      </w:r>
    </w:p>
    <w:p>
      <w:pPr>
        <w:rPr>
          <w:color w:val="000000" w:themeColor="text1"/>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六</w:t>
      </w:r>
      <w:r>
        <w:rPr>
          <w:rFonts w:hint="eastAsia" w:ascii="黑体" w:hAnsi="黑体" w:eastAsia="黑体" w:cs="宋体"/>
          <w:color w:val="000000" w:themeColor="text1"/>
          <w:kern w:val="0"/>
          <w:sz w:val="28"/>
          <w:szCs w:val="28"/>
          <w14:textFill>
            <w14:solidFill>
              <w14:schemeClr w14:val="tx1"/>
            </w14:solidFill>
          </w14:textFill>
        </w:rPr>
        <w:t>、“三公”经费财政拨款预算安排情况说明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水宁寺镇</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年“三公”经费财政拨款预算数0万元，其中：因公出国（境）经费0万元，公务接待费0万元，公务用车购置及运行维护费0万元。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七、政府性基金预算支出情况说明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黑体" w:hAnsi="黑体" w:eastAsia="黑体"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14:textFill>
            <w14:solidFill>
              <w14:schemeClr w14:val="tx1"/>
            </w14:solidFill>
          </w14:textFill>
        </w:rPr>
        <w:t>水宁寺镇</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年使用政府性基金预算拨款安排0万支出。</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八、其他重要事项的情况说明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（一）机关运行经费</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年水宁寺镇农业综合服务中心运行经费财政拨款预算为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17.95</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（二）国有资产占有使用情况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截至</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年底，水宁寺镇</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农业综合服务中心</w:t>
      </w:r>
      <w:r>
        <w:rPr>
          <w:rFonts w:hint="eastAsia" w:ascii="仿宋_GB2312" w:hAnsi="宋体" w:eastAsia="仿宋_GB2312" w:cs="宋体"/>
          <w:color w:val="000000" w:themeColor="text1"/>
          <w:kern w:val="0"/>
          <w:sz w:val="28"/>
          <w:szCs w:val="28"/>
          <w14:textFill>
            <w14:solidFill>
              <w14:schemeClr w14:val="tx1"/>
            </w14:solidFill>
          </w14:textFill>
        </w:rPr>
        <w:t>所属各预算单位共有车辆0辆，其中，定向保障用车0辆、执法执勤用车0辆。</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（四）绩效目标设置情况</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年财政厅部门通用项目和专用项目均按要求实行绩效目标管理，涉及项目一般公共预算当年拨款0万元。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p>
    <w:tbl>
      <w:tblPr>
        <w:tblStyle w:val="6"/>
        <w:tblW w:w="7926" w:type="dxa"/>
        <w:jc w:val="center"/>
        <w:tblCellSpacing w:w="0" w:type="dxa"/>
        <w:tblLayout w:type="autofit"/>
        <w:tblCellMar>
          <w:top w:w="0" w:type="dxa"/>
          <w:left w:w="0" w:type="dxa"/>
          <w:bottom w:w="0" w:type="dxa"/>
          <w:right w:w="0" w:type="dxa"/>
        </w:tblCellMar>
      </w:tblPr>
      <w:tblGrid>
        <w:gridCol w:w="7926"/>
      </w:tblGrid>
      <w:tr>
        <w:tblPrEx>
          <w:tblCellMar>
            <w:top w:w="0" w:type="dxa"/>
            <w:left w:w="0" w:type="dxa"/>
            <w:bottom w:w="0" w:type="dxa"/>
            <w:right w:w="0" w:type="dxa"/>
          </w:tblCellMar>
        </w:tblPrEx>
        <w:trPr>
          <w:trHeight w:val="7500" w:hRule="atLeast"/>
          <w:tblCellSpacing w:w="0" w:type="dxa"/>
          <w:jc w:val="center"/>
        </w:trPr>
        <w:tc>
          <w:tcPr>
            <w:tcW w:w="7926" w:type="dxa"/>
            <w:tcMar>
              <w:top w:w="150" w:type="dxa"/>
              <w:left w:w="0" w:type="dxa"/>
              <w:bottom w:w="0" w:type="dxa"/>
              <w:right w:w="0" w:type="dxa"/>
            </w:tcMar>
            <w:vAlign w:val="top"/>
          </w:tcPr>
          <w:p>
            <w:pPr>
              <w:pStyle w:val="2"/>
              <w:rPr>
                <w:rFonts w:ascii="方正黑体_GBK" w:hAnsi="方正黑体_GBK" w:eastAsia="方正黑体_GBK" w:cs="方正黑体_GBK"/>
                <w:sz w:val="28"/>
                <w:szCs w:val="28"/>
              </w:rPr>
            </w:pPr>
            <w:bookmarkStart w:id="0" w:name="_GoBack"/>
            <w:r>
              <w:rPr>
                <w:rFonts w:hint="eastAsia" w:ascii="方正黑体_GBK" w:hAnsi="方正黑体_GBK" w:eastAsia="方正黑体_GBK" w:cs="方正黑体_GBK"/>
                <w:sz w:val="28"/>
                <w:szCs w:val="28"/>
              </w:rPr>
              <w:t>十、名词解释</w:t>
            </w:r>
          </w:p>
          <w:p>
            <w:pPr>
              <w:ind w:firstLine="560" w:firstLineChars="200"/>
              <w:rPr>
                <w:rFonts w:ascii="仿宋_GB2312" w:eastAsia="仿宋_GB2312"/>
                <w:sz w:val="28"/>
                <w:szCs w:val="28"/>
              </w:rPr>
            </w:pPr>
            <w:r>
              <w:rPr>
                <w:rFonts w:ascii="Times New Roman" w:hAnsi="Times New Roman" w:eastAsia="仿宋_GB2312"/>
                <w:sz w:val="28"/>
                <w:szCs w:val="28"/>
              </w:rPr>
              <w:t>1</w:t>
            </w:r>
            <w:r>
              <w:rPr>
                <w:rFonts w:hint="eastAsia" w:ascii="仿宋_GB2312" w:eastAsia="仿宋_GB2312"/>
                <w:sz w:val="28"/>
                <w:szCs w:val="28"/>
              </w:rPr>
              <w:t>.一般公共预算拨款收入：指省级财政当年拨付的资金。</w:t>
            </w:r>
          </w:p>
          <w:p>
            <w:pPr>
              <w:ind w:firstLine="560" w:firstLineChars="200"/>
              <w:rPr>
                <w:rFonts w:ascii="仿宋_GB2312" w:eastAsia="仿宋_GB2312"/>
                <w:sz w:val="28"/>
                <w:szCs w:val="28"/>
              </w:rPr>
            </w:pPr>
            <w:r>
              <w:rPr>
                <w:rFonts w:ascii="Times New Roman" w:hAnsi="Times New Roman" w:eastAsia="仿宋_GB2312"/>
                <w:sz w:val="28"/>
                <w:szCs w:val="28"/>
              </w:rPr>
              <w:t>2</w:t>
            </w:r>
            <w:r>
              <w:rPr>
                <w:rFonts w:hint="eastAsia" w:ascii="仿宋_GB2312" w:eastAsia="仿宋_GB2312"/>
                <w:sz w:val="28"/>
                <w:szCs w:val="28"/>
              </w:rPr>
              <w:t>.上年结转：指以前年度尚未完成，结转到本年仍按原规定用途继续使用的资金。</w:t>
            </w:r>
          </w:p>
          <w:p>
            <w:pPr>
              <w:ind w:firstLine="560" w:firstLineChars="200"/>
              <w:rPr>
                <w:rFonts w:ascii="仿宋_GB2312" w:eastAsia="仿宋_GB2312"/>
                <w:sz w:val="28"/>
                <w:szCs w:val="28"/>
              </w:rPr>
            </w:pPr>
            <w:r>
              <w:rPr>
                <w:rFonts w:ascii="Times New Roman" w:hAnsi="Times New Roman" w:eastAsia="仿宋_GB2312"/>
                <w:sz w:val="28"/>
                <w:szCs w:val="28"/>
              </w:rPr>
              <w:t>3</w:t>
            </w:r>
            <w:r>
              <w:rPr>
                <w:rFonts w:hint="eastAsia" w:ascii="仿宋_GB2312" w:eastAsia="仿宋_GB2312"/>
                <w:sz w:val="28"/>
                <w:szCs w:val="28"/>
              </w:rPr>
              <w:t>.一般公共服务（类）财政事务（款）行政运行（项）：指机关及参公管理事业单位用于保障机构正常运行、开展日常工作的基本支出。</w:t>
            </w:r>
          </w:p>
          <w:p>
            <w:pPr>
              <w:ind w:firstLine="560" w:firstLineChars="200"/>
              <w:rPr>
                <w:rFonts w:ascii="仿宋_GB2312" w:eastAsia="仿宋_GB2312"/>
                <w:sz w:val="28"/>
                <w:szCs w:val="28"/>
              </w:rPr>
            </w:pPr>
            <w:r>
              <w:rPr>
                <w:rFonts w:ascii="Times New Roman" w:hAnsi="Times New Roman" w:eastAsia="仿宋_GB2312"/>
                <w:sz w:val="28"/>
                <w:szCs w:val="28"/>
              </w:rPr>
              <w:t>4</w:t>
            </w:r>
            <w:r>
              <w:rPr>
                <w:rFonts w:hint="eastAsia" w:ascii="仿宋_GB2312" w:eastAsia="仿宋_GB2312"/>
                <w:sz w:val="28"/>
                <w:szCs w:val="28"/>
              </w:rPr>
              <w:t>.一般公共服务（类）财政事务（款）一般行政管理事务（项）：指事业单位开展财政综合业务、预决算编审等未单独设置项级科目的专门性财政管理工作的项目支出。</w:t>
            </w:r>
          </w:p>
          <w:p>
            <w:pPr>
              <w:ind w:firstLine="560" w:firstLineChars="200"/>
              <w:rPr>
                <w:rFonts w:ascii="仿宋_GB2312" w:eastAsia="仿宋_GB2312"/>
                <w:sz w:val="28"/>
                <w:szCs w:val="28"/>
              </w:rPr>
            </w:pPr>
            <w:r>
              <w:rPr>
                <w:rFonts w:ascii="Times New Roman" w:hAnsi="Times New Roman" w:eastAsia="仿宋_GB2312"/>
                <w:sz w:val="28"/>
                <w:szCs w:val="28"/>
              </w:rPr>
              <w:t>5</w:t>
            </w:r>
            <w:r>
              <w:rPr>
                <w:rFonts w:hint="eastAsia" w:ascii="仿宋_GB2312" w:eastAsia="仿宋_GB2312"/>
                <w:sz w:val="28"/>
                <w:szCs w:val="28"/>
              </w:rPr>
              <w:t>.社会保障和就业（类）其他社会保障和就业（款）其他社会保障和就业支出（项）：指除上述项目外，其他用于行政事业单位离退休方面的支出。</w:t>
            </w:r>
          </w:p>
          <w:p>
            <w:pPr>
              <w:ind w:firstLine="560" w:firstLineChars="200"/>
              <w:rPr>
                <w:rFonts w:ascii="仿宋_GB2312" w:eastAsia="仿宋_GB2312"/>
                <w:sz w:val="28"/>
                <w:szCs w:val="28"/>
              </w:rPr>
            </w:pPr>
            <w:r>
              <w:rPr>
                <w:rFonts w:ascii="Times New Roman" w:hAnsi="Times New Roman" w:eastAsia="仿宋_GB2312"/>
                <w:sz w:val="28"/>
                <w:szCs w:val="28"/>
              </w:rPr>
              <w:t>6</w:t>
            </w:r>
            <w:r>
              <w:rPr>
                <w:rFonts w:hint="eastAsia" w:ascii="仿宋_GB2312" w:eastAsia="仿宋_GB2312"/>
                <w:sz w:val="28"/>
                <w:szCs w:val="28"/>
              </w:rPr>
              <w:t>.医疗卫生与计划生育（类）行政事业单位医疗（款）行政单位医疗（项）：指机关及参公管理事业单位用于缴纳单位基本医疗保险支出。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7</w:t>
            </w:r>
            <w:r>
              <w:rPr>
                <w:rFonts w:hint="eastAsia" w:ascii="仿宋_GB2312" w:eastAsia="仿宋_GB2312"/>
                <w:sz w:val="28"/>
                <w:szCs w:val="28"/>
              </w:rPr>
              <w:t>.医疗卫生与计划生育（类）行政事业单位医疗（款）事业单位医疗（项）：指事业单位用于缴纳单位基本医疗保险支出。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8</w:t>
            </w:r>
            <w:r>
              <w:rPr>
                <w:rFonts w:hint="eastAsia" w:ascii="仿宋_GB2312" w:eastAsia="仿宋_GB2312"/>
                <w:sz w:val="28"/>
                <w:szCs w:val="28"/>
              </w:rPr>
              <w:t>.住房保障（类）住房改革支出（款）住房公积金（项）：指按照《住房公积金管理条例》的规定，由单位及其在职职工缴存的长期住房储金。</w:t>
            </w:r>
          </w:p>
          <w:p>
            <w:pPr>
              <w:ind w:firstLine="560" w:firstLineChars="200"/>
              <w:rPr>
                <w:rFonts w:ascii="仿宋_GB2312" w:eastAsia="仿宋_GB2312"/>
                <w:sz w:val="28"/>
                <w:szCs w:val="28"/>
              </w:rPr>
            </w:pPr>
            <w:r>
              <w:rPr>
                <w:rFonts w:ascii="Times New Roman" w:hAnsi="Times New Roman" w:eastAsia="仿宋_GB2312"/>
                <w:sz w:val="28"/>
                <w:szCs w:val="28"/>
              </w:rPr>
              <w:t>9</w:t>
            </w:r>
            <w:r>
              <w:rPr>
                <w:rFonts w:hint="eastAsia" w:ascii="仿宋_GB2312" w:eastAsia="仿宋_GB2312"/>
                <w:sz w:val="28"/>
                <w:szCs w:val="28"/>
              </w:rPr>
              <w:t>.基本支出：指为保证机构正常运转，完成日常工作任务而发生的人员支出和公用支出。</w:t>
            </w:r>
          </w:p>
          <w:p>
            <w:pPr>
              <w:ind w:firstLine="560" w:firstLineChars="200"/>
              <w:rPr>
                <w:rFonts w:ascii="仿宋_GB2312" w:eastAsia="仿宋_GB2312"/>
                <w:sz w:val="28"/>
                <w:szCs w:val="28"/>
              </w:rPr>
            </w:pPr>
            <w:r>
              <w:rPr>
                <w:rFonts w:ascii="Times New Roman" w:hAnsi="Times New Roman" w:eastAsia="仿宋_GB2312"/>
                <w:sz w:val="28"/>
                <w:szCs w:val="28"/>
              </w:rPr>
              <w:t>10</w:t>
            </w:r>
            <w:r>
              <w:rPr>
                <w:rFonts w:hint="eastAsia" w:ascii="仿宋_GB2312" w:eastAsia="仿宋_GB2312"/>
                <w:sz w:val="28"/>
                <w:szCs w:val="28"/>
              </w:rPr>
              <w:t>.项目支出：指在基本支出之外为完成特定行政任务和事业发展目标所发生的支出。</w:t>
            </w:r>
          </w:p>
          <w:p>
            <w:pPr>
              <w:ind w:firstLine="560" w:firstLineChars="200"/>
              <w:rPr>
                <w:rFonts w:ascii="仿宋_GB2312" w:eastAsia="仿宋_GB2312"/>
                <w:sz w:val="28"/>
                <w:szCs w:val="28"/>
              </w:rPr>
            </w:pPr>
            <w:r>
              <w:rPr>
                <w:rFonts w:ascii="Times New Roman" w:hAnsi="Times New Roman" w:eastAsia="仿宋_GB2312"/>
                <w:sz w:val="28"/>
                <w:szCs w:val="28"/>
              </w:rPr>
              <w:t>11</w:t>
            </w:r>
            <w:r>
              <w:rPr>
                <w:rFonts w:hint="eastAsia" w:ascii="仿宋_GB2312" w:eastAsia="仿宋_GB2312"/>
                <w:sz w:val="28"/>
                <w:szCs w:val="28"/>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仿宋_GB2312" w:eastAsia="仿宋_GB2312"/>
                <w:sz w:val="28"/>
                <w:szCs w:val="28"/>
              </w:rPr>
            </w:pPr>
            <w:r>
              <w:rPr>
                <w:rFonts w:ascii="Times New Roman" w:hAnsi="Times New Roman" w:eastAsia="仿宋_GB2312"/>
                <w:sz w:val="28"/>
                <w:szCs w:val="28"/>
              </w:rPr>
              <w:t>12</w:t>
            </w:r>
            <w:r>
              <w:rPr>
                <w:rFonts w:hint="eastAsia" w:ascii="仿宋_GB2312" w:eastAsia="仿宋_GB2312"/>
                <w:sz w:val="28"/>
                <w:szCs w:val="28"/>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附件：</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年巴州区单位部门收支总表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年巴州区单位部门收入总表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年巴州区单位部门支出总表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年巴州区单位财政拨款收支预算总表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年单位一般公共预算基本支出预算表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年单位一般公共预算项目支出预算表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年单位一般公共预算“三公”经费预算表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年政府性基金支出预算表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年政府基金预算“三公”经费支出预算表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5</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年国有资本经营预算支出预算表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6</w:t>
            </w:r>
            <w:r>
              <w:rPr>
                <w:rFonts w:hint="eastAsia" w:ascii="仿宋_GB2312" w:eastAsia="仿宋_GB2312"/>
                <w:sz w:val="28"/>
                <w:szCs w:val="28"/>
              </w:rPr>
              <w:t>.项目支出绩效预算目标表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7</w:t>
            </w:r>
            <w:r>
              <w:rPr>
                <w:rFonts w:hint="eastAsia" w:ascii="仿宋_GB2312" w:eastAsia="仿宋_GB2312"/>
                <w:sz w:val="28"/>
                <w:szCs w:val="28"/>
              </w:rPr>
              <w:t>.部门整体绩效预算目标表</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widowControl/>
              <w:wordWrap w:val="0"/>
              <w:spacing w:line="480" w:lineRule="atLeast"/>
              <w:ind w:firstLine="560" w:firstLineChars="200"/>
              <w:rPr>
                <w:rFonts w:ascii="仿宋_GB2312" w:hAnsi="宋体"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附件：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年部门预算公开报表</w:t>
            </w:r>
          </w:p>
        </w:tc>
      </w:tr>
      <w:tr>
        <w:tblPrEx>
          <w:tblCellMar>
            <w:top w:w="0" w:type="dxa"/>
            <w:left w:w="0" w:type="dxa"/>
            <w:bottom w:w="0" w:type="dxa"/>
            <w:right w:w="0" w:type="dxa"/>
          </w:tblCellMar>
        </w:tblPrEx>
        <w:trPr>
          <w:tblCellSpacing w:w="0" w:type="dxa"/>
          <w:jc w:val="center"/>
        </w:trPr>
        <w:tc>
          <w:tcPr>
            <w:tcW w:w="7926"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rPr>
          <w:color w:val="000000" w:themeColor="text1"/>
          <w14:textFill>
            <w14:solidFill>
              <w14:schemeClr w14:val="tx1"/>
            </w14:solidFill>
          </w14:textFill>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926E8"/>
    <w:multiLevelType w:val="singleLevel"/>
    <w:tmpl w:val="60F926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zY5MjVjNWRjODM3YWM2MDdhODFlOGQ0OWRjNGMifQ=="/>
  </w:docVars>
  <w:rsids>
    <w:rsidRoot w:val="006452C1"/>
    <w:rsid w:val="0005544E"/>
    <w:rsid w:val="00075740"/>
    <w:rsid w:val="0009310D"/>
    <w:rsid w:val="000C5957"/>
    <w:rsid w:val="000D687C"/>
    <w:rsid w:val="0012133E"/>
    <w:rsid w:val="002705FF"/>
    <w:rsid w:val="002E6F3F"/>
    <w:rsid w:val="002F5B42"/>
    <w:rsid w:val="0031167F"/>
    <w:rsid w:val="003324C8"/>
    <w:rsid w:val="0034694A"/>
    <w:rsid w:val="003B2F94"/>
    <w:rsid w:val="003D121D"/>
    <w:rsid w:val="003E1F55"/>
    <w:rsid w:val="00430A67"/>
    <w:rsid w:val="00474DE5"/>
    <w:rsid w:val="004B058D"/>
    <w:rsid w:val="004B38E9"/>
    <w:rsid w:val="004E51FF"/>
    <w:rsid w:val="004F3AE6"/>
    <w:rsid w:val="00532C45"/>
    <w:rsid w:val="00580470"/>
    <w:rsid w:val="00593183"/>
    <w:rsid w:val="005A05E2"/>
    <w:rsid w:val="00607C3A"/>
    <w:rsid w:val="006452C1"/>
    <w:rsid w:val="00687D24"/>
    <w:rsid w:val="006E7785"/>
    <w:rsid w:val="006F69EE"/>
    <w:rsid w:val="0071356F"/>
    <w:rsid w:val="00727E64"/>
    <w:rsid w:val="00744A26"/>
    <w:rsid w:val="00751066"/>
    <w:rsid w:val="007C35E2"/>
    <w:rsid w:val="00832D6A"/>
    <w:rsid w:val="00862BB8"/>
    <w:rsid w:val="008640E2"/>
    <w:rsid w:val="008A018D"/>
    <w:rsid w:val="009354DF"/>
    <w:rsid w:val="009363A1"/>
    <w:rsid w:val="009938B8"/>
    <w:rsid w:val="009C39F6"/>
    <w:rsid w:val="009F6826"/>
    <w:rsid w:val="00A000D8"/>
    <w:rsid w:val="00AD2F67"/>
    <w:rsid w:val="00AD416C"/>
    <w:rsid w:val="00AE4E65"/>
    <w:rsid w:val="00B04189"/>
    <w:rsid w:val="00B27BF4"/>
    <w:rsid w:val="00B40FDC"/>
    <w:rsid w:val="00B75841"/>
    <w:rsid w:val="00BF2F53"/>
    <w:rsid w:val="00C40F78"/>
    <w:rsid w:val="00C672F3"/>
    <w:rsid w:val="00C67E0B"/>
    <w:rsid w:val="00CA7783"/>
    <w:rsid w:val="00CB029D"/>
    <w:rsid w:val="00CF3DB4"/>
    <w:rsid w:val="00CF5987"/>
    <w:rsid w:val="00D34013"/>
    <w:rsid w:val="00D63EB5"/>
    <w:rsid w:val="00DD3674"/>
    <w:rsid w:val="00E658D9"/>
    <w:rsid w:val="00E80036"/>
    <w:rsid w:val="00E802F4"/>
    <w:rsid w:val="00EB0203"/>
    <w:rsid w:val="00EF16F2"/>
    <w:rsid w:val="00F80365"/>
    <w:rsid w:val="00FE50F2"/>
    <w:rsid w:val="04886A4F"/>
    <w:rsid w:val="06A314E1"/>
    <w:rsid w:val="075F6EB2"/>
    <w:rsid w:val="104A15D5"/>
    <w:rsid w:val="121441DA"/>
    <w:rsid w:val="135429A0"/>
    <w:rsid w:val="180C6BE2"/>
    <w:rsid w:val="181E2C9A"/>
    <w:rsid w:val="1835200F"/>
    <w:rsid w:val="215A276C"/>
    <w:rsid w:val="21F80D6F"/>
    <w:rsid w:val="24CE4FA9"/>
    <w:rsid w:val="27DF1C1D"/>
    <w:rsid w:val="296C6308"/>
    <w:rsid w:val="296E67C5"/>
    <w:rsid w:val="2BCD2038"/>
    <w:rsid w:val="2C0D09C4"/>
    <w:rsid w:val="2C11441D"/>
    <w:rsid w:val="2C242290"/>
    <w:rsid w:val="2F646BC2"/>
    <w:rsid w:val="31523975"/>
    <w:rsid w:val="31AD2AEB"/>
    <w:rsid w:val="35E84FC2"/>
    <w:rsid w:val="3968219D"/>
    <w:rsid w:val="3EE85404"/>
    <w:rsid w:val="485B211F"/>
    <w:rsid w:val="48FB4F4A"/>
    <w:rsid w:val="4A134709"/>
    <w:rsid w:val="4F001651"/>
    <w:rsid w:val="4F075A92"/>
    <w:rsid w:val="50730E6C"/>
    <w:rsid w:val="537F1759"/>
    <w:rsid w:val="542D5792"/>
    <w:rsid w:val="59DD4894"/>
    <w:rsid w:val="5BDB1CCA"/>
    <w:rsid w:val="5DBB27D1"/>
    <w:rsid w:val="5ED24DAC"/>
    <w:rsid w:val="61DB7D34"/>
    <w:rsid w:val="654734D9"/>
    <w:rsid w:val="67D40DD1"/>
    <w:rsid w:val="683D0C89"/>
    <w:rsid w:val="6A626D66"/>
    <w:rsid w:val="6A90596D"/>
    <w:rsid w:val="6DF338C4"/>
    <w:rsid w:val="6E7375D7"/>
    <w:rsid w:val="73BF0AC9"/>
    <w:rsid w:val="74D12367"/>
    <w:rsid w:val="75861500"/>
    <w:rsid w:val="797F4BAB"/>
    <w:rsid w:val="7ED71E7C"/>
    <w:rsid w:val="7FC84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3207</Words>
  <Characters>3453</Characters>
  <Lines>16</Lines>
  <Paragraphs>4</Paragraphs>
  <TotalTime>1</TotalTime>
  <ScaleCrop>false</ScaleCrop>
  <LinksUpToDate>false</LinksUpToDate>
  <CharactersWithSpaces>3556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别皱眉</cp:lastModifiedBy>
  <cp:lastPrinted>2021-07-20T03:32:00Z</cp:lastPrinted>
  <dcterms:modified xsi:type="dcterms:W3CDTF">2023-07-04T09:33:28Z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C85581C79CFE4AA291E379F8AF58699D_13</vt:lpwstr>
  </property>
</Properties>
</file>