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宋体"/>
          <w:color w:val="000000" w:themeColor="text1"/>
          <w:kern w:val="0"/>
          <w:sz w:val="44"/>
          <w:szCs w:val="44"/>
          <w14:textFill>
            <w14:solidFill>
              <w14:schemeClr w14:val="tx1"/>
            </w14:solidFill>
          </w14:textFill>
        </w:rPr>
      </w:pPr>
      <w:bookmarkStart w:id="0" w:name="_GoBack"/>
      <w:bookmarkEnd w:id="0"/>
      <w:r>
        <w:rPr>
          <w:rFonts w:hint="eastAsia" w:ascii="方正小标宋简体" w:hAnsi="宋体" w:eastAsia="方正小标宋简体" w:cs="宋体"/>
          <w:color w:val="000000" w:themeColor="text1"/>
          <w:kern w:val="0"/>
          <w:sz w:val="44"/>
          <w:szCs w:val="44"/>
          <w14:textFill>
            <w14:solidFill>
              <w14:schemeClr w14:val="tx1"/>
            </w14:solidFill>
          </w14:textFill>
        </w:rPr>
        <w:t>巴中市巴州区水宁寺镇村镇建设服务中心</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t>202</w:t>
      </w: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3</w:t>
      </w:r>
      <w:r>
        <w:rPr>
          <w:rFonts w:hint="eastAsia" w:ascii="方正小标宋简体" w:hAnsi="宋体" w:eastAsia="方正小标宋简体" w:cs="宋体"/>
          <w:color w:val="000000" w:themeColor="text1"/>
          <w:kern w:val="0"/>
          <w:sz w:val="44"/>
          <w:szCs w:val="44"/>
          <w14:textFill>
            <w14:solidFill>
              <w14:schemeClr w14:val="tx1"/>
            </w14:solidFill>
          </w14:textFill>
        </w:rPr>
        <w:t>年部门预算编制说明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仿宋_GB2312" w:hAnsi="宋体" w:eastAsia="仿宋_GB2312" w:cs="宋体"/>
          <w:color w:val="000000" w:themeColor="text1"/>
          <w:kern w:val="0"/>
          <w:sz w:val="44"/>
          <w:szCs w:val="44"/>
          <w:lang w:val="en-US" w:eastAsia="zh-CN"/>
          <w14:textFill>
            <w14:solidFill>
              <w14:schemeClr w14:val="tx1"/>
            </w14:solidFill>
          </w14:textFill>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基本职能及主要工作</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财政拨款收支预算情况说明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一般公共预算当年拨款收支预算情况说明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一般公共预算基本支出预算情况说明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政府性基金预算支出情况说明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其他重要事项的情况说明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附件：2023年部门预算公开报表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w:t>
      </w: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p>
    <w:p>
      <w:pPr>
        <w:widowControl/>
        <w:spacing w:line="480" w:lineRule="atLeast"/>
        <w:jc w:val="left"/>
        <w:rPr>
          <w:rFonts w:hint="eastAsia" w:ascii="黑体" w:hAnsi="黑体" w:eastAsia="黑体" w:cs="宋体"/>
          <w:color w:val="000000" w:themeColor="text1"/>
          <w:kern w:val="0"/>
          <w:sz w:val="28"/>
          <w:szCs w:val="28"/>
          <w14:textFill>
            <w14:solidFill>
              <w14:schemeClr w14:val="tx1"/>
            </w14:solidFill>
          </w14:textFill>
        </w:rPr>
      </w:pPr>
    </w:p>
    <w:p>
      <w:pPr>
        <w:widowControl/>
        <w:spacing w:line="480" w:lineRule="atLeast"/>
        <w:jc w:val="left"/>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一、基本职能及主要工作</w:t>
      </w:r>
    </w:p>
    <w:p>
      <w:pPr>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水宁寺镇位于巴中市巴州区东部，辖15个行政村,2个居委会，106个村(居)民小组，幅员面积95平方公里，全镇10200户,总人口40556人。</w:t>
      </w:r>
    </w:p>
    <w:p>
      <w:pPr>
        <w:ind w:firstLine="640"/>
        <w:rPr>
          <w:rFonts w:ascii="仿宋" w:hAnsi="仿宋" w:eastAsia="仿宋"/>
          <w:sz w:val="28"/>
          <w:szCs w:val="28"/>
        </w:rPr>
      </w:pPr>
      <w:r>
        <w:rPr>
          <w:rFonts w:hint="eastAsia" w:ascii="仿宋" w:hAnsi="仿宋" w:eastAsia="仿宋"/>
          <w:sz w:val="28"/>
          <w:szCs w:val="28"/>
        </w:rPr>
        <w:t>宣传贯彻村镇规划、建设、管理方面的法律法规和政策；配合（组织）编制（修改）镇国土空间规划、控制性详细规划、重要地块修建性详细规划、村庄规划、专业专项规划；负责辖区内项目建设手续的审查报批和批后监管等工作；负责监督、检查、上报辖区内各类建设工程的建设(拆除)质量、安全工作；配合区级职能部门做好涉及项目工程、建构筑物安全的地质灾害隐患排查及隐患点监控上报；具体负责百镇建设、特色镇建设、重点工程建设工作。具体负责传统村落保护发展规划的制定，监督规划实施和建设项目的落实。负责辖区农村危房改造工作；负责辖区内村镇环境卫生、园林绿化、新村建设、污水治理、垃圾处理、饮用水源保护等工作；负责本辖区内基础设施和公共服务设施日常检查、长效管理工作，协调、指导和督促辖区内单位和行政村做好基础设施和公共服务设施的日常运行、维护和长效管理机制的建立和完善；负责辖区内违法建设巡查、劝阻和案情上报工作。协助查处、打击违法违章建设、无证施工等工作；负责村镇建设统计和档案管理等工作；完成镇党委、政府交办的其他工作。</w:t>
      </w:r>
    </w:p>
    <w:p>
      <w:pPr>
        <w:widowControl/>
        <w:wordWrap w:val="0"/>
        <w:spacing w:line="480" w:lineRule="atLeast"/>
        <w:ind w:firstLine="420" w:firstLineChars="150"/>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二、收支预算情况说明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按照综合预算的原则，巴中市巴州区水宁寺镇村镇建设服务中心所有收入和支出均纳入部门预算管理。收入包括：一般公共预算拨款收入、政府性基金预算拨款收入；支出包括：一般公共服务支出、社会保障和就业支出、医疗卫生与计划生育支出、住房保障支出。巴中市巴州区水宁寺镇村镇建设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万元，占100%，上级补助收入0万元。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巴中市巴州区水宁寺镇村镇建设服务中心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 xml:space="preserve">万元，占100%. </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三、财政拨款收支预算情况说明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水宁寺镇村镇建设服务中心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themeColor="text1"/>
          <w:kern w:val="0"/>
          <w:sz w:val="28"/>
          <w:szCs w:val="28"/>
          <w14:textFill>
            <w14:solidFill>
              <w14:schemeClr w14:val="tx1"/>
            </w14:solidFill>
          </w14:textFill>
        </w:rPr>
        <w:t>元、政府性基金预算拨款收入0万元；支出包括：</w:t>
      </w:r>
      <w:r>
        <w:rPr>
          <w:rFonts w:ascii="仿宋_GB2312" w:hAnsi="宋体" w:eastAsia="仿宋_GB2312" w:cs="宋体"/>
          <w:b/>
          <w:color w:val="000000" w:themeColor="text1"/>
          <w:kern w:val="0"/>
          <w:sz w:val="28"/>
          <w:szCs w:val="28"/>
          <w14:textFill>
            <w14:solidFill>
              <w14:schemeClr w14:val="tx1"/>
            </w14:solidFill>
          </w14:textFill>
        </w:rPr>
        <w:t>城乡社区支出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21.85</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themeColor="text1"/>
          <w:kern w:val="0"/>
          <w:sz w:val="28"/>
          <w:szCs w:val="28"/>
          <w14:textFill>
            <w14:solidFill>
              <w14:schemeClr w14:val="tx1"/>
            </w14:solidFill>
          </w14:textFill>
        </w:rPr>
        <w:t>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w:t>
      </w:r>
      <w:r>
        <w:rPr>
          <w:rFonts w:hint="eastAsia" w:ascii="仿宋_GB2312" w:hAnsi="宋体" w:eastAsia="仿宋_GB2312" w:cs="宋体"/>
          <w:color w:val="000000" w:themeColor="text1"/>
          <w:kern w:val="0"/>
          <w:sz w:val="28"/>
          <w:szCs w:val="28"/>
          <w14:textFill>
            <w14:solidFill>
              <w14:schemeClr w14:val="tx1"/>
            </w14:solidFill>
          </w14:textFill>
        </w:rPr>
        <w:t>万元、医疗卫生与计划生育支出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w:t>
      </w:r>
      <w:r>
        <w:rPr>
          <w:rFonts w:hint="eastAsia" w:ascii="仿宋_GB2312" w:hAnsi="宋体" w:eastAsia="仿宋_GB2312" w:cs="宋体"/>
          <w:color w:val="000000" w:themeColor="text1"/>
          <w:kern w:val="0"/>
          <w:sz w:val="28"/>
          <w:szCs w:val="28"/>
          <w14:textFill>
            <w14:solidFill>
              <w14:schemeClr w14:val="tx1"/>
            </w14:solidFill>
          </w14:textFill>
        </w:rPr>
        <w:t>万元、住房保障支出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2.33</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四</w:t>
      </w:r>
      <w:r>
        <w:rPr>
          <w:rFonts w:hint="eastAsia" w:ascii="黑体" w:hAnsi="黑体" w:eastAsia="黑体" w:cs="宋体"/>
          <w:color w:val="000000" w:themeColor="text1"/>
          <w:kern w:val="0"/>
          <w:sz w:val="28"/>
          <w:szCs w:val="28"/>
          <w14:textFill>
            <w14:solidFill>
              <w14:schemeClr w14:val="tx1"/>
            </w14:solidFill>
          </w14:textFill>
        </w:rPr>
        <w:t>、一般公共预算当年拨款情况说明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水宁寺镇</w:t>
      </w:r>
      <w:r>
        <w:rPr>
          <w:rFonts w:hint="eastAsia" w:ascii="仿宋_GB2312" w:hAnsi="宋体" w:eastAsia="仿宋_GB2312" w:cs="宋体"/>
          <w:color w:val="auto"/>
          <w:kern w:val="0"/>
          <w:sz w:val="28"/>
          <w:szCs w:val="28"/>
          <w:shd w:val="clear" w:color="auto" w:fill="auto"/>
        </w:rPr>
        <w:t>村镇建设服务中心</w:t>
      </w:r>
      <w:r>
        <w:rPr>
          <w:rFonts w:hint="eastAsia" w:ascii="仿宋_GB2312" w:hAnsi="宋体" w:eastAsia="仿宋_GB2312" w:cs="宋体"/>
          <w:color w:val="auto"/>
          <w:kern w:val="0"/>
          <w:sz w:val="28"/>
          <w:szCs w:val="28"/>
          <w:shd w:val="clear" w:color="auto" w:fill="auto"/>
          <w:lang w:eastAsia="zh-CN"/>
        </w:rPr>
        <w:t>202</w:t>
      </w:r>
      <w:r>
        <w:rPr>
          <w:rFonts w:hint="eastAsia" w:ascii="仿宋_GB2312" w:hAnsi="宋体" w:eastAsia="仿宋_GB2312" w:cs="宋体"/>
          <w:color w:val="auto"/>
          <w:kern w:val="0"/>
          <w:sz w:val="28"/>
          <w:szCs w:val="28"/>
          <w:shd w:val="clear" w:color="auto" w:fill="auto"/>
          <w:lang w:val="en-US" w:eastAsia="zh-CN"/>
        </w:rPr>
        <w:t>3</w:t>
      </w:r>
      <w:r>
        <w:rPr>
          <w:rFonts w:hint="eastAsia" w:ascii="仿宋_GB2312" w:hAnsi="宋体" w:eastAsia="仿宋_GB2312" w:cs="宋体"/>
          <w:color w:val="auto"/>
          <w:kern w:val="0"/>
          <w:sz w:val="28"/>
          <w:szCs w:val="28"/>
          <w:shd w:val="clear" w:color="auto" w:fill="auto"/>
        </w:rPr>
        <w:t>年一般公共预算当年拨款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auto"/>
          <w:kern w:val="0"/>
          <w:sz w:val="28"/>
          <w:szCs w:val="28"/>
          <w:shd w:val="clear" w:color="auto" w:fill="auto"/>
        </w:rPr>
        <w:t>万元，比202</w:t>
      </w:r>
      <w:r>
        <w:rPr>
          <w:rFonts w:hint="eastAsia" w:ascii="仿宋_GB2312" w:hAnsi="宋体" w:eastAsia="仿宋_GB2312" w:cs="宋体"/>
          <w:color w:val="auto"/>
          <w:kern w:val="0"/>
          <w:sz w:val="28"/>
          <w:szCs w:val="28"/>
          <w:shd w:val="clear" w:color="auto" w:fill="auto"/>
          <w:lang w:val="en-US" w:eastAsia="zh-CN"/>
        </w:rPr>
        <w:t>2</w:t>
      </w:r>
      <w:r>
        <w:rPr>
          <w:rFonts w:hint="eastAsia" w:ascii="仿宋_GB2312" w:hAnsi="宋体" w:eastAsia="仿宋_GB2312" w:cs="宋体"/>
          <w:color w:val="auto"/>
          <w:kern w:val="0"/>
          <w:sz w:val="28"/>
          <w:szCs w:val="28"/>
          <w:shd w:val="clear" w:color="auto" w:fill="auto"/>
        </w:rPr>
        <w:t>年预算数</w:t>
      </w:r>
      <w:r>
        <w:rPr>
          <w:rFonts w:hint="eastAsia" w:ascii="仿宋_GB2312" w:hAnsi="宋体" w:eastAsia="仿宋_GB2312" w:cs="宋体"/>
          <w:color w:val="auto"/>
          <w:kern w:val="0"/>
          <w:sz w:val="28"/>
          <w:szCs w:val="28"/>
          <w:shd w:val="clear" w:color="auto" w:fill="auto"/>
          <w:lang w:val="en-US" w:eastAsia="zh-CN"/>
        </w:rPr>
        <w:t>增加0.97</w:t>
      </w:r>
      <w:r>
        <w:rPr>
          <w:rFonts w:hint="eastAsia" w:ascii="仿宋_GB2312" w:hAnsi="宋体" w:eastAsia="仿宋_GB2312" w:cs="宋体"/>
          <w:color w:val="auto"/>
          <w:kern w:val="0"/>
          <w:sz w:val="28"/>
          <w:szCs w:val="28"/>
          <w:shd w:val="clear" w:color="auto" w:fill="auto"/>
        </w:rPr>
        <w:t>万元。主要是本年度部门</w:t>
      </w:r>
      <w:r>
        <w:rPr>
          <w:rFonts w:hint="eastAsia" w:ascii="仿宋_GB2312" w:hAnsi="宋体" w:eastAsia="仿宋_GB2312" w:cs="宋体"/>
          <w:color w:val="auto"/>
          <w:kern w:val="0"/>
          <w:sz w:val="28"/>
          <w:szCs w:val="28"/>
          <w:shd w:val="clear" w:color="auto" w:fill="auto"/>
          <w:lang w:val="en-US" w:eastAsia="zh-CN"/>
        </w:rPr>
        <w:t>绩效纳入预算</w:t>
      </w:r>
      <w:r>
        <w:rPr>
          <w:rFonts w:hint="eastAsia" w:ascii="仿宋_GB2312" w:hAnsi="宋体" w:eastAsia="仿宋_GB2312" w:cs="宋体"/>
          <w:color w:val="auto"/>
          <w:kern w:val="0"/>
          <w:sz w:val="28"/>
          <w:szCs w:val="28"/>
          <w:shd w:val="clear" w:color="auto" w:fill="auto"/>
        </w:rPr>
        <w:t>。</w:t>
      </w:r>
      <w:r>
        <w:rPr>
          <w:rFonts w:hint="eastAsia" w:ascii="仿宋_GB2312" w:hAnsi="宋体" w:eastAsia="仿宋_GB2312" w:cs="宋体"/>
          <w:color w:val="auto"/>
          <w:kern w:val="0"/>
          <w:sz w:val="28"/>
          <w:szCs w:val="28"/>
          <w:shd w:val="clear" w:color="auto" w:fill="auto"/>
        </w:rPr>
        <w:br w:type="textWrapping"/>
      </w:r>
      <w:r>
        <w:rPr>
          <w:rFonts w:hint="eastAsia" w:ascii="仿宋_GB2312" w:hAnsi="宋体" w:eastAsia="仿宋_GB2312" w:cs="宋体"/>
          <w:color w:val="auto"/>
          <w:kern w:val="0"/>
          <w:sz w:val="28"/>
          <w:szCs w:val="28"/>
          <w:shd w:val="clear" w:color="auto" w:fill="auto"/>
        </w:rPr>
        <w:t>　　</w:t>
      </w:r>
      <w:r>
        <w:rPr>
          <w:rFonts w:hint="eastAsia" w:ascii="楷体_GB2312" w:hAnsi="宋体" w:eastAsia="楷体_GB2312" w:cs="宋体"/>
          <w:color w:val="auto"/>
          <w:kern w:val="0"/>
          <w:sz w:val="28"/>
          <w:szCs w:val="28"/>
          <w:shd w:val="clear" w:color="auto" w:fill="auto"/>
        </w:rPr>
        <w:t>（二）一般公共预算当年拨款结构情况</w:t>
      </w:r>
      <w:r>
        <w:rPr>
          <w:rFonts w:hint="eastAsia" w:ascii="楷体_GB2312" w:hAnsi="宋体" w:eastAsia="楷体_GB2312" w:cs="宋体"/>
          <w:color w:val="auto"/>
          <w:kern w:val="0"/>
          <w:sz w:val="28"/>
          <w:szCs w:val="28"/>
          <w:shd w:val="pct10" w:color="auto" w:fill="FFFFFF"/>
        </w:rPr>
        <w:br w:type="textWrapping"/>
      </w:r>
      <w:r>
        <w:rPr>
          <w:rFonts w:hint="eastAsia" w:ascii="仿宋_GB2312" w:hAnsi="宋体" w:eastAsia="仿宋_GB2312" w:cs="宋体"/>
          <w:kern w:val="0"/>
          <w:sz w:val="28"/>
          <w:szCs w:val="28"/>
        </w:rPr>
        <w:t>　　一</w:t>
      </w:r>
      <w:r>
        <w:rPr>
          <w:rFonts w:hint="eastAsia" w:ascii="楷体_GB2312" w:hAnsi="宋体" w:eastAsia="楷体_GB2312" w:cs="宋体"/>
          <w:kern w:val="0"/>
          <w:sz w:val="28"/>
          <w:szCs w:val="28"/>
        </w:rPr>
        <w:t>般公共预算</w:t>
      </w:r>
      <w:r>
        <w:rPr>
          <w:rFonts w:hint="eastAsia" w:ascii="仿宋_GB2312" w:hAnsi="宋体" w:eastAsia="仿宋_GB2312" w:cs="宋体"/>
          <w:kern w:val="0"/>
          <w:sz w:val="28"/>
          <w:szCs w:val="28"/>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kern w:val="0"/>
          <w:sz w:val="28"/>
          <w:szCs w:val="28"/>
        </w:rPr>
        <w:t>万元，占100%；政府性基金预算支出0</w:t>
      </w:r>
      <w:r>
        <w:rPr>
          <w:rFonts w:hint="eastAsia" w:ascii="仿宋_GB2312" w:hAnsi="宋体" w:eastAsia="仿宋_GB2312" w:cs="宋体"/>
          <w:color w:val="000000" w:themeColor="text1"/>
          <w:kern w:val="0"/>
          <w:sz w:val="28"/>
          <w:szCs w:val="28"/>
          <w14:textFill>
            <w14:solidFill>
              <w14:schemeClr w14:val="tx1"/>
            </w14:solidFill>
          </w14:textFill>
        </w:rPr>
        <w:t>万元，占0%；</w:t>
      </w:r>
    </w:p>
    <w:p>
      <w:pPr>
        <w:widowControl/>
        <w:wordWrap w:val="0"/>
        <w:spacing w:line="480" w:lineRule="atLeast"/>
        <w:ind w:firstLine="570"/>
        <w:rPr>
          <w:rFonts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wordWrap w:val="0"/>
        <w:spacing w:line="480" w:lineRule="atLeas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1</w:t>
      </w:r>
      <w:r>
        <w:rPr>
          <w:rFonts w:ascii="仿宋_GB2312" w:hAnsi="宋体" w:eastAsia="仿宋_GB2312" w:cs="宋体"/>
          <w:b/>
          <w:color w:val="000000" w:themeColor="text1"/>
          <w:kern w:val="0"/>
          <w:sz w:val="28"/>
          <w:szCs w:val="28"/>
          <w14:textFill>
            <w14:solidFill>
              <w14:schemeClr w14:val="tx1"/>
            </w14:solidFill>
          </w14:textFill>
        </w:rPr>
        <w:t>.城乡社区支出(类)城乡社区管理事务(款)工程建设管理(项)：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21.85</w:t>
      </w:r>
      <w:r>
        <w:rPr>
          <w:rFonts w:ascii="仿宋_GB2312" w:hAnsi="宋体" w:eastAsia="仿宋_GB2312" w:cs="宋体"/>
          <w:color w:val="000000" w:themeColor="text1"/>
          <w:kern w:val="0"/>
          <w:sz w:val="28"/>
          <w:szCs w:val="28"/>
          <w14:textFill>
            <w14:solidFill>
              <w14:schemeClr w14:val="tx1"/>
            </w14:solidFill>
          </w14:textFill>
        </w:rPr>
        <w:t>万元；主要用于村镇建设服务心正常运转的基本支出，包括基本工资、津贴补贴等人员经费以及办公费、印刷费、水电费等日常公用经费</w:t>
      </w:r>
    </w:p>
    <w:p>
      <w:pPr>
        <w:widowControl/>
        <w:wordWrap w:val="0"/>
        <w:spacing w:line="480" w:lineRule="atLeast"/>
        <w:ind w:firstLine="984" w:firstLineChars="35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2</w:t>
      </w:r>
      <w:r>
        <w:rPr>
          <w:rFonts w:ascii="仿宋_GB2312" w:hAnsi="宋体" w:eastAsia="仿宋_GB2312" w:cs="宋体"/>
          <w:b/>
          <w:color w:val="000000" w:themeColor="text1"/>
          <w:kern w:val="0"/>
          <w:sz w:val="28"/>
          <w:szCs w:val="28"/>
          <w14:textFill>
            <w14:solidFill>
              <w14:schemeClr w14:val="tx1"/>
            </w14:solidFill>
          </w14:textFill>
        </w:rPr>
        <w:t>、社会保障和就业支出(类)行政事业单位离退休(款)机关事业单位基本养老保险缴费支出(项)：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w:t>
      </w:r>
      <w:r>
        <w:rPr>
          <w:rFonts w:ascii="仿宋_GB2312" w:hAnsi="宋体" w:eastAsia="仿宋_GB2312" w:cs="宋体"/>
          <w:color w:val="000000" w:themeColor="text1"/>
          <w:kern w:val="0"/>
          <w:sz w:val="28"/>
          <w:szCs w:val="28"/>
          <w14:textFill>
            <w14:solidFill>
              <w14:schemeClr w14:val="tx1"/>
            </w14:solidFill>
          </w14:textFill>
        </w:rPr>
        <w:t xml:space="preserve">万元，主要用于：实施养老保险制度后，部门按规定由单位缴纳的基本养老保险费支出。 </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3</w:t>
      </w:r>
      <w:r>
        <w:rPr>
          <w:rFonts w:ascii="仿宋_GB2312" w:hAnsi="宋体" w:eastAsia="仿宋_GB2312" w:cs="宋体"/>
          <w:b/>
          <w:color w:val="000000" w:themeColor="text1"/>
          <w:kern w:val="0"/>
          <w:sz w:val="28"/>
          <w:szCs w:val="28"/>
          <w14:textFill>
            <w14:solidFill>
              <w14:schemeClr w14:val="tx1"/>
            </w14:solidFill>
          </w14:textFill>
        </w:rPr>
        <w:t>、医疗卫生与计划生育支出(类)行政事业单位医疗(款)行政单位医疗(项)：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w:t>
      </w:r>
      <w:r>
        <w:rPr>
          <w:rFonts w:ascii="仿宋_GB2312" w:hAnsi="宋体" w:eastAsia="仿宋_GB2312" w:cs="宋体"/>
          <w:color w:val="000000" w:themeColor="text1"/>
          <w:kern w:val="0"/>
          <w:sz w:val="28"/>
          <w:szCs w:val="28"/>
          <w14:textFill>
            <w14:solidFill>
              <w14:schemeClr w14:val="tx1"/>
            </w14:solidFill>
          </w14:textFill>
        </w:rPr>
        <w:t>万元，主要用于机关单位基本医疗保险缴费支出。</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4</w:t>
      </w:r>
      <w:r>
        <w:rPr>
          <w:rFonts w:ascii="仿宋_GB2312" w:hAnsi="宋体" w:eastAsia="仿宋_GB2312" w:cs="宋体"/>
          <w:b/>
          <w:color w:val="000000" w:themeColor="text1"/>
          <w:kern w:val="0"/>
          <w:sz w:val="28"/>
          <w:szCs w:val="28"/>
          <w14:textFill>
            <w14:solidFill>
              <w14:schemeClr w14:val="tx1"/>
            </w14:solidFill>
          </w14:textFill>
        </w:rPr>
        <w:t>.住房保障支出(类)住房改革支出(款)住房公积金(项)：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2.33</w:t>
      </w:r>
      <w:r>
        <w:rPr>
          <w:rFonts w:ascii="仿宋_GB2312" w:hAnsi="宋体" w:eastAsia="仿宋_GB2312" w:cs="宋体"/>
          <w:color w:val="000000" w:themeColor="text1"/>
          <w:kern w:val="0"/>
          <w:sz w:val="28"/>
          <w:szCs w:val="28"/>
          <w14:textFill>
            <w14:solidFill>
              <w14:schemeClr w14:val="tx1"/>
            </w14:solidFill>
          </w14:textFill>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黑体" w:hAnsi="黑体" w:eastAsia="黑体" w:cs="宋体"/>
          <w:color w:val="000000"/>
          <w:kern w:val="0"/>
          <w:sz w:val="28"/>
          <w:szCs w:val="28"/>
        </w:rPr>
        <w:t>五、一般公共预算基本支出情况说明</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28.07</w:t>
      </w:r>
      <w:r>
        <w:rPr>
          <w:rFonts w:hint="eastAsia" w:ascii="仿宋_GB2312" w:hAnsi="宋体" w:eastAsia="仿宋_GB2312" w:cs="宋体"/>
          <w:color w:val="000000"/>
          <w:kern w:val="0"/>
          <w:sz w:val="28"/>
          <w:szCs w:val="28"/>
        </w:rPr>
        <w:t>万元，其中：人员经费</w:t>
      </w:r>
      <w:r>
        <w:rPr>
          <w:rFonts w:hint="eastAsia" w:ascii="仿宋_GB2312" w:hAnsi="宋体" w:eastAsia="仿宋_GB2312" w:cs="宋体"/>
          <w:color w:val="000000"/>
          <w:kern w:val="0"/>
          <w:sz w:val="28"/>
          <w:szCs w:val="28"/>
          <w:lang w:val="en-US" w:eastAsia="zh-CN"/>
        </w:rPr>
        <w:t>25.85</w:t>
      </w:r>
      <w:r>
        <w:rPr>
          <w:rFonts w:hint="eastAsia" w:ascii="仿宋_GB2312" w:hAnsi="宋体" w:eastAsia="仿宋_GB2312" w:cs="宋体"/>
          <w:color w:val="000000"/>
          <w:kern w:val="0"/>
          <w:sz w:val="28"/>
          <w:szCs w:val="28"/>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_GB2312" w:hAnsi="宋体" w:eastAsia="仿宋_GB2312" w:cs="宋体"/>
          <w:color w:val="000000"/>
          <w:kern w:val="0"/>
          <w:sz w:val="28"/>
          <w:szCs w:val="28"/>
          <w:lang w:val="en-US" w:eastAsia="zh-CN"/>
        </w:rPr>
        <w:t>2.23</w:t>
      </w:r>
      <w:r>
        <w:rPr>
          <w:rFonts w:hint="eastAsia" w:ascii="仿宋_GB2312" w:hAnsi="宋体" w:eastAsia="仿宋_GB2312" w:cs="宋体"/>
          <w:color w:val="000000"/>
          <w:kern w:val="0"/>
          <w:sz w:val="28"/>
          <w:szCs w:val="28"/>
        </w:rPr>
        <w:t>万元，主要包括：办公费、印刷费、手续费、水费、电费、邮电费、差旅费、维修（护）费、会议费、培训费、劳务费、工会经费、福利费、其他交通费、其他商品和服务支出。</w:t>
      </w:r>
    </w:p>
    <w:p>
      <w:r>
        <w:rPr>
          <w:rFonts w:hint="eastAsia" w:ascii="仿宋_GB2312" w:hAnsi="宋体" w:eastAsia="仿宋_GB2312" w:cs="宋体"/>
          <w:b/>
          <w:color w:val="000000" w:themeColor="text1"/>
          <w:kern w:val="0"/>
          <w:sz w:val="28"/>
          <w:szCs w:val="28"/>
          <w14:textFill>
            <w14:solidFill>
              <w14:schemeClr w14:val="tx1"/>
            </w14:solidFill>
          </w14:textFill>
        </w:rPr>
        <w:t>六</w:t>
      </w:r>
      <w:r>
        <w:rPr>
          <w:rFonts w:hint="eastAsia" w:ascii="黑体" w:hAnsi="黑体" w:eastAsia="黑体" w:cs="宋体"/>
          <w:color w:val="000000" w:themeColor="text1"/>
          <w:kern w:val="0"/>
          <w:sz w:val="28"/>
          <w:szCs w:val="28"/>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年“三公”经费财政拨款预算数0万元，其中：因公出国（境）经费0万元，公务接待费0万元，公务用车购置及运行维护费0万元。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七、政府性基金预算支出情况说明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年使用政府性基金预算拨款安排0万支出。</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八、其他重要事项的情况说明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（一）机关运行经费</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年水宁寺镇村镇建设服务中心运行经费财政拨款预算为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25.82</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（二）国有资产占有使用情况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截至</w:t>
      </w:r>
      <w:r>
        <w:rPr>
          <w:rFonts w:hint="eastAsia" w:ascii="仿宋_GB2312" w:hAnsi="宋体" w:eastAsia="仿宋_GB2312" w:cs="宋体"/>
          <w:color w:val="000000" w:themeColor="text1"/>
          <w:kern w:val="0"/>
          <w:sz w:val="28"/>
          <w:szCs w:val="28"/>
          <w:lang w:eastAsia="zh-CN"/>
          <w14:textFill>
            <w14:solidFill>
              <w14:schemeClr w14:val="tx1"/>
            </w14:solidFill>
          </w14:textFill>
        </w:rPr>
        <w:t>2022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年底，水宁寺镇人民政府财政所所属各预算单位共有车辆0辆，其中，定向保障用车0辆、执法执勤用车0辆。</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（四）绩效目标设置情况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年财政厅部门通用项目和专用项目均按要求实行绩效目标管理，涉及项目一般公共预算当年拨款0万元。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p>
    <w:tbl>
      <w:tblPr>
        <w:tblStyle w:val="5"/>
        <w:tblW w:w="8401" w:type="dxa"/>
        <w:jc w:val="center"/>
        <w:tblCellSpacing w:w="0" w:type="dxa"/>
        <w:tblLayout w:type="autofit"/>
        <w:tblCellMar>
          <w:top w:w="0" w:type="dxa"/>
          <w:left w:w="0" w:type="dxa"/>
          <w:bottom w:w="0" w:type="dxa"/>
          <w:right w:w="0" w:type="dxa"/>
        </w:tblCellMar>
      </w:tblPr>
      <w:tblGrid>
        <w:gridCol w:w="8401"/>
      </w:tblGrid>
      <w:tr>
        <w:tblPrEx>
          <w:tblCellMar>
            <w:top w:w="0" w:type="dxa"/>
            <w:left w:w="0" w:type="dxa"/>
            <w:bottom w:w="0" w:type="dxa"/>
            <w:right w:w="0" w:type="dxa"/>
          </w:tblCellMar>
        </w:tblPrEx>
        <w:trPr>
          <w:trHeight w:val="7500" w:hRule="atLeast"/>
          <w:tblCellSpacing w:w="0" w:type="dxa"/>
          <w:jc w:val="center"/>
        </w:trPr>
        <w:tc>
          <w:tcPr>
            <w:tcW w:w="8401"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年部门预算公开报表</w:t>
            </w:r>
          </w:p>
        </w:tc>
      </w:tr>
      <w:tr>
        <w:tblPrEx>
          <w:tblCellMar>
            <w:top w:w="0" w:type="dxa"/>
            <w:left w:w="0" w:type="dxa"/>
            <w:bottom w:w="0" w:type="dxa"/>
            <w:right w:w="0" w:type="dxa"/>
          </w:tblCellMar>
        </w:tblPrEx>
        <w:trPr>
          <w:tblCellSpacing w:w="0" w:type="dxa"/>
          <w:jc w:val="center"/>
        </w:trPr>
        <w:tc>
          <w:tcPr>
            <w:tcW w:w="8401"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hiZmYzMjYzYzY4MjQ4ZWUzNDExMmI4OTIzZDUifQ=="/>
  </w:docVars>
  <w:rsids>
    <w:rsidRoot w:val="4695232D"/>
    <w:rsid w:val="08BB3B54"/>
    <w:rsid w:val="32393D76"/>
    <w:rsid w:val="4695232D"/>
    <w:rsid w:val="5B9E711E"/>
    <w:rsid w:val="5BA37D17"/>
    <w:rsid w:val="61D75138"/>
    <w:rsid w:val="6DDB3901"/>
    <w:rsid w:val="773A0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3121</Words>
  <Characters>3355</Characters>
  <Lines>0</Lines>
  <Paragraphs>0</Paragraphs>
  <TotalTime>0</TotalTime>
  <ScaleCrop>false</ScaleCrop>
  <LinksUpToDate>false</LinksUpToDate>
  <CharactersWithSpaces>3463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2021-10-08T03:48:00Z</dcterms:created>
  <dc:creator>Manchester智</dc:creator>
  <cp:lastModifiedBy>菩萨</cp:lastModifiedBy>
  <dcterms:modified xsi:type="dcterms:W3CDTF">2023-07-13T08:46:07Z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D47D6BCCC64B4CC3AED4618373496360_13</vt:lpwstr>
  </property>
</Properties>
</file>