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right" w:leader="dot" w:pos="8190"/>
        </w:tabs>
        <w:kinsoku/>
        <w:overflowPunct/>
        <w:topLinePunct w:val="0"/>
        <w:autoSpaceDE/>
        <w:autoSpaceDN/>
        <w:bidi w:val="0"/>
        <w:adjustRightInd/>
        <w:snapToGrid/>
        <w:spacing w:line="480" w:lineRule="atLeast"/>
        <w:jc w:val="center"/>
        <w:textAlignment w:val="auto"/>
        <w:rPr>
          <w:rFonts w:ascii="方正小标宋简体" w:hAnsi="宋体" w:eastAsia="方正小标宋简体" w:cs="宋体"/>
          <w:color w:val="000000" w:themeColor="text1"/>
          <w:kern w:val="0"/>
          <w:sz w:val="44"/>
          <w:szCs w:val="44"/>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巴中市巴州区水宁寺镇人民政府财政所</w:t>
      </w:r>
    </w:p>
    <w:p>
      <w:pPr>
        <w:keepNext w:val="0"/>
        <w:keepLines w:val="0"/>
        <w:pageBreakBefore w:val="0"/>
        <w:tabs>
          <w:tab w:val="right" w:leader="dot" w:pos="8190"/>
        </w:tabs>
        <w:kinsoku/>
        <w:overflowPunct/>
        <w:topLinePunct w:val="0"/>
        <w:autoSpaceDE/>
        <w:autoSpaceDN/>
        <w:bidi w:val="0"/>
        <w:adjustRightInd/>
        <w:snapToGrid/>
        <w:jc w:val="center"/>
        <w:textAlignment w:val="auto"/>
        <w:rPr>
          <w:rFonts w:hint="eastAsia" w:ascii="方正小标宋简体" w:hAnsi="宋体" w:eastAsia="方正小标宋简体" w:cs="宋体"/>
          <w:color w:val="000000" w:themeColor="text1"/>
          <w:kern w:val="0"/>
          <w:sz w:val="44"/>
          <w:szCs w:val="44"/>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202</w:t>
      </w:r>
      <w:r>
        <w:rPr>
          <w:rFonts w:hint="eastAsia" w:ascii="方正小标宋简体" w:hAnsi="宋体" w:eastAsia="方正小标宋简体" w:cs="宋体"/>
          <w:color w:val="000000" w:themeColor="text1"/>
          <w:kern w:val="0"/>
          <w:sz w:val="44"/>
          <w:szCs w:val="44"/>
          <w:lang w:val="en-US" w:eastAsia="zh-CN"/>
          <w14:textFill>
            <w14:solidFill>
              <w14:schemeClr w14:val="tx1"/>
            </w14:solidFill>
          </w14:textFill>
        </w:rPr>
        <w:t>3</w:t>
      </w:r>
      <w:r>
        <w:rPr>
          <w:rFonts w:hint="eastAsia" w:ascii="方正小标宋简体" w:hAnsi="宋体" w:eastAsia="方正小标宋简体" w:cs="宋体"/>
          <w:color w:val="000000" w:themeColor="text1"/>
          <w:kern w:val="0"/>
          <w:sz w:val="44"/>
          <w:szCs w:val="44"/>
          <w14:textFill>
            <w14:solidFill>
              <w14:schemeClr w14:val="tx1"/>
            </w14:solidFill>
          </w14:textFill>
        </w:rPr>
        <w:t>年部门预算编制说明</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14:textFill>
            <w14:solidFill>
              <w14:schemeClr w14:val="tx1"/>
            </w14:solidFill>
          </w14:textFill>
        </w:rPr>
      </w:pP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14:textFill>
            <w14:solidFill>
              <w14:schemeClr w14:val="tx1"/>
            </w14:solidFill>
          </w14:textFill>
        </w:rPr>
      </w:pPr>
      <w:r>
        <w:rPr>
          <w:rFonts w:hint="eastAsia" w:ascii="仿宋_GB2312" w:hAnsi="宋体" w:eastAsia="仿宋_GB2312" w:cs="宋体"/>
          <w:color w:val="000000" w:themeColor="text1"/>
          <w:kern w:val="0"/>
          <w:sz w:val="44"/>
          <w:szCs w:val="44"/>
          <w:lang w:val="en-US" w:eastAsia="zh-CN"/>
          <w14:textFill>
            <w14:solidFill>
              <w14:schemeClr w14:val="tx1"/>
            </w14:solidFill>
          </w14:textFill>
        </w:rPr>
        <w:t>目       录</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14:textFill>
            <w14:solidFill>
              <w14:schemeClr w14:val="tx1"/>
            </w14:solidFill>
          </w14:textFill>
        </w:rPr>
      </w:pP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eastAsia"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基本职能及主要工作</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收支预算情况说明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财政拨款收支预算情况说明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一般公共预算当年拨款收支预算情况说明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3</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一般公共预算基本支出预算情况说明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“三公”经费财政拨款预算安排情况说明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政府性基金预算支出情况说明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其他重要事项的情况说明</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lang w:val="en-US" w:eastAsia="zh-CN"/>
          <w14:textFill>
            <w14:solidFill>
              <w14:schemeClr w14:val="tx1"/>
            </w14:solidFill>
          </w14:textFill>
        </w:rPr>
        <w:t>附件：2023 年部门预算公开报表</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ab/>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6</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28"/>
          <w:szCs w:val="28"/>
          <w14:textFill>
            <w14:solidFill>
              <w14:schemeClr w14:val="tx1"/>
            </w14:solidFill>
          </w14:textFill>
        </w:rPr>
      </w:pP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28"/>
          <w:szCs w:val="28"/>
          <w14:textFill>
            <w14:solidFill>
              <w14:schemeClr w14:val="tx1"/>
            </w14:solidFill>
          </w14:textFill>
        </w:rPr>
      </w:pP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28"/>
          <w:szCs w:val="28"/>
          <w14:textFill>
            <w14:solidFill>
              <w14:schemeClr w14:val="tx1"/>
            </w14:solidFill>
          </w14:textFill>
        </w:rPr>
      </w:pPr>
    </w:p>
    <w:p>
      <w:pPr>
        <w:keepNext w:val="0"/>
        <w:keepLines w:val="0"/>
        <w:pageBreakBefore w:val="0"/>
        <w:widowControl/>
        <w:tabs>
          <w:tab w:val="right" w:leader="dot" w:pos="8190"/>
        </w:tabs>
        <w:kinsoku/>
        <w:overflowPunct/>
        <w:topLinePunct w:val="0"/>
        <w:autoSpaceDE/>
        <w:autoSpaceDN/>
        <w:bidi w:val="0"/>
        <w:adjustRightInd/>
        <w:snapToGrid/>
        <w:spacing w:line="480" w:lineRule="atLeast"/>
        <w:jc w:val="left"/>
        <w:textAlignment w:val="auto"/>
        <w:rPr>
          <w:rFonts w:hint="eastAsia" w:ascii="黑体" w:hAnsi="黑体" w:eastAsia="黑体" w:cs="宋体"/>
          <w:color w:val="000000" w:themeColor="text1"/>
          <w:kern w:val="0"/>
          <w:sz w:val="28"/>
          <w:szCs w:val="28"/>
          <w14:textFill>
            <w14:solidFill>
              <w14:schemeClr w14:val="tx1"/>
            </w14:solidFill>
          </w14:textFill>
        </w:rPr>
      </w:pPr>
    </w:p>
    <w:p>
      <w:pPr>
        <w:keepNext w:val="0"/>
        <w:keepLines w:val="0"/>
        <w:pageBreakBefore w:val="0"/>
        <w:widowControl/>
        <w:tabs>
          <w:tab w:val="right" w:leader="dot" w:pos="8190"/>
        </w:tabs>
        <w:kinsoku/>
        <w:overflowPunct/>
        <w:topLinePunct w:val="0"/>
        <w:autoSpaceDE/>
        <w:autoSpaceDN/>
        <w:bidi w:val="0"/>
        <w:adjustRightInd/>
        <w:snapToGrid/>
        <w:spacing w:line="480" w:lineRule="atLeast"/>
        <w:jc w:val="left"/>
        <w:textAlignment w:val="auto"/>
        <w:rPr>
          <w:rFonts w:hint="eastAsia" w:ascii="黑体" w:hAnsi="黑体" w:eastAsia="黑体" w:cs="宋体"/>
          <w:color w:val="000000" w:themeColor="text1"/>
          <w:kern w:val="0"/>
          <w:sz w:val="28"/>
          <w:szCs w:val="28"/>
          <w14:textFill>
            <w14:solidFill>
              <w14:schemeClr w14:val="tx1"/>
            </w14:solidFill>
          </w14:textFill>
        </w:rPr>
      </w:pPr>
    </w:p>
    <w:p>
      <w:pPr>
        <w:keepNext w:val="0"/>
        <w:keepLines w:val="0"/>
        <w:pageBreakBefore w:val="0"/>
        <w:widowControl/>
        <w:tabs>
          <w:tab w:val="right" w:leader="dot" w:pos="8190"/>
        </w:tabs>
        <w:kinsoku/>
        <w:overflowPunct/>
        <w:topLinePunct w:val="0"/>
        <w:autoSpaceDE/>
        <w:autoSpaceDN/>
        <w:bidi w:val="0"/>
        <w:adjustRightInd/>
        <w:snapToGrid/>
        <w:spacing w:line="480" w:lineRule="atLeast"/>
        <w:jc w:val="left"/>
        <w:textAlignment w:val="auto"/>
        <w:rPr>
          <w:rFonts w:hint="eastAsia" w:ascii="黑体" w:hAnsi="黑体" w:eastAsia="黑体" w:cs="宋体"/>
          <w:color w:val="000000" w:themeColor="text1"/>
          <w:kern w:val="0"/>
          <w:sz w:val="28"/>
          <w:szCs w:val="28"/>
          <w14:textFill>
            <w14:solidFill>
              <w14:schemeClr w14:val="tx1"/>
            </w14:solidFill>
          </w14:textFill>
        </w:rPr>
      </w:pPr>
    </w:p>
    <w:p>
      <w:pPr>
        <w:keepNext w:val="0"/>
        <w:keepLines w:val="0"/>
        <w:pageBreakBefore w:val="0"/>
        <w:widowControl/>
        <w:tabs>
          <w:tab w:val="right" w:leader="dot" w:pos="8190"/>
        </w:tabs>
        <w:kinsoku/>
        <w:overflowPunct/>
        <w:topLinePunct w:val="0"/>
        <w:autoSpaceDE/>
        <w:autoSpaceDN/>
        <w:bidi w:val="0"/>
        <w:adjustRightInd/>
        <w:snapToGrid/>
        <w:spacing w:line="480" w:lineRule="atLeast"/>
        <w:jc w:val="left"/>
        <w:textAlignment w:val="auto"/>
        <w:rPr>
          <w:rFonts w:hint="eastAsia" w:ascii="黑体" w:hAnsi="黑体" w:eastAsia="黑体" w:cs="宋体"/>
          <w:color w:val="000000" w:themeColor="text1"/>
          <w:kern w:val="0"/>
          <w:sz w:val="28"/>
          <w:szCs w:val="28"/>
          <w14:textFill>
            <w14:solidFill>
              <w14:schemeClr w14:val="tx1"/>
            </w14:solidFill>
          </w14:textFill>
        </w:rPr>
      </w:pPr>
    </w:p>
    <w:p>
      <w:pPr>
        <w:keepNext w:val="0"/>
        <w:keepLines w:val="0"/>
        <w:pageBreakBefore w:val="0"/>
        <w:widowControl/>
        <w:tabs>
          <w:tab w:val="right" w:leader="dot" w:pos="8190"/>
        </w:tabs>
        <w:kinsoku/>
        <w:overflowPunct/>
        <w:topLinePunct w:val="0"/>
        <w:autoSpaceDE/>
        <w:autoSpaceDN/>
        <w:bidi w:val="0"/>
        <w:adjustRightInd/>
        <w:snapToGrid/>
        <w:spacing w:line="480" w:lineRule="atLeast"/>
        <w:jc w:val="left"/>
        <w:textAlignment w:val="auto"/>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一、基本职能及主要工作</w:t>
      </w:r>
    </w:p>
    <w:p>
      <w:pPr>
        <w:keepNext w:val="0"/>
        <w:keepLines w:val="0"/>
        <w:pageBreakBefore w:val="0"/>
        <w:tabs>
          <w:tab w:val="right" w:leader="dot" w:pos="8190"/>
        </w:tabs>
        <w:kinsoku/>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水宁寺镇位于巴中市巴州区东部，辖15个行政村,2个居委会，106个村(居)民小组，幅员面积95平方公里，全镇10200户,总人口40556人。</w:t>
      </w:r>
    </w:p>
    <w:p>
      <w:pPr>
        <w:keepNext w:val="0"/>
        <w:keepLines w:val="0"/>
        <w:pageBreakBefore w:val="0"/>
        <w:tabs>
          <w:tab w:val="right" w:leader="dot" w:pos="8190"/>
        </w:tabs>
        <w:kinsoku/>
        <w:overflowPunct/>
        <w:topLinePunct w:val="0"/>
        <w:autoSpaceDE/>
        <w:autoSpaceDN/>
        <w:bidi w:val="0"/>
        <w:adjustRightInd/>
        <w:snapToGrid/>
        <w:ind w:firstLine="640"/>
        <w:textAlignment w:val="auto"/>
        <w:rPr>
          <w:rFonts w:hint="eastAsia" w:ascii="仿宋" w:hAnsi="仿宋" w:eastAsia="仿宋" w:cs="仿宋"/>
          <w:sz w:val="32"/>
          <w:szCs w:val="32"/>
        </w:rPr>
      </w:pPr>
      <w:r>
        <w:rPr>
          <w:rFonts w:hint="eastAsia" w:ascii="仿宋" w:hAnsi="仿宋" w:eastAsia="仿宋" w:cs="仿宋"/>
          <w:sz w:val="32"/>
          <w:szCs w:val="32"/>
        </w:rPr>
        <w:t>负责贯彻执行各类财经纪律规定；负责编报本级财政预算、决算并严格执行；负责财政收支、资产管理、审计等工作;负责按有关政策筹集、管理、分配本级财政预算内、外资金，并对其使用过程实施财政监督；负责管理辖区国有资产和政府性债权债务；指导、监督行政事业单位财务管理；督导财务信息公开；负责政府采购；协助税务机关和非税收入执收部门征缴财政收入；负责农村土地流转、集体资产的监督管理；负责农村“三证”办理、集体经济收入核实等工作；负责村级财务管理，组织开展村级财务审计、任期和离任经济责任审计，确保村组集体资金的安全和保值增值；负责辖区内财务公开及村（居）财务人员管理；负责辖区农民负担管理工作，落实减轻农民负担有关政策；完成党委、政府交办的其他任务。</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二、收支预算情况说明</w:t>
      </w:r>
      <w:r>
        <w:rPr>
          <w:rFonts w:hint="eastAsia" w:ascii="仿宋" w:hAnsi="仿宋" w:eastAsia="仿宋" w:cs="仿宋"/>
          <w:b/>
          <w:bCs/>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按照综合预算的原则，巴中市巴州区水宁寺镇人民政府财政所所有收入和支出均纳入部门预算管理。收入包括：一般公共预算拨款收入、政府性基金预算拨款收入；支出包括：一般公共服务支出、社会保障和就业支出、医疗卫生与计划生育支出、住房保障支出。巴中市巴州区水宁寺镇人民政府财政所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年收支总预算</w:t>
      </w:r>
      <w:r>
        <w:rPr>
          <w:rFonts w:hint="eastAsia" w:ascii="仿宋" w:hAnsi="仿宋" w:eastAsia="仿宋" w:cs="仿宋"/>
          <w:color w:val="000000" w:themeColor="text1"/>
          <w:kern w:val="0"/>
          <w:sz w:val="32"/>
          <w:szCs w:val="32"/>
          <w:lang w:val="en-US" w:eastAsia="zh-CN"/>
          <w14:textFill>
            <w14:solidFill>
              <w14:schemeClr w14:val="tx1"/>
            </w14:solidFill>
          </w14:textFill>
        </w:rPr>
        <w:t>127.96</w:t>
      </w:r>
      <w:r>
        <w:rPr>
          <w:rFonts w:hint="eastAsia" w:ascii="仿宋" w:hAnsi="仿宋" w:eastAsia="仿宋" w:cs="仿宋"/>
          <w:color w:val="000000" w:themeColor="text1"/>
          <w:kern w:val="0"/>
          <w:sz w:val="32"/>
          <w:szCs w:val="32"/>
          <w14:textFill>
            <w14:solidFill>
              <w14:schemeClr w14:val="tx1"/>
            </w14:solidFill>
          </w14:textFill>
        </w:rPr>
        <w:t>万元。</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（一）收入预算情况</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年收入预算</w:t>
      </w:r>
      <w:r>
        <w:rPr>
          <w:rFonts w:hint="eastAsia" w:ascii="仿宋" w:hAnsi="仿宋" w:eastAsia="仿宋" w:cs="仿宋"/>
          <w:color w:val="000000" w:themeColor="text1"/>
          <w:kern w:val="0"/>
          <w:sz w:val="32"/>
          <w:szCs w:val="32"/>
          <w:lang w:val="en-US" w:eastAsia="zh-CN"/>
          <w14:textFill>
            <w14:solidFill>
              <w14:schemeClr w14:val="tx1"/>
            </w14:solidFill>
          </w14:textFill>
        </w:rPr>
        <w:t>127.96</w:t>
      </w:r>
      <w:r>
        <w:rPr>
          <w:rFonts w:hint="eastAsia" w:ascii="仿宋" w:hAnsi="仿宋" w:eastAsia="仿宋" w:cs="仿宋"/>
          <w:color w:val="000000" w:themeColor="text1"/>
          <w:kern w:val="0"/>
          <w:sz w:val="32"/>
          <w:szCs w:val="32"/>
          <w14:textFill>
            <w14:solidFill>
              <w14:schemeClr w14:val="tx1"/>
            </w14:solidFill>
          </w14:textFill>
        </w:rPr>
        <w:t>万元，其中：一般公共预算拨款收入</w:t>
      </w:r>
      <w:r>
        <w:rPr>
          <w:rFonts w:hint="eastAsia" w:ascii="仿宋" w:hAnsi="仿宋" w:eastAsia="仿宋" w:cs="仿宋"/>
          <w:color w:val="000000" w:themeColor="text1"/>
          <w:kern w:val="0"/>
          <w:sz w:val="32"/>
          <w:szCs w:val="32"/>
          <w:lang w:val="en-US" w:eastAsia="zh-CN"/>
          <w14:textFill>
            <w14:solidFill>
              <w14:schemeClr w14:val="tx1"/>
            </w14:solidFill>
          </w14:textFill>
        </w:rPr>
        <w:t>127.96</w:t>
      </w:r>
      <w:r>
        <w:rPr>
          <w:rFonts w:hint="eastAsia" w:ascii="仿宋" w:hAnsi="仿宋" w:eastAsia="仿宋" w:cs="仿宋"/>
          <w:color w:val="000000" w:themeColor="text1"/>
          <w:kern w:val="0"/>
          <w:sz w:val="32"/>
          <w:szCs w:val="32"/>
          <w14:textFill>
            <w14:solidFill>
              <w14:schemeClr w14:val="tx1"/>
            </w14:solidFill>
          </w14:textFill>
        </w:rPr>
        <w:t>万元，占100%，上级补助收入0万元。</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（二）支出预算情况</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巴中市巴州区水宁寺镇人民政府财政所202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年支出预算</w:t>
      </w:r>
      <w:r>
        <w:rPr>
          <w:rFonts w:hint="eastAsia" w:ascii="仿宋" w:hAnsi="仿宋" w:eastAsia="仿宋" w:cs="仿宋"/>
          <w:color w:val="000000" w:themeColor="text1"/>
          <w:kern w:val="0"/>
          <w:sz w:val="32"/>
          <w:szCs w:val="32"/>
          <w:lang w:val="en-US" w:eastAsia="zh-CN"/>
          <w14:textFill>
            <w14:solidFill>
              <w14:schemeClr w14:val="tx1"/>
            </w14:solidFill>
          </w14:textFill>
        </w:rPr>
        <w:t>127.96</w:t>
      </w:r>
      <w:r>
        <w:rPr>
          <w:rFonts w:hint="eastAsia" w:ascii="仿宋" w:hAnsi="仿宋" w:eastAsia="仿宋" w:cs="仿宋"/>
          <w:color w:val="000000" w:themeColor="text1"/>
          <w:kern w:val="0"/>
          <w:sz w:val="32"/>
          <w:szCs w:val="32"/>
          <w14:textFill>
            <w14:solidFill>
              <w14:schemeClr w14:val="tx1"/>
            </w14:solidFill>
          </w14:textFill>
        </w:rPr>
        <w:t>万元，其中：基本支出</w:t>
      </w:r>
      <w:r>
        <w:rPr>
          <w:rFonts w:hint="eastAsia" w:ascii="仿宋" w:hAnsi="仿宋" w:eastAsia="仿宋" w:cs="仿宋"/>
          <w:color w:val="000000" w:themeColor="text1"/>
          <w:kern w:val="0"/>
          <w:sz w:val="32"/>
          <w:szCs w:val="32"/>
          <w:lang w:val="en-US" w:eastAsia="zh-CN"/>
          <w14:textFill>
            <w14:solidFill>
              <w14:schemeClr w14:val="tx1"/>
            </w14:solidFill>
          </w14:textFill>
        </w:rPr>
        <w:t>127.96</w:t>
      </w:r>
      <w:r>
        <w:rPr>
          <w:rFonts w:hint="eastAsia" w:ascii="仿宋" w:hAnsi="仿宋" w:eastAsia="仿宋" w:cs="仿宋"/>
          <w:color w:val="000000" w:themeColor="text1"/>
          <w:kern w:val="0"/>
          <w:sz w:val="32"/>
          <w:szCs w:val="32"/>
          <w14:textFill>
            <w14:solidFill>
              <w14:schemeClr w14:val="tx1"/>
            </w14:solidFill>
          </w14:textFill>
        </w:rPr>
        <w:t xml:space="preserve">万元，占100%. </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b/>
          <w:bCs/>
          <w:color w:val="000000" w:themeColor="text1"/>
          <w:kern w:val="0"/>
          <w:sz w:val="32"/>
          <w:szCs w:val="32"/>
          <w14:textFill>
            <w14:solidFill>
              <w14:schemeClr w14:val="tx1"/>
            </w14:solidFill>
          </w14:textFill>
        </w:rPr>
        <w:t>三、财政拨款收支预算情况说明</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水宁寺镇人民政府财政所202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年财政拨款收支总预算</w:t>
      </w:r>
      <w:r>
        <w:rPr>
          <w:rFonts w:hint="eastAsia" w:ascii="仿宋" w:hAnsi="仿宋" w:eastAsia="仿宋" w:cs="仿宋"/>
          <w:color w:val="000000" w:themeColor="text1"/>
          <w:kern w:val="0"/>
          <w:sz w:val="32"/>
          <w:szCs w:val="32"/>
          <w:lang w:val="en-US" w:eastAsia="zh-CN"/>
          <w14:textFill>
            <w14:solidFill>
              <w14:schemeClr w14:val="tx1"/>
            </w14:solidFill>
          </w14:textFill>
        </w:rPr>
        <w:t>127.96</w:t>
      </w:r>
      <w:r>
        <w:rPr>
          <w:rFonts w:hint="eastAsia" w:ascii="仿宋" w:hAnsi="仿宋" w:eastAsia="仿宋" w:cs="仿宋"/>
          <w:color w:val="000000" w:themeColor="text1"/>
          <w:kern w:val="0"/>
          <w:sz w:val="32"/>
          <w:szCs w:val="32"/>
          <w14:textFill>
            <w14:solidFill>
              <w14:schemeClr w14:val="tx1"/>
            </w14:solidFill>
          </w14:textFill>
        </w:rPr>
        <w:t>万元。收入包括：本年一般公共预算拨款收入</w:t>
      </w:r>
      <w:r>
        <w:rPr>
          <w:rFonts w:hint="eastAsia" w:ascii="仿宋" w:hAnsi="仿宋" w:eastAsia="仿宋" w:cs="仿宋"/>
          <w:color w:val="000000" w:themeColor="text1"/>
          <w:kern w:val="0"/>
          <w:sz w:val="32"/>
          <w:szCs w:val="32"/>
          <w:lang w:val="en-US" w:eastAsia="zh-CN"/>
          <w14:textFill>
            <w14:solidFill>
              <w14:schemeClr w14:val="tx1"/>
            </w14:solidFill>
          </w14:textFill>
        </w:rPr>
        <w:t>127.96</w:t>
      </w:r>
      <w:r>
        <w:rPr>
          <w:rFonts w:hint="eastAsia" w:ascii="仿宋" w:hAnsi="仿宋" w:eastAsia="仿宋" w:cs="仿宋"/>
          <w:color w:val="000000" w:themeColor="text1"/>
          <w:kern w:val="0"/>
          <w:sz w:val="32"/>
          <w:szCs w:val="32"/>
          <w14:textFill>
            <w14:solidFill>
              <w14:schemeClr w14:val="tx1"/>
            </w14:solidFill>
          </w14:textFill>
        </w:rPr>
        <w:t>万元、政府性基金预算拨款收入0万元；支出包括：一般公共服务支出</w:t>
      </w:r>
      <w:r>
        <w:rPr>
          <w:rFonts w:hint="eastAsia" w:ascii="仿宋" w:hAnsi="仿宋" w:eastAsia="仿宋" w:cs="仿宋"/>
          <w:color w:val="000000" w:themeColor="text1"/>
          <w:kern w:val="0"/>
          <w:sz w:val="32"/>
          <w:szCs w:val="32"/>
          <w:lang w:val="en-US" w:eastAsia="zh-CN"/>
          <w14:textFill>
            <w14:solidFill>
              <w14:schemeClr w14:val="tx1"/>
            </w14:solidFill>
          </w14:textFill>
        </w:rPr>
        <w:t>105.18</w:t>
      </w:r>
      <w:r>
        <w:rPr>
          <w:rFonts w:hint="eastAsia" w:ascii="仿宋" w:hAnsi="仿宋" w:eastAsia="仿宋" w:cs="仿宋"/>
          <w:color w:val="000000" w:themeColor="text1"/>
          <w:kern w:val="0"/>
          <w:sz w:val="32"/>
          <w:szCs w:val="32"/>
          <w14:textFill>
            <w14:solidFill>
              <w14:schemeClr w14:val="tx1"/>
            </w14:solidFill>
          </w14:textFill>
        </w:rPr>
        <w:t>万元</w:t>
      </w:r>
      <w:r>
        <w:rPr>
          <w:rFonts w:hint="eastAsia" w:ascii="仿宋" w:hAnsi="仿宋" w:eastAsia="仿宋" w:cs="仿宋"/>
          <w:color w:val="000000"/>
          <w:kern w:val="0"/>
          <w:sz w:val="32"/>
          <w:szCs w:val="32"/>
        </w:rPr>
        <w:t>、</w:t>
      </w:r>
      <w:r>
        <w:rPr>
          <w:rFonts w:hint="eastAsia" w:ascii="仿宋" w:hAnsi="仿宋" w:eastAsia="仿宋" w:cs="仿宋"/>
          <w:color w:val="000000" w:themeColor="text1"/>
          <w:kern w:val="0"/>
          <w:sz w:val="32"/>
          <w:szCs w:val="32"/>
          <w14:textFill>
            <w14:solidFill>
              <w14:schemeClr w14:val="tx1"/>
            </w14:solidFill>
          </w14:textFill>
        </w:rPr>
        <w:t>社会保障和就业支出</w:t>
      </w:r>
      <w:r>
        <w:rPr>
          <w:rFonts w:hint="eastAsia" w:ascii="仿宋" w:hAnsi="仿宋" w:eastAsia="仿宋" w:cs="仿宋"/>
          <w:color w:val="000000" w:themeColor="text1"/>
          <w:kern w:val="0"/>
          <w:sz w:val="32"/>
          <w:szCs w:val="32"/>
          <w:lang w:val="en-US" w:eastAsia="zh-CN"/>
          <w14:textFill>
            <w14:solidFill>
              <w14:schemeClr w14:val="tx1"/>
            </w14:solidFill>
          </w14:textFill>
        </w:rPr>
        <w:t>9.93</w:t>
      </w:r>
      <w:r>
        <w:rPr>
          <w:rFonts w:hint="eastAsia" w:ascii="仿宋" w:hAnsi="仿宋" w:eastAsia="仿宋" w:cs="仿宋"/>
          <w:color w:val="000000" w:themeColor="text1"/>
          <w:kern w:val="0"/>
          <w:sz w:val="32"/>
          <w:szCs w:val="32"/>
          <w14:textFill>
            <w14:solidFill>
              <w14:schemeClr w14:val="tx1"/>
            </w14:solidFill>
          </w14:textFill>
        </w:rPr>
        <w:t>万元、医疗卫生与计划生育支出</w:t>
      </w:r>
      <w:r>
        <w:rPr>
          <w:rFonts w:hint="eastAsia" w:ascii="仿宋" w:hAnsi="仿宋" w:eastAsia="仿宋" w:cs="仿宋"/>
          <w:color w:val="000000" w:themeColor="text1"/>
          <w:kern w:val="0"/>
          <w:sz w:val="32"/>
          <w:szCs w:val="32"/>
          <w:lang w:val="en-US" w:eastAsia="zh-CN"/>
          <w14:textFill>
            <w14:solidFill>
              <w14:schemeClr w14:val="tx1"/>
            </w14:solidFill>
          </w14:textFill>
        </w:rPr>
        <w:t>4.33</w:t>
      </w:r>
      <w:r>
        <w:rPr>
          <w:rFonts w:hint="eastAsia" w:ascii="仿宋" w:hAnsi="仿宋" w:eastAsia="仿宋" w:cs="仿宋"/>
          <w:color w:val="000000" w:themeColor="text1"/>
          <w:kern w:val="0"/>
          <w:sz w:val="32"/>
          <w:szCs w:val="32"/>
          <w14:textFill>
            <w14:solidFill>
              <w14:schemeClr w14:val="tx1"/>
            </w14:solidFill>
          </w14:textFill>
        </w:rPr>
        <w:t>万元、住房保障支出</w:t>
      </w:r>
      <w:r>
        <w:rPr>
          <w:rFonts w:hint="eastAsia" w:ascii="仿宋" w:hAnsi="仿宋" w:eastAsia="仿宋" w:cs="仿宋"/>
          <w:color w:val="000000" w:themeColor="text1"/>
          <w:kern w:val="0"/>
          <w:sz w:val="32"/>
          <w:szCs w:val="32"/>
          <w:lang w:val="en-US" w:eastAsia="zh-CN"/>
          <w14:textFill>
            <w14:solidFill>
              <w14:schemeClr w14:val="tx1"/>
            </w14:solidFill>
          </w14:textFill>
        </w:rPr>
        <w:t>8.52</w:t>
      </w:r>
      <w:r>
        <w:rPr>
          <w:rFonts w:hint="eastAsia" w:ascii="仿宋" w:hAnsi="仿宋" w:eastAsia="仿宋" w:cs="仿宋"/>
          <w:color w:val="000000" w:themeColor="text1"/>
          <w:kern w:val="0"/>
          <w:sz w:val="32"/>
          <w:szCs w:val="32"/>
          <w14:textFill>
            <w14:solidFill>
              <w14:schemeClr w14:val="tx1"/>
            </w14:solidFill>
          </w14:textFill>
        </w:rPr>
        <w:t>万元。</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b/>
          <w:bCs w:val="0"/>
          <w:color w:val="000000" w:themeColor="text1"/>
          <w:kern w:val="0"/>
          <w:sz w:val="32"/>
          <w:szCs w:val="32"/>
          <w14:textFill>
            <w14:solidFill>
              <w14:schemeClr w14:val="tx1"/>
            </w14:solidFill>
          </w14:textFill>
        </w:rPr>
        <w:t>四、一般公共预算当年拨款情况说明</w:t>
      </w:r>
      <w:r>
        <w:rPr>
          <w:rFonts w:hint="eastAsia" w:ascii="仿宋" w:hAnsi="仿宋" w:eastAsia="仿宋" w:cs="仿宋"/>
          <w:b/>
          <w:bCs w:val="0"/>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（一）一般公共预算当年拨款规模变化情况</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巴中市巴州区水宁寺镇人民政府财政所202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年一般公共预算当年拨款</w:t>
      </w:r>
      <w:r>
        <w:rPr>
          <w:rFonts w:hint="eastAsia" w:ascii="仿宋" w:hAnsi="仿宋" w:eastAsia="仿宋" w:cs="仿宋"/>
          <w:color w:val="000000" w:themeColor="text1"/>
          <w:kern w:val="0"/>
          <w:sz w:val="32"/>
          <w:szCs w:val="32"/>
          <w:lang w:val="en-US" w:eastAsia="zh-CN"/>
          <w14:textFill>
            <w14:solidFill>
              <w14:schemeClr w14:val="tx1"/>
            </w14:solidFill>
          </w14:textFill>
        </w:rPr>
        <w:t>127.96</w:t>
      </w:r>
      <w:r>
        <w:rPr>
          <w:rFonts w:hint="eastAsia" w:ascii="仿宋" w:hAnsi="仿宋" w:eastAsia="仿宋" w:cs="仿宋"/>
          <w:color w:val="000000" w:themeColor="text1"/>
          <w:kern w:val="0"/>
          <w:sz w:val="32"/>
          <w:szCs w:val="32"/>
          <w14:textFill>
            <w14:solidFill>
              <w14:schemeClr w14:val="tx1"/>
            </w14:solidFill>
          </w14:textFill>
        </w:rPr>
        <w:t>万元，比202</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年预算数</w:t>
      </w:r>
      <w:r>
        <w:rPr>
          <w:rFonts w:hint="eastAsia" w:ascii="仿宋" w:hAnsi="仿宋" w:eastAsia="仿宋" w:cs="仿宋"/>
          <w:color w:val="000000" w:themeColor="text1"/>
          <w:kern w:val="0"/>
          <w:sz w:val="32"/>
          <w:szCs w:val="32"/>
          <w:lang w:val="en-US" w:eastAsia="zh-CN"/>
          <w14:textFill>
            <w14:solidFill>
              <w14:schemeClr w14:val="tx1"/>
            </w14:solidFill>
          </w14:textFill>
        </w:rPr>
        <w:t>增加1.58</w:t>
      </w:r>
      <w:r>
        <w:rPr>
          <w:rFonts w:hint="eastAsia" w:ascii="仿宋" w:hAnsi="仿宋" w:eastAsia="仿宋" w:cs="仿宋"/>
          <w:color w:val="000000" w:themeColor="text1"/>
          <w:kern w:val="0"/>
          <w:sz w:val="32"/>
          <w:szCs w:val="32"/>
          <w14:textFill>
            <w14:solidFill>
              <w14:schemeClr w14:val="tx1"/>
            </w14:solidFill>
          </w14:textFill>
        </w:rPr>
        <w:t>万元。主要是本年度部门</w:t>
      </w:r>
      <w:r>
        <w:rPr>
          <w:rFonts w:hint="eastAsia" w:ascii="仿宋" w:hAnsi="仿宋" w:eastAsia="仿宋" w:cs="仿宋"/>
          <w:color w:val="000000" w:themeColor="text1"/>
          <w:kern w:val="0"/>
          <w:sz w:val="32"/>
          <w:szCs w:val="32"/>
          <w:lang w:val="en-US" w:eastAsia="zh-CN"/>
          <w14:textFill>
            <w14:solidFill>
              <w14:schemeClr w14:val="tx1"/>
            </w14:solidFill>
          </w14:textFill>
        </w:rPr>
        <w:t>人员经费增加</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（二）一般公共预算当年拨款结构情况</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一般公共预算支出</w:t>
      </w:r>
      <w:r>
        <w:rPr>
          <w:rFonts w:hint="eastAsia" w:ascii="仿宋" w:hAnsi="仿宋" w:eastAsia="仿宋" w:cs="仿宋"/>
          <w:color w:val="000000" w:themeColor="text1"/>
          <w:kern w:val="0"/>
          <w:sz w:val="32"/>
          <w:szCs w:val="32"/>
          <w:lang w:val="en-US" w:eastAsia="zh-CN"/>
          <w14:textFill>
            <w14:solidFill>
              <w14:schemeClr w14:val="tx1"/>
            </w14:solidFill>
          </w14:textFill>
        </w:rPr>
        <w:t>127.96</w:t>
      </w:r>
      <w:r>
        <w:rPr>
          <w:rFonts w:hint="eastAsia" w:ascii="仿宋" w:hAnsi="仿宋" w:eastAsia="仿宋" w:cs="仿宋"/>
          <w:color w:val="000000" w:themeColor="text1"/>
          <w:kern w:val="0"/>
          <w:sz w:val="32"/>
          <w:szCs w:val="32"/>
          <w14:textFill>
            <w14:solidFill>
              <w14:schemeClr w14:val="tx1"/>
            </w14:solidFill>
          </w14:textFill>
        </w:rPr>
        <w:t>万元，占100%；政府性基金预算支出0万元，占0%；</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ind w:firstLine="57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（三）一般公共预算当年拨款具体使用情况</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ind w:firstLine="643"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1、一般公共服务(类)财政事务(款)行政运行(项)：</w:t>
      </w:r>
      <w:r>
        <w:rPr>
          <w:rFonts w:hint="eastAsia" w:ascii="仿宋" w:hAnsi="仿宋" w:eastAsia="仿宋" w:cs="仿宋"/>
          <w:color w:val="000000" w:themeColor="text1"/>
          <w:kern w:val="0"/>
          <w:sz w:val="32"/>
          <w:szCs w:val="32"/>
          <w14:textFill>
            <w14:solidFill>
              <w14:schemeClr w14:val="tx1"/>
            </w14:solidFill>
          </w14:textFill>
        </w:rPr>
        <w:t>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年预算数为</w:t>
      </w:r>
      <w:r>
        <w:rPr>
          <w:rFonts w:hint="eastAsia" w:ascii="仿宋" w:hAnsi="仿宋" w:eastAsia="仿宋" w:cs="仿宋"/>
          <w:color w:val="000000" w:themeColor="text1"/>
          <w:kern w:val="0"/>
          <w:sz w:val="32"/>
          <w:szCs w:val="32"/>
          <w:lang w:val="en-US" w:eastAsia="zh-CN"/>
          <w14:textFill>
            <w14:solidFill>
              <w14:schemeClr w14:val="tx1"/>
            </w14:solidFill>
          </w14:textFill>
        </w:rPr>
        <w:t>89.67</w:t>
      </w:r>
      <w:r>
        <w:rPr>
          <w:rFonts w:hint="eastAsia" w:ascii="仿宋" w:hAnsi="仿宋" w:eastAsia="仿宋" w:cs="仿宋"/>
          <w:color w:val="000000" w:themeColor="text1"/>
          <w:kern w:val="0"/>
          <w:sz w:val="32"/>
          <w:szCs w:val="32"/>
          <w14:textFill>
            <w14:solidFill>
              <w14:schemeClr w14:val="tx1"/>
            </w14:solidFill>
          </w14:textFill>
        </w:rPr>
        <w:t>万元；主要用于财政所正常运转的基本支出,包括基本工资、津贴补贴等人员经费以及办公费、水电及差旅费等日常公用经费。</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ind w:firstLine="643"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2、社会保障和就业支出(类)行政事业单位离退休(款)机关事业单位基本养老保险缴费支出(项)：</w:t>
      </w:r>
      <w:r>
        <w:rPr>
          <w:rFonts w:hint="eastAsia" w:ascii="仿宋" w:hAnsi="仿宋" w:eastAsia="仿宋" w:cs="仿宋"/>
          <w:color w:val="000000" w:themeColor="text1"/>
          <w:kern w:val="0"/>
          <w:sz w:val="32"/>
          <w:szCs w:val="32"/>
          <w14:textFill>
            <w14:solidFill>
              <w14:schemeClr w14:val="tx1"/>
            </w14:solidFill>
          </w14:textFill>
        </w:rPr>
        <w:t>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年预算数为</w:t>
      </w:r>
      <w:r>
        <w:rPr>
          <w:rFonts w:hint="eastAsia" w:ascii="仿宋" w:hAnsi="仿宋" w:eastAsia="仿宋" w:cs="仿宋"/>
          <w:color w:val="000000" w:themeColor="text1"/>
          <w:kern w:val="0"/>
          <w:sz w:val="32"/>
          <w:szCs w:val="32"/>
          <w:lang w:val="en-US" w:eastAsia="zh-CN"/>
          <w14:textFill>
            <w14:solidFill>
              <w14:schemeClr w14:val="tx1"/>
            </w14:solidFill>
          </w14:textFill>
        </w:rPr>
        <w:t>9.93</w:t>
      </w:r>
      <w:r>
        <w:rPr>
          <w:rFonts w:hint="eastAsia" w:ascii="仿宋" w:hAnsi="仿宋" w:eastAsia="仿宋" w:cs="仿宋"/>
          <w:color w:val="000000" w:themeColor="text1"/>
          <w:kern w:val="0"/>
          <w:sz w:val="32"/>
          <w:szCs w:val="32"/>
          <w14:textFill>
            <w14:solidFill>
              <w14:schemeClr w14:val="tx1"/>
            </w14:solidFill>
          </w14:textFill>
        </w:rPr>
        <w:t xml:space="preserve">万元，主要用于：实施养老保险制度后，部门按规定由单位缴纳的基本养老保险费支出。 </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ind w:firstLine="643" w:firstLineChars="200"/>
        <w:textAlignment w:val="auto"/>
        <w:rPr>
          <w:rFonts w:hint="eastAsia" w:ascii="仿宋" w:hAnsi="仿宋" w:eastAsia="仿宋" w:cs="仿宋"/>
          <w:b/>
          <w:color w:val="000000" w:themeColor="text1"/>
          <w:kern w:val="0"/>
          <w:sz w:val="32"/>
          <w:szCs w:val="32"/>
          <w14:textFill>
            <w14:solidFill>
              <w14:schemeClr w14:val="tx1"/>
            </w14:solidFill>
          </w14:textFill>
        </w:rPr>
      </w:pPr>
      <w:r>
        <w:rPr>
          <w:rFonts w:hint="eastAsia" w:ascii="仿宋" w:hAnsi="仿宋" w:eastAsia="仿宋" w:cs="仿宋"/>
          <w:b/>
          <w:color w:val="000000" w:themeColor="text1"/>
          <w:kern w:val="0"/>
          <w:sz w:val="32"/>
          <w:szCs w:val="32"/>
          <w14:textFill>
            <w14:solidFill>
              <w14:schemeClr w14:val="tx1"/>
            </w14:solidFill>
          </w14:textFill>
        </w:rPr>
        <w:t>3、医疗卫生与计划生育支出(类)行政事业单位医疗(款)行政单位医疗(项)：</w:t>
      </w:r>
      <w:r>
        <w:rPr>
          <w:rFonts w:hint="eastAsia" w:ascii="仿宋" w:hAnsi="仿宋" w:eastAsia="仿宋" w:cs="仿宋"/>
          <w:color w:val="000000" w:themeColor="text1"/>
          <w:kern w:val="0"/>
          <w:sz w:val="32"/>
          <w:szCs w:val="32"/>
          <w14:textFill>
            <w14:solidFill>
              <w14:schemeClr w14:val="tx1"/>
            </w14:solidFill>
          </w14:textFill>
        </w:rPr>
        <w:t>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年预算数为</w:t>
      </w:r>
      <w:r>
        <w:rPr>
          <w:rFonts w:hint="eastAsia" w:ascii="仿宋" w:hAnsi="仿宋" w:eastAsia="仿宋" w:cs="仿宋"/>
          <w:color w:val="000000" w:themeColor="text1"/>
          <w:kern w:val="0"/>
          <w:sz w:val="32"/>
          <w:szCs w:val="32"/>
          <w:lang w:val="en-US" w:eastAsia="zh-CN"/>
          <w14:textFill>
            <w14:solidFill>
              <w14:schemeClr w14:val="tx1"/>
            </w14:solidFill>
          </w14:textFill>
        </w:rPr>
        <w:t>4.33</w:t>
      </w:r>
      <w:r>
        <w:rPr>
          <w:rFonts w:hint="eastAsia" w:ascii="仿宋" w:hAnsi="仿宋" w:eastAsia="仿宋" w:cs="仿宋"/>
          <w:color w:val="000000" w:themeColor="text1"/>
          <w:kern w:val="0"/>
          <w:sz w:val="32"/>
          <w:szCs w:val="32"/>
          <w14:textFill>
            <w14:solidFill>
              <w14:schemeClr w14:val="tx1"/>
            </w14:solidFill>
          </w14:textFill>
        </w:rPr>
        <w:t>万元，主要用于机关单位基本医疗保险缴费支出。</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ind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color w:val="000000" w:themeColor="text1"/>
          <w:kern w:val="0"/>
          <w:sz w:val="32"/>
          <w:szCs w:val="32"/>
          <w14:textFill>
            <w14:solidFill>
              <w14:schemeClr w14:val="tx1"/>
            </w14:solidFill>
          </w14:textFill>
        </w:rPr>
        <w:t>4.住房保障支出(类)住房改革支出(款)住房公积金(项)：</w:t>
      </w:r>
      <w:r>
        <w:rPr>
          <w:rFonts w:hint="eastAsia" w:ascii="仿宋" w:hAnsi="仿宋" w:eastAsia="仿宋" w:cs="仿宋"/>
          <w:color w:val="000000" w:themeColor="text1"/>
          <w:kern w:val="0"/>
          <w:sz w:val="32"/>
          <w:szCs w:val="32"/>
          <w14:textFill>
            <w14:solidFill>
              <w14:schemeClr w14:val="tx1"/>
            </w14:solidFill>
          </w14:textFill>
        </w:rPr>
        <w:t>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年预算数为</w:t>
      </w:r>
      <w:r>
        <w:rPr>
          <w:rFonts w:hint="eastAsia" w:ascii="仿宋" w:hAnsi="仿宋" w:eastAsia="仿宋" w:cs="仿宋"/>
          <w:color w:val="000000" w:themeColor="text1"/>
          <w:kern w:val="0"/>
          <w:sz w:val="32"/>
          <w:szCs w:val="32"/>
          <w:lang w:val="en-US" w:eastAsia="zh-CN"/>
          <w14:textFill>
            <w14:solidFill>
              <w14:schemeClr w14:val="tx1"/>
            </w14:solidFill>
          </w14:textFill>
        </w:rPr>
        <w:t>8.52</w:t>
      </w:r>
      <w:r>
        <w:rPr>
          <w:rFonts w:hint="eastAsia" w:ascii="仿宋" w:hAnsi="仿宋" w:eastAsia="仿宋" w:cs="仿宋"/>
          <w:color w:val="000000" w:themeColor="text1"/>
          <w:kern w:val="0"/>
          <w:sz w:val="32"/>
          <w:szCs w:val="32"/>
          <w14:textFill>
            <w14:solidFill>
              <w14:schemeClr w14:val="tx1"/>
            </w14:solidFill>
          </w14:textFill>
        </w:rPr>
        <w:t>万元，主要用于：部门按人力资源和社会保障部、财政部规定的基本工资和津贴补贴以及规定比例为职工缴纳的住房公积金支出。</w:t>
      </w:r>
      <w:r>
        <w:rPr>
          <w:rFonts w:hint="eastAsia" w:ascii="仿宋" w:hAnsi="仿宋" w:eastAsia="仿宋" w:cs="仿宋"/>
          <w:color w:val="000000"/>
          <w:kern w:val="0"/>
          <w:sz w:val="32"/>
          <w:szCs w:val="32"/>
        </w:rPr>
        <w:br w:type="textWrapping"/>
      </w:r>
      <w:r>
        <w:rPr>
          <w:rFonts w:hint="eastAsia" w:ascii="仿宋" w:hAnsi="仿宋" w:eastAsia="仿宋" w:cs="仿宋"/>
          <w:b/>
          <w:bCs/>
          <w:color w:val="000000"/>
          <w:kern w:val="0"/>
          <w:sz w:val="32"/>
          <w:szCs w:val="32"/>
        </w:rPr>
        <w:t>五、一般公共预算基本支出情况说明</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rPr>
        <w:t>　　202</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年一般公共预算基本支出</w:t>
      </w:r>
      <w:r>
        <w:rPr>
          <w:rFonts w:hint="eastAsia" w:ascii="仿宋" w:hAnsi="仿宋" w:eastAsia="仿宋" w:cs="仿宋"/>
          <w:color w:val="000000" w:themeColor="text1"/>
          <w:kern w:val="0"/>
          <w:sz w:val="32"/>
          <w:szCs w:val="32"/>
          <w:lang w:val="en-US" w:eastAsia="zh-CN"/>
          <w14:textFill>
            <w14:solidFill>
              <w14:schemeClr w14:val="tx1"/>
            </w14:solidFill>
          </w14:textFill>
        </w:rPr>
        <w:t>127.96</w:t>
      </w:r>
      <w:r>
        <w:rPr>
          <w:rFonts w:hint="eastAsia" w:ascii="仿宋" w:hAnsi="仿宋" w:eastAsia="仿宋" w:cs="仿宋"/>
          <w:color w:val="000000"/>
          <w:kern w:val="0"/>
          <w:sz w:val="32"/>
          <w:szCs w:val="32"/>
        </w:rPr>
        <w:t>万元，其中：人员经费</w:t>
      </w:r>
      <w:r>
        <w:rPr>
          <w:rFonts w:hint="eastAsia" w:ascii="仿宋" w:hAnsi="仿宋" w:eastAsia="仿宋" w:cs="仿宋"/>
          <w:color w:val="000000"/>
          <w:kern w:val="0"/>
          <w:sz w:val="32"/>
          <w:szCs w:val="32"/>
          <w:lang w:val="en-US" w:eastAsia="zh-CN"/>
        </w:rPr>
        <w:t>110.08</w:t>
      </w:r>
      <w:r>
        <w:rPr>
          <w:rFonts w:hint="eastAsia" w:ascii="仿宋" w:hAnsi="仿宋" w:eastAsia="仿宋" w:cs="仿宋"/>
          <w:color w:val="000000"/>
          <w:kern w:val="0"/>
          <w:sz w:val="32"/>
          <w:szCs w:val="32"/>
        </w:rPr>
        <w:t>万元，主要包括：基本工资、津贴补贴、奖金、社会保险缴费、绩效工资、机关事业单位基本养老保险缴费、职业年金缴费、其他工资福利支出、离休费、住房公积金、其他对个人和家庭的补助支出。公用经费</w:t>
      </w:r>
      <w:r>
        <w:rPr>
          <w:rFonts w:hint="eastAsia" w:ascii="仿宋" w:hAnsi="仿宋" w:eastAsia="仿宋" w:cs="仿宋"/>
          <w:color w:val="000000"/>
          <w:kern w:val="0"/>
          <w:sz w:val="32"/>
          <w:szCs w:val="32"/>
          <w:lang w:val="en-US" w:eastAsia="zh-CN"/>
        </w:rPr>
        <w:t>17.86</w:t>
      </w:r>
      <w:r>
        <w:rPr>
          <w:rFonts w:hint="eastAsia" w:ascii="仿宋" w:hAnsi="仿宋" w:eastAsia="仿宋" w:cs="仿宋"/>
          <w:color w:val="000000"/>
          <w:kern w:val="0"/>
          <w:sz w:val="32"/>
          <w:szCs w:val="32"/>
        </w:rPr>
        <w:t>万元，主要包括：办公费、印刷费、手续费、水费、电费、邮电费、差旅费、维修（护）费、会议费、培训费、劳务费、工会经费、福利费、其他交通费、其他商品和服务支出。</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val="0"/>
          <w:color w:val="000000" w:themeColor="text1"/>
          <w:kern w:val="0"/>
          <w:sz w:val="32"/>
          <w:szCs w:val="32"/>
          <w14:textFill>
            <w14:solidFill>
              <w14:schemeClr w14:val="tx1"/>
            </w14:solidFill>
          </w14:textFill>
        </w:rPr>
        <w:t>六、“三公”经费财政拨款预算安排情况说明</w:t>
      </w:r>
      <w:r>
        <w:rPr>
          <w:rFonts w:hint="eastAsia" w:ascii="仿宋" w:hAnsi="仿宋" w:eastAsia="仿宋" w:cs="仿宋"/>
          <w:b/>
          <w:bCs w:val="0"/>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水宁寺镇202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年“三公”经费财政拨款预算数0万元，其中：因公出国（境）经费0万元，公务接待费0万元，公务用车购置及运行维护费0万元。</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b/>
          <w:bCs/>
          <w:color w:val="000000" w:themeColor="text1"/>
          <w:kern w:val="0"/>
          <w:sz w:val="32"/>
          <w:szCs w:val="32"/>
          <w14:textFill>
            <w14:solidFill>
              <w14:schemeClr w14:val="tx1"/>
            </w14:solidFill>
          </w14:textFill>
        </w:rPr>
        <w:t>七、政府性基金预算支出情况说明</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水宁寺镇202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年使用政府性基金预算拨款安排0万支出。</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b/>
          <w:bCs/>
          <w:color w:val="000000" w:themeColor="text1"/>
          <w:kern w:val="0"/>
          <w:sz w:val="32"/>
          <w:szCs w:val="32"/>
          <w14:textFill>
            <w14:solidFill>
              <w14:schemeClr w14:val="tx1"/>
            </w14:solidFill>
          </w14:textFill>
        </w:rPr>
        <w:t>八、其他重要事项的情况说明</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（一）机关运行经费</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年水宁寺镇人民政府财政所运行经费财政拨款预算为</w:t>
      </w:r>
      <w:r>
        <w:rPr>
          <w:rFonts w:hint="eastAsia" w:ascii="仿宋" w:hAnsi="仿宋" w:eastAsia="仿宋" w:cs="仿宋"/>
          <w:color w:val="000000" w:themeColor="text1"/>
          <w:kern w:val="0"/>
          <w:sz w:val="32"/>
          <w:szCs w:val="32"/>
          <w:lang w:val="en-US" w:eastAsia="zh-CN"/>
          <w14:textFill>
            <w14:solidFill>
              <w14:schemeClr w14:val="tx1"/>
            </w14:solidFill>
          </w14:textFill>
        </w:rPr>
        <w:t>17.86</w:t>
      </w:r>
      <w:r>
        <w:rPr>
          <w:rFonts w:hint="eastAsia" w:ascii="仿宋" w:hAnsi="仿宋" w:eastAsia="仿宋" w:cs="仿宋"/>
          <w:color w:val="000000" w:themeColor="text1"/>
          <w:kern w:val="0"/>
          <w:sz w:val="32"/>
          <w:szCs w:val="32"/>
          <w14:textFill>
            <w14:solidFill>
              <w14:schemeClr w14:val="tx1"/>
            </w14:solidFill>
          </w14:textFill>
        </w:rPr>
        <w:t>万元。</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（二）国有资产占有使用情况</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截至202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年底，水宁寺镇人民政府财政所所属各预算单位共有车辆0辆，其中，定向保障用车0辆、执法执勤用车0辆。</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w:t>
      </w:r>
      <w:r>
        <w:rPr>
          <w:rFonts w:hint="eastAsia" w:ascii="仿宋" w:hAnsi="仿宋" w:eastAsia="仿宋" w:cs="仿宋"/>
          <w:color w:val="000000" w:themeColor="text1"/>
          <w:kern w:val="0"/>
          <w:sz w:val="32"/>
          <w:szCs w:val="32"/>
          <w:lang w:val="en-US" w:eastAsia="zh-CN"/>
          <w14:textFill>
            <w14:solidFill>
              <w14:schemeClr w14:val="tx1"/>
            </w14:solidFill>
          </w14:textFill>
        </w:rPr>
        <w:t>三</w:t>
      </w:r>
      <w:r>
        <w:rPr>
          <w:rFonts w:hint="eastAsia" w:ascii="仿宋" w:hAnsi="仿宋" w:eastAsia="仿宋" w:cs="仿宋"/>
          <w:color w:val="000000" w:themeColor="text1"/>
          <w:kern w:val="0"/>
          <w:sz w:val="32"/>
          <w:szCs w:val="32"/>
          <w14:textFill>
            <w14:solidFill>
              <w14:schemeClr w14:val="tx1"/>
            </w14:solidFill>
          </w14:textFill>
        </w:rPr>
        <w:t>）绩效目标设置情况</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年财政厅部门通用项目和专用项目均按要求实行绩效目标管理，涉及项目一般公共预算当年拨款0万元。</w:t>
      </w:r>
      <w:r>
        <w:rPr>
          <w:rFonts w:hint="eastAsia" w:ascii="仿宋" w:hAnsi="仿宋" w:eastAsia="仿宋" w:cs="仿宋"/>
          <w:color w:val="000000" w:themeColor="text1"/>
          <w:kern w:val="0"/>
          <w:sz w:val="32"/>
          <w:szCs w:val="32"/>
          <w14:textFill>
            <w14:solidFill>
              <w14:schemeClr w14:val="tx1"/>
            </w14:solidFill>
          </w14:textFill>
        </w:rPr>
        <w:br w:type="textWrapping"/>
      </w:r>
      <w:r>
        <w:rPr>
          <w:rFonts w:hint="eastAsia" w:ascii="仿宋" w:hAnsi="仿宋" w:eastAsia="仿宋" w:cs="仿宋"/>
          <w:color w:val="000000" w:themeColor="text1"/>
          <w:kern w:val="0"/>
          <w:sz w:val="32"/>
          <w:szCs w:val="32"/>
          <w14:textFill>
            <w14:solidFill>
              <w14:schemeClr w14:val="tx1"/>
            </w14:solidFill>
          </w14:textFill>
        </w:rPr>
        <w:t>　</w:t>
      </w:r>
    </w:p>
    <w:tbl>
      <w:tblPr>
        <w:tblStyle w:val="5"/>
        <w:tblW w:w="8401" w:type="dxa"/>
        <w:jc w:val="center"/>
        <w:tblCellSpacing w:w="0" w:type="dxa"/>
        <w:tblLayout w:type="autofit"/>
        <w:tblCellMar>
          <w:top w:w="0" w:type="dxa"/>
          <w:left w:w="0" w:type="dxa"/>
          <w:bottom w:w="0" w:type="dxa"/>
          <w:right w:w="0" w:type="dxa"/>
        </w:tblCellMar>
      </w:tblPr>
      <w:tblGrid>
        <w:gridCol w:w="8401"/>
      </w:tblGrid>
      <w:tr>
        <w:tblPrEx>
          <w:tblCellMar>
            <w:top w:w="0" w:type="dxa"/>
            <w:left w:w="0" w:type="dxa"/>
            <w:bottom w:w="0" w:type="dxa"/>
            <w:right w:w="0" w:type="dxa"/>
          </w:tblCellMar>
        </w:tblPrEx>
        <w:trPr>
          <w:trHeight w:val="7500" w:hRule="atLeast"/>
          <w:tblCellSpacing w:w="0" w:type="dxa"/>
          <w:jc w:val="center"/>
        </w:trPr>
        <w:tc>
          <w:tcPr>
            <w:tcW w:w="8401" w:type="dxa"/>
            <w:tcMar>
              <w:top w:w="150" w:type="dxa"/>
              <w:left w:w="0" w:type="dxa"/>
              <w:bottom w:w="0" w:type="dxa"/>
              <w:right w:w="0" w:type="dxa"/>
            </w:tcMar>
            <w:vAlign w:val="top"/>
          </w:tcPr>
          <w:p>
            <w:pPr>
              <w:pStyle w:val="2"/>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十、名词解释</w:t>
            </w:r>
          </w:p>
          <w:p>
            <w:pPr>
              <w:ind w:firstLine="560" w:firstLineChars="200"/>
              <w:rPr>
                <w:rFonts w:ascii="仿宋_GB2312" w:eastAsia="仿宋_GB2312"/>
                <w:sz w:val="28"/>
                <w:szCs w:val="28"/>
              </w:rPr>
            </w:pPr>
            <w:r>
              <w:rPr>
                <w:rFonts w:ascii="Times New Roman" w:hAnsi="Times New Roman" w:eastAsia="仿宋_GB2312"/>
                <w:sz w:val="28"/>
                <w:szCs w:val="28"/>
              </w:rPr>
              <w:t>1</w:t>
            </w:r>
            <w:r>
              <w:rPr>
                <w:rFonts w:hint="eastAsia" w:ascii="仿宋_GB2312" w:eastAsia="仿宋_GB2312"/>
                <w:sz w:val="28"/>
                <w:szCs w:val="28"/>
              </w:rPr>
              <w:t>.一般公共预算拨款收入：指省级财政当年拨付的资金。</w:t>
            </w:r>
          </w:p>
          <w:p>
            <w:pPr>
              <w:ind w:firstLine="560" w:firstLineChars="200"/>
              <w:rPr>
                <w:rFonts w:ascii="仿宋_GB2312" w:eastAsia="仿宋_GB2312"/>
                <w:sz w:val="28"/>
                <w:szCs w:val="28"/>
              </w:rPr>
            </w:pPr>
            <w:r>
              <w:rPr>
                <w:rFonts w:ascii="Times New Roman" w:hAnsi="Times New Roman" w:eastAsia="仿宋_GB2312"/>
                <w:sz w:val="28"/>
                <w:szCs w:val="28"/>
              </w:rPr>
              <w:t>2</w:t>
            </w:r>
            <w:r>
              <w:rPr>
                <w:rFonts w:hint="eastAsia" w:ascii="仿宋_GB2312" w:eastAsia="仿宋_GB2312"/>
                <w:sz w:val="28"/>
                <w:szCs w:val="28"/>
              </w:rPr>
              <w:t>.上年结转：指以前年度尚未完成，结转到本年仍按原规定用途继续使用的资金。</w:t>
            </w:r>
          </w:p>
          <w:p>
            <w:pPr>
              <w:ind w:firstLine="560" w:firstLineChars="200"/>
              <w:rPr>
                <w:rFonts w:ascii="仿宋_GB2312" w:eastAsia="仿宋_GB2312"/>
                <w:sz w:val="28"/>
                <w:szCs w:val="28"/>
              </w:rPr>
            </w:pPr>
            <w:r>
              <w:rPr>
                <w:rFonts w:ascii="Times New Roman" w:hAnsi="Times New Roman" w:eastAsia="仿宋_GB2312"/>
                <w:sz w:val="28"/>
                <w:szCs w:val="28"/>
              </w:rPr>
              <w:t>3</w:t>
            </w:r>
            <w:r>
              <w:rPr>
                <w:rFonts w:hint="eastAsia" w:ascii="仿宋_GB2312" w:eastAsia="仿宋_GB2312"/>
                <w:sz w:val="28"/>
                <w:szCs w:val="28"/>
              </w:rPr>
              <w:t>.一般公共服务（类）财政事务（款）行政运行（项）：指机关及参公管理事业单位用于保障机构正常运行、开展日常工作的基本支出。</w:t>
            </w:r>
          </w:p>
          <w:p>
            <w:pPr>
              <w:ind w:firstLine="560" w:firstLineChars="200"/>
              <w:rPr>
                <w:rFonts w:ascii="仿宋_GB2312" w:eastAsia="仿宋_GB2312"/>
                <w:sz w:val="28"/>
                <w:szCs w:val="28"/>
              </w:rPr>
            </w:pPr>
            <w:r>
              <w:rPr>
                <w:rFonts w:ascii="Times New Roman" w:hAnsi="Times New Roman" w:eastAsia="仿宋_GB2312"/>
                <w:sz w:val="28"/>
                <w:szCs w:val="28"/>
              </w:rPr>
              <w:t>4</w:t>
            </w:r>
            <w:r>
              <w:rPr>
                <w:rFonts w:hint="eastAsia" w:ascii="仿宋_GB2312" w:eastAsia="仿宋_GB2312"/>
                <w:sz w:val="28"/>
                <w:szCs w:val="28"/>
              </w:rPr>
              <w:t>.一般公共服务（类）财政事务（款）一般行政管理事务（项）：指事业单位开展财政综合业务、预决算编审等未单独设置项级科目的专门性财政管理工作的项目支出。</w:t>
            </w:r>
          </w:p>
          <w:p>
            <w:pPr>
              <w:ind w:firstLine="560" w:firstLineChars="200"/>
              <w:rPr>
                <w:rFonts w:ascii="仿宋_GB2312" w:eastAsia="仿宋_GB2312"/>
                <w:sz w:val="28"/>
                <w:szCs w:val="28"/>
              </w:rPr>
            </w:pPr>
            <w:r>
              <w:rPr>
                <w:rFonts w:ascii="Times New Roman" w:hAnsi="Times New Roman" w:eastAsia="仿宋_GB2312"/>
                <w:sz w:val="28"/>
                <w:szCs w:val="28"/>
              </w:rPr>
              <w:t>5</w:t>
            </w:r>
            <w:r>
              <w:rPr>
                <w:rFonts w:hint="eastAsia" w:ascii="仿宋_GB2312" w:eastAsia="仿宋_GB2312"/>
                <w:sz w:val="28"/>
                <w:szCs w:val="28"/>
              </w:rPr>
              <w:t>.社会保障和就业（类）其他社会保障和就业（款）其他社会保障和就业支出（项）：指除上述项目外，其他用于行政事业单位离退休方面的支出。</w:t>
            </w:r>
          </w:p>
          <w:p>
            <w:pPr>
              <w:ind w:firstLine="560" w:firstLineChars="200"/>
              <w:rPr>
                <w:rFonts w:ascii="仿宋_GB2312" w:eastAsia="仿宋_GB2312"/>
                <w:sz w:val="28"/>
                <w:szCs w:val="28"/>
              </w:rPr>
            </w:pPr>
            <w:r>
              <w:rPr>
                <w:rFonts w:ascii="Times New Roman" w:hAnsi="Times New Roman" w:eastAsia="仿宋_GB2312"/>
                <w:sz w:val="28"/>
                <w:szCs w:val="28"/>
              </w:rPr>
              <w:t>6</w:t>
            </w:r>
            <w:r>
              <w:rPr>
                <w:rFonts w:hint="eastAsia" w:ascii="仿宋_GB2312" w:eastAsia="仿宋_GB2312"/>
                <w:sz w:val="28"/>
                <w:szCs w:val="28"/>
              </w:rPr>
              <w:t>.医疗卫生与计划生育（类）行政事业单位医疗（款）行政单位医疗（项）：指机关及参公管理事业单位用于缴纳单位基本医疗保险支出。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7</w:t>
            </w:r>
            <w:r>
              <w:rPr>
                <w:rFonts w:hint="eastAsia" w:ascii="仿宋_GB2312" w:eastAsia="仿宋_GB2312"/>
                <w:sz w:val="28"/>
                <w:szCs w:val="28"/>
              </w:rPr>
              <w:t>.医疗卫生与计划生育（类）行政事业单位医疗（款）事业单位医疗（项）：指事业单位用于缴纳单位基本医疗保险支出。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8</w:t>
            </w:r>
            <w:r>
              <w:rPr>
                <w:rFonts w:hint="eastAsia" w:ascii="仿宋_GB2312" w:eastAsia="仿宋_GB2312"/>
                <w:sz w:val="28"/>
                <w:szCs w:val="28"/>
              </w:rPr>
              <w:t>.住房保障（类）住房改革支出（款）住房公积金（项）：指按照《住房公积金管理条例》的规定，由单位及其在职职工缴存的长期住房储金。</w:t>
            </w:r>
          </w:p>
          <w:p>
            <w:pPr>
              <w:ind w:firstLine="560" w:firstLineChars="200"/>
              <w:rPr>
                <w:rFonts w:ascii="仿宋_GB2312" w:eastAsia="仿宋_GB2312"/>
                <w:sz w:val="28"/>
                <w:szCs w:val="28"/>
              </w:rPr>
            </w:pPr>
            <w:r>
              <w:rPr>
                <w:rFonts w:ascii="Times New Roman" w:hAnsi="Times New Roman" w:eastAsia="仿宋_GB2312"/>
                <w:sz w:val="28"/>
                <w:szCs w:val="28"/>
              </w:rPr>
              <w:t>9</w:t>
            </w:r>
            <w:r>
              <w:rPr>
                <w:rFonts w:hint="eastAsia" w:ascii="仿宋_GB2312" w:eastAsia="仿宋_GB2312"/>
                <w:sz w:val="28"/>
                <w:szCs w:val="28"/>
              </w:rPr>
              <w:t>.基本支出：指为保证机构正常运转，完成日常工作任务而发生的人员支出和公用支出。</w:t>
            </w:r>
          </w:p>
          <w:p>
            <w:pPr>
              <w:ind w:firstLine="560" w:firstLineChars="200"/>
              <w:rPr>
                <w:rFonts w:ascii="仿宋_GB2312" w:eastAsia="仿宋_GB2312"/>
                <w:sz w:val="28"/>
                <w:szCs w:val="28"/>
              </w:rPr>
            </w:pPr>
            <w:r>
              <w:rPr>
                <w:rFonts w:ascii="Times New Roman" w:hAnsi="Times New Roman" w:eastAsia="仿宋_GB2312"/>
                <w:sz w:val="28"/>
                <w:szCs w:val="28"/>
              </w:rPr>
              <w:t>10</w:t>
            </w:r>
            <w:r>
              <w:rPr>
                <w:rFonts w:hint="eastAsia" w:ascii="仿宋_GB2312" w:eastAsia="仿宋_GB2312"/>
                <w:sz w:val="28"/>
                <w:szCs w:val="28"/>
              </w:rPr>
              <w:t>.项目支出：指在基本支出之外为完成特定行政任务和事业发展目标所发生的支出。</w:t>
            </w:r>
          </w:p>
          <w:p>
            <w:pPr>
              <w:ind w:firstLine="560" w:firstLineChars="200"/>
              <w:rPr>
                <w:rFonts w:ascii="仿宋_GB2312" w:eastAsia="仿宋_GB2312"/>
                <w:sz w:val="28"/>
                <w:szCs w:val="28"/>
              </w:rPr>
            </w:pPr>
            <w:r>
              <w:rPr>
                <w:rFonts w:ascii="Times New Roman" w:hAnsi="Times New Roman" w:eastAsia="仿宋_GB2312"/>
                <w:sz w:val="28"/>
                <w:szCs w:val="28"/>
              </w:rPr>
              <w:t>11</w:t>
            </w:r>
            <w:r>
              <w:rPr>
                <w:rFonts w:hint="eastAsia" w:ascii="仿宋_GB2312" w:eastAsia="仿宋_GB2312"/>
                <w:sz w:val="28"/>
                <w:szCs w:val="28"/>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560" w:firstLineChars="200"/>
              <w:rPr>
                <w:rFonts w:ascii="仿宋_GB2312" w:eastAsia="仿宋_GB2312"/>
                <w:sz w:val="28"/>
                <w:szCs w:val="28"/>
              </w:rPr>
            </w:pPr>
            <w:r>
              <w:rPr>
                <w:rFonts w:ascii="Times New Roman" w:hAnsi="Times New Roman" w:eastAsia="仿宋_GB2312"/>
                <w:sz w:val="28"/>
                <w:szCs w:val="28"/>
              </w:rPr>
              <w:t>12</w:t>
            </w:r>
            <w:r>
              <w:rPr>
                <w:rFonts w:hint="eastAsia" w:ascii="仿宋_GB2312" w:eastAsia="仿宋_GB2312"/>
                <w:sz w:val="28"/>
                <w:szCs w:val="28"/>
              </w:rPr>
              <w:t>.机关运行经费：为保障行政单位（包含参照公务员法管理的事业单位）运行用于购买货物和服务的各项资金。包括办公及办公费、水费、电费、印刷费、邮电费、差旅费、会议费等费用开支。</w:t>
            </w:r>
          </w:p>
          <w:p>
            <w:pPr>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附件：</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年巴州区单位部门收支总表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年巴州区单位部门收入总表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年巴州区单位部门支出总表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年巴州区单位财政拨款收支预算总表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年巴州区单位一般公共预算支出预算表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年单位一般公共预算基本支出预算表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年单位一般公共预算项目支出预算表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3</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年单位一般公共预算“三公”经费预算表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4</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年政府性基金支出预算表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4</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年政府基金预算“三公”经费支出预算表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5</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年国有资本经营预算支出预算表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6</w:t>
            </w:r>
            <w:r>
              <w:rPr>
                <w:rFonts w:hint="eastAsia" w:ascii="仿宋_GB2312" w:eastAsia="仿宋_GB2312"/>
                <w:sz w:val="28"/>
                <w:szCs w:val="28"/>
              </w:rPr>
              <w:t>.项目支出绩效预算目标表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7</w:t>
            </w:r>
            <w:r>
              <w:rPr>
                <w:rFonts w:hint="eastAsia" w:ascii="仿宋_GB2312" w:eastAsia="仿宋_GB2312"/>
                <w:sz w:val="28"/>
                <w:szCs w:val="28"/>
              </w:rPr>
              <w:t>.部门整体绩效预算目标表</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p>
          <w:p>
            <w:pPr>
              <w:widowControl/>
              <w:wordWrap w:val="0"/>
              <w:spacing w:line="480" w:lineRule="atLeast"/>
              <w:ind w:firstLine="560" w:firstLineChars="200"/>
              <w:rPr>
                <w:rFonts w:ascii="仿宋_GB2312" w:hAnsi="宋体" w:eastAsia="仿宋_GB2312" w:cs="宋体"/>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附件： 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年部门预算公开报表</w:t>
            </w:r>
          </w:p>
        </w:tc>
      </w:tr>
      <w:tr>
        <w:tblPrEx>
          <w:tblCellMar>
            <w:top w:w="0" w:type="dxa"/>
            <w:left w:w="0" w:type="dxa"/>
            <w:bottom w:w="0" w:type="dxa"/>
            <w:right w:w="0" w:type="dxa"/>
          </w:tblCellMar>
        </w:tblPrEx>
        <w:trPr>
          <w:tblCellSpacing w:w="0" w:type="dxa"/>
          <w:jc w:val="center"/>
        </w:trPr>
        <w:tc>
          <w:tcPr>
            <w:tcW w:w="8401" w:type="dxa"/>
            <w:vAlign w:val="center"/>
          </w:tcPr>
          <w:p>
            <w:pPr>
              <w:widowControl/>
              <w:wordWrap w:val="0"/>
              <w:spacing w:line="360" w:lineRule="auto"/>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w:t>
            </w:r>
          </w:p>
        </w:tc>
      </w:tr>
    </w:tbl>
    <w:p>
      <w:pPr>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textAlignment w:val="auto"/>
        <w:rPr>
          <w:rFonts w:hint="eastAsia" w:ascii="仿宋" w:hAnsi="仿宋" w:eastAsia="仿宋" w:cs="仿宋"/>
          <w:color w:val="000000" w:themeColor="text1"/>
          <w:kern w:val="0"/>
          <w:sz w:val="32"/>
          <w:szCs w:val="32"/>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926E8"/>
    <w:multiLevelType w:val="singleLevel"/>
    <w:tmpl w:val="60F926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7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NzY5MjVjNWRjODM3YWM2MDdhODFlOGQ0OWRjNGMifQ=="/>
  </w:docVars>
  <w:rsids>
    <w:rsidRoot w:val="6D6C3F63"/>
    <w:rsid w:val="05BE3D95"/>
    <w:rsid w:val="12BB0BA3"/>
    <w:rsid w:val="147C745F"/>
    <w:rsid w:val="1DCB6EFA"/>
    <w:rsid w:val="32B617CD"/>
    <w:rsid w:val="33FE6642"/>
    <w:rsid w:val="39BE4BAB"/>
    <w:rsid w:val="49942410"/>
    <w:rsid w:val="50317FE0"/>
    <w:rsid w:val="51C27B6C"/>
    <w:rsid w:val="55EF69E3"/>
    <w:rsid w:val="58515970"/>
    <w:rsid w:val="6D4332B9"/>
    <w:rsid w:val="6D6C3F63"/>
    <w:rsid w:val="6FF67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1947</Words>
  <Characters>2122</Characters>
  <Lines>0</Lines>
  <Paragraphs>0</Paragraphs>
  <TotalTime>0</TotalTime>
  <ScaleCrop>false</ScaleCrop>
  <LinksUpToDate>false</LinksUpToDate>
  <CharactersWithSpaces>2188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2021-10-08T03:37:00Z</dcterms:created>
  <dc:creator>Manchester智</dc:creator>
  <cp:lastModifiedBy>别皱眉</cp:lastModifiedBy>
  <dcterms:modified xsi:type="dcterms:W3CDTF">2023-07-05T01:44:48Z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346A76C7F23543A3A8056CBF9518EEC6_13</vt:lpwstr>
  </property>
</Properties>
</file>