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83" w:type="dxa"/>
        <w:jc w:val="center"/>
        <w:tblCellSpacing w:w="0" w:type="dxa"/>
        <w:tblLayout w:type="autofit"/>
        <w:tblCellMar>
          <w:top w:w="0" w:type="dxa"/>
          <w:left w:w="0" w:type="dxa"/>
          <w:bottom w:w="0" w:type="dxa"/>
          <w:right w:w="0" w:type="dxa"/>
        </w:tblCellMar>
      </w:tblPr>
      <w:tblGrid>
        <w:gridCol w:w="8883"/>
      </w:tblGrid>
      <w:tr>
        <w:tblPrEx>
          <w:tblCellMar>
            <w:top w:w="0" w:type="dxa"/>
            <w:left w:w="0" w:type="dxa"/>
            <w:bottom w:w="0" w:type="dxa"/>
            <w:right w:w="0" w:type="dxa"/>
          </w:tblCellMar>
        </w:tblPrEx>
        <w:trPr>
          <w:trHeight w:val="13790" w:hRule="atLeast"/>
          <w:tblCellSpacing w:w="0" w:type="dxa"/>
          <w:jc w:val="center"/>
        </w:trPr>
        <w:tc>
          <w:tcPr>
            <w:tcW w:w="8883" w:type="dxa"/>
            <w:tcMar>
              <w:top w:w="150" w:type="dxa"/>
              <w:left w:w="0" w:type="dxa"/>
              <w:bottom w:w="0" w:type="dxa"/>
              <w:right w:w="0" w:type="dxa"/>
            </w:tcMar>
          </w:tcPr>
          <w:p>
            <w:pPr>
              <w:widowControl/>
              <w:spacing w:line="480" w:lineRule="atLeast"/>
              <w:jc w:val="center"/>
              <w:rPr>
                <w:rFonts w:ascii="方正小标宋简体" w:hAnsi="宋体" w:eastAsia="方正小标宋简体" w:cs="宋体"/>
                <w:color w:val="000000" w:themeColor="text1"/>
                <w:kern w:val="0"/>
                <w:sz w:val="36"/>
                <w:szCs w:val="36"/>
                <w14:textFill>
                  <w14:solidFill>
                    <w14:schemeClr w14:val="tx1"/>
                  </w14:solidFill>
                </w14:textFill>
              </w:rPr>
            </w:pPr>
            <w:r>
              <w:rPr>
                <w:rFonts w:hint="eastAsia" w:ascii="楷体_GB2312" w:hAnsi="宋体" w:eastAsia="楷体_GB2312" w:cs="宋体"/>
                <w:color w:val="000000" w:themeColor="text1"/>
                <w:kern w:val="0"/>
                <w:sz w:val="36"/>
                <w:szCs w:val="36"/>
                <w:lang w:val="en-US" w:eastAsia="zh-CN"/>
                <w14:textFill>
                  <w14:solidFill>
                    <w14:schemeClr w14:val="tx1"/>
                  </w14:solidFill>
                </w14:textFill>
              </w:rPr>
              <w:t xml:space="preserve">   </w:t>
            </w:r>
            <w:r>
              <w:rPr>
                <w:rFonts w:hint="eastAsia" w:ascii="楷体_GB2312" w:hAnsi="宋体" w:eastAsia="楷体_GB2312" w:cs="宋体"/>
                <w:color w:val="000000" w:themeColor="text1"/>
                <w:kern w:val="0"/>
                <w:sz w:val="36"/>
                <w:szCs w:val="36"/>
                <w:lang w:eastAsia="zh-CN"/>
                <w14:textFill>
                  <w14:solidFill>
                    <w14:schemeClr w14:val="tx1"/>
                  </w14:solidFill>
                </w14:textFill>
              </w:rPr>
              <w:t>巴中市巴州区白庙乡财政所</w:t>
            </w:r>
          </w:p>
          <w:p>
            <w:pPr>
              <w:ind w:left="359" w:leftChars="171" w:firstLine="360" w:firstLineChars="100"/>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pPr>
            <w:r>
              <w:rPr>
                <w:rFonts w:hint="eastAsia" w:ascii="方正小标宋简体" w:hAnsi="宋体" w:eastAsia="方正小标宋简体" w:cs="宋体"/>
                <w:color w:val="000000" w:themeColor="text1"/>
                <w:kern w:val="0"/>
                <w:sz w:val="36"/>
                <w:szCs w:val="36"/>
                <w14:textFill>
                  <w14:solidFill>
                    <w14:schemeClr w14:val="tx1"/>
                  </w14:solidFill>
                </w14:textFill>
              </w:rPr>
              <w:t>　　　　</w:t>
            </w:r>
            <w:r>
              <w:rPr>
                <w:rFonts w:hint="eastAsia" w:ascii="方正小标宋简体" w:hAnsi="宋体" w:eastAsia="方正小标宋简体" w:cs="宋体"/>
                <w:color w:val="000000" w:themeColor="text1"/>
                <w:kern w:val="0"/>
                <w:sz w:val="36"/>
                <w:szCs w:val="36"/>
                <w:lang w:val="en-US" w:eastAsia="zh-CN"/>
                <w14:textFill>
                  <w14:solidFill>
                    <w14:schemeClr w14:val="tx1"/>
                  </w14:solidFill>
                </w14:textFill>
              </w:rPr>
              <w:t xml:space="preserve"> </w:t>
            </w:r>
            <w:r>
              <w:rPr>
                <w:rFonts w:hint="eastAsia" w:ascii="方正小标宋简体" w:hAnsi="宋体" w:eastAsia="方正小标宋简体" w:cs="宋体"/>
                <w:color w:val="000000" w:themeColor="text1"/>
                <w:kern w:val="0"/>
                <w:sz w:val="36"/>
                <w:szCs w:val="36"/>
                <w:lang w:eastAsia="zh-CN"/>
                <w14:textFill>
                  <w14:solidFill>
                    <w14:schemeClr w14:val="tx1"/>
                  </w14:solidFill>
                </w14:textFill>
              </w:rPr>
              <w:t>2023年</w:t>
            </w:r>
            <w:r>
              <w:rPr>
                <w:rFonts w:hint="eastAsia" w:ascii="方正小标宋简体" w:hAnsi="宋体" w:eastAsia="方正小标宋简体" w:cs="宋体"/>
                <w:color w:val="000000" w:themeColor="text1"/>
                <w:kern w:val="0"/>
                <w:sz w:val="36"/>
                <w:szCs w:val="36"/>
                <w14:textFill>
                  <w14:solidFill>
                    <w14:schemeClr w14:val="tx1"/>
                  </w14:solidFill>
                </w14:textFill>
              </w:rPr>
              <w:t>部门预算编制说明</w:t>
            </w:r>
          </w:p>
          <w:p>
            <w:pPr>
              <w:ind w:left="359" w:leftChars="171" w:firstLine="280" w:firstLineChars="100"/>
              <w:rPr>
                <w:rFonts w:hint="eastAsia" w:ascii="仿宋_GB2312" w:hAnsi="宋体" w:eastAsia="仿宋_GB2312" w:cs="宋体"/>
                <w:color w:val="000000" w:themeColor="text1"/>
                <w:kern w:val="0"/>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2023年 6 月 13</w:t>
            </w:r>
            <w:bookmarkStart w:id="1" w:name="_GoBack"/>
            <w:bookmarkEnd w:id="1"/>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日</w:t>
            </w:r>
          </w:p>
          <w:sdt>
            <w:sdtPr>
              <w:rPr>
                <w:rFonts w:hint="eastAsia" w:ascii="方正小标宋_GBK" w:hAnsi="方正小标宋_GBK" w:eastAsia="方正小标宋_GBK" w:cs="方正小标宋_GBK"/>
                <w:sz w:val="44"/>
                <w:szCs w:val="44"/>
              </w:rPr>
              <w:id w:val="147468229"/>
              <w:docPartObj>
                <w:docPartGallery w:val="Table of Contents"/>
                <w:docPartUnique/>
              </w:docPartObj>
            </w:sdtPr>
            <w:sdtEndPr>
              <w:rPr>
                <w:rFonts w:hint="eastAsia" w:ascii="仿宋_GB2312" w:hAnsi="Calibri" w:eastAsia="仿宋_GB2312" w:cs="Times New Roman"/>
                <w:b/>
                <w:sz w:val="21"/>
                <w:szCs w:val="32"/>
              </w:rPr>
            </w:sdtEndPr>
            <w:sdtContent>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目录</w:t>
                </w:r>
              </w:p>
              <w:p>
                <w:pPr>
                  <w:spacing w:line="200" w:lineRule="exact"/>
                  <w:jc w:val="center"/>
                  <w:rPr>
                    <w:rFonts w:ascii="方正小标宋_GBK" w:hAnsi="方正小标宋_GBK" w:eastAsia="方正小标宋_GBK" w:cs="方正小标宋_GBK"/>
                    <w:sz w:val="44"/>
                    <w:szCs w:val="44"/>
                  </w:rPr>
                </w:pPr>
              </w:p>
              <w:p>
                <w:pPr>
                  <w:spacing w:line="200" w:lineRule="exact"/>
                  <w:jc w:val="center"/>
                  <w:rPr>
                    <w:rFonts w:ascii="方正小标宋_GBK" w:hAnsi="方正小标宋_GBK" w:eastAsia="方正小标宋_GBK" w:cs="方正小标宋_GBK"/>
                    <w:sz w:val="44"/>
                    <w:szCs w:val="44"/>
                  </w:rPr>
                </w:pPr>
              </w:p>
              <w:p>
                <w:pPr>
                  <w:spacing w:line="200" w:lineRule="exact"/>
                  <w:jc w:val="center"/>
                  <w:rPr>
                    <w:rFonts w:ascii="方正小标宋_GBK" w:hAnsi="方正小标宋_GBK" w:eastAsia="方正小标宋_GBK" w:cs="方正小标宋_GBK"/>
                    <w:sz w:val="44"/>
                    <w:szCs w:val="44"/>
                  </w:rPr>
                </w:pPr>
              </w:p>
              <w:p>
                <w:pPr>
                  <w:pStyle w:val="11"/>
                  <w:tabs>
                    <w:tab w:val="right" w:leader="dot" w:pos="8844"/>
                  </w:tabs>
                  <w:spacing w:line="500" w:lineRule="exact"/>
                  <w:rPr>
                    <w:rFonts w:ascii="方正仿宋_GBK" w:hAnsi="方正仿宋_GBK" w:eastAsia="方正仿宋_GBK" w:cs="方正仿宋_GBK"/>
                    <w:b/>
                    <w:sz w:val="32"/>
                    <w:szCs w:val="32"/>
                  </w:rPr>
                </w:pPr>
                <w:r>
                  <w:rPr>
                    <w:rFonts w:ascii="仿宋_GB2312" w:eastAsia="仿宋_GB2312"/>
                    <w:sz w:val="32"/>
                    <w:szCs w:val="32"/>
                  </w:rPr>
                  <w:fldChar w:fldCharType="begin"/>
                </w:r>
                <w:r>
                  <w:rPr>
                    <w:rFonts w:ascii="仿宋_GB2312" w:eastAsia="仿宋_GB2312"/>
                    <w:sz w:val="32"/>
                    <w:szCs w:val="32"/>
                  </w:rPr>
                  <w:instrText xml:space="preserve">TOC \o "1-2" \h \u </w:instrText>
                </w:r>
                <w:r>
                  <w:rPr>
                    <w:rFonts w:ascii="仿宋_GB2312" w:eastAsia="仿宋_GB2312"/>
                    <w:sz w:val="32"/>
                    <w:szCs w:val="32"/>
                  </w:rPr>
                  <w:fldChar w:fldCharType="separate"/>
                </w:r>
                <w:r>
                  <w:fldChar w:fldCharType="begin"/>
                </w:r>
                <w:r>
                  <w:instrText xml:space="preserve"> HYPERLINK \l "_Toc28627" </w:instrText>
                </w:r>
                <w:r>
                  <w:fldChar w:fldCharType="separate"/>
                </w:r>
                <w:r>
                  <w:rPr>
                    <w:rFonts w:hint="eastAsia" w:ascii="方正仿宋_GBK" w:hAnsi="方正仿宋_GBK" w:eastAsia="方正仿宋_GBK" w:cs="方正仿宋_GBK"/>
                    <w:b/>
                    <w:sz w:val="32"/>
                    <w:szCs w:val="32"/>
                  </w:rPr>
                  <w:t>一、基本职能及主要工作</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_Toc28627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2</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"_Toc22542" </w:instrText>
                </w:r>
                <w:r>
                  <w:fldChar w:fldCharType="separate"/>
                </w:r>
                <w:r>
                  <w:rPr>
                    <w:rFonts w:hint="eastAsia" w:ascii="方正仿宋_GBK" w:hAnsi="方正仿宋_GBK" w:eastAsia="方正仿宋_GBK" w:cs="方正仿宋_GBK"/>
                    <w:bCs/>
                    <w:sz w:val="32"/>
                    <w:szCs w:val="32"/>
                  </w:rPr>
                  <w:t>（一）基本职能</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_Toc22542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2</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"_Toc21031" </w:instrText>
                </w:r>
                <w:r>
                  <w:fldChar w:fldCharType="separate"/>
                </w:r>
                <w:r>
                  <w:rPr>
                    <w:rFonts w:hint="eastAsia" w:ascii="方正仿宋_GBK" w:hAnsi="方正仿宋_GBK" w:eastAsia="方正仿宋_GBK" w:cs="方正仿宋_GBK"/>
                    <w:bCs/>
                    <w:sz w:val="32"/>
                    <w:szCs w:val="32"/>
                  </w:rPr>
                  <w:t>（二）</w:t>
                </w:r>
                <w:r>
                  <w:rPr>
                    <w:rFonts w:hint="eastAsia" w:ascii="方正仿宋_GBK" w:hAnsi="方正仿宋_GBK" w:eastAsia="方正仿宋_GBK" w:cs="方正仿宋_GBK"/>
                    <w:bCs/>
                    <w:sz w:val="32"/>
                    <w:szCs w:val="32"/>
                    <w:lang w:val="en-US" w:eastAsia="zh-CN"/>
                  </w:rPr>
                  <w:t>白庙乡</w:t>
                </w:r>
                <w:r>
                  <w:rPr>
                    <w:rFonts w:hint="eastAsia" w:ascii="方正仿宋_GBK" w:hAnsi="方正仿宋_GBK" w:eastAsia="方正仿宋_GBK" w:cs="方正仿宋_GBK"/>
                    <w:bCs/>
                    <w:sz w:val="32"/>
                    <w:szCs w:val="32"/>
                    <w:lang w:eastAsia="zh-CN"/>
                  </w:rPr>
                  <w:t>人民政府财政所</w:t>
                </w:r>
                <w:r>
                  <w:rPr>
                    <w:rFonts w:hint="eastAsia" w:ascii="Times New Roman" w:hAnsi="Times New Roman" w:eastAsia="方正仿宋_GBK" w:cs="Times New Roman"/>
                    <w:bCs/>
                    <w:sz w:val="32"/>
                    <w:szCs w:val="32"/>
                    <w:lang w:eastAsia="zh-CN"/>
                  </w:rPr>
                  <w:t>2023年</w:t>
                </w:r>
                <w:r>
                  <w:rPr>
                    <w:rFonts w:hint="eastAsia" w:ascii="方正仿宋_GBK" w:hAnsi="方正仿宋_GBK" w:eastAsia="方正仿宋_GBK" w:cs="方正仿宋_GBK"/>
                    <w:bCs/>
                    <w:sz w:val="32"/>
                    <w:szCs w:val="32"/>
                  </w:rPr>
                  <w:t>重点工作</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"_Toc28207" </w:instrText>
                </w:r>
                <w:r>
                  <w:fldChar w:fldCharType="separate"/>
                </w:r>
                <w:r>
                  <w:rPr>
                    <w:rFonts w:hint="eastAsia" w:ascii="方正仿宋_GBK" w:hAnsi="方正仿宋_GBK" w:eastAsia="方正仿宋_GBK" w:cs="方正仿宋_GBK"/>
                    <w:b/>
                    <w:sz w:val="32"/>
                    <w:szCs w:val="32"/>
                  </w:rPr>
                  <w:t>二、部门预算单位构成</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2</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"_Toc21256" </w:instrText>
                </w:r>
                <w:r>
                  <w:fldChar w:fldCharType="separate"/>
                </w:r>
                <w:r>
                  <w:rPr>
                    <w:rFonts w:hint="eastAsia" w:ascii="方正仿宋_GBK" w:hAnsi="方正仿宋_GBK" w:eastAsia="方正仿宋_GBK" w:cs="方正仿宋_GBK"/>
                    <w:b/>
                    <w:sz w:val="32"/>
                    <w:szCs w:val="32"/>
                  </w:rPr>
                  <w:t>三、收支预算情况说明</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_Toc21256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3</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"_Toc12766" </w:instrText>
                </w:r>
                <w:r>
                  <w:fldChar w:fldCharType="separate"/>
                </w:r>
                <w:r>
                  <w:rPr>
                    <w:rFonts w:hint="eastAsia" w:ascii="方正仿宋_GBK" w:hAnsi="方正仿宋_GBK" w:eastAsia="方正仿宋_GBK" w:cs="方正仿宋_GBK"/>
                    <w:bCs/>
                    <w:sz w:val="32"/>
                    <w:szCs w:val="32"/>
                  </w:rPr>
                  <w:t>（一）收入预算情况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_Toc12766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3</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"_Toc1197" </w:instrText>
                </w:r>
                <w:r>
                  <w:fldChar w:fldCharType="separate"/>
                </w:r>
                <w:r>
                  <w:rPr>
                    <w:rFonts w:hint="eastAsia" w:ascii="方正仿宋_GBK" w:hAnsi="方正仿宋_GBK" w:eastAsia="方正仿宋_GBK" w:cs="方正仿宋_GBK"/>
                    <w:bCs/>
                    <w:sz w:val="32"/>
                    <w:szCs w:val="32"/>
                  </w:rPr>
                  <w:t>（二）支出预算情况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"_Toc14328" </w:instrText>
                </w:r>
                <w:r>
                  <w:fldChar w:fldCharType="separate"/>
                </w:r>
                <w:r>
                  <w:rPr>
                    <w:rFonts w:hint="eastAsia" w:ascii="方正仿宋_GBK" w:hAnsi="方正仿宋_GBK" w:eastAsia="方正仿宋_GBK" w:cs="方正仿宋_GBK"/>
                    <w:b/>
                    <w:sz w:val="32"/>
                    <w:szCs w:val="32"/>
                  </w:rPr>
                  <w:t>四、财政拨款收支预算情况说明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3</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"_Toc28129" </w:instrText>
                </w:r>
                <w:r>
                  <w:fldChar w:fldCharType="separate"/>
                </w:r>
                <w:r>
                  <w:rPr>
                    <w:rFonts w:hint="eastAsia" w:ascii="方正仿宋_GBK" w:hAnsi="方正仿宋_GBK" w:eastAsia="方正仿宋_GBK" w:cs="方正仿宋_GBK"/>
                    <w:b/>
                    <w:sz w:val="32"/>
                    <w:szCs w:val="32"/>
                  </w:rPr>
                  <w:t>五、一般公共预算当年拨款情况说明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3</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"_Toc9214" </w:instrText>
                </w:r>
                <w:r>
                  <w:fldChar w:fldCharType="separate"/>
                </w:r>
                <w:r>
                  <w:rPr>
                    <w:rFonts w:hint="eastAsia" w:ascii="方正仿宋_GBK" w:hAnsi="方正仿宋_GBK" w:eastAsia="方正仿宋_GBK" w:cs="方正仿宋_GBK"/>
                    <w:bCs/>
                    <w:sz w:val="32"/>
                    <w:szCs w:val="32"/>
                  </w:rPr>
                  <w:t>（一）一般公共预算当年拨款规模变化情况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"_Toc25743" </w:instrText>
                </w:r>
                <w:r>
                  <w:fldChar w:fldCharType="separate"/>
                </w:r>
                <w:r>
                  <w:rPr>
                    <w:rFonts w:hint="eastAsia" w:ascii="方正仿宋_GBK" w:hAnsi="方正仿宋_GBK" w:eastAsia="方正仿宋_GBK" w:cs="方正仿宋_GBK"/>
                    <w:bCs/>
                    <w:sz w:val="32"/>
                    <w:szCs w:val="32"/>
                  </w:rPr>
                  <w:t>（二）一般公共预算当年拨款结构情况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_Toc25743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4</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"_Toc31441" </w:instrText>
                </w:r>
                <w:r>
                  <w:fldChar w:fldCharType="separate"/>
                </w:r>
                <w:r>
                  <w:rPr>
                    <w:rFonts w:hint="eastAsia" w:ascii="方正仿宋_GBK" w:hAnsi="方正仿宋_GBK" w:eastAsia="方正仿宋_GBK" w:cs="方正仿宋_GBK"/>
                    <w:bCs/>
                    <w:sz w:val="32"/>
                    <w:szCs w:val="32"/>
                  </w:rPr>
                  <w:t>（三）一般公共预算当年拨款具体使用情况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"_Toc28184" </w:instrText>
                </w:r>
                <w:r>
                  <w:fldChar w:fldCharType="separate"/>
                </w:r>
                <w:r>
                  <w:rPr>
                    <w:rFonts w:hint="eastAsia" w:ascii="方正仿宋_GBK" w:hAnsi="方正仿宋_GBK" w:eastAsia="方正仿宋_GBK" w:cs="方正仿宋_GBK"/>
                    <w:b/>
                    <w:sz w:val="32"/>
                    <w:szCs w:val="32"/>
                  </w:rPr>
                  <w:t>六、一般公共预算基本支出情况说明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"_Toc30800" </w:instrText>
                </w:r>
                <w:r>
                  <w:fldChar w:fldCharType="separate"/>
                </w:r>
                <w:r>
                  <w:rPr>
                    <w:rFonts w:hint="eastAsia" w:ascii="方正仿宋_GBK" w:hAnsi="方正仿宋_GBK" w:eastAsia="方正仿宋_GBK" w:cs="方正仿宋_GBK"/>
                    <w:b/>
                    <w:sz w:val="32"/>
                    <w:szCs w:val="32"/>
                  </w:rPr>
                  <w:t>七、“三公”经费财政拨款预算安排情况说明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"_Toc23283" </w:instrText>
                </w:r>
                <w:r>
                  <w:fldChar w:fldCharType="separate"/>
                </w:r>
                <w:r>
                  <w:rPr>
                    <w:rFonts w:hint="eastAsia" w:ascii="方正仿宋_GBK" w:hAnsi="方正仿宋_GBK" w:eastAsia="方正仿宋_GBK" w:cs="方正仿宋_GBK"/>
                    <w:b/>
                    <w:sz w:val="32"/>
                    <w:szCs w:val="32"/>
                  </w:rPr>
                  <w:t>八、政府性基金预算支出情况说明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5</w:t>
                </w:r>
                <w:r>
                  <w:rPr>
                    <w:rFonts w:ascii="Times New Roman" w:hAnsi="Times New Roman" w:eastAsia="方正仿宋_GBK" w:cs="Times New Roman"/>
                    <w:b/>
                    <w:sz w:val="32"/>
                    <w:szCs w:val="32"/>
                  </w:rPr>
                  <w:fldChar w:fldCharType="end"/>
                </w:r>
              </w:p>
              <w:p>
                <w:pPr>
                  <w:pStyle w:val="11"/>
                  <w:tabs>
                    <w:tab w:val="right" w:leader="dot" w:pos="8844"/>
                  </w:tabs>
                  <w:spacing w:line="500" w:lineRule="exact"/>
                  <w:rPr>
                    <w:rFonts w:ascii="方正仿宋_GBK" w:hAnsi="方正仿宋_GBK" w:eastAsia="方正仿宋_GBK" w:cs="方正仿宋_GBK"/>
                    <w:b/>
                    <w:sz w:val="32"/>
                    <w:szCs w:val="32"/>
                  </w:rPr>
                </w:pPr>
                <w:r>
                  <w:fldChar w:fldCharType="begin"/>
                </w:r>
                <w:r>
                  <w:instrText xml:space="preserve"> HYPERLINK \l "_Toc26330" </w:instrText>
                </w:r>
                <w:r>
                  <w:fldChar w:fldCharType="separate"/>
                </w:r>
                <w:r>
                  <w:rPr>
                    <w:rFonts w:hint="eastAsia" w:ascii="方正仿宋_GBK" w:hAnsi="方正仿宋_GBK" w:eastAsia="方正仿宋_GBK" w:cs="方正仿宋_GBK"/>
                    <w:b/>
                    <w:sz w:val="32"/>
                    <w:szCs w:val="32"/>
                  </w:rPr>
                  <w:t>九、其他重要事项的情况说明</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6</w:t>
                </w:r>
                <w:r>
                  <w:rPr>
                    <w:rFonts w:ascii="Times New Roman" w:hAnsi="Times New Roman" w:eastAsia="方正仿宋_GBK" w:cs="Times New Roman"/>
                    <w:b/>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"_Toc12300" </w:instrText>
                </w:r>
                <w:r>
                  <w:fldChar w:fldCharType="separate"/>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一</w:t>
                </w:r>
                <w:r>
                  <w:rPr>
                    <w:rFonts w:hint="eastAsia" w:ascii="方正仿宋_GBK" w:hAnsi="方正仿宋_GBK" w:eastAsia="方正仿宋_GBK" w:cs="方正仿宋_GBK"/>
                    <w:bCs/>
                    <w:sz w:val="32"/>
                    <w:szCs w:val="32"/>
                  </w:rPr>
                  <w:t>）政府采购情况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方正仿宋_GBK" w:hAnsi="方正仿宋_GBK" w:eastAsia="方正仿宋_GBK" w:cs="方正仿宋_GBK"/>
                    <w:sz w:val="32"/>
                    <w:szCs w:val="32"/>
                  </w:rPr>
                </w:pPr>
                <w:r>
                  <w:fldChar w:fldCharType="begin"/>
                </w:r>
                <w:r>
                  <w:instrText xml:space="preserve"> HYPERLINK \l "_Toc19457" </w:instrText>
                </w:r>
                <w:r>
                  <w:fldChar w:fldCharType="separate"/>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二</w:t>
                </w:r>
                <w:r>
                  <w:rPr>
                    <w:rFonts w:hint="eastAsia" w:ascii="方正仿宋_GBK" w:hAnsi="方正仿宋_GBK" w:eastAsia="方正仿宋_GBK" w:cs="方正仿宋_GBK"/>
                    <w:bCs/>
                    <w:sz w:val="32"/>
                    <w:szCs w:val="32"/>
                  </w:rPr>
                  <w:t>）国有资产占有使用情况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fldChar w:fldCharType="end"/>
                </w:r>
              </w:p>
              <w:p>
                <w:pPr>
                  <w:pStyle w:val="12"/>
                  <w:tabs>
                    <w:tab w:val="right" w:leader="dot" w:pos="8844"/>
                  </w:tabs>
                  <w:spacing w:line="500" w:lineRule="exact"/>
                  <w:ind w:left="420"/>
                  <w:rPr>
                    <w:rFonts w:ascii="Times New Roman" w:hAnsi="Times New Roman" w:eastAsia="方正仿宋_GBK" w:cs="Times New Roman"/>
                    <w:sz w:val="32"/>
                    <w:szCs w:val="32"/>
                  </w:rPr>
                </w:pPr>
                <w:r>
                  <w:fldChar w:fldCharType="begin"/>
                </w:r>
                <w:r>
                  <w:instrText xml:space="preserve"> HYPERLINK \l "_Toc22569" </w:instrText>
                </w:r>
                <w:r>
                  <w:fldChar w:fldCharType="separate"/>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三</w:t>
                </w:r>
                <w:r>
                  <w:rPr>
                    <w:rFonts w:hint="eastAsia" w:ascii="方正仿宋_GBK" w:hAnsi="方正仿宋_GBK" w:eastAsia="方正仿宋_GBK" w:cs="方正仿宋_GBK"/>
                    <w:bCs/>
                    <w:sz w:val="32"/>
                    <w:szCs w:val="32"/>
                  </w:rPr>
                  <w:t>）绩效目标设置情况</w:t>
                </w:r>
                <w:r>
                  <w:rPr>
                    <w:rFonts w:hint="eastAsia" w:ascii="方正仿宋_GBK" w:hAnsi="方正仿宋_GBK" w:eastAsia="方正仿宋_GBK" w:cs="方正仿宋_GBK"/>
                    <w:sz w:val="32"/>
                    <w:szCs w:val="32"/>
                  </w:rPr>
                  <w:tab/>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fldChar w:fldCharType="end"/>
                </w:r>
              </w:p>
              <w:p>
                <w:pPr>
                  <w:pStyle w:val="11"/>
                  <w:tabs>
                    <w:tab w:val="right" w:leader="dot" w:pos="8844"/>
                  </w:tabs>
                  <w:spacing w:line="500" w:lineRule="exact"/>
                  <w:rPr>
                    <w:b/>
                  </w:rPr>
                </w:pPr>
                <w:r>
                  <w:fldChar w:fldCharType="begin"/>
                </w:r>
                <w:r>
                  <w:instrText xml:space="preserve"> HYPERLINK \l "_Toc30601" </w:instrText>
                </w:r>
                <w:r>
                  <w:fldChar w:fldCharType="separate"/>
                </w:r>
                <w:r>
                  <w:rPr>
                    <w:rFonts w:hint="eastAsia" w:ascii="方正仿宋_GBK" w:hAnsi="方正仿宋_GBK" w:eastAsia="方正仿宋_GBK" w:cs="方正仿宋_GBK"/>
                    <w:b/>
                    <w:sz w:val="32"/>
                    <w:szCs w:val="32"/>
                  </w:rPr>
                  <w:t>十、名词解释</w:t>
                </w:r>
                <w:r>
                  <w:rPr>
                    <w:rFonts w:hint="eastAsia" w:ascii="方正仿宋_GBK" w:hAnsi="方正仿宋_GBK" w:eastAsia="方正仿宋_GBK" w:cs="方正仿宋_GBK"/>
                    <w:b/>
                    <w:sz w:val="32"/>
                    <w:szCs w:val="32"/>
                  </w:rPr>
                  <w:tab/>
                </w:r>
                <w:r>
                  <w:rPr>
                    <w:rFonts w:hint="eastAsia" w:ascii="Times New Roman" w:hAnsi="Times New Roman" w:eastAsia="方正仿宋_GBK" w:cs="Times New Roman"/>
                    <w:b/>
                    <w:sz w:val="32"/>
                    <w:szCs w:val="32"/>
                    <w:lang w:val="en-US" w:eastAsia="zh-CN"/>
                  </w:rPr>
                  <w:t>7</w:t>
                </w:r>
                <w:r>
                  <w:rPr>
                    <w:rFonts w:ascii="Times New Roman" w:hAnsi="Times New Roman" w:eastAsia="方正仿宋_GBK" w:cs="Times New Roman"/>
                    <w:b/>
                    <w:sz w:val="32"/>
                    <w:szCs w:val="32"/>
                  </w:rPr>
                  <w:fldChar w:fldCharType="end"/>
                </w:r>
              </w:p>
              <w:p>
                <w:pPr>
                  <w:ind w:left="359" w:leftChars="171" w:firstLine="211" w:firstLineChars="100"/>
                  <w:rPr>
                    <w:rFonts w:hint="eastAsia" w:ascii="仿宋_GB2312" w:hAnsi="Calibri" w:eastAsia="仿宋_GB2312" w:cs="Times New Roman"/>
                    <w:b/>
                    <w:sz w:val="21"/>
                    <w:szCs w:val="32"/>
                  </w:rPr>
                </w:pPr>
                <w:r>
                  <w:rPr>
                    <w:rFonts w:ascii="仿宋_GB2312" w:eastAsia="仿宋_GB2312"/>
                    <w:b/>
                    <w:szCs w:val="32"/>
                  </w:rPr>
                  <w:fldChar w:fldCharType="end"/>
                </w:r>
              </w:p>
            </w:sdtContent>
          </w:sdt>
          <w:p>
            <w:pPr>
              <w:ind w:left="359" w:leftChars="171" w:firstLine="280" w:firstLineChars="100"/>
              <w:rPr>
                <w:rFonts w:hint="eastAsia" w:ascii="黑体" w:hAnsi="黑体" w:eastAsia="黑体" w:cs="宋体"/>
                <w:color w:val="000000" w:themeColor="text1"/>
                <w:kern w:val="0"/>
                <w:sz w:val="28"/>
                <w:szCs w:val="28"/>
                <w:lang w:eastAsia="zh-CN"/>
                <w14:textFill>
                  <w14:solidFill>
                    <w14:schemeClr w14:val="tx1"/>
                  </w14:solidFill>
                </w14:textFill>
              </w:rPr>
            </w:pPr>
          </w:p>
          <w:p>
            <w:pPr>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一、基本职能及主要工作</w:t>
            </w:r>
          </w:p>
          <w:p>
            <w:pPr>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w:t>
            </w:r>
            <w:r>
              <w:rPr>
                <w:rFonts w:hint="eastAsia" w:ascii="楷体_GB2312" w:hAnsi="宋体" w:eastAsia="楷体_GB2312" w:cs="宋体"/>
                <w:color w:val="000000" w:themeColor="text1"/>
                <w:kern w:val="0"/>
                <w:sz w:val="28"/>
                <w:szCs w:val="28"/>
                <w:lang w:eastAsia="zh-CN"/>
                <w14:textFill>
                  <w14:solidFill>
                    <w14:schemeClr w14:val="tx1"/>
                  </w14:solidFill>
                </w14:textFill>
              </w:rPr>
              <w:t>巴中市巴州区白庙乡财政所</w:t>
            </w:r>
            <w:r>
              <w:rPr>
                <w:rFonts w:hint="eastAsia" w:ascii="楷体_GB2312" w:hAnsi="宋体" w:eastAsia="楷体_GB2312" w:cs="宋体"/>
                <w:color w:val="000000" w:themeColor="text1"/>
                <w:kern w:val="0"/>
                <w:sz w:val="28"/>
                <w:szCs w:val="28"/>
                <w14:textFill>
                  <w14:solidFill>
                    <w14:schemeClr w14:val="tx1"/>
                  </w14:solidFill>
                </w14:textFill>
              </w:rPr>
              <w:t>职能简介</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贯彻执行国家各项财经法律、法规和制度；</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2. 编报年度收支预决算、强化预算执行和监管；</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3. 加强财政资金监管、落实强农惠民补贴政策；</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4. 负责财税法规宣传、协助执收部门强化征管；</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 </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5. 指导监督乡村财务、负责会计委托代理服务；</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6. 全面负责乡镇国有资产和乡村债权债务管理；</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7. 监管乡镇政府采购、负责乡镇财政信息公开；</w:t>
            </w:r>
          </w:p>
          <w:p>
            <w:pPr>
              <w:widowControl/>
              <w:wordWrap w:val="0"/>
              <w:spacing w:line="480" w:lineRule="atLeast"/>
              <w:ind w:firstLine="56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8. 承办上级财政和党委、政府交办的其他事项</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（二）</w:t>
            </w:r>
            <w:r>
              <w:rPr>
                <w:rFonts w:hint="eastAsia" w:ascii="楷体_GB2312" w:hAnsi="宋体" w:eastAsia="楷体_GB2312" w:cs="宋体"/>
                <w:color w:val="000000" w:themeColor="text1"/>
                <w:kern w:val="0"/>
                <w:sz w:val="28"/>
                <w:szCs w:val="28"/>
                <w:lang w:eastAsia="zh-CN"/>
                <w14:textFill>
                  <w14:solidFill>
                    <w14:schemeClr w14:val="tx1"/>
                  </w14:solidFill>
                </w14:textFill>
              </w:rPr>
              <w:t>巴中市巴州区白庙乡财政所2023年</w:t>
            </w:r>
            <w:r>
              <w:rPr>
                <w:rFonts w:hint="eastAsia" w:ascii="楷体_GB2312" w:hAnsi="宋体" w:eastAsia="楷体_GB2312" w:cs="宋体"/>
                <w:color w:val="000000" w:themeColor="text1"/>
                <w:kern w:val="0"/>
                <w:sz w:val="28"/>
                <w:szCs w:val="28"/>
                <w14:textFill>
                  <w14:solidFill>
                    <w14:schemeClr w14:val="tx1"/>
                  </w14:solidFill>
                </w14:textFill>
              </w:rPr>
              <w:t>重点工作</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一</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是按照国家相关法律法规编报年度收支预决算，预算执行和监管；</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二是国有资产及集体三资管理 ；</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三是 宣传国家强农惠民政策；</w:t>
            </w:r>
          </w:p>
          <w:p>
            <w:pPr>
              <w:widowControl/>
              <w:wordWrap w:val="0"/>
              <w:spacing w:line="480" w:lineRule="atLeas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四是办事处各单位及村（社区）、社账账务核算和资金管理；</w:t>
            </w:r>
          </w:p>
          <w:p>
            <w:pPr>
              <w:widowControl/>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二、部门预算单位构成</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白庙乡财政所下</w:t>
            </w: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属二级预算单位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28"/>
                <w:szCs w:val="28"/>
                <w14:textFill>
                  <w14:solidFill>
                    <w14:schemeClr w14:val="tx1"/>
                  </w14:solidFill>
                </w14:textFill>
              </w:rPr>
              <w:t>个，其中行政单位</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个，参照公务员法管理的事业单位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28"/>
                <w:szCs w:val="28"/>
                <w14:textFill>
                  <w14:solidFill>
                    <w14:schemeClr w14:val="tx1"/>
                  </w14:solidFill>
                </w14:textFill>
              </w:rPr>
              <w:t>个，其他事业单位</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个。</w:t>
            </w:r>
          </w:p>
          <w:p>
            <w:pPr>
              <w:widowControl/>
              <w:wordWrap w:val="0"/>
              <w:spacing w:line="480" w:lineRule="atLeast"/>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三、收支预算情况说明</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按照综合预算的原则，巴中市巴州区白庙乡财政所所有收入和支出均纳入部门预算管理。收入包括：一般公共预算拨款收入、上年结转；支出包括：（一般公共服务支出、教育支出）、社会保障和就业支出、医疗卫生与计划生育支出、住房保障支出。巴中市巴州区白庙乡财政所2023年收支总预算</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65.36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w:t>
            </w:r>
          </w:p>
          <w:p>
            <w:pPr>
              <w:widowControl/>
              <w:wordWrap w:val="0"/>
              <w:spacing w:line="480" w:lineRule="atLeast"/>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（一）收入预算情况</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白庙乡财政所2023年收入预算</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65.36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万元，其中：一般公共预算拨款收入</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65.36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万元，占</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w:t>
            </w:r>
          </w:p>
          <w:p>
            <w:pPr>
              <w:widowControl/>
              <w:wordWrap w:val="0"/>
              <w:spacing w:line="480" w:lineRule="atLeast"/>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（二）支出预算情况</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巴中市巴州区白庙乡财政所2023年支出预算</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65.36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万元，其中：基本支出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65.36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万元，占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%；项目支出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万元，占</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w:t>
            </w:r>
          </w:p>
          <w:p>
            <w:pPr>
              <w:widowControl/>
              <w:wordWrap w:val="0"/>
              <w:spacing w:line="480" w:lineRule="atLeast"/>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四、财政拨款收支预算情况说明</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巴中市巴州区白庙乡财政所2023年财政拨款收支总预算</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65.36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万元。收入包括：本年一般公共预算拨款收入</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65.36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万元；支出包括：（一般公共服务支出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52.86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万元、教育支出 万元）、社会保障和就业支出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5.4</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万元、医疗卫生与计划生育支出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2.43</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万元、住房保障支出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4.66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w:t>
            </w:r>
          </w:p>
          <w:p>
            <w:pPr>
              <w:widowControl/>
              <w:wordWrap w:val="0"/>
              <w:spacing w:line="480" w:lineRule="atLeast"/>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五、一般公共预算当年拨款情况说明</w:t>
            </w:r>
          </w:p>
          <w:p>
            <w:pPr>
              <w:widowControl/>
              <w:wordWrap w:val="0"/>
              <w:spacing w:line="480" w:lineRule="atLeast"/>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　（一）一般公共预算当年拨款规模变化情况</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巴中市巴州区白庙乡财政所2023年一般公共预算当年拨款</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65.36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万元，比20</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22</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年预算数</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增加9.96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万元。主要是部门人员经费</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增加</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支出,以及根据部门年度工作计划有所变动。</w:t>
            </w:r>
          </w:p>
          <w:p>
            <w:pPr>
              <w:widowControl/>
              <w:wordWrap w:val="0"/>
              <w:spacing w:line="480" w:lineRule="atLeast"/>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（二）一般公共预算当年拨款结构情况</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4"/>
                <w:szCs w:val="24"/>
                <w14:textFill>
                  <w14:solidFill>
                    <w14:schemeClr w14:val="tx1"/>
                  </w14:solidFill>
                </w14:textFill>
              </w:rPr>
              <w:t>　</w:t>
            </w:r>
            <w:r>
              <w:rPr>
                <w:rFonts w:hint="eastAsia" w:ascii="方正小标宋简体" w:hAnsi="宋体" w:eastAsia="方正小标宋简体" w:cs="宋体"/>
                <w:color w:val="000000" w:themeColor="text1"/>
                <w:kern w:val="0"/>
                <w:sz w:val="24"/>
                <w:szCs w:val="24"/>
                <w:lang w:eastAsia="zh-CN"/>
                <w14:textFill>
                  <w14:solidFill>
                    <w14:schemeClr w14:val="tx1"/>
                  </w14:solidFill>
                </w14:textFill>
              </w:rPr>
              <w:t>一</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般公共服务支出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52.86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万元，占</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80.89</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%；社会保障和就业支出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5.4</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万元，占</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8.26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%；医疗卫生支出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2.43</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万元，占</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3.72</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%，住房保障支出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4.66万元，占7.13%</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p>
          <w:p>
            <w:pPr>
              <w:widowControl/>
              <w:numPr>
                <w:ilvl w:val="0"/>
                <w:numId w:val="1"/>
              </w:numPr>
              <w:wordWrap w:val="0"/>
              <w:spacing w:line="480" w:lineRule="atLeast"/>
              <w:ind w:left="560" w:leftChars="0" w:firstLine="0" w:firstLineChars="0"/>
              <w:rPr>
                <w:rFonts w:hint="eastAsia" w:ascii="楷体_GB2312" w:hAnsi="宋体" w:eastAsia="楷体_GB2312" w:cs="宋体"/>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一般公共预算当年拨款具体使用情况</w:t>
            </w:r>
          </w:p>
          <w:p>
            <w:pPr>
              <w:widowControl/>
              <w:numPr>
                <w:ilvl w:val="0"/>
                <w:numId w:val="0"/>
              </w:numPr>
              <w:wordWrap w:val="0"/>
              <w:spacing w:line="480" w:lineRule="atLeast"/>
              <w:ind w:firstLine="560" w:firstLineChars="200"/>
              <w:rPr>
                <w:rFonts w:hint="eastAsia" w:ascii="楷体_GB2312" w:hAnsi="宋体" w:eastAsia="楷体_GB2312" w:cs="宋体"/>
                <w:color w:val="000000" w:themeColor="text1"/>
                <w:kern w:val="0"/>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2010301</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（类）政府办公厅（室）及相关机构事务（款）行政运行（项）:2023年预算数为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万元，主要用于：机关及所属单位正常运转的基本支出，包括人员经费以及办公费、印刷费、水电费等日常公用经费。</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2010601</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（类）财政事务（款）行政运行（项）:2023年预算数为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44.86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万元，主要用于：机关及所属单位正常运转的基本支出，包括基本工资、津贴补贴等人员经费以及办公费、印刷费、水电费等日常公用经费。</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.社会保障和就业（类）行政事业单位离退休（款）机关事业单位基本养老保险缴费支出（项）:2023年预算数为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5.4</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 万元，主要用于：实施养老保险制度后，部门按规定由单位缴纳的基本养老保险费支出。</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.医疗卫生与计划生育（类）行政事业单位医疗（款）事业单位医疗（项）:2023年预算数为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2.43</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万元，主要用于：部门下属事业单位基本医疗保险缴费支出。</w:t>
            </w:r>
          </w:p>
          <w:p>
            <w:pPr>
              <w:widowControl/>
              <w:wordWrap w:val="0"/>
              <w:spacing w:line="480" w:lineRule="atLeas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.住房保障（类）住房改革支出（款）住房公积金（项）:2023年预算数为</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4.66</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 xml:space="preserve">万元，主要用于：部门按人力资源和社会保障部、财政部规定的基本工资和津贴补贴以及规定比例为职工缴纳的住房公积金支出。 </w:t>
            </w:r>
          </w:p>
          <w:p>
            <w:pPr>
              <w:widowControl/>
              <w:wordWrap w:val="0"/>
              <w:spacing w:line="480" w:lineRule="atLeast"/>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六、一般公共预算基本支出情况说明</w:t>
            </w:r>
          </w:p>
          <w:p>
            <w:pPr>
              <w:widowControl/>
              <w:wordWrap w:val="0"/>
              <w:spacing w:line="480" w:lineRule="atLeast"/>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巴中市巴州区白庙乡财政所2023年一般公共预算基本支出65.36万元，其中：</w:t>
            </w:r>
          </w:p>
          <w:p>
            <w:pPr>
              <w:widowControl/>
              <w:wordWrap w:val="0"/>
              <w:spacing w:line="480" w:lineRule="atLeast"/>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人员经费51.78万元，主要包括：基本工资、津贴补贴、奖金、社会保险缴费、绩效工资、机关事业单位基本养老保险缴费、职业年金缴费、其他工资福利支出、离休费、住房公积金、其他对个人和家庭的补助支出。</w:t>
            </w:r>
          </w:p>
          <w:p>
            <w:pPr>
              <w:widowControl/>
              <w:wordWrap w:val="0"/>
              <w:spacing w:line="480" w:lineRule="atLeast"/>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公用经费 13.58万元，主要包括：办公费、印刷费、手续费、水费、电费、邮电费、差旅费、维修（护）费、会议费、培训费、劳务费、工会经费、福利费、其他交通费、其他商品和服务支出。</w:t>
            </w:r>
          </w:p>
          <w:p>
            <w:pPr>
              <w:widowControl/>
              <w:wordWrap w:val="0"/>
              <w:spacing w:line="480" w:lineRule="atLeast"/>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黑体" w:hAnsi="黑体" w:eastAsia="黑体" w:cs="宋体"/>
                <w:color w:val="000000" w:themeColor="text1"/>
                <w:kern w:val="0"/>
                <w:sz w:val="28"/>
                <w:szCs w:val="28"/>
                <w14:textFill>
                  <w14:solidFill>
                    <w14:schemeClr w14:val="tx1"/>
                  </w14:solidFill>
                </w14:textFill>
              </w:rPr>
              <w:t>七、“三公”经费财政拨款预算安排情况说明</w:t>
            </w:r>
          </w:p>
          <w:p>
            <w:pPr>
              <w:widowControl/>
              <w:wordWrap w:val="0"/>
              <w:spacing w:line="480" w:lineRule="atLeast"/>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巴中市巴州区白庙乡财政所2023年“三公”经费财政拨款预算数0 万元，其中：因公出国（境）经费0 万元，公务接待费 0万元，公务用车购置及运行维护费0 万元。</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r>
              <w:rPr>
                <w:rFonts w:hint="eastAsia" w:ascii="楷体_GB2312" w:hAnsi="宋体" w:eastAsia="楷体_GB2312" w:cs="宋体"/>
                <w:color w:val="000000" w:themeColor="text1"/>
                <w:kern w:val="0"/>
                <w:sz w:val="28"/>
                <w:szCs w:val="28"/>
                <w14:textFill>
                  <w14:solidFill>
                    <w14:schemeClr w14:val="tx1"/>
                  </w14:solidFill>
                </w14:textFill>
              </w:rPr>
              <w:t>（一）</w:t>
            </w:r>
            <w:r>
              <w:rPr>
                <w:rFonts w:hint="eastAsia" w:ascii="楷体_GB2312" w:hAnsi="宋体" w:eastAsia="楷体_GB2312" w:cs="宋体"/>
                <w:color w:val="000000" w:themeColor="text1"/>
                <w:kern w:val="0"/>
                <w:sz w:val="28"/>
                <w:szCs w:val="28"/>
                <w:lang w:eastAsia="zh-CN"/>
                <w14:textFill>
                  <w14:solidFill>
                    <w14:schemeClr w14:val="tx1"/>
                  </w14:solidFill>
                </w14:textFill>
              </w:rPr>
              <w:t>未安排</w:t>
            </w:r>
            <w:r>
              <w:rPr>
                <w:rFonts w:hint="eastAsia" w:ascii="楷体_GB2312" w:hAnsi="宋体" w:eastAsia="楷体_GB2312" w:cs="宋体"/>
                <w:color w:val="000000" w:themeColor="text1"/>
                <w:kern w:val="0"/>
                <w:sz w:val="28"/>
                <w:szCs w:val="28"/>
                <w14:textFill>
                  <w14:solidFill>
                    <w14:schemeClr w14:val="tx1"/>
                  </w14:solidFill>
                </w14:textFill>
              </w:rPr>
              <w:t>因公出国（境）经费</w:t>
            </w:r>
            <w:r>
              <w:rPr>
                <w:rFonts w:hint="eastAsia" w:ascii="仿宋_GB2312" w:hAnsi="宋体" w:eastAsia="仿宋_GB2312" w:cs="宋体"/>
                <w:color w:val="000000" w:themeColor="text1"/>
                <w:kern w:val="0"/>
                <w:sz w:val="28"/>
                <w:szCs w:val="28"/>
                <w14:textFill>
                  <w14:solidFill>
                    <w14:schemeClr w14:val="tx1"/>
                  </w14:solidFill>
                </w14:textFill>
              </w:rPr>
              <w:t>。</w:t>
            </w:r>
          </w:p>
          <w:p>
            <w:pPr>
              <w:widowControl/>
              <w:wordWrap w:val="0"/>
              <w:spacing w:line="480" w:lineRule="atLeast"/>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楷体_GB2312" w:hAnsi="宋体" w:eastAsia="楷体_GB2312" w:cs="宋体"/>
                <w:color w:val="000000" w:themeColor="text1"/>
                <w:kern w:val="0"/>
                <w:sz w:val="28"/>
                <w:szCs w:val="28"/>
                <w14:textFill>
                  <w14:solidFill>
                    <w14:schemeClr w14:val="tx1"/>
                  </w14:solidFill>
                </w14:textFill>
              </w:rPr>
              <w:t>二）</w:t>
            </w:r>
            <w:r>
              <w:rPr>
                <w:rFonts w:hint="eastAsia" w:ascii="楷体_GB2312" w:hAnsi="宋体" w:eastAsia="楷体_GB2312" w:cs="宋体"/>
                <w:color w:val="000000" w:themeColor="text1"/>
                <w:kern w:val="0"/>
                <w:sz w:val="28"/>
                <w:szCs w:val="28"/>
                <w:lang w:eastAsia="zh-CN"/>
                <w14:textFill>
                  <w14:solidFill>
                    <w14:schemeClr w14:val="tx1"/>
                  </w14:solidFill>
                </w14:textFill>
              </w:rPr>
              <w:t>未安排</w:t>
            </w:r>
            <w:r>
              <w:rPr>
                <w:rFonts w:hint="eastAsia" w:ascii="楷体_GB2312" w:hAnsi="宋体" w:eastAsia="楷体_GB2312" w:cs="宋体"/>
                <w:color w:val="000000" w:themeColor="text1"/>
                <w:kern w:val="0"/>
                <w:sz w:val="28"/>
                <w:szCs w:val="28"/>
                <w14:textFill>
                  <w14:solidFill>
                    <w14:schemeClr w14:val="tx1"/>
                  </w14:solidFill>
                </w14:textFill>
              </w:rPr>
              <w:t>公务接待</w:t>
            </w:r>
            <w:r>
              <w:rPr>
                <w:rFonts w:hint="eastAsia" w:ascii="楷体_GB2312" w:hAnsi="宋体" w:eastAsia="楷体_GB2312" w:cs="宋体"/>
                <w:color w:val="000000" w:themeColor="text1"/>
                <w:kern w:val="0"/>
                <w:sz w:val="28"/>
                <w:szCs w:val="28"/>
                <w:lang w:eastAsia="zh-CN"/>
                <w14:textFill>
                  <w14:solidFill>
                    <w14:schemeClr w14:val="tx1"/>
                  </w14:solidFill>
                </w14:textFill>
              </w:rPr>
              <w:t>费</w:t>
            </w:r>
            <w:r>
              <w:rPr>
                <w:rFonts w:hint="eastAsia" w:ascii="仿宋_GB2312" w:hAnsi="宋体" w:eastAsia="仿宋_GB2312" w:cs="宋体"/>
                <w:color w:val="000000" w:themeColor="text1"/>
                <w:kern w:val="0"/>
                <w:sz w:val="28"/>
                <w:szCs w:val="28"/>
                <w14:textFill>
                  <w14:solidFill>
                    <w14:schemeClr w14:val="tx1"/>
                  </w14:solidFill>
                </w14:textFill>
              </w:rPr>
              <w:t>　　</w:t>
            </w:r>
          </w:p>
          <w:p>
            <w:pPr>
              <w:widowControl/>
              <w:numPr>
                <w:ilvl w:val="0"/>
                <w:numId w:val="2"/>
              </w:numPr>
              <w:wordWrap w:val="0"/>
              <w:spacing w:line="480" w:lineRule="atLeast"/>
              <w:ind w:firstLine="560" w:firstLineChars="200"/>
              <w:rPr>
                <w:rFonts w:hint="eastAsia" w:ascii="仿宋_GB2312" w:hAnsi="宋体" w:eastAsia="仿宋_GB2312" w:cs="宋体"/>
                <w:color w:val="000000" w:themeColor="text1"/>
                <w:kern w:val="0"/>
                <w:sz w:val="28"/>
                <w:szCs w:val="28"/>
                <w14:textFill>
                  <w14:solidFill>
                    <w14:schemeClr w14:val="tx1"/>
                  </w14:solidFill>
                </w14:textFill>
              </w:rPr>
            </w:pPr>
            <w:r>
              <w:rPr>
                <w:rFonts w:hint="eastAsia" w:ascii="楷体_GB2312" w:hAnsi="宋体" w:eastAsia="楷体_GB2312" w:cs="宋体"/>
                <w:color w:val="000000" w:themeColor="text1"/>
                <w:kern w:val="0"/>
                <w:sz w:val="28"/>
                <w:szCs w:val="28"/>
                <w:lang w:eastAsia="zh-CN"/>
                <w14:textFill>
                  <w14:solidFill>
                    <w14:schemeClr w14:val="tx1"/>
                  </w14:solidFill>
                </w14:textFill>
              </w:rPr>
              <w:t>未安排</w:t>
            </w:r>
            <w:r>
              <w:rPr>
                <w:rFonts w:hint="eastAsia" w:ascii="楷体_GB2312" w:hAnsi="宋体" w:eastAsia="楷体_GB2312" w:cs="宋体"/>
                <w:color w:val="000000" w:themeColor="text1"/>
                <w:kern w:val="0"/>
                <w:sz w:val="28"/>
                <w:szCs w:val="28"/>
                <w14:textFill>
                  <w14:solidFill>
                    <w14:schemeClr w14:val="tx1"/>
                  </w14:solidFill>
                </w14:textFill>
              </w:rPr>
              <w:t>公务用车购置及运行维护费</w:t>
            </w:r>
            <w:r>
              <w:rPr>
                <w:rFonts w:hint="eastAsia" w:ascii="仿宋_GB2312" w:hAnsi="宋体" w:eastAsia="仿宋_GB2312" w:cs="宋体"/>
                <w:color w:val="000000" w:themeColor="text1"/>
                <w:kern w:val="0"/>
                <w:sz w:val="28"/>
                <w:szCs w:val="28"/>
                <w14:textFill>
                  <w14:solidFill>
                    <w14:schemeClr w14:val="tx1"/>
                  </w14:solidFill>
                </w14:textFill>
              </w:rPr>
              <w:t>　　　　</w:t>
            </w:r>
          </w:p>
          <w:p>
            <w:pPr>
              <w:widowControl/>
              <w:numPr>
                <w:ilvl w:val="0"/>
                <w:numId w:val="0"/>
              </w:numPr>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八、政府性基金预算支出情况说明</w:t>
            </w:r>
          </w:p>
          <w:p>
            <w:pPr>
              <w:widowControl/>
              <w:numPr>
                <w:ilvl w:val="0"/>
                <w:numId w:val="0"/>
              </w:numPr>
              <w:wordWrap w:val="0"/>
              <w:spacing w:line="480" w:lineRule="atLeas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巴中市巴州区白庙乡财政所2023年没有使用政府性基金预算拨款安排的支出。</w:t>
            </w:r>
          </w:p>
          <w:p>
            <w:pPr>
              <w:widowControl/>
              <w:numPr>
                <w:ilvl w:val="0"/>
                <w:numId w:val="0"/>
              </w:numPr>
              <w:wordWrap w:val="0"/>
              <w:spacing w:line="480" w:lineRule="atLeast"/>
              <w:ind w:firstLine="560" w:firstLineChars="200"/>
              <w:rPr>
                <w:rFonts w:hint="eastAsia" w:ascii="黑体" w:hAnsi="黑体" w:eastAsia="黑体" w:cs="宋体"/>
                <w:color w:val="000000" w:themeColor="text1"/>
                <w:kern w:val="0"/>
                <w:sz w:val="28"/>
                <w:szCs w:val="28"/>
                <w:lang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九、其他重要事项的情况说明</w:t>
            </w:r>
          </w:p>
          <w:p>
            <w:pPr>
              <w:widowControl/>
              <w:numPr>
                <w:ilvl w:val="0"/>
                <w:numId w:val="0"/>
              </w:numPr>
              <w:wordWrap w:val="0"/>
              <w:spacing w:line="480" w:lineRule="atLeas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（一）政府采购情况</w:t>
            </w:r>
          </w:p>
          <w:p>
            <w:pPr>
              <w:widowControl/>
              <w:numPr>
                <w:ilvl w:val="0"/>
                <w:numId w:val="0"/>
              </w:numPr>
              <w:wordWrap w:val="0"/>
              <w:spacing w:line="480" w:lineRule="atLeas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2023年，巴中市巴州区白庙乡财政所安排政府采购预算 0  万元，主要用于采购办公设备、信息化建设运行及维护等。</w:t>
            </w:r>
          </w:p>
          <w:p>
            <w:pPr>
              <w:widowControl/>
              <w:numPr>
                <w:ilvl w:val="0"/>
                <w:numId w:val="0"/>
              </w:numPr>
              <w:wordWrap w:val="0"/>
              <w:spacing w:line="480" w:lineRule="atLeas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（二）国有资产占有使用情况</w:t>
            </w:r>
          </w:p>
          <w:p>
            <w:pPr>
              <w:widowControl/>
              <w:numPr>
                <w:ilvl w:val="0"/>
                <w:numId w:val="0"/>
              </w:numPr>
              <w:wordWrap w:val="0"/>
              <w:spacing w:line="480" w:lineRule="atLeas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截至2022年底，巴中市巴州区白庙乡财政所所属各预算单位共有车辆 0 辆，其中，定向保障用车 0 辆、执法执勤用车 0 辆。</w:t>
            </w:r>
          </w:p>
          <w:p>
            <w:pPr>
              <w:widowControl/>
              <w:numPr>
                <w:ilvl w:val="0"/>
                <w:numId w:val="0"/>
              </w:numPr>
              <w:wordWrap w:val="0"/>
              <w:spacing w:line="480" w:lineRule="atLeas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（三）绩效目标设置情况</w:t>
            </w:r>
          </w:p>
          <w:p>
            <w:pPr>
              <w:widowControl/>
              <w:numPr>
                <w:ilvl w:val="0"/>
                <w:numId w:val="0"/>
              </w:numPr>
              <w:wordWrap w:val="0"/>
              <w:spacing w:line="480" w:lineRule="atLeas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2023年财政厅部门通用项目和专用项目均按要求实行绩效目标管理，涉及一般公共预算当年拨款 0  万元。</w:t>
            </w:r>
          </w:p>
          <w:p>
            <w:pPr>
              <w:widowControl/>
              <w:numPr>
                <w:ilvl w:val="0"/>
                <w:numId w:val="0"/>
              </w:numPr>
              <w:wordWrap w:val="0"/>
              <w:spacing w:line="480" w:lineRule="atLeast"/>
              <w:ind w:firstLine="560" w:firstLineChars="200"/>
              <w:rPr>
                <w:rFonts w:ascii="仿宋_GB2312" w:hAnsi="宋体" w:eastAsia="仿宋_GB2312" w:cs="宋体"/>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附件： 2023年部门预算公开报</w:t>
            </w:r>
          </w:p>
        </w:tc>
      </w:tr>
    </w:tbl>
    <w:p>
      <w:pPr>
        <w:pStyle w:val="2"/>
        <w:ind w:firstLine="560" w:firstLineChars="200"/>
        <w:rPr>
          <w:rFonts w:ascii="方正黑体_GBK" w:hAnsi="方正黑体_GBK" w:eastAsia="方正黑体_GBK" w:cs="方正黑体_GBK"/>
          <w:sz w:val="28"/>
          <w:szCs w:val="28"/>
        </w:rPr>
      </w:pPr>
      <w:bookmarkStart w:id="0" w:name="_Toc23916"/>
      <w:r>
        <w:rPr>
          <w:rFonts w:hint="eastAsia" w:ascii="方正黑体_GBK" w:hAnsi="方正黑体_GBK" w:eastAsia="方正黑体_GBK" w:cs="方正黑体_GBK"/>
          <w:sz w:val="28"/>
          <w:szCs w:val="28"/>
          <w:lang w:eastAsia="zh-CN"/>
        </w:rPr>
        <w:t>十</w:t>
      </w:r>
      <w:r>
        <w:rPr>
          <w:rFonts w:hint="eastAsia" w:ascii="方正黑体_GBK" w:hAnsi="方正黑体_GBK" w:eastAsia="方正黑体_GBK" w:cs="方正黑体_GBK"/>
          <w:sz w:val="28"/>
          <w:szCs w:val="28"/>
        </w:rPr>
        <w:t>、名词解释</w:t>
      </w:r>
      <w:bookmarkEnd w:id="0"/>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、一般公共预算拨款收入：指省级财政当年拨付的资金。</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、一般公共服务（类）财政事务（款）行政运行（项）：指机关及参公管理事业单位用于保障机构正常运行、开展日常工作的基本支出。</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、社会保障和就业（类）其他社会保障和就业（款）其他社会保障和就业支出（项）：指除上述项目外，其他用于行政事业单位离退休方面的支出。</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.医疗卫生与计划生育（类）行政事业单位医疗（款）行政单位医疗（项）：指机关及参公管理事业单位用于缴纳单位基本医疗保险支出。</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14:textFill>
            <w14:solidFill>
              <w14:schemeClr w14:val="tx1"/>
            </w14:solidFill>
          </w14:textFill>
        </w:rPr>
        <w:t>.住房保障（类）住房改革支出（款）住房公积金（项）：指按照《住房公积金管理条例》的规定，由单位及其在职职工缴存的长期住房储金。</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6</w:t>
      </w:r>
      <w:r>
        <w:rPr>
          <w:rFonts w:hint="eastAsia" w:ascii="方正仿宋_GBK" w:hAnsi="方正仿宋_GBK" w:eastAsia="方正仿宋_GBK" w:cs="方正仿宋_GBK"/>
          <w:color w:val="000000" w:themeColor="text1"/>
          <w:sz w:val="28"/>
          <w:szCs w:val="28"/>
          <w14:textFill>
            <w14:solidFill>
              <w14:schemeClr w14:val="tx1"/>
            </w14:solidFill>
          </w14:textFill>
        </w:rPr>
        <w:t>.基本支出：指为保证机构正常运转，完成日常工作任务而发生的人员支出和公用支出。</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7</w:t>
      </w:r>
      <w:r>
        <w:rPr>
          <w:rFonts w:hint="eastAsia" w:ascii="方正仿宋_GBK" w:hAnsi="方正仿宋_GBK" w:eastAsia="方正仿宋_GBK" w:cs="方正仿宋_GBK"/>
          <w:color w:val="000000" w:themeColor="text1"/>
          <w:sz w:val="28"/>
          <w:szCs w:val="28"/>
          <w14:textFill>
            <w14:solidFill>
              <w14:schemeClr w14:val="tx1"/>
            </w14:solidFill>
          </w14:textFill>
        </w:rPr>
        <w:t>.项目支出：指在基本支出之外为完成特定行政任务和事业发展目标所发生的支出。</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8</w:t>
      </w:r>
      <w:r>
        <w:rPr>
          <w:rFonts w:hint="eastAsia" w:ascii="方正仿宋_GBK" w:hAnsi="方正仿宋_GBK" w:eastAsia="方正仿宋_GBK" w:cs="方正仿宋_GBK"/>
          <w:color w:val="000000" w:themeColor="text1"/>
          <w:sz w:val="28"/>
          <w:szCs w:val="28"/>
          <w14:textFill>
            <w14:solidFill>
              <w14:schemeClr w14:val="tx1"/>
            </w14:solidFill>
          </w14:textFill>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9</w:t>
      </w:r>
      <w:r>
        <w:rPr>
          <w:rFonts w:hint="eastAsia" w:ascii="方正仿宋_GBK" w:hAnsi="方正仿宋_GBK" w:eastAsia="方正仿宋_GBK" w:cs="方正仿宋_GBK"/>
          <w:color w:val="000000" w:themeColor="text1"/>
          <w:sz w:val="28"/>
          <w:szCs w:val="28"/>
          <w14:textFill>
            <w14:solidFill>
              <w14:schemeClr w14:val="tx1"/>
            </w14:solidFill>
          </w14:textFill>
        </w:rPr>
        <w:t>.机关运行经费：为保障行政单位（包含参照公务员法管理的事业单位）运行用于购买货物和服务的各项资金。包括办公及办公费、水费、电费、印刷费、邮电费、差旅费、会议费等费用开支。</w:t>
      </w:r>
    </w:p>
    <w:p>
      <w:pPr>
        <w:rPr>
          <w:rFonts w:ascii="方正仿宋_GBK" w:hAnsi="方正仿宋_GBK" w:eastAsia="方正仿宋_GBK" w:cs="方正仿宋_GBK"/>
          <w:color w:val="000000" w:themeColor="text1"/>
          <w:sz w:val="28"/>
          <w:szCs w:val="28"/>
          <w14:textFill>
            <w14:solidFill>
              <w14:schemeClr w14:val="tx1"/>
            </w14:solidFill>
          </w14:textFill>
        </w:rPr>
      </w:pPr>
    </w:p>
    <w:p>
      <w:pPr>
        <w:rPr>
          <w:rFonts w:ascii="方正仿宋_GBK" w:hAnsi="方正仿宋_GBK" w:eastAsia="方正仿宋_GBK" w:cs="方正仿宋_GBK"/>
          <w:color w:val="000000" w:themeColor="text1"/>
          <w:sz w:val="28"/>
          <w:szCs w:val="28"/>
          <w14:textFill>
            <w14:solidFill>
              <w14:schemeClr w14:val="tx1"/>
            </w14:solidFill>
          </w14:textFill>
        </w:rPr>
      </w:pP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附件：</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巴州区单位部门收支总表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巴州区单位部门收入总表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巴州区单位部门支出总表</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巴州区单位财政拨款收支预算总表</w:t>
      </w:r>
    </w:p>
    <w:p>
      <w:pPr>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巴州区单位财政拨款</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支出</w:t>
      </w:r>
      <w:r>
        <w:rPr>
          <w:rFonts w:hint="eastAsia" w:ascii="方正仿宋_GBK" w:hAnsi="方正仿宋_GBK" w:eastAsia="方正仿宋_GBK" w:cs="方正仿宋_GBK"/>
          <w:color w:val="000000" w:themeColor="text1"/>
          <w:sz w:val="28"/>
          <w:szCs w:val="28"/>
          <w14:textFill>
            <w14:solidFill>
              <w14:schemeClr w14:val="tx1"/>
            </w14:solidFill>
          </w14:textFill>
        </w:rPr>
        <w:t>预算表</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（部门经济分类科目）</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巴州区单位一般公共预算支出预算表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单位一般公共预算基本支出预算表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单位一般公共预算项目支出预算表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单位一般公共预算“三公”经费预算表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政府性基金支出预算表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政府基金预算“三公”经费支出预算表</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表</w:t>
      </w:r>
      <w:r>
        <w:rPr>
          <w:rFonts w:ascii="Times New Roman" w:hAnsi="Times New Roman" w:eastAsia="方正仿宋_GBK" w:cs="Times New Roman"/>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lang w:eastAsia="zh-CN"/>
          <w14:textFill>
            <w14:solidFill>
              <w14:schemeClr w14:val="tx1"/>
            </w14:solidFill>
          </w14:textFill>
        </w:rPr>
        <w:t>2023年</w:t>
      </w:r>
      <w:r>
        <w:rPr>
          <w:rFonts w:hint="eastAsia" w:ascii="方正仿宋_GBK" w:hAnsi="方正仿宋_GBK" w:eastAsia="方正仿宋_GBK" w:cs="方正仿宋_GBK"/>
          <w:color w:val="000000" w:themeColor="text1"/>
          <w:sz w:val="28"/>
          <w:szCs w:val="28"/>
          <w14:textFill>
            <w14:solidFill>
              <w14:schemeClr w14:val="tx1"/>
            </w14:solidFill>
          </w14:textFill>
        </w:rPr>
        <w:t>国有资本经营预算支出预算表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4"/>
      <w:rPr>
        <w:rFonts w:hint="eastAsia"/>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238E"/>
    <w:multiLevelType w:val="singleLevel"/>
    <w:tmpl w:val="B8AA238E"/>
    <w:lvl w:ilvl="0" w:tentative="0">
      <w:start w:val="3"/>
      <w:numFmt w:val="chineseCounting"/>
      <w:suff w:val="nothing"/>
      <w:lvlText w:val="（%1）"/>
      <w:lvlJc w:val="left"/>
      <w:pPr>
        <w:ind w:left="560" w:leftChars="0" w:firstLine="0" w:firstLineChars="0"/>
      </w:pPr>
      <w:rPr>
        <w:rFonts w:hint="eastAsia"/>
      </w:rPr>
    </w:lvl>
  </w:abstractNum>
  <w:abstractNum w:abstractNumId="1">
    <w:nsid w:val="EBC59B9C"/>
    <w:multiLevelType w:val="singleLevel"/>
    <w:tmpl w:val="EBC59B9C"/>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NGJlMDI0MzkwNjg3NmQ2YjJlN2RkOWU4YjkwMDIifQ=="/>
  </w:docVars>
  <w:rsids>
    <w:rsidRoot w:val="006452C1"/>
    <w:rsid w:val="0009310D"/>
    <w:rsid w:val="000A2DE7"/>
    <w:rsid w:val="002F5B42"/>
    <w:rsid w:val="00430A67"/>
    <w:rsid w:val="00474DE5"/>
    <w:rsid w:val="004B058D"/>
    <w:rsid w:val="00532C45"/>
    <w:rsid w:val="006452C1"/>
    <w:rsid w:val="00687D24"/>
    <w:rsid w:val="006E7785"/>
    <w:rsid w:val="006F69EE"/>
    <w:rsid w:val="008640E2"/>
    <w:rsid w:val="009354DF"/>
    <w:rsid w:val="00AD2F67"/>
    <w:rsid w:val="00C40F78"/>
    <w:rsid w:val="00CA720C"/>
    <w:rsid w:val="00CF5987"/>
    <w:rsid w:val="00D34013"/>
    <w:rsid w:val="00D63EB5"/>
    <w:rsid w:val="00E802F4"/>
    <w:rsid w:val="00EB0203"/>
    <w:rsid w:val="07F24117"/>
    <w:rsid w:val="0D447EE0"/>
    <w:rsid w:val="0E6C1BD7"/>
    <w:rsid w:val="10891E74"/>
    <w:rsid w:val="10A15280"/>
    <w:rsid w:val="11BA65C6"/>
    <w:rsid w:val="13456FB9"/>
    <w:rsid w:val="14BF21C8"/>
    <w:rsid w:val="152F59F0"/>
    <w:rsid w:val="17032B52"/>
    <w:rsid w:val="18E831AB"/>
    <w:rsid w:val="19DE74C3"/>
    <w:rsid w:val="1B284042"/>
    <w:rsid w:val="1BD25A4D"/>
    <w:rsid w:val="1DF47EFC"/>
    <w:rsid w:val="1E334EC9"/>
    <w:rsid w:val="21BC1927"/>
    <w:rsid w:val="221727B9"/>
    <w:rsid w:val="229F2A96"/>
    <w:rsid w:val="269318F9"/>
    <w:rsid w:val="287B46E5"/>
    <w:rsid w:val="2B2C0814"/>
    <w:rsid w:val="2C6C284D"/>
    <w:rsid w:val="2E056F49"/>
    <w:rsid w:val="2E504702"/>
    <w:rsid w:val="2E505623"/>
    <w:rsid w:val="2F084C64"/>
    <w:rsid w:val="2FDF303A"/>
    <w:rsid w:val="3078137A"/>
    <w:rsid w:val="30DF180C"/>
    <w:rsid w:val="34545741"/>
    <w:rsid w:val="354D7BA6"/>
    <w:rsid w:val="356F16C9"/>
    <w:rsid w:val="369D33CF"/>
    <w:rsid w:val="389132FB"/>
    <w:rsid w:val="3A042205"/>
    <w:rsid w:val="3CAC3643"/>
    <w:rsid w:val="413F3FB0"/>
    <w:rsid w:val="42DF44BB"/>
    <w:rsid w:val="442F1940"/>
    <w:rsid w:val="48B02D1D"/>
    <w:rsid w:val="4C3103EA"/>
    <w:rsid w:val="50EE6BCB"/>
    <w:rsid w:val="53F1220D"/>
    <w:rsid w:val="53FA6D69"/>
    <w:rsid w:val="56B04601"/>
    <w:rsid w:val="58F61B52"/>
    <w:rsid w:val="5D225DDA"/>
    <w:rsid w:val="5D393192"/>
    <w:rsid w:val="60AC1434"/>
    <w:rsid w:val="63D00091"/>
    <w:rsid w:val="66FC1E27"/>
    <w:rsid w:val="699F478D"/>
    <w:rsid w:val="6B5C5152"/>
    <w:rsid w:val="6B5D0043"/>
    <w:rsid w:val="6C3B3989"/>
    <w:rsid w:val="6F9A5420"/>
    <w:rsid w:val="743E4BE2"/>
    <w:rsid w:val="74497E7E"/>
    <w:rsid w:val="759E5D0B"/>
    <w:rsid w:val="7AEA1DD4"/>
    <w:rsid w:val="7D673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 w:type="paragraph" w:customStyle="1" w:styleId="11">
    <w:name w:val="WPSOffice手动目录 1"/>
    <w:qFormat/>
    <w:uiPriority w:val="0"/>
    <w:rPr>
      <w:rFonts w:asciiTheme="minorHAnsi" w:hAnsiTheme="minorHAnsi" w:eastAsiaTheme="minorEastAsia" w:cstheme="minorBidi"/>
      <w:lang w:val="en-US" w:eastAsia="zh-CN" w:bidi="ar-SA"/>
    </w:rPr>
  </w:style>
  <w:style w:type="paragraph" w:customStyle="1" w:styleId="1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3143</Words>
  <Characters>3422</Characters>
  <Lines>17</Lines>
  <Paragraphs>4</Paragraphs>
  <TotalTime>29</TotalTime>
  <ScaleCrop>false</ScaleCrop>
  <LinksUpToDate>false</LinksUpToDate>
  <CharactersWithSpaces>3617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别皱眉</cp:lastModifiedBy>
  <cp:lastPrinted>2020-07-02T03:02:00Z</cp:lastPrinted>
  <dcterms:modified xsi:type="dcterms:W3CDTF">2023-07-12T23:40:45Z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633315F7E0FA45A7AAA0F5E94F68CF25_13</vt:lpwstr>
  </property>
</Properties>
</file>