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44" w:type="dxa"/>
        <w:jc w:val="center"/>
        <w:tblCellSpacing w:w="0" w:type="dxa"/>
        <w:tblLayout w:type="autofit"/>
        <w:tblCellMar>
          <w:top w:w="0" w:type="dxa"/>
          <w:left w:w="0" w:type="dxa"/>
          <w:bottom w:w="0" w:type="dxa"/>
          <w:right w:w="0" w:type="dxa"/>
        </w:tblCellMar>
      </w:tblPr>
      <w:tblGrid>
        <w:gridCol w:w="8944"/>
      </w:tblGrid>
      <w:tr>
        <w:tblPrEx>
          <w:tblCellMar>
            <w:top w:w="0" w:type="dxa"/>
            <w:left w:w="0" w:type="dxa"/>
            <w:bottom w:w="0" w:type="dxa"/>
            <w:right w:w="0" w:type="dxa"/>
          </w:tblCellMar>
        </w:tblPrEx>
        <w:trPr>
          <w:trHeight w:val="7500" w:hRule="atLeast"/>
          <w:tblCellSpacing w:w="0" w:type="dxa"/>
          <w:jc w:val="center"/>
        </w:trPr>
        <w:tc>
          <w:tcPr>
            <w:tcW w:w="8944" w:type="dxa"/>
            <w:tcMar>
              <w:top w:w="150" w:type="dxa"/>
              <w:left w:w="0" w:type="dxa"/>
              <w:bottom w:w="0" w:type="dxa"/>
              <w:right w:w="0" w:type="dxa"/>
            </w:tcMar>
          </w:tcPr>
          <w:p>
            <w:pPr>
              <w:widowControl/>
              <w:wordWrap w:val="0"/>
              <w:spacing w:line="480" w:lineRule="atLeast"/>
              <w:ind w:firstLine="1620" w:firstLineChars="450"/>
              <w:rPr>
                <w:rFonts w:hint="eastAsia" w:ascii="方正小标宋简体" w:hAnsi="宋体" w:eastAsia="方正小标宋简体" w:cs="宋体"/>
                <w:color w:val="000000" w:themeColor="text1"/>
                <w:kern w:val="0"/>
                <w:sz w:val="36"/>
                <w:szCs w:val="36"/>
                <w14:textFill>
                  <w14:solidFill>
                    <w14:schemeClr w14:val="tx1"/>
                  </w14:solidFill>
                </w14:textFill>
              </w:rPr>
            </w:pPr>
            <w:r>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t>巴中市巴州区白庙乡农业综合服务中心</w:t>
            </w:r>
            <w:r>
              <w:rPr>
                <w:rFonts w:hint="eastAsia" w:ascii="方正小标宋简体" w:hAnsi="宋体" w:eastAsia="方正小标宋简体" w:cs="宋体"/>
                <w:color w:val="000000" w:themeColor="text1"/>
                <w:kern w:val="0"/>
                <w:sz w:val="36"/>
                <w:szCs w:val="36"/>
                <w14:textFill>
                  <w14:solidFill>
                    <w14:schemeClr w14:val="tx1"/>
                  </w14:solidFill>
                </w14:textFill>
              </w:rPr>
              <w:t>　　　</w:t>
            </w:r>
            <w:bookmarkStart w:id="1" w:name="_GoBack"/>
            <w:bookmarkEnd w:id="1"/>
            <w:r>
              <w:rPr>
                <w:rFonts w:hint="eastAsia" w:ascii="方正小标宋简体" w:hAnsi="宋体" w:eastAsia="方正小标宋简体" w:cs="宋体"/>
                <w:color w:val="000000" w:themeColor="text1"/>
                <w:kern w:val="0"/>
                <w:sz w:val="36"/>
                <w:szCs w:val="36"/>
                <w14:textFill>
                  <w14:solidFill>
                    <w14:schemeClr w14:val="tx1"/>
                  </w14:solidFill>
                </w14:textFill>
              </w:rPr>
              <w:t>　　　</w:t>
            </w:r>
            <w:r>
              <w:rPr>
                <w:rFonts w:hint="eastAsia" w:ascii="方正小标宋简体" w:hAnsi="宋体" w:eastAsia="方正小标宋简体" w:cs="宋体"/>
                <w:color w:val="000000" w:themeColor="text1"/>
                <w:kern w:val="0"/>
                <w:sz w:val="36"/>
                <w:szCs w:val="36"/>
                <w:lang w:val="en-US" w:eastAsia="zh-CN"/>
                <w14:textFill>
                  <w14:solidFill>
                    <w14:schemeClr w14:val="tx1"/>
                  </w14:solidFill>
                </w14:textFill>
              </w:rPr>
              <w:t xml:space="preserve">        </w:t>
            </w:r>
            <w:r>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t>2023年</w:t>
            </w:r>
            <w:r>
              <w:rPr>
                <w:rFonts w:hint="eastAsia" w:ascii="方正小标宋简体" w:hAnsi="宋体" w:eastAsia="方正小标宋简体" w:cs="宋体"/>
                <w:color w:val="000000" w:themeColor="text1"/>
                <w:kern w:val="0"/>
                <w:sz w:val="36"/>
                <w:szCs w:val="36"/>
                <w14:textFill>
                  <w14:solidFill>
                    <w14:schemeClr w14:val="tx1"/>
                  </w14:solidFill>
                </w14:textFill>
              </w:rPr>
              <w:t>部门预算编制说明</w:t>
            </w:r>
          </w:p>
          <w:p>
            <w:pPr>
              <w:jc w:val="center"/>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2023年6月13日</w:t>
            </w:r>
          </w:p>
          <w:p>
            <w:pPr>
              <w:jc w:val="center"/>
              <w:rPr>
                <w:rFonts w:hint="eastAsia" w:ascii="仿宋_GB2312" w:hAnsi="宋体" w:eastAsia="仿宋_GB2312" w:cs="宋体"/>
                <w:color w:val="000000" w:themeColor="text1"/>
                <w:kern w:val="0"/>
                <w:sz w:val="28"/>
                <w:szCs w:val="28"/>
                <w:lang w:val="en-US" w:eastAsia="zh-CN"/>
                <w14:textFill>
                  <w14:solidFill>
                    <w14:schemeClr w14:val="tx1"/>
                  </w14:solidFill>
                </w14:textFill>
              </w:rPr>
            </w:pPr>
          </w:p>
          <w:sdt>
            <w:sdtPr>
              <w:rPr>
                <w:rFonts w:hint="eastAsia" w:ascii="方正小标宋_GBK" w:hAnsi="方正小标宋_GBK" w:eastAsia="方正小标宋_GBK" w:cs="方正小标宋_GBK"/>
                <w:sz w:val="44"/>
                <w:szCs w:val="44"/>
              </w:rPr>
              <w:id w:val="147468229"/>
              <w:docPartObj>
                <w:docPartGallery w:val="Table of Contents"/>
                <w:docPartUnique/>
              </w:docPartObj>
            </w:sdtPr>
            <w:sdtEndPr>
              <w:rPr>
                <w:rFonts w:hint="eastAsia" w:ascii="仿宋_GB2312" w:hAnsi="Calibri" w:eastAsia="仿宋_GB2312" w:cs="Times New Roman"/>
                <w:b/>
                <w:sz w:val="21"/>
                <w:szCs w:val="32"/>
              </w:rPr>
            </w:sdtEndPr>
            <w:sdtContent>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目录</w:t>
                </w:r>
              </w:p>
              <w:p>
                <w:pPr>
                  <w:spacing w:line="200" w:lineRule="exact"/>
                  <w:jc w:val="both"/>
                  <w:rPr>
                    <w:rFonts w:ascii="方正小标宋_GBK" w:hAnsi="方正小标宋_GBK" w:eastAsia="方正小标宋_GBK" w:cs="方正小标宋_GBK"/>
                    <w:sz w:val="44"/>
                    <w:szCs w:val="44"/>
                  </w:rPr>
                </w:pPr>
              </w:p>
              <w:p>
                <w:pPr>
                  <w:spacing w:line="200" w:lineRule="exact"/>
                  <w:jc w:val="center"/>
                  <w:rPr>
                    <w:rFonts w:ascii="方正小标宋_GBK" w:hAnsi="方正小标宋_GBK" w:eastAsia="方正小标宋_GBK" w:cs="方正小标宋_GBK"/>
                    <w:sz w:val="44"/>
                    <w:szCs w:val="44"/>
                  </w:rPr>
                </w:pPr>
              </w:p>
              <w:p>
                <w:pPr>
                  <w:pStyle w:val="11"/>
                  <w:tabs>
                    <w:tab w:val="right" w:leader="dot" w:pos="8844"/>
                  </w:tabs>
                  <w:spacing w:line="500" w:lineRule="exact"/>
                  <w:rPr>
                    <w:rFonts w:ascii="方正仿宋_GBK" w:hAnsi="方正仿宋_GBK" w:eastAsia="方正仿宋_GBK" w:cs="方正仿宋_GBK"/>
                    <w:b/>
                    <w:sz w:val="32"/>
                    <w:szCs w:val="32"/>
                  </w:rPr>
                </w:pPr>
                <w:r>
                  <w:rPr>
                    <w:rFonts w:ascii="仿宋_GB2312" w:eastAsia="仿宋_GB2312"/>
                    <w:sz w:val="32"/>
                    <w:szCs w:val="32"/>
                  </w:rPr>
                  <w:fldChar w:fldCharType="begin"/>
                </w:r>
                <w:r>
                  <w:rPr>
                    <w:rFonts w:ascii="仿宋_GB2312" w:eastAsia="仿宋_GB2312"/>
                    <w:sz w:val="32"/>
                    <w:szCs w:val="32"/>
                  </w:rPr>
                  <w:instrText xml:space="preserve">TOC \o "1-2" \h \u </w:instrText>
                </w:r>
                <w:r>
                  <w:rPr>
                    <w:rFonts w:ascii="仿宋_GB2312" w:eastAsia="仿宋_GB2312"/>
                    <w:sz w:val="32"/>
                    <w:szCs w:val="32"/>
                  </w:rPr>
                  <w:fldChar w:fldCharType="separate"/>
                </w:r>
                <w:r>
                  <w:fldChar w:fldCharType="begin"/>
                </w:r>
                <w:r>
                  <w:instrText xml:space="preserve"> HYPERLINK \l "_Toc28627" </w:instrText>
                </w:r>
                <w:r>
                  <w:fldChar w:fldCharType="separate"/>
                </w:r>
                <w:r>
                  <w:rPr>
                    <w:rFonts w:hint="eastAsia" w:ascii="方正仿宋_GBK" w:hAnsi="方正仿宋_GBK" w:eastAsia="方正仿宋_GBK" w:cs="方正仿宋_GBK"/>
                    <w:b/>
                    <w:sz w:val="32"/>
                    <w:szCs w:val="32"/>
                  </w:rPr>
                  <w:t>一、基本职能及主要工作</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_Toc28627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2</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"_Toc22542" </w:instrText>
                </w:r>
                <w:r>
                  <w:fldChar w:fldCharType="separate"/>
                </w:r>
                <w:r>
                  <w:rPr>
                    <w:rFonts w:hint="eastAsia" w:ascii="方正仿宋_GBK" w:hAnsi="方正仿宋_GBK" w:eastAsia="方正仿宋_GBK" w:cs="方正仿宋_GBK"/>
                    <w:bCs/>
                    <w:sz w:val="32"/>
                    <w:szCs w:val="32"/>
                  </w:rPr>
                  <w:t>（一）基本职能</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_Toc22542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2</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"_Toc21031" </w:instrText>
                </w:r>
                <w:r>
                  <w:fldChar w:fldCharType="separate"/>
                </w:r>
                <w:r>
                  <w:rPr>
                    <w:rFonts w:hint="eastAsia" w:ascii="方正仿宋_GBK" w:hAnsi="方正仿宋_GBK" w:eastAsia="方正仿宋_GBK" w:cs="方正仿宋_GBK"/>
                    <w:bCs/>
                    <w:sz w:val="32"/>
                    <w:szCs w:val="32"/>
                  </w:rPr>
                  <w:t>（二）</w:t>
                </w:r>
                <w:r>
                  <w:rPr>
                    <w:rFonts w:hint="eastAsia" w:ascii="方正仿宋_GBK" w:hAnsi="方正仿宋_GBK" w:eastAsia="方正仿宋_GBK" w:cs="方正仿宋_GBK"/>
                    <w:bCs/>
                    <w:sz w:val="32"/>
                    <w:szCs w:val="32"/>
                    <w:lang w:eastAsia="zh-CN"/>
                  </w:rPr>
                  <w:t>白庙乡农业综合服务中心</w:t>
                </w:r>
                <w:r>
                  <w:rPr>
                    <w:rFonts w:hint="eastAsia" w:ascii="Times New Roman" w:hAnsi="Times New Roman" w:eastAsia="方正仿宋_GBK" w:cs="Times New Roman"/>
                    <w:bCs/>
                    <w:sz w:val="32"/>
                    <w:szCs w:val="32"/>
                    <w:lang w:eastAsia="zh-CN"/>
                  </w:rPr>
                  <w:t>2023年</w:t>
                </w:r>
                <w:r>
                  <w:rPr>
                    <w:rFonts w:hint="eastAsia" w:ascii="方正仿宋_GBK" w:hAnsi="方正仿宋_GBK" w:eastAsia="方正仿宋_GBK" w:cs="方正仿宋_GBK"/>
                    <w:bCs/>
                    <w:sz w:val="32"/>
                    <w:szCs w:val="32"/>
                  </w:rPr>
                  <w:t>重点工作</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"_Toc28207" </w:instrText>
                </w:r>
                <w:r>
                  <w:fldChar w:fldCharType="separate"/>
                </w:r>
                <w:r>
                  <w:rPr>
                    <w:rFonts w:hint="eastAsia" w:ascii="方正仿宋_GBK" w:hAnsi="方正仿宋_GBK" w:eastAsia="方正仿宋_GBK" w:cs="方正仿宋_GBK"/>
                    <w:b/>
                    <w:sz w:val="32"/>
                    <w:szCs w:val="32"/>
                  </w:rPr>
                  <w:t>二、部门预算单位构成</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2</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"_Toc21256" </w:instrText>
                </w:r>
                <w:r>
                  <w:fldChar w:fldCharType="separate"/>
                </w:r>
                <w:r>
                  <w:rPr>
                    <w:rFonts w:hint="eastAsia" w:ascii="方正仿宋_GBK" w:hAnsi="方正仿宋_GBK" w:eastAsia="方正仿宋_GBK" w:cs="方正仿宋_GBK"/>
                    <w:b/>
                    <w:sz w:val="32"/>
                    <w:szCs w:val="32"/>
                  </w:rPr>
                  <w:t>三、收支预算情况说明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2</w:t>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"_Toc12766" </w:instrText>
                </w:r>
                <w:r>
                  <w:fldChar w:fldCharType="separate"/>
                </w:r>
                <w:r>
                  <w:rPr>
                    <w:rFonts w:hint="eastAsia" w:ascii="方正仿宋_GBK" w:hAnsi="方正仿宋_GBK" w:eastAsia="方正仿宋_GBK" w:cs="方正仿宋_GBK"/>
                    <w:bCs/>
                    <w:sz w:val="32"/>
                    <w:szCs w:val="32"/>
                  </w:rPr>
                  <w:t>（一）收入预算情况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"_Toc1197" </w:instrText>
                </w:r>
                <w:r>
                  <w:fldChar w:fldCharType="separate"/>
                </w:r>
                <w:r>
                  <w:rPr>
                    <w:rFonts w:hint="eastAsia" w:ascii="方正仿宋_GBK" w:hAnsi="方正仿宋_GBK" w:eastAsia="方正仿宋_GBK" w:cs="方正仿宋_GBK"/>
                    <w:bCs/>
                    <w:sz w:val="32"/>
                    <w:szCs w:val="32"/>
                  </w:rPr>
                  <w:t>（二）支出预算情况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"_Toc14328" </w:instrText>
                </w:r>
                <w:r>
                  <w:fldChar w:fldCharType="separate"/>
                </w:r>
                <w:r>
                  <w:rPr>
                    <w:rFonts w:hint="eastAsia" w:ascii="方正仿宋_GBK" w:hAnsi="方正仿宋_GBK" w:eastAsia="方正仿宋_GBK" w:cs="方正仿宋_GBK"/>
                    <w:b/>
                    <w:sz w:val="32"/>
                    <w:szCs w:val="32"/>
                  </w:rPr>
                  <w:t>四、财政拨款收支预算情况说明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3</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"_Toc28129" </w:instrText>
                </w:r>
                <w:r>
                  <w:fldChar w:fldCharType="separate"/>
                </w:r>
                <w:r>
                  <w:rPr>
                    <w:rFonts w:hint="eastAsia" w:ascii="方正仿宋_GBK" w:hAnsi="方正仿宋_GBK" w:eastAsia="方正仿宋_GBK" w:cs="方正仿宋_GBK"/>
                    <w:b/>
                    <w:sz w:val="32"/>
                    <w:szCs w:val="32"/>
                  </w:rPr>
                  <w:t>五、一般公共预算当年拨款情况说明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3</w:t>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"_Toc9214" </w:instrText>
                </w:r>
                <w:r>
                  <w:fldChar w:fldCharType="separate"/>
                </w:r>
                <w:r>
                  <w:rPr>
                    <w:rFonts w:hint="eastAsia" w:ascii="方正仿宋_GBK" w:hAnsi="方正仿宋_GBK" w:eastAsia="方正仿宋_GBK" w:cs="方正仿宋_GBK"/>
                    <w:bCs/>
                    <w:sz w:val="32"/>
                    <w:szCs w:val="32"/>
                  </w:rPr>
                  <w:t>（一）一般公共预算当年拨款规模变化情况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"_Toc25743" </w:instrText>
                </w:r>
                <w:r>
                  <w:fldChar w:fldCharType="separate"/>
                </w:r>
                <w:r>
                  <w:rPr>
                    <w:rFonts w:hint="eastAsia" w:ascii="方正仿宋_GBK" w:hAnsi="方正仿宋_GBK" w:eastAsia="方正仿宋_GBK" w:cs="方正仿宋_GBK"/>
                    <w:bCs/>
                    <w:sz w:val="32"/>
                    <w:szCs w:val="32"/>
                  </w:rPr>
                  <w:t>（二）一般公共预算当年拨款结构情况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"_Toc31441" </w:instrText>
                </w:r>
                <w:r>
                  <w:fldChar w:fldCharType="separate"/>
                </w:r>
                <w:r>
                  <w:rPr>
                    <w:rFonts w:hint="eastAsia" w:ascii="方正仿宋_GBK" w:hAnsi="方正仿宋_GBK" w:eastAsia="方正仿宋_GBK" w:cs="方正仿宋_GBK"/>
                    <w:bCs/>
                    <w:sz w:val="32"/>
                    <w:szCs w:val="32"/>
                  </w:rPr>
                  <w:t>（三）一般公共预算当年拨款具体使用情况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"_Toc28184" </w:instrText>
                </w:r>
                <w:r>
                  <w:fldChar w:fldCharType="separate"/>
                </w:r>
                <w:r>
                  <w:rPr>
                    <w:rFonts w:hint="eastAsia" w:ascii="方正仿宋_GBK" w:hAnsi="方正仿宋_GBK" w:eastAsia="方正仿宋_GBK" w:cs="方正仿宋_GBK"/>
                    <w:b/>
                    <w:sz w:val="32"/>
                    <w:szCs w:val="32"/>
                  </w:rPr>
                  <w:t>六、一般公共预算基本支出情况说明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4</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"_Toc30800" </w:instrText>
                </w:r>
                <w:r>
                  <w:fldChar w:fldCharType="separate"/>
                </w:r>
                <w:r>
                  <w:rPr>
                    <w:rFonts w:hint="eastAsia" w:ascii="方正仿宋_GBK" w:hAnsi="方正仿宋_GBK" w:eastAsia="方正仿宋_GBK" w:cs="方正仿宋_GBK"/>
                    <w:b/>
                    <w:sz w:val="32"/>
                    <w:szCs w:val="32"/>
                  </w:rPr>
                  <w:t>七、“三公”经费财政拨款预算安排情况说明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"_Toc23283" </w:instrText>
                </w:r>
                <w:r>
                  <w:fldChar w:fldCharType="separate"/>
                </w:r>
                <w:r>
                  <w:rPr>
                    <w:rFonts w:hint="eastAsia" w:ascii="方正仿宋_GBK" w:hAnsi="方正仿宋_GBK" w:eastAsia="方正仿宋_GBK" w:cs="方正仿宋_GBK"/>
                    <w:b/>
                    <w:sz w:val="32"/>
                    <w:szCs w:val="32"/>
                  </w:rPr>
                  <w:t>八、政府性基金预算支出情况说明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"_Toc26330" </w:instrText>
                </w:r>
                <w:r>
                  <w:fldChar w:fldCharType="separate"/>
                </w:r>
                <w:r>
                  <w:rPr>
                    <w:rFonts w:hint="eastAsia" w:ascii="方正仿宋_GBK" w:hAnsi="方正仿宋_GBK" w:eastAsia="方正仿宋_GBK" w:cs="方正仿宋_GBK"/>
                    <w:b/>
                    <w:sz w:val="32"/>
                    <w:szCs w:val="32"/>
                  </w:rPr>
                  <w:t>九、其他重要事项的情况说明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0" w:leftChars="0" w:firstLine="400" w:firstLineChars="200"/>
                  <w:rPr>
                    <w:rFonts w:ascii="方正仿宋_GBK" w:hAnsi="方正仿宋_GBK" w:eastAsia="方正仿宋_GBK" w:cs="方正仿宋_GBK"/>
                    <w:sz w:val="32"/>
                    <w:szCs w:val="32"/>
                  </w:rPr>
                </w:pPr>
                <w:r>
                  <w:fldChar w:fldCharType="begin"/>
                </w:r>
                <w:r>
                  <w:instrText xml:space="preserve"> HYPERLINK \l "_Toc12300" </w:instrText>
                </w:r>
                <w:r>
                  <w:fldChar w:fldCharType="separate"/>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一</w:t>
                </w:r>
                <w:r>
                  <w:rPr>
                    <w:rFonts w:hint="eastAsia" w:ascii="方正仿宋_GBK" w:hAnsi="方正仿宋_GBK" w:eastAsia="方正仿宋_GBK" w:cs="方正仿宋_GBK"/>
                    <w:bCs/>
                    <w:sz w:val="32"/>
                    <w:szCs w:val="32"/>
                  </w:rPr>
                  <w:t>）政府采购情况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"_Toc19457" </w:instrText>
                </w:r>
                <w:r>
                  <w:fldChar w:fldCharType="separate"/>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二</w:t>
                </w:r>
                <w:r>
                  <w:rPr>
                    <w:rFonts w:hint="eastAsia" w:ascii="方正仿宋_GBK" w:hAnsi="方正仿宋_GBK" w:eastAsia="方正仿宋_GBK" w:cs="方正仿宋_GBK"/>
                    <w:bCs/>
                    <w:sz w:val="32"/>
                    <w:szCs w:val="32"/>
                  </w:rPr>
                  <w:t>）国有资产占有使用情况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b/>
                  </w:rPr>
                </w:pPr>
                <w:r>
                  <w:fldChar w:fldCharType="begin"/>
                </w:r>
                <w:r>
                  <w:instrText xml:space="preserve"> HYPERLINK \l "_Toc30601" </w:instrText>
                </w:r>
                <w:r>
                  <w:fldChar w:fldCharType="separate"/>
                </w:r>
                <w:r>
                  <w:rPr>
                    <w:rFonts w:hint="eastAsia" w:ascii="方正仿宋_GBK" w:hAnsi="方正仿宋_GBK" w:eastAsia="方正仿宋_GBK" w:cs="方正仿宋_GBK"/>
                    <w:b/>
                    <w:sz w:val="32"/>
                    <w:szCs w:val="32"/>
                  </w:rPr>
                  <w:t>十、名词解释</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widowControl/>
                  <w:wordWrap w:val="0"/>
                  <w:spacing w:line="480" w:lineRule="atLeast"/>
                  <w:ind w:firstLine="2424" w:firstLineChars="1150"/>
                  <w:rPr>
                    <w:rFonts w:hint="eastAsia" w:ascii="仿宋_GB2312" w:hAnsi="Calibri" w:eastAsia="仿宋_GB2312" w:cs="Times New Roman"/>
                    <w:b/>
                    <w:sz w:val="21"/>
                    <w:szCs w:val="32"/>
                  </w:rPr>
                </w:pPr>
                <w:r>
                  <w:rPr>
                    <w:rFonts w:ascii="仿宋_GB2312" w:eastAsia="仿宋_GB2312"/>
                    <w:b/>
                    <w:szCs w:val="32"/>
                  </w:rPr>
                  <w:fldChar w:fldCharType="end"/>
                </w:r>
              </w:p>
            </w:sdtContent>
          </w:sdt>
          <w:p>
            <w:pPr>
              <w:widowControl/>
              <w:wordWrap w:val="0"/>
              <w:spacing w:line="480" w:lineRule="atLeast"/>
              <w:ind w:firstLine="3220" w:firstLineChars="1150"/>
              <w:rPr>
                <w:rFonts w:hint="eastAsia" w:ascii="黑体" w:hAnsi="黑体" w:eastAsia="黑体" w:cs="宋体"/>
                <w:color w:val="000000" w:themeColor="text1"/>
                <w:kern w:val="0"/>
                <w:sz w:val="28"/>
                <w:szCs w:val="28"/>
                <w:lang w:eastAsia="zh-CN"/>
                <w14:textFill>
                  <w14:solidFill>
                    <w14:schemeClr w14:val="tx1"/>
                  </w14:solidFill>
                </w14:textFill>
              </w:rPr>
            </w:pPr>
          </w:p>
          <w:p>
            <w:pPr>
              <w:widowControl/>
              <w:wordWrap w:val="0"/>
              <w:spacing w:line="480" w:lineRule="atLeast"/>
              <w:ind w:firstLine="3220" w:firstLineChars="115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　　一、基本职能及主要工作</w:t>
            </w:r>
          </w:p>
          <w:p>
            <w:pPr>
              <w:widowControl/>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（一）</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楷体_GB2312" w:hAnsi="宋体" w:eastAsia="楷体_GB2312" w:cs="宋体"/>
                <w:color w:val="000000" w:themeColor="text1"/>
                <w:kern w:val="0"/>
                <w:sz w:val="28"/>
                <w:szCs w:val="28"/>
                <w14:textFill>
                  <w14:solidFill>
                    <w14:schemeClr w14:val="tx1"/>
                  </w14:solidFill>
                </w14:textFill>
              </w:rPr>
              <w:t>职能简介</w:t>
            </w:r>
          </w:p>
          <w:p>
            <w:pPr>
              <w:widowControl/>
              <w:wordWrap w:val="0"/>
              <w:spacing w:line="480" w:lineRule="atLeast"/>
              <w:ind w:firstLine="840" w:firstLineChars="300"/>
              <w:rPr>
                <w:rFonts w:hint="eastAsia" w:ascii="仿宋_GB2312" w:hAnsi="仿宋" w:eastAsia="仿宋_GB2312"/>
                <w:sz w:val="32"/>
                <w:szCs w:val="32"/>
                <w:lang w:val="en-US" w:eastAsia="zh-CN"/>
              </w:rPr>
            </w:pPr>
            <w:r>
              <w:rPr>
                <w:rFonts w:hint="eastAsia" w:ascii="仿宋_GB2312" w:hAnsi="宋体" w:eastAsia="仿宋_GB2312" w:cs="宋体"/>
                <w:color w:val="000000" w:themeColor="text1"/>
                <w:kern w:val="0"/>
                <w:sz w:val="28"/>
                <w:szCs w:val="28"/>
                <w14:textFill>
                  <w14:solidFill>
                    <w14:schemeClr w14:val="tx1"/>
                  </w14:solidFill>
                </w14:textFill>
              </w:rPr>
              <w:t xml:space="preserve">1. </w:t>
            </w:r>
            <w:r>
              <w:rPr>
                <w:rFonts w:hint="eastAsia" w:ascii="仿宋_GB2312" w:hAnsi="仿宋" w:eastAsia="仿宋_GB2312"/>
                <w:sz w:val="32"/>
                <w:szCs w:val="32"/>
                <w:lang w:val="en-US" w:eastAsia="zh-CN"/>
              </w:rPr>
              <w:t>负责农村产业发展的技术支撑、保障服务工作</w:t>
            </w:r>
          </w:p>
          <w:p>
            <w:pPr>
              <w:widowControl/>
              <w:wordWrap w:val="0"/>
              <w:spacing w:line="480" w:lineRule="atLeast"/>
              <w:ind w:firstLine="840" w:firstLineChars="3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2. </w:t>
            </w:r>
            <w:r>
              <w:rPr>
                <w:rFonts w:hint="eastAsia" w:ascii="仿宋_GB2312" w:hAnsi="宋体" w:eastAsia="仿宋_GB2312" w:cs="宋体"/>
                <w:color w:val="000000" w:themeColor="text1"/>
                <w:kern w:val="0"/>
                <w:sz w:val="28"/>
                <w:szCs w:val="28"/>
                <w:lang w:eastAsia="zh-CN"/>
                <w14:textFill>
                  <w14:solidFill>
                    <w14:schemeClr w14:val="tx1"/>
                  </w14:solidFill>
                </w14:textFill>
              </w:rPr>
              <w:t>抓好畜牧业发展，做好技术指导；</w:t>
            </w:r>
          </w:p>
          <w:p>
            <w:pPr>
              <w:widowControl/>
              <w:wordWrap w:val="0"/>
              <w:spacing w:line="480" w:lineRule="atLeast"/>
              <w:ind w:firstLine="840" w:firstLineChars="3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3. </w:t>
            </w:r>
            <w:r>
              <w:rPr>
                <w:rFonts w:hint="eastAsia" w:ascii="仿宋_GB2312" w:hAnsi="宋体" w:eastAsia="仿宋_GB2312" w:cs="宋体"/>
                <w:color w:val="000000" w:themeColor="text1"/>
                <w:kern w:val="0"/>
                <w:sz w:val="28"/>
                <w:szCs w:val="28"/>
                <w:lang w:eastAsia="zh-CN"/>
                <w14:textFill>
                  <w14:solidFill>
                    <w14:schemeClr w14:val="tx1"/>
                  </w14:solidFill>
                </w14:textFill>
              </w:rPr>
              <w:t>抓好农技工作，对全镇的农业合作社，家庭农场进行技术指导；</w:t>
            </w:r>
          </w:p>
          <w:p>
            <w:pPr>
              <w:widowControl/>
              <w:wordWrap w:val="0"/>
              <w:spacing w:line="480" w:lineRule="atLeast"/>
              <w:ind w:firstLine="840" w:firstLineChars="3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4. </w:t>
            </w:r>
            <w:r>
              <w:rPr>
                <w:rFonts w:hint="eastAsia" w:ascii="仿宋_GB2312" w:hAnsi="宋体" w:eastAsia="仿宋_GB2312" w:cs="宋体"/>
                <w:color w:val="000000" w:themeColor="text1"/>
                <w:kern w:val="0"/>
                <w:sz w:val="28"/>
                <w:szCs w:val="28"/>
                <w:lang w:eastAsia="zh-CN"/>
                <w14:textFill>
                  <w14:solidFill>
                    <w14:schemeClr w14:val="tx1"/>
                  </w14:solidFill>
                </w14:textFill>
              </w:rPr>
              <w:t>负责水利工作。</w:t>
            </w:r>
          </w:p>
          <w:p>
            <w:pPr>
              <w:widowControl/>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（二）</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楷体_GB2312" w:hAnsi="宋体" w:eastAsia="楷体_GB2312" w:cs="宋体"/>
                <w:color w:val="000000" w:themeColor="text1"/>
                <w:kern w:val="0"/>
                <w:sz w:val="28"/>
                <w:szCs w:val="28"/>
                <w:lang w:eastAsia="zh-CN"/>
                <w14:textFill>
                  <w14:solidFill>
                    <w14:schemeClr w14:val="tx1"/>
                  </w14:solidFill>
                </w14:textFill>
              </w:rPr>
              <w:t>2023年</w:t>
            </w:r>
            <w:r>
              <w:rPr>
                <w:rFonts w:hint="eastAsia" w:ascii="楷体_GB2312" w:hAnsi="宋体" w:eastAsia="楷体_GB2312" w:cs="宋体"/>
                <w:color w:val="000000" w:themeColor="text1"/>
                <w:kern w:val="0"/>
                <w:sz w:val="28"/>
                <w:szCs w:val="28"/>
                <w14:textFill>
                  <w14:solidFill>
                    <w14:schemeClr w14:val="tx1"/>
                  </w14:solidFill>
                </w14:textFill>
              </w:rPr>
              <w:t>重点工作</w:t>
            </w:r>
          </w:p>
          <w:p>
            <w:pPr>
              <w:widowControl/>
              <w:wordWrap w:val="0"/>
              <w:spacing w:line="480" w:lineRule="atLeast"/>
              <w:ind w:firstLine="562"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1.</w:t>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eastAsia="zh-CN"/>
                <w14:textFill>
                  <w14:solidFill>
                    <w14:schemeClr w14:val="tx1"/>
                  </w14:solidFill>
                </w14:textFill>
              </w:rPr>
              <w:t>抓好农村产业的发展，做</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 w:val="28"/>
                <w:szCs w:val="28"/>
                <w:lang w:eastAsia="zh-CN"/>
                <w14:textFill>
                  <w14:solidFill>
                    <w14:schemeClr w14:val="tx1"/>
                  </w14:solidFill>
                </w14:textFill>
              </w:rPr>
              <w:t>好中药材栽植及管理的技术指导</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 xml:space="preserve">       </w:t>
            </w: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2.</w:t>
            </w:r>
            <w:r>
              <w:rPr>
                <w:rFonts w:hint="eastAsia" w:ascii="仿宋_GB2312" w:hAnsi="宋体" w:eastAsia="仿宋_GB2312" w:cs="宋体"/>
                <w:b/>
                <w:bCs/>
                <w:color w:val="000000" w:themeColor="text1"/>
                <w:kern w:val="0"/>
                <w:sz w:val="28"/>
                <w:szCs w:val="28"/>
                <w:lang w:eastAsia="zh-CN"/>
                <w14:textFill>
                  <w14:solidFill>
                    <w14:schemeClr w14:val="tx1"/>
                  </w14:solidFill>
                </w14:textFill>
              </w:rPr>
              <w:t>抓好畜牧业发展重点以生猪监测点为补栏重点稳产保量，强化疫情监管，搞好春秋两季动物疫苗注射</w:t>
            </w:r>
            <w:r>
              <w:rPr>
                <w:rFonts w:hint="eastAsia" w:ascii="仿宋_GB2312" w:hAnsi="宋体" w:eastAsia="仿宋_GB2312" w:cs="宋体"/>
                <w:color w:val="000000" w:themeColor="text1"/>
                <w:kern w:val="0"/>
                <w:sz w:val="28"/>
                <w:szCs w:val="28"/>
                <w14:textFill>
                  <w14:solidFill>
                    <w14:schemeClr w14:val="tx1"/>
                  </w14:solidFill>
                </w14:textFill>
              </w:rPr>
              <w:t xml:space="preserve"> ；</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水利工作建立巡河制度，制定管理保护方案</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加强农村饮水安全工程大排查</w:t>
            </w:r>
            <w:r>
              <w:rPr>
                <w:rFonts w:hint="eastAsia" w:ascii="仿宋_GB2312" w:hAnsi="宋体" w:eastAsia="仿宋_GB2312" w:cs="宋体"/>
                <w:color w:val="000000" w:themeColor="text1"/>
                <w:kern w:val="0"/>
                <w:sz w:val="28"/>
                <w:szCs w:val="28"/>
                <w14:textFill>
                  <w14:solidFill>
                    <w14:schemeClr w14:val="tx1"/>
                  </w14:solidFill>
                </w14:textFill>
              </w:rPr>
              <w:t xml:space="preserve"> 。</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二、部门预算单位构成</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14:textFill>
                  <w14:solidFill>
                    <w14:schemeClr w14:val="tx1"/>
                  </w14:solidFill>
                </w14:textFill>
              </w:rPr>
              <w:t>下属二级预算单位</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个，其中行政单位</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个，参照公务员法管理的事业单位</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个，其他事业单位</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个。主要包括：。</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三、收支预算情况说明</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按照综合预算的原则，</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14:textFill>
                  <w14:solidFill>
                    <w14:schemeClr w14:val="tx1"/>
                  </w14:solidFill>
                </w14:textFill>
              </w:rPr>
              <w:t>所有收入和支出均纳入部门预算管理。收入包括：一般公共预算拨款收入、上年结转；支出包括：（一般公共服务支出、教育支出）、社会保障和就业支出、医疗卫生与计划生育支出、住房保障支出。</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297.8</w:t>
            </w:r>
            <w:r>
              <w:rPr>
                <w:rFonts w:hint="eastAsia" w:ascii="仿宋_GB2312" w:hAnsi="宋体" w:eastAsia="仿宋_GB2312" w:cs="宋体"/>
                <w:color w:val="000000" w:themeColor="text1"/>
                <w:kern w:val="0"/>
                <w:sz w:val="28"/>
                <w:szCs w:val="28"/>
                <w14:textFill>
                  <w14:solidFill>
                    <w14:schemeClr w14:val="tx1"/>
                  </w14:solidFill>
                </w14:textFill>
              </w:rPr>
              <w:t>万元。</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（一）收入预算情况</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收入预算</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126.10</w:t>
            </w:r>
            <w:r>
              <w:rPr>
                <w:rFonts w:hint="eastAsia" w:ascii="仿宋_GB2312" w:hAnsi="宋体" w:eastAsia="仿宋_GB2312" w:cs="宋体"/>
                <w:color w:val="000000" w:themeColor="text1"/>
                <w:kern w:val="0"/>
                <w:sz w:val="28"/>
                <w:szCs w:val="28"/>
                <w14:textFill>
                  <w14:solidFill>
                    <w14:schemeClr w14:val="tx1"/>
                  </w14:solidFill>
                </w14:textFill>
              </w:rPr>
              <w:t>万元，其中：一般公共预算拨款收入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126.10</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numPr>
                <w:ilvl w:val="0"/>
                <w:numId w:val="0"/>
              </w:numPr>
              <w:wordWrap w:val="0"/>
              <w:spacing w:line="480" w:lineRule="atLeas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 xml:space="preserve">  </w:t>
            </w:r>
            <w:r>
              <w:rPr>
                <w:rFonts w:hint="eastAsia" w:ascii="楷体_GB2312" w:hAnsi="宋体" w:eastAsia="楷体_GB2312" w:cs="宋体"/>
                <w:color w:val="000000" w:themeColor="text1"/>
                <w:kern w:val="0"/>
                <w:sz w:val="28"/>
                <w:szCs w:val="28"/>
                <w14:textFill>
                  <w14:solidFill>
                    <w14:schemeClr w14:val="tx1"/>
                  </w14:solidFill>
                </w14:textFill>
              </w:rPr>
              <w:t>（二）支出预算情况</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支出预算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126.10</w:t>
            </w:r>
            <w:r>
              <w:rPr>
                <w:rFonts w:hint="eastAsia" w:ascii="仿宋_GB2312" w:hAnsi="宋体" w:eastAsia="仿宋_GB2312" w:cs="宋体"/>
                <w:color w:val="000000" w:themeColor="text1"/>
                <w:kern w:val="0"/>
                <w:sz w:val="28"/>
                <w:szCs w:val="28"/>
                <w14:textFill>
                  <w14:solidFill>
                    <w14:schemeClr w14:val="tx1"/>
                  </w14:solidFill>
                </w14:textFill>
              </w:rPr>
              <w:t>万元，其中：基本支出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126.10</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%；项目支出</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四、财政拨款收支预算情况说明</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财政拨款收支总预算</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126.10</w:t>
            </w:r>
            <w:r>
              <w:rPr>
                <w:rFonts w:hint="eastAsia" w:ascii="仿宋_GB2312" w:hAnsi="宋体" w:eastAsia="仿宋_GB2312" w:cs="宋体"/>
                <w:color w:val="000000" w:themeColor="text1"/>
                <w:kern w:val="0"/>
                <w:sz w:val="28"/>
                <w:szCs w:val="28"/>
                <w14:textFill>
                  <w14:solidFill>
                    <w14:schemeClr w14:val="tx1"/>
                  </w14:solidFill>
                </w14:textFill>
              </w:rPr>
              <w:t>万元。收入包括：本年一般公共预算拨款收入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126.10</w:t>
            </w:r>
            <w:r>
              <w:rPr>
                <w:rFonts w:hint="eastAsia" w:ascii="仿宋_GB2312" w:hAnsi="宋体" w:eastAsia="仿宋_GB2312" w:cs="宋体"/>
                <w:color w:val="000000" w:themeColor="text1"/>
                <w:kern w:val="0"/>
                <w:sz w:val="28"/>
                <w:szCs w:val="28"/>
                <w14:textFill>
                  <w14:solidFill>
                    <w14:schemeClr w14:val="tx1"/>
                  </w14:solidFill>
                </w14:textFill>
              </w:rPr>
              <w:t>万元；支出包括：（一般公共服务支出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万元、教育支出</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、农林水支出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98.36万元</w:t>
            </w:r>
            <w:r>
              <w:rPr>
                <w:rFonts w:hint="eastAsia" w:ascii="仿宋_GB2312" w:hAnsi="宋体" w:eastAsia="仿宋_GB2312" w:cs="宋体"/>
                <w:color w:val="000000" w:themeColor="text1"/>
                <w:kern w:val="0"/>
                <w:sz w:val="28"/>
                <w:szCs w:val="28"/>
                <w14:textFill>
                  <w14:solidFill>
                    <w14:schemeClr w14:val="tx1"/>
                  </w14:solidFill>
                </w14:textFill>
              </w:rPr>
              <w:t>）、社会保障和就业支出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11.97</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卫生健康</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5.57</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万元、住房保障支出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10.20</w:t>
            </w:r>
            <w:r>
              <w:rPr>
                <w:rFonts w:hint="eastAsia" w:ascii="仿宋_GB2312" w:hAnsi="宋体" w:eastAsia="仿宋_GB2312" w:cs="宋体"/>
                <w:color w:val="000000" w:themeColor="text1"/>
                <w:kern w:val="0"/>
                <w:sz w:val="28"/>
                <w:szCs w:val="28"/>
                <w14:textFill>
                  <w14:solidFill>
                    <w14:schemeClr w14:val="tx1"/>
                  </w14:solidFill>
                </w14:textFill>
              </w:rPr>
              <w:t>万元。</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五、一般公共预算当年拨款情况说明</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　（一）一般公共预算当年拨款规模变化情况</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一般公共预算当年拨款</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126.10</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（二）一般公共预算当年拨款结构情况</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农林水支出</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98.36</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占比</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78</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医疗卫生</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5.57</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eastAsia="zh-CN"/>
                <w14:textFill>
                  <w14:solidFill>
                    <w14:schemeClr w14:val="tx1"/>
                  </w14:solidFill>
                </w14:textFill>
              </w:rPr>
              <w:t>比</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4.42</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基本养老保险缴费</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11.97</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9.5</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，住房改革支出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10.20万元，占8.08%</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（三）一般公共预算当年拨款具体使用情况</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b/>
                <w:bCs/>
                <w:color w:val="000000" w:themeColor="text1"/>
                <w:kern w:val="0"/>
                <w:sz w:val="28"/>
                <w:szCs w:val="28"/>
                <w14:textFill>
                  <w14:solidFill>
                    <w14:schemeClr w14:val="tx1"/>
                  </w14:solidFill>
                </w14:textFill>
              </w:rPr>
              <w:t>1.</w:t>
            </w:r>
            <w:r>
              <w:rPr>
                <w:rFonts w:ascii="方正小标宋简体" w:hAnsi="宋体" w:eastAsia="方正小标宋简体" w:cs="宋体"/>
                <w:color w:val="000000" w:themeColor="text1"/>
                <w:kern w:val="0"/>
                <w:sz w:val="36"/>
                <w:szCs w:val="36"/>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农林水支出</w:t>
            </w:r>
            <w:r>
              <w:rPr>
                <w:rFonts w:hint="eastAsia" w:ascii="仿宋_GB2312" w:hAnsi="宋体" w:eastAsia="仿宋_GB2312" w:cs="宋体"/>
                <w:b/>
                <w:bCs/>
                <w:color w:val="000000" w:themeColor="text1"/>
                <w:kern w:val="0"/>
                <w:sz w:val="28"/>
                <w:szCs w:val="28"/>
                <w14:textFill>
                  <w14:solidFill>
                    <w14:schemeClr w14:val="tx1"/>
                  </w14:solidFill>
                </w14:textFill>
              </w:rPr>
              <w:t>（类）</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农业农村</w:t>
            </w:r>
            <w:r>
              <w:rPr>
                <w:rFonts w:hint="eastAsia" w:ascii="仿宋_GB2312" w:hAnsi="宋体" w:eastAsia="仿宋_GB2312" w:cs="宋体"/>
                <w:b/>
                <w:bCs/>
                <w:color w:val="000000" w:themeColor="text1"/>
                <w:kern w:val="0"/>
                <w:sz w:val="28"/>
                <w:szCs w:val="28"/>
                <w14:textFill>
                  <w14:solidFill>
                    <w14:schemeClr w14:val="tx1"/>
                  </w14:solidFill>
                </w14:textFill>
              </w:rPr>
              <w:t>（款）</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事业运行</w:t>
            </w:r>
            <w:r>
              <w:rPr>
                <w:rFonts w:hint="eastAsia" w:ascii="仿宋_GB2312" w:hAnsi="宋体" w:eastAsia="仿宋_GB2312" w:cs="宋体"/>
                <w:b/>
                <w:bCs/>
                <w:color w:val="000000" w:themeColor="text1"/>
                <w:kern w:val="0"/>
                <w:sz w:val="28"/>
                <w:szCs w:val="28"/>
                <w14:textFill>
                  <w14:solidFill>
                    <w14:schemeClr w14:val="tx1"/>
                  </w14:solidFill>
                </w14:textFill>
              </w:rPr>
              <w:t>（项）: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126.10</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农林水支出</w:t>
            </w:r>
            <w:r>
              <w:rPr>
                <w:rFonts w:hint="eastAsia" w:ascii="仿宋_GB2312" w:hAnsi="宋体" w:eastAsia="仿宋_GB2312" w:cs="宋体"/>
                <w:b/>
                <w:bCs/>
                <w:color w:val="000000" w:themeColor="text1"/>
                <w:kern w:val="0"/>
                <w:sz w:val="28"/>
                <w:szCs w:val="28"/>
                <w14:textFill>
                  <w14:solidFill>
                    <w14:schemeClr w14:val="tx1"/>
                  </w14:solidFill>
                </w14:textFill>
              </w:rPr>
              <w:t>（类）</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林业和草原</w:t>
            </w:r>
            <w:r>
              <w:rPr>
                <w:rFonts w:hint="eastAsia" w:ascii="仿宋_GB2312" w:hAnsi="宋体" w:eastAsia="仿宋_GB2312" w:cs="宋体"/>
                <w:b/>
                <w:bCs/>
                <w:color w:val="000000" w:themeColor="text1"/>
                <w:kern w:val="0"/>
                <w:sz w:val="28"/>
                <w:szCs w:val="28"/>
                <w14:textFill>
                  <w14:solidFill>
                    <w14:schemeClr w14:val="tx1"/>
                  </w14:solidFill>
                </w14:textFill>
              </w:rPr>
              <w:t>（款）</w:t>
            </w:r>
            <w:r>
              <w:rPr>
                <w:rFonts w:hint="eastAsia" w:ascii="方正小标宋简体" w:hAnsi="宋体" w:eastAsia="方正小标宋简体" w:cs="宋体"/>
                <w:color w:val="000000" w:themeColor="text1"/>
                <w:kern w:val="0"/>
                <w:sz w:val="24"/>
                <w:szCs w:val="24"/>
                <w:lang w:eastAsia="zh-CN"/>
                <w14:textFill>
                  <w14:solidFill>
                    <w14:schemeClr w14:val="tx1"/>
                  </w14:solidFill>
                </w14:textFill>
              </w:rPr>
              <w:t>事业机构</w:t>
            </w:r>
            <w:r>
              <w:rPr>
                <w:rFonts w:hint="eastAsia" w:ascii="仿宋_GB2312" w:hAnsi="宋体" w:eastAsia="仿宋_GB2312" w:cs="宋体"/>
                <w:b/>
                <w:bCs/>
                <w:color w:val="000000" w:themeColor="text1"/>
                <w:kern w:val="0"/>
                <w:sz w:val="28"/>
                <w:szCs w:val="28"/>
                <w14:textFill>
                  <w14:solidFill>
                    <w14:schemeClr w14:val="tx1"/>
                  </w14:solidFill>
                </w14:textFill>
              </w:rPr>
              <w:t>（项）: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农林水支出</w:t>
            </w:r>
            <w:r>
              <w:rPr>
                <w:rFonts w:hint="eastAsia" w:ascii="仿宋_GB2312" w:hAnsi="宋体" w:eastAsia="仿宋_GB2312" w:cs="宋体"/>
                <w:b/>
                <w:bCs/>
                <w:color w:val="000000" w:themeColor="text1"/>
                <w:kern w:val="0"/>
                <w:sz w:val="28"/>
                <w:szCs w:val="28"/>
                <w14:textFill>
                  <w14:solidFill>
                    <w14:schemeClr w14:val="tx1"/>
                  </w14:solidFill>
                </w14:textFill>
              </w:rPr>
              <w:t>（类）</w:t>
            </w:r>
            <w:r>
              <w:rPr>
                <w:rFonts w:hint="eastAsia" w:ascii="仿宋_GB2312" w:hAnsi="宋体" w:eastAsia="仿宋_GB2312" w:cs="宋体"/>
                <w:b/>
                <w:bCs/>
                <w:color w:val="000000" w:themeColor="text1"/>
                <w:kern w:val="0"/>
                <w:sz w:val="28"/>
                <w:szCs w:val="28"/>
                <w:lang w:eastAsia="zh-CN"/>
                <w14:textFill>
                  <w14:solidFill>
                    <w14:schemeClr w14:val="tx1"/>
                  </w14:solidFill>
                </w14:textFill>
              </w:rPr>
              <w:t>水利</w:t>
            </w:r>
            <w:r>
              <w:rPr>
                <w:rFonts w:hint="eastAsia" w:ascii="仿宋_GB2312" w:hAnsi="宋体" w:eastAsia="仿宋_GB2312" w:cs="宋体"/>
                <w:b/>
                <w:bCs/>
                <w:color w:val="000000" w:themeColor="text1"/>
                <w:kern w:val="0"/>
                <w:sz w:val="28"/>
                <w:szCs w:val="28"/>
                <w14:textFill>
                  <w14:solidFill>
                    <w14:schemeClr w14:val="tx1"/>
                  </w14:solidFill>
                </w14:textFill>
              </w:rPr>
              <w:t>（款）</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水利技术推广</w:t>
            </w:r>
            <w:r>
              <w:rPr>
                <w:rFonts w:hint="eastAsia" w:ascii="仿宋_GB2312" w:hAnsi="宋体" w:eastAsia="仿宋_GB2312" w:cs="宋体"/>
                <w:b/>
                <w:bCs/>
                <w:color w:val="000000" w:themeColor="text1"/>
                <w:kern w:val="0"/>
                <w:sz w:val="28"/>
                <w:szCs w:val="28"/>
                <w14:textFill>
                  <w14:solidFill>
                    <w14:schemeClr w14:val="tx1"/>
                  </w14:solidFill>
                </w14:textFill>
              </w:rPr>
              <w:t>（项）: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万元主要用于：机关及所属单位正常运转的基本支出，包括基本工资、津贴补贴等人员经费以及办公费、印刷费、水电费等日常公用经费。</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2</w:t>
            </w:r>
            <w:r>
              <w:rPr>
                <w:rFonts w:hint="eastAsia" w:ascii="仿宋_GB2312" w:hAnsi="宋体" w:eastAsia="仿宋_GB2312" w:cs="宋体"/>
                <w:b/>
                <w:bCs/>
                <w:color w:val="000000" w:themeColor="text1"/>
                <w:kern w:val="0"/>
                <w:sz w:val="28"/>
                <w:szCs w:val="28"/>
                <w14:textFill>
                  <w14:solidFill>
                    <w14:schemeClr w14:val="tx1"/>
                  </w14:solidFill>
                </w14:textFill>
              </w:rPr>
              <w:t>.社会保障和就业（类）行政事业单位离退休（款）机关事业单位基本养老保险缴费支出（项）: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11.97</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万元，主要用于：实施养老保险制度后，部门按规定由单位缴纳的基本养老保险费支出</w:t>
            </w:r>
            <w:r>
              <w:rPr>
                <w:rFonts w:hint="eastAsia" w:ascii="仿宋_GB2312" w:hAnsi="宋体" w:eastAsia="仿宋_GB2312" w:cs="宋体"/>
                <w:color w:val="000000" w:themeColor="text1"/>
                <w:kern w:val="0"/>
                <w:sz w:val="28"/>
                <w:szCs w:val="28"/>
                <w:lang w:eastAsia="zh-CN"/>
                <w14:textFill>
                  <w14:solidFill>
                    <w14:schemeClr w14:val="tx1"/>
                  </w14:solidFill>
                </w14:textFill>
              </w:rPr>
              <w:t>，职业年金缴费支出（项）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0万元。</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b/>
                <w:bCs/>
                <w:color w:val="000000" w:themeColor="text1"/>
                <w:kern w:val="0"/>
                <w:sz w:val="28"/>
                <w:szCs w:val="28"/>
                <w14:textFill>
                  <w14:solidFill>
                    <w14:schemeClr w14:val="tx1"/>
                  </w14:solidFill>
                </w14:textFill>
              </w:rPr>
              <w:t>.医疗卫生与计划生育（类）行政事业单位医疗（款）事业单位医疗（项）: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5.57</w:t>
            </w:r>
            <w:r>
              <w:rPr>
                <w:rFonts w:hint="eastAsia" w:ascii="仿宋_GB2312" w:hAnsi="宋体" w:eastAsia="仿宋_GB2312" w:cs="宋体"/>
                <w:color w:val="000000" w:themeColor="text1"/>
                <w:kern w:val="0"/>
                <w:sz w:val="28"/>
                <w:szCs w:val="28"/>
                <w14:textFill>
                  <w14:solidFill>
                    <w14:schemeClr w14:val="tx1"/>
                  </w14:solidFill>
                </w14:textFill>
              </w:rPr>
              <w:t>万元，主要用于：部门下属事业单位基本医疗保险缴费支出。</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w:t>
            </w:r>
            <w:r>
              <w:rPr>
                <w:rFonts w:hint="eastAsia" w:ascii="仿宋_GB2312" w:hAnsi="宋体" w:eastAsia="仿宋_GB2312" w:cs="宋体"/>
                <w:b/>
                <w:bCs/>
                <w:color w:val="000000" w:themeColor="text1"/>
                <w:kern w:val="0"/>
                <w:sz w:val="28"/>
                <w:szCs w:val="28"/>
                <w14:textFill>
                  <w14:solidFill>
                    <w14:schemeClr w14:val="tx1"/>
                  </w14:solidFill>
                </w14:textFill>
              </w:rPr>
              <w:t>.住房保障（类）住房改革支出（款）住房公积金（项）: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10.20</w:t>
            </w:r>
            <w:r>
              <w:rPr>
                <w:rFonts w:hint="eastAsia" w:ascii="仿宋_GB2312" w:hAnsi="宋体" w:eastAsia="仿宋_GB2312" w:cs="宋体"/>
                <w:color w:val="000000" w:themeColor="text1"/>
                <w:kern w:val="0"/>
                <w:sz w:val="28"/>
                <w:szCs w:val="28"/>
                <w14:textFill>
                  <w14:solidFill>
                    <w14:schemeClr w14:val="tx1"/>
                  </w14:solidFill>
                </w14:textFill>
              </w:rPr>
              <w:t xml:space="preserve">万元，主要用于：部门按人力资源和社会保障部、财政部规定的基本工资和津贴补贴以及规定比例为职工缴纳的住房公积金支出。 </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六、一般公共预算基本支出情况说明</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一般公共预算基本支出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126.10</w:t>
            </w:r>
            <w:r>
              <w:rPr>
                <w:rFonts w:hint="eastAsia" w:ascii="仿宋_GB2312" w:hAnsi="宋体" w:eastAsia="仿宋_GB2312" w:cs="宋体"/>
                <w:color w:val="000000" w:themeColor="text1"/>
                <w:kern w:val="0"/>
                <w:sz w:val="28"/>
                <w:szCs w:val="28"/>
                <w14:textFill>
                  <w14:solidFill>
                    <w14:schemeClr w14:val="tx1"/>
                  </w14:solidFill>
                </w14:textFill>
              </w:rPr>
              <w:t>万元，其中：</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人员经费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116.06</w:t>
            </w:r>
            <w:r>
              <w:rPr>
                <w:rFonts w:hint="eastAsia" w:ascii="仿宋_GB2312" w:hAnsi="宋体" w:eastAsia="仿宋_GB2312" w:cs="宋体"/>
                <w:color w:val="000000" w:themeColor="text1"/>
                <w:kern w:val="0"/>
                <w:sz w:val="28"/>
                <w:szCs w:val="28"/>
                <w14:textFill>
                  <w14:solidFill>
                    <w14:schemeClr w14:val="tx1"/>
                  </w14:solidFill>
                </w14:textFill>
              </w:rPr>
              <w:t>万元，主要包括：基本工资、津贴补贴、奖金、社会保险缴费、绩效工资、机关事业单位基本养老保险缴费、职业年金缴费、其他工资福利支出、离休费、住房公积金、其他对个人和家庭的补助支出。</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公用经费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10.04</w:t>
            </w:r>
            <w:r>
              <w:rPr>
                <w:rFonts w:hint="eastAsia" w:ascii="仿宋_GB2312" w:hAnsi="宋体" w:eastAsia="仿宋_GB2312" w:cs="宋体"/>
                <w:color w:val="000000" w:themeColor="text1"/>
                <w:kern w:val="0"/>
                <w:sz w:val="28"/>
                <w:szCs w:val="28"/>
                <w14:textFill>
                  <w14:solidFill>
                    <w14:schemeClr w14:val="tx1"/>
                  </w14:solidFill>
                </w14:textFill>
              </w:rPr>
              <w:t>万元，主要包括：办公费、印刷费、手续费、水费、电费、邮电费、差旅费、维修（护）费、会议费、培训费、劳务费、工会经费、福利费、其他交通费、其他商品和服务支出。</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七、“三公”经费财政拨款预算安排情况说明</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“三公”经费财政拨款预算数</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w:t>
            </w:r>
            <w:r>
              <w:rPr>
                <w:rFonts w:hint="eastAsia" w:ascii="楷体_GB2312" w:hAnsi="宋体" w:eastAsia="楷体_GB2312" w:cs="宋体"/>
                <w:color w:val="000000" w:themeColor="text1"/>
                <w:kern w:val="0"/>
                <w:sz w:val="28"/>
                <w:szCs w:val="28"/>
                <w:lang w:eastAsia="zh-CN"/>
                <w14:textFill>
                  <w14:solidFill>
                    <w14:schemeClr w14:val="tx1"/>
                  </w14:solidFill>
                </w14:textFill>
              </w:rPr>
              <w:t>无</w:t>
            </w:r>
            <w:r>
              <w:rPr>
                <w:rFonts w:hint="eastAsia" w:ascii="楷体_GB2312" w:hAnsi="宋体" w:eastAsia="楷体_GB2312" w:cs="宋体"/>
                <w:color w:val="000000" w:themeColor="text1"/>
                <w:kern w:val="0"/>
                <w:sz w:val="28"/>
                <w:szCs w:val="28"/>
                <w14:textFill>
                  <w14:solidFill>
                    <w14:schemeClr w14:val="tx1"/>
                  </w14:solidFill>
                </w14:textFill>
              </w:rPr>
              <w:t>因公出国（境）经费</w:t>
            </w:r>
            <w:r>
              <w:rPr>
                <w:rFonts w:hint="eastAsia" w:ascii="楷体_GB2312" w:hAnsi="宋体" w:eastAsia="楷体_GB2312" w:cs="宋体"/>
                <w:color w:val="000000" w:themeColor="text1"/>
                <w:kern w:val="0"/>
                <w:sz w:val="28"/>
                <w:szCs w:val="28"/>
                <w:lang w:eastAsia="zh-CN"/>
                <w14:textFill>
                  <w14:solidFill>
                    <w14:schemeClr w14:val="tx1"/>
                  </w14:solidFill>
                </w14:textFill>
              </w:rPr>
              <w:t>，与</w:t>
            </w:r>
            <w:r>
              <w:rPr>
                <w:rFonts w:hint="eastAsia" w:ascii="楷体_GB2312" w:hAnsi="宋体" w:eastAsia="楷体_GB2312" w:cs="宋体"/>
                <w:color w:val="000000" w:themeColor="text1"/>
                <w:kern w:val="0"/>
                <w:sz w:val="28"/>
                <w:szCs w:val="28"/>
                <w14:textFill>
                  <w14:solidFill>
                    <w14:schemeClr w14:val="tx1"/>
                  </w14:solidFill>
                </w14:textFill>
              </w:rPr>
              <w:t>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w:t>
            </w:r>
            <w:r>
              <w:rPr>
                <w:rFonts w:hint="eastAsia" w:ascii="楷体_GB2312" w:hAnsi="宋体" w:eastAsia="楷体_GB2312" w:cs="宋体"/>
                <w:color w:val="000000" w:themeColor="text1"/>
                <w:kern w:val="0"/>
                <w:sz w:val="28"/>
                <w:szCs w:val="28"/>
                <w:lang w:eastAsia="zh-CN"/>
                <w14:textFill>
                  <w14:solidFill>
                    <w14:schemeClr w14:val="tx1"/>
                  </w14:solidFill>
                </w14:textFill>
              </w:rPr>
              <w:t>持平</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numPr>
                <w:ilvl w:val="0"/>
                <w:numId w:val="1"/>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楷体_GB2312" w:hAnsi="宋体" w:eastAsia="楷体_GB2312" w:cs="宋体"/>
                <w:color w:val="000000" w:themeColor="text1"/>
                <w:kern w:val="0"/>
                <w:sz w:val="28"/>
                <w:szCs w:val="28"/>
                <w14:textFill>
                  <w14:solidFill>
                    <w14:schemeClr w14:val="tx1"/>
                  </w14:solidFill>
                </w14:textFill>
              </w:rPr>
              <w:t>二）</w:t>
            </w:r>
            <w:r>
              <w:rPr>
                <w:rFonts w:hint="eastAsia" w:ascii="楷体_GB2312" w:hAnsi="宋体" w:eastAsia="楷体_GB2312" w:cs="宋体"/>
                <w:color w:val="000000" w:themeColor="text1"/>
                <w:kern w:val="0"/>
                <w:sz w:val="28"/>
                <w:szCs w:val="28"/>
                <w:lang w:eastAsia="zh-CN"/>
                <w14:textFill>
                  <w14:solidFill>
                    <w14:schemeClr w14:val="tx1"/>
                  </w14:solidFill>
                </w14:textFill>
              </w:rPr>
              <w:t>无</w:t>
            </w:r>
            <w:r>
              <w:rPr>
                <w:rFonts w:hint="eastAsia" w:ascii="楷体_GB2312" w:hAnsi="宋体" w:eastAsia="楷体_GB2312" w:cs="宋体"/>
                <w:color w:val="000000" w:themeColor="text1"/>
                <w:kern w:val="0"/>
                <w:sz w:val="28"/>
                <w:szCs w:val="28"/>
                <w14:textFill>
                  <w14:solidFill>
                    <w14:schemeClr w14:val="tx1"/>
                  </w14:solidFill>
                </w14:textFill>
              </w:rPr>
              <w:t>公务接待</w:t>
            </w:r>
            <w:r>
              <w:rPr>
                <w:rFonts w:hint="eastAsia" w:ascii="楷体_GB2312" w:hAnsi="宋体" w:eastAsia="楷体_GB2312" w:cs="宋体"/>
                <w:color w:val="000000" w:themeColor="text1"/>
                <w:kern w:val="0"/>
                <w:sz w:val="28"/>
                <w:szCs w:val="28"/>
                <w:lang w:eastAsia="zh-CN"/>
                <w14:textFill>
                  <w14:solidFill>
                    <w14:schemeClr w14:val="tx1"/>
                  </w14:solidFill>
                </w14:textFill>
              </w:rPr>
              <w:t>费，</w:t>
            </w:r>
            <w:r>
              <w:rPr>
                <w:rFonts w:hint="eastAsia" w:ascii="楷体_GB2312" w:hAnsi="宋体" w:eastAsia="楷体_GB2312" w:cs="宋体"/>
                <w:color w:val="000000" w:themeColor="text1"/>
                <w:kern w:val="0"/>
                <w:sz w:val="28"/>
                <w:szCs w:val="28"/>
                <w14:textFill>
                  <w14:solidFill>
                    <w14:schemeClr w14:val="tx1"/>
                  </w14:solidFill>
                </w14:textFill>
              </w:rPr>
              <w:t>与20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w:t>
            </w:r>
            <w:r>
              <w:rPr>
                <w:rFonts w:hint="eastAsia" w:ascii="楷体_GB2312" w:hAnsi="宋体" w:eastAsia="楷体_GB2312" w:cs="宋体"/>
                <w:color w:val="000000" w:themeColor="text1"/>
                <w:kern w:val="0"/>
                <w:sz w:val="28"/>
                <w:szCs w:val="28"/>
                <w:lang w:eastAsia="zh-CN"/>
                <w14:textFill>
                  <w14:solidFill>
                    <w14:schemeClr w14:val="tx1"/>
                  </w14:solidFill>
                </w14:textFill>
              </w:rPr>
              <w:t>持平</w:t>
            </w:r>
            <w:r>
              <w:rPr>
                <w:rFonts w:hint="eastAsia" w:ascii="楷体_GB2312" w:hAnsi="宋体" w:eastAsia="楷体_GB2312" w:cs="宋体"/>
                <w:color w:val="000000" w:themeColor="text1"/>
                <w:kern w:val="0"/>
                <w:sz w:val="28"/>
                <w:szCs w:val="28"/>
                <w14:textFill>
                  <w14:solidFill>
                    <w14:schemeClr w14:val="tx1"/>
                  </w14:solidFill>
                </w14:textFill>
              </w:rPr>
              <w:t xml:space="preserve"> </w:t>
            </w:r>
            <w:r>
              <w:rPr>
                <w:rFonts w:ascii="楷体_GB2312" w:hAnsi="宋体" w:eastAsia="楷体_GB2312" w:cs="宋体"/>
                <w:color w:val="000000" w:themeColor="text1"/>
                <w:kern w:val="0"/>
                <w:sz w:val="28"/>
                <w:szCs w:val="28"/>
                <w14:textFill>
                  <w14:solidFill>
                    <w14:schemeClr w14:val="tx1"/>
                  </w14:solidFill>
                </w14:textFill>
              </w:rPr>
              <w:t xml:space="preserve"> </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　　</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（三</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楷体_GB2312" w:hAnsi="宋体" w:eastAsia="楷体_GB2312" w:cs="宋体"/>
                <w:color w:val="000000" w:themeColor="text1"/>
                <w:kern w:val="0"/>
                <w:sz w:val="28"/>
                <w:szCs w:val="28"/>
                <w:lang w:eastAsia="zh-CN"/>
                <w14:textFill>
                  <w14:solidFill>
                    <w14:schemeClr w14:val="tx1"/>
                  </w14:solidFill>
                </w14:textFill>
              </w:rPr>
              <w:t>无</w:t>
            </w:r>
            <w:r>
              <w:rPr>
                <w:rFonts w:hint="eastAsia" w:ascii="楷体_GB2312" w:hAnsi="宋体" w:eastAsia="楷体_GB2312" w:cs="宋体"/>
                <w:color w:val="000000" w:themeColor="text1"/>
                <w:kern w:val="0"/>
                <w:sz w:val="28"/>
                <w:szCs w:val="28"/>
                <w14:textFill>
                  <w14:solidFill>
                    <w14:schemeClr w14:val="tx1"/>
                  </w14:solidFill>
                </w14:textFill>
              </w:rPr>
              <w:t>公务用车购置及运行维护费</w:t>
            </w:r>
            <w:r>
              <w:rPr>
                <w:rFonts w:hint="eastAsia" w:ascii="楷体_GB2312" w:hAnsi="宋体" w:eastAsia="楷体_GB2312" w:cs="宋体"/>
                <w:color w:val="000000" w:themeColor="text1"/>
                <w:kern w:val="0"/>
                <w:sz w:val="28"/>
                <w:szCs w:val="28"/>
                <w:lang w:eastAsia="zh-CN"/>
                <w14:textFill>
                  <w14:solidFill>
                    <w14:schemeClr w14:val="tx1"/>
                  </w14:solidFill>
                </w14:textFill>
              </w:rPr>
              <w:t>，与</w:t>
            </w:r>
            <w:r>
              <w:rPr>
                <w:rFonts w:hint="eastAsia" w:ascii="楷体_GB2312" w:hAnsi="宋体" w:eastAsia="楷体_GB2312" w:cs="宋体"/>
                <w:color w:val="000000" w:themeColor="text1"/>
                <w:kern w:val="0"/>
                <w:sz w:val="28"/>
                <w:szCs w:val="28"/>
                <w14:textFill>
                  <w14:solidFill>
                    <w14:schemeClr w14:val="tx1"/>
                  </w14:solidFill>
                </w14:textFill>
              </w:rPr>
              <w:t>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w:t>
            </w:r>
            <w:r>
              <w:rPr>
                <w:rFonts w:hint="eastAsia" w:ascii="楷体_GB2312" w:hAnsi="宋体" w:eastAsia="楷体_GB2312" w:cs="宋体"/>
                <w:color w:val="000000" w:themeColor="text1"/>
                <w:kern w:val="0"/>
                <w:sz w:val="28"/>
                <w:szCs w:val="28"/>
                <w:lang w:eastAsia="zh-CN"/>
                <w14:textFill>
                  <w14:solidFill>
                    <w14:schemeClr w14:val="tx1"/>
                  </w14:solidFill>
                </w14:textFill>
              </w:rPr>
              <w:t>持平</w:t>
            </w:r>
            <w:r>
              <w:rPr>
                <w:rFonts w:hint="eastAsia" w:ascii="仿宋_GB2312" w:hAnsi="宋体" w:eastAsia="仿宋_GB2312" w:cs="宋体"/>
                <w:color w:val="000000" w:themeColor="text1"/>
                <w:kern w:val="0"/>
                <w:sz w:val="28"/>
                <w:szCs w:val="28"/>
                <w14:textFill>
                  <w14:solidFill>
                    <w14:schemeClr w14:val="tx1"/>
                  </w14:solidFill>
                </w14:textFill>
              </w:rPr>
              <w:t>主要原因是</w:t>
            </w:r>
            <w:r>
              <w:rPr>
                <w:rFonts w:hint="eastAsia" w:ascii="仿宋_GB2312" w:hAnsi="宋体" w:eastAsia="仿宋_GB2312" w:cs="宋体"/>
                <w:color w:val="000000" w:themeColor="text1"/>
                <w:kern w:val="0"/>
                <w:sz w:val="28"/>
                <w:szCs w:val="28"/>
                <w:lang w:eastAsia="zh-CN"/>
                <w14:textFill>
                  <w14:solidFill>
                    <w14:schemeClr w14:val="tx1"/>
                  </w14:solidFill>
                </w14:textFill>
              </w:rPr>
              <w:t>严格执行中央“八项”规定，严控各项接待支出</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numPr>
                <w:ilvl w:val="0"/>
                <w:numId w:val="0"/>
              </w:numPr>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宋体"/>
                <w:color w:val="000000" w:themeColor="text1"/>
                <w:kern w:val="0"/>
                <w:sz w:val="28"/>
                <w:szCs w:val="28"/>
                <w14:textFill>
                  <w14:solidFill>
                    <w14:schemeClr w14:val="tx1"/>
                  </w14:solidFill>
                </w14:textFill>
              </w:rPr>
              <w:t>八、政府性基金预算支出情况说明</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没有使用政府性基金预算拨款安排的支出。</w:t>
            </w:r>
          </w:p>
          <w:p>
            <w:pPr>
              <w:widowControl/>
              <w:numPr>
                <w:ilvl w:val="0"/>
                <w:numId w:val="0"/>
              </w:numPr>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九、其他重要事项的情况说明</w:t>
            </w:r>
          </w:p>
          <w:p>
            <w:pPr>
              <w:widowControl/>
              <w:numPr>
                <w:ilvl w:val="0"/>
                <w:numId w:val="0"/>
              </w:numPr>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楷体_GB2312" w:hAnsi="宋体" w:eastAsia="楷体_GB2312" w:cs="宋体"/>
                <w:color w:val="000000" w:themeColor="text1"/>
                <w:kern w:val="0"/>
                <w:sz w:val="28"/>
                <w:szCs w:val="28"/>
                <w:lang w:eastAsia="zh-CN"/>
                <w14:textFill>
                  <w14:solidFill>
                    <w14:schemeClr w14:val="tx1"/>
                  </w14:solidFill>
                </w14:textFill>
              </w:rPr>
              <w:t>一</w:t>
            </w:r>
            <w:r>
              <w:rPr>
                <w:rFonts w:hint="eastAsia" w:ascii="楷体_GB2312" w:hAnsi="宋体" w:eastAsia="楷体_GB2312" w:cs="宋体"/>
                <w:color w:val="000000" w:themeColor="text1"/>
                <w:kern w:val="0"/>
                <w:sz w:val="28"/>
                <w:szCs w:val="28"/>
                <w14:textFill>
                  <w14:solidFill>
                    <w14:schemeClr w14:val="tx1"/>
                  </w14:solidFill>
                </w14:textFill>
              </w:rPr>
              <w:t>）政府采购情况</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14:textFill>
                  <w14:solidFill>
                    <w14:schemeClr w14:val="tx1"/>
                  </w14:solidFill>
                </w14:textFill>
              </w:rPr>
              <w:t>安排政府采购预算</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w:t>
            </w:r>
          </w:p>
          <w:p>
            <w:pPr>
              <w:widowControl/>
              <w:numPr>
                <w:ilvl w:val="0"/>
                <w:numId w:val="0"/>
              </w:numPr>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楷体_GB2312" w:hAnsi="宋体" w:eastAsia="楷体_GB2312" w:cs="宋体"/>
                <w:color w:val="000000" w:themeColor="text1"/>
                <w:kern w:val="0"/>
                <w:sz w:val="28"/>
                <w:szCs w:val="28"/>
                <w:lang w:eastAsia="zh-CN"/>
                <w14:textFill>
                  <w14:solidFill>
                    <w14:schemeClr w14:val="tx1"/>
                  </w14:solidFill>
                </w14:textFill>
              </w:rPr>
              <w:t>二</w:t>
            </w:r>
            <w:r>
              <w:rPr>
                <w:rFonts w:hint="eastAsia" w:ascii="楷体_GB2312" w:hAnsi="宋体" w:eastAsia="楷体_GB2312" w:cs="宋体"/>
                <w:color w:val="000000" w:themeColor="text1"/>
                <w:kern w:val="0"/>
                <w:sz w:val="28"/>
                <w:szCs w:val="28"/>
                <w14:textFill>
                  <w14:solidFill>
                    <w14:schemeClr w14:val="tx1"/>
                  </w14:solidFill>
                </w14:textFill>
              </w:rPr>
              <w:t>）国有资产占有使用情况</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截至20</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21</w:t>
            </w:r>
            <w:r>
              <w:rPr>
                <w:rFonts w:hint="eastAsia" w:ascii="仿宋_GB2312" w:hAnsi="宋体" w:eastAsia="仿宋_GB2312" w:cs="宋体"/>
                <w:color w:val="000000" w:themeColor="text1"/>
                <w:kern w:val="0"/>
                <w:sz w:val="28"/>
                <w:szCs w:val="28"/>
                <w14:textFill>
                  <w14:solidFill>
                    <w14:schemeClr w14:val="tx1"/>
                  </w14:solidFill>
                </w14:textFill>
              </w:rPr>
              <w:t>年底，</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白庙乡农业综合服务中心</w:t>
            </w:r>
            <w:r>
              <w:rPr>
                <w:rFonts w:hint="eastAsia" w:ascii="仿宋_GB2312" w:hAnsi="宋体" w:eastAsia="仿宋_GB2312" w:cs="宋体"/>
                <w:color w:val="000000" w:themeColor="text1"/>
                <w:kern w:val="0"/>
                <w:sz w:val="28"/>
                <w:szCs w:val="28"/>
                <w14:textFill>
                  <w14:solidFill>
                    <w14:schemeClr w14:val="tx1"/>
                  </w14:solidFill>
                </w14:textFill>
              </w:rPr>
              <w:t>所属各预算单位共有车辆</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辆。</w:t>
            </w:r>
          </w:p>
          <w:p>
            <w:pPr>
              <w:pStyle w:val="2"/>
              <w:keepNext/>
              <w:keepLines/>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黑体_GBK" w:hAnsi="方正黑体_GBK" w:eastAsia="方正黑体_GBK" w:cs="方正黑体_GBK"/>
                <w:b/>
                <w:sz w:val="28"/>
                <w:szCs w:val="28"/>
                <w:lang w:eastAsia="zh-CN"/>
              </w:rPr>
            </w:pPr>
            <w:bookmarkStart w:id="0" w:name="_Toc12260"/>
            <w:r>
              <w:rPr>
                <w:rFonts w:hint="eastAsia" w:ascii="方正黑体_GBK" w:hAnsi="方正黑体_GBK" w:eastAsia="方正黑体_GBK" w:cs="方正黑体_GBK"/>
                <w:b/>
                <w:sz w:val="28"/>
                <w:szCs w:val="28"/>
                <w:lang w:eastAsia="zh-CN"/>
              </w:rPr>
              <w:t>十、名词解释</w:t>
            </w:r>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.一般公共预算拨款收入：指省级财政当年拨付的资金。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.社会保障和就业（类）其他社会保障和就业（款）其他社会保障和就业支出（项）：指除上述项目外，其他用于行政事业单位离退休方面的支出。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.医疗卫生与计划生育（类）行政事业单位医疗（款）事业单位医疗（项）：指事业单位用于缴纳单位基本医疗保险支出。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5</w:t>
            </w:r>
            <w:r>
              <w:rPr>
                <w:rFonts w:hint="eastAsia" w:ascii="方正仿宋_GBK" w:hAnsi="方正仿宋_GBK" w:eastAsia="方正仿宋_GBK" w:cs="方正仿宋_GBK"/>
                <w:color w:val="000000" w:themeColor="text1"/>
                <w:sz w:val="28"/>
                <w:szCs w:val="28"/>
                <w14:textFill>
                  <w14:solidFill>
                    <w14:schemeClr w14:val="tx1"/>
                  </w14:solidFill>
                </w14:textFill>
              </w:rPr>
              <w:t>.基本支出：指为保证机构正常运转，完成日常工作任务而发生的人员支出和公用支出。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6</w:t>
            </w:r>
            <w:r>
              <w:rPr>
                <w:rFonts w:hint="eastAsia" w:ascii="方正仿宋_GBK" w:hAnsi="方正仿宋_GBK" w:eastAsia="方正仿宋_GBK" w:cs="方正仿宋_GBK"/>
                <w:color w:val="000000" w:themeColor="text1"/>
                <w:sz w:val="28"/>
                <w:szCs w:val="28"/>
                <w14:textFill>
                  <w14:solidFill>
                    <w14:schemeClr w14:val="tx1"/>
                  </w14:solidFill>
                </w14:textFill>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7</w:t>
            </w:r>
            <w:r>
              <w:rPr>
                <w:rFonts w:hint="eastAsia" w:ascii="方正仿宋_GBK" w:hAnsi="方正仿宋_GBK" w:eastAsia="方正仿宋_GBK" w:cs="方正仿宋_GBK"/>
                <w:color w:val="000000" w:themeColor="text1"/>
                <w:sz w:val="28"/>
                <w:szCs w:val="28"/>
                <w14:textFill>
                  <w14:solidFill>
                    <w14:schemeClr w14:val="tx1"/>
                  </w14:solidFill>
                </w14:textFill>
              </w:rPr>
              <w:t>.机关运行经费：为保障行政单位（包含参照公务员法管理的事业单位）运行用于购买货物和服务的各项资金。包括办公及办公费、水费、电费、印刷费、邮电费、差旅费、会议费等费用开支。</w:t>
            </w: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附件：</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巴州区单位部门收支总表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巴州区单位部门收入总表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巴州区单位部门支出总表</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巴州区单位财政拨款收支预算总表</w:t>
            </w:r>
          </w:p>
          <w:p>
            <w:pPr>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表</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2-1</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巴州区单位财政拨款</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支出</w:t>
            </w:r>
            <w:r>
              <w:rPr>
                <w:rFonts w:hint="eastAsia" w:ascii="方正仿宋_GBK" w:hAnsi="方正仿宋_GBK" w:eastAsia="方正仿宋_GBK" w:cs="方正仿宋_GBK"/>
                <w:color w:val="000000" w:themeColor="text1"/>
                <w:sz w:val="28"/>
                <w:szCs w:val="28"/>
                <w14:textFill>
                  <w14:solidFill>
                    <w14:schemeClr w14:val="tx1"/>
                  </w14:solidFill>
                </w14:textFill>
              </w:rPr>
              <w:t>预算表</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（部门经济分类科目）</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巴州区单位一般公共预算支出预算表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单位一般公共预算基本支出预算表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单位一般公共预算项目支出预算表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单位一般公共预算“三公”经费预算表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政府性基金支出预算表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政府基金预算“三公”经费支出预算表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5</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国有资本经营预算支出预算表</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p>
          <w:p>
            <w:pPr>
              <w:widowControl/>
              <w:numPr>
                <w:ilvl w:val="0"/>
                <w:numId w:val="0"/>
              </w:numPr>
              <w:wordWrap w:val="0"/>
              <w:spacing w:line="480" w:lineRule="atLeast"/>
              <w:ind w:left="1050" w:leftChars="0"/>
              <w:rPr>
                <w:rFonts w:hint="eastAsia" w:ascii="仿宋_GB2312" w:hAnsi="宋体" w:eastAsia="仿宋_GB2312" w:cs="宋体"/>
                <w:color w:val="000000" w:themeColor="text1"/>
                <w:kern w:val="0"/>
                <w:sz w:val="28"/>
                <w:szCs w:val="28"/>
                <w:lang w:eastAsia="zh-CN"/>
                <w14:textFill>
                  <w14:solidFill>
                    <w14:schemeClr w14:val="tx1"/>
                  </w14:solidFill>
                </w14:textFill>
              </w:rPr>
            </w:pPr>
          </w:p>
          <w:p>
            <w:pPr>
              <w:widowControl/>
              <w:numPr>
                <w:ilvl w:val="0"/>
                <w:numId w:val="0"/>
              </w:numPr>
              <w:wordWrap w:val="0"/>
              <w:spacing w:line="480" w:lineRule="atLeast"/>
              <w:ind w:left="1050" w:leftChars="0"/>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附件： </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部门预算公开报表</w:t>
            </w:r>
          </w:p>
        </w:tc>
      </w:tr>
      <w:tr>
        <w:tblPrEx>
          <w:tblCellMar>
            <w:top w:w="0" w:type="dxa"/>
            <w:left w:w="0" w:type="dxa"/>
            <w:bottom w:w="0" w:type="dxa"/>
            <w:right w:w="0" w:type="dxa"/>
          </w:tblCellMar>
        </w:tblPrEx>
        <w:trPr>
          <w:tblCellSpacing w:w="0" w:type="dxa"/>
          <w:jc w:val="center"/>
        </w:trPr>
        <w:tc>
          <w:tcPr>
            <w:tcW w:w="8944" w:type="dxa"/>
            <w:vAlign w:val="center"/>
          </w:tcPr>
          <w:p>
            <w:pPr>
              <w:widowControl/>
              <w:wordWrap w:val="0"/>
              <w:spacing w:line="360" w:lineRule="auto"/>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w:t>
            </w:r>
          </w:p>
        </w:tc>
      </w:tr>
    </w:tbl>
    <w:p>
      <w:pPr>
        <w:rPr>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42431A"/>
    <w:multiLevelType w:val="singleLevel"/>
    <w:tmpl w:val="2542431A"/>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NGJlMDI0MzkwNjg3NmQ2YjJlN2RkOWU4YjkwMDIifQ=="/>
  </w:docVars>
  <w:rsids>
    <w:rsidRoot w:val="006452C1"/>
    <w:rsid w:val="0009310D"/>
    <w:rsid w:val="000A2DE7"/>
    <w:rsid w:val="002F5B42"/>
    <w:rsid w:val="00430A67"/>
    <w:rsid w:val="00474DE5"/>
    <w:rsid w:val="004B058D"/>
    <w:rsid w:val="00532C45"/>
    <w:rsid w:val="006452C1"/>
    <w:rsid w:val="00687D24"/>
    <w:rsid w:val="006E7785"/>
    <w:rsid w:val="006F69EE"/>
    <w:rsid w:val="008640E2"/>
    <w:rsid w:val="009354DF"/>
    <w:rsid w:val="00AD2F67"/>
    <w:rsid w:val="00C40F78"/>
    <w:rsid w:val="00CA720C"/>
    <w:rsid w:val="00CF5987"/>
    <w:rsid w:val="00D34013"/>
    <w:rsid w:val="00D63EB5"/>
    <w:rsid w:val="00E802F4"/>
    <w:rsid w:val="00EB0203"/>
    <w:rsid w:val="02F07826"/>
    <w:rsid w:val="07651A2A"/>
    <w:rsid w:val="0A083DE5"/>
    <w:rsid w:val="0B9B1A70"/>
    <w:rsid w:val="0E5E4367"/>
    <w:rsid w:val="0EA9768C"/>
    <w:rsid w:val="102C448D"/>
    <w:rsid w:val="129F0AAB"/>
    <w:rsid w:val="12B927AA"/>
    <w:rsid w:val="15974429"/>
    <w:rsid w:val="20C938C2"/>
    <w:rsid w:val="20DD360B"/>
    <w:rsid w:val="21845091"/>
    <w:rsid w:val="218C0828"/>
    <w:rsid w:val="25035E09"/>
    <w:rsid w:val="27B73709"/>
    <w:rsid w:val="2D2924D0"/>
    <w:rsid w:val="2D560EF9"/>
    <w:rsid w:val="2E5C22AF"/>
    <w:rsid w:val="32123864"/>
    <w:rsid w:val="34A00391"/>
    <w:rsid w:val="34FB4AEE"/>
    <w:rsid w:val="36B5658A"/>
    <w:rsid w:val="3AA53616"/>
    <w:rsid w:val="3C2A0145"/>
    <w:rsid w:val="3E6E29A7"/>
    <w:rsid w:val="507251F5"/>
    <w:rsid w:val="50E13EEA"/>
    <w:rsid w:val="51E07738"/>
    <w:rsid w:val="58226886"/>
    <w:rsid w:val="594808D3"/>
    <w:rsid w:val="617316F4"/>
    <w:rsid w:val="67AF0CBE"/>
    <w:rsid w:val="69C8107B"/>
    <w:rsid w:val="6DDA15D6"/>
    <w:rsid w:val="6F266DA9"/>
    <w:rsid w:val="72D504FA"/>
    <w:rsid w:val="78791F42"/>
    <w:rsid w:val="7A3E078A"/>
    <w:rsid w:val="7D3338A6"/>
    <w:rsid w:val="7DD00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sz w:val="18"/>
      <w:szCs w:val="18"/>
    </w:rPr>
  </w:style>
  <w:style w:type="paragraph" w:customStyle="1" w:styleId="11">
    <w:name w:val="WPSOffice手动目录 1"/>
    <w:qFormat/>
    <w:uiPriority w:val="0"/>
    <w:rPr>
      <w:rFonts w:asciiTheme="minorHAnsi" w:hAnsiTheme="minorHAnsi" w:eastAsiaTheme="minorEastAsia" w:cstheme="minorBidi"/>
      <w:lang w:val="en-US" w:eastAsia="zh-CN" w:bidi="ar-SA"/>
    </w:rPr>
  </w:style>
  <w:style w:type="paragraph" w:customStyle="1" w:styleId="12">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2827</Words>
  <Characters>3110</Characters>
  <Lines>17</Lines>
  <Paragraphs>4</Paragraphs>
  <TotalTime>54</TotalTime>
  <ScaleCrop>false</ScaleCrop>
  <LinksUpToDate>false</LinksUpToDate>
  <CharactersWithSpaces>3306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别皱眉</cp:lastModifiedBy>
  <cp:lastPrinted>2020-07-02T03:02:00Z</cp:lastPrinted>
  <dcterms:modified xsi:type="dcterms:W3CDTF">2023-07-12T23:36:27Z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C2411F220F18436BAE504A5CC6087BD1_13</vt:lpwstr>
  </property>
</Properties>
</file>