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000000" w:themeColor="text1"/>
          <w:sz w:val="32"/>
          <w:szCs w:val="32"/>
        </w:rPr>
      </w:pPr>
    </w:p>
    <w:p>
      <w:pPr>
        <w:jc w:val="center"/>
        <w:rPr>
          <w:rFonts w:hint="eastAsia" w:ascii="仿宋" w:hAnsi="仿宋" w:eastAsia="仿宋" w:cs="仿宋"/>
          <w:color w:val="000000" w:themeColor="text1"/>
          <w:sz w:val="32"/>
          <w:szCs w:val="32"/>
        </w:rPr>
      </w:pPr>
    </w:p>
    <w:p>
      <w:pPr>
        <w:jc w:val="center"/>
        <w:rPr>
          <w:rFonts w:hint="eastAsia" w:ascii="仿宋" w:hAnsi="仿宋" w:eastAsia="仿宋" w:cs="仿宋"/>
          <w:color w:val="000000" w:themeColor="text1"/>
          <w:sz w:val="32"/>
          <w:szCs w:val="32"/>
        </w:rPr>
      </w:pPr>
    </w:p>
    <w:p>
      <w:pPr>
        <w:jc w:val="center"/>
        <w:rPr>
          <w:rFonts w:hint="eastAsia" w:ascii="仿宋" w:hAnsi="仿宋" w:eastAsia="仿宋" w:cs="仿宋"/>
          <w:color w:val="000000" w:themeColor="text1"/>
          <w:sz w:val="52"/>
          <w:szCs w:val="52"/>
        </w:rPr>
      </w:pPr>
    </w:p>
    <w:p>
      <w:pPr>
        <w:jc w:val="center"/>
        <w:rPr>
          <w:rFonts w:hint="eastAsia" w:ascii="仿宋" w:hAnsi="仿宋" w:eastAsia="仿宋" w:cs="仿宋"/>
          <w:b/>
          <w:bCs/>
          <w:color w:val="000000" w:themeColor="text1"/>
          <w:sz w:val="52"/>
          <w:szCs w:val="52"/>
        </w:rPr>
      </w:pPr>
      <w:r>
        <w:rPr>
          <w:rFonts w:hint="eastAsia" w:ascii="仿宋" w:hAnsi="仿宋" w:eastAsia="仿宋" w:cs="仿宋"/>
          <w:b/>
          <w:bCs/>
          <w:color w:val="000000" w:themeColor="text1"/>
          <w:sz w:val="52"/>
          <w:szCs w:val="52"/>
          <w:lang w:eastAsia="zh-CN"/>
        </w:rPr>
        <w:t>巴州区平梁镇</w:t>
      </w:r>
      <w:r>
        <w:rPr>
          <w:rFonts w:hint="eastAsia" w:ascii="仿宋" w:hAnsi="仿宋" w:eastAsia="仿宋" w:cs="仿宋"/>
          <w:b/>
          <w:bCs/>
          <w:color w:val="000000" w:themeColor="text1"/>
          <w:sz w:val="52"/>
          <w:szCs w:val="52"/>
        </w:rPr>
        <w:t>公共事务服务中心</w:t>
      </w:r>
    </w:p>
    <w:p>
      <w:pPr>
        <w:jc w:val="center"/>
        <w:rPr>
          <w:rFonts w:hint="eastAsia" w:ascii="仿宋" w:hAnsi="仿宋" w:eastAsia="仿宋" w:cs="仿宋"/>
          <w:b/>
          <w:bCs/>
          <w:color w:val="000000" w:themeColor="text1"/>
          <w:sz w:val="52"/>
          <w:szCs w:val="52"/>
        </w:rPr>
      </w:pPr>
      <w:r>
        <w:rPr>
          <w:rFonts w:hint="eastAsia" w:ascii="仿宋" w:hAnsi="仿宋" w:eastAsia="仿宋" w:cs="仿宋"/>
          <w:b/>
          <w:bCs/>
          <w:color w:val="000000" w:themeColor="text1"/>
          <w:sz w:val="52"/>
          <w:szCs w:val="52"/>
          <w:lang w:eastAsia="zh-CN"/>
        </w:rPr>
        <w:t>2023</w:t>
      </w:r>
      <w:r>
        <w:rPr>
          <w:rFonts w:hint="eastAsia" w:ascii="仿宋" w:hAnsi="仿宋" w:eastAsia="仿宋" w:cs="仿宋"/>
          <w:b/>
          <w:bCs/>
          <w:color w:val="000000" w:themeColor="text1"/>
          <w:sz w:val="52"/>
          <w:szCs w:val="52"/>
        </w:rPr>
        <w:t>年部门预算编制说明</w:t>
      </w: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ind w:firstLine="2560" w:firstLineChars="8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2023年5月5日</w:t>
      </w: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p>
      <w:pPr>
        <w:rPr>
          <w:rFonts w:hint="eastAsia" w:ascii="仿宋" w:hAnsi="仿宋" w:eastAsia="仿宋" w:cs="仿宋"/>
          <w:color w:val="000000" w:themeColor="text1"/>
          <w:sz w:val="32"/>
          <w:szCs w:val="32"/>
        </w:rPr>
      </w:pPr>
    </w:p>
    <w:sdt>
      <w:sdtPr>
        <w:rPr>
          <w:rFonts w:hint="eastAsia" w:ascii="仿宋" w:hAnsi="仿宋" w:eastAsia="仿宋" w:cs="仿宋"/>
          <w:b/>
          <w:bCs/>
          <w:kern w:val="2"/>
          <w:sz w:val="32"/>
          <w:szCs w:val="32"/>
          <w:lang w:val="en-US" w:eastAsia="zh-CN" w:bidi="ar-SA"/>
        </w:rPr>
        <w:id w:val="147455610"/>
        <w15:color w:val="DBDBDB"/>
        <w:docPartObj>
          <w:docPartGallery w:val="Table of Contents"/>
          <w:docPartUnique/>
        </w:docPartObj>
      </w:sdtPr>
      <w:sdtEndPr>
        <w:rPr>
          <w:rFonts w:hint="eastAsia" w:ascii="仿宋" w:hAnsi="仿宋" w:eastAsia="仿宋" w:cs="仿宋"/>
          <w:b/>
          <w:bCs/>
          <w:color w:val="000000" w:themeColor="text1"/>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目</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录</w:t>
          </w:r>
        </w:p>
        <w:p>
          <w:pPr>
            <w:spacing w:before="0" w:beforeLines="0" w:after="0" w:afterLines="0" w:line="240" w:lineRule="auto"/>
            <w:ind w:left="0" w:leftChars="0" w:right="0" w:rightChars="0" w:firstLine="0" w:firstLineChars="0"/>
            <w:jc w:val="center"/>
            <w:rPr>
              <w:rFonts w:hint="eastAsia" w:ascii="仿宋" w:hAnsi="仿宋" w:eastAsia="仿宋" w:cs="仿宋"/>
              <w:sz w:val="32"/>
              <w:szCs w:val="32"/>
            </w:rPr>
          </w:pPr>
        </w:p>
        <w:p>
          <w:pPr>
            <w:pStyle w:val="12"/>
            <w:tabs>
              <w:tab w:val="right" w:leader="dot" w:pos="8306"/>
            </w:tabs>
            <w:rPr>
              <w:rFonts w:hint="eastAsia" w:ascii="仿宋" w:hAnsi="仿宋" w:eastAsia="仿宋" w:cs="仿宋"/>
              <w:b/>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color w:val="000000" w:themeColor="text1"/>
              <w:sz w:val="32"/>
              <w:szCs w:val="32"/>
            </w:rPr>
            <w:instrText xml:space="preserve">TOC \o "1-2" \h \u </w:instrText>
          </w:r>
          <w:r>
            <w:rPr>
              <w:rFonts w:hint="eastAsia" w:ascii="仿宋" w:hAnsi="仿宋" w:eastAsia="仿宋" w:cs="仿宋"/>
              <w:color w:val="000000" w:themeColor="text1"/>
              <w:sz w:val="32"/>
              <w:szCs w:val="32"/>
            </w:rPr>
            <w:fldChar w:fldCharType="separate"/>
          </w: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_Toc12388 </w:instrText>
          </w:r>
          <w:r>
            <w:rPr>
              <w:rFonts w:hint="eastAsia" w:ascii="仿宋" w:hAnsi="仿宋" w:eastAsia="仿宋" w:cs="仿宋"/>
              <w:b/>
              <w:sz w:val="32"/>
              <w:szCs w:val="32"/>
            </w:rPr>
            <w:fldChar w:fldCharType="separate"/>
          </w:r>
          <w:r>
            <w:rPr>
              <w:rFonts w:hint="eastAsia" w:ascii="仿宋" w:hAnsi="仿宋" w:eastAsia="仿宋" w:cs="仿宋"/>
              <w:b/>
              <w:bCs w:val="0"/>
              <w:sz w:val="32"/>
              <w:szCs w:val="32"/>
            </w:rPr>
            <w:t>一、基本职能及主要工作</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_Toc12388 </w:instrText>
          </w:r>
          <w:r>
            <w:rPr>
              <w:rFonts w:hint="eastAsia" w:ascii="仿宋" w:hAnsi="仿宋" w:eastAsia="仿宋" w:cs="仿宋"/>
              <w:b/>
              <w:sz w:val="32"/>
              <w:szCs w:val="32"/>
            </w:rPr>
            <w:fldChar w:fldCharType="separate"/>
          </w:r>
          <w:r>
            <w:rPr>
              <w:rFonts w:hint="eastAsia" w:ascii="仿宋" w:hAnsi="仿宋" w:eastAsia="仿宋" w:cs="仿宋"/>
              <w:b/>
              <w:sz w:val="32"/>
              <w:szCs w:val="32"/>
            </w:rPr>
            <w:t>2</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_Toc6592 </w:instrText>
          </w:r>
          <w:r>
            <w:rPr>
              <w:rFonts w:hint="eastAsia" w:ascii="仿宋" w:hAnsi="仿宋" w:eastAsia="仿宋" w:cs="仿宋"/>
              <w:sz w:val="32"/>
              <w:szCs w:val="32"/>
            </w:rPr>
            <w:fldChar w:fldCharType="separate"/>
          </w:r>
          <w:r>
            <w:rPr>
              <w:rFonts w:hint="eastAsia" w:ascii="仿宋" w:hAnsi="仿宋" w:eastAsia="仿宋" w:cs="仿宋"/>
              <w:sz w:val="32"/>
              <w:szCs w:val="32"/>
            </w:rPr>
            <w:t>（一）</w:t>
          </w:r>
          <w:r>
            <w:rPr>
              <w:rFonts w:hint="eastAsia" w:ascii="仿宋" w:hAnsi="仿宋" w:eastAsia="仿宋" w:cs="仿宋"/>
              <w:sz w:val="32"/>
              <w:szCs w:val="32"/>
              <w:lang w:eastAsia="zh-CN"/>
            </w:rPr>
            <w:t>平梁镇</w:t>
          </w:r>
          <w:r>
            <w:rPr>
              <w:rFonts w:hint="eastAsia" w:ascii="仿宋" w:hAnsi="仿宋" w:eastAsia="仿宋" w:cs="仿宋"/>
              <w:sz w:val="32"/>
              <w:szCs w:val="32"/>
            </w:rPr>
            <w:t>公共事务服务中心职能简介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_Toc6592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_Toc20898 </w:instrText>
          </w:r>
          <w:r>
            <w:rPr>
              <w:rFonts w:hint="eastAsia" w:ascii="仿宋" w:hAnsi="仿宋" w:eastAsia="仿宋" w:cs="仿宋"/>
              <w:sz w:val="32"/>
              <w:szCs w:val="32"/>
            </w:rPr>
            <w:fldChar w:fldCharType="separate"/>
          </w:r>
          <w:r>
            <w:rPr>
              <w:rFonts w:hint="eastAsia" w:ascii="仿宋" w:hAnsi="仿宋" w:eastAsia="仿宋" w:cs="仿宋"/>
              <w:sz w:val="32"/>
              <w:szCs w:val="32"/>
            </w:rPr>
            <w:t>（二）</w:t>
          </w:r>
          <w:r>
            <w:rPr>
              <w:rFonts w:hint="eastAsia" w:ascii="仿宋" w:hAnsi="仿宋" w:eastAsia="仿宋" w:cs="仿宋"/>
              <w:sz w:val="32"/>
              <w:szCs w:val="32"/>
              <w:lang w:eastAsia="zh-CN"/>
            </w:rPr>
            <w:t>平梁镇</w:t>
          </w:r>
          <w:r>
            <w:rPr>
              <w:rFonts w:hint="eastAsia" w:ascii="仿宋" w:hAnsi="仿宋" w:eastAsia="仿宋" w:cs="仿宋"/>
              <w:sz w:val="32"/>
              <w:szCs w:val="32"/>
            </w:rPr>
            <w:t>公共事务服务中心</w:t>
          </w:r>
          <w:r>
            <w:rPr>
              <w:rFonts w:hint="eastAsia" w:ascii="仿宋" w:hAnsi="仿宋" w:eastAsia="仿宋" w:cs="仿宋"/>
              <w:sz w:val="32"/>
              <w:szCs w:val="32"/>
              <w:lang w:eastAsia="zh-CN"/>
            </w:rPr>
            <w:t>2023</w:t>
          </w:r>
          <w:r>
            <w:rPr>
              <w:rFonts w:hint="eastAsia" w:ascii="仿宋" w:hAnsi="仿宋" w:eastAsia="仿宋" w:cs="仿宋"/>
              <w:sz w:val="32"/>
              <w:szCs w:val="32"/>
            </w:rPr>
            <w:t>年重点工作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_Toc20898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_Toc13771 </w:instrText>
          </w:r>
          <w:r>
            <w:rPr>
              <w:rFonts w:hint="eastAsia" w:ascii="仿宋" w:hAnsi="仿宋" w:eastAsia="仿宋" w:cs="仿宋"/>
              <w:b/>
              <w:sz w:val="32"/>
              <w:szCs w:val="32"/>
            </w:rPr>
            <w:fldChar w:fldCharType="separate"/>
          </w:r>
          <w:r>
            <w:rPr>
              <w:rFonts w:hint="eastAsia" w:ascii="仿宋" w:hAnsi="仿宋" w:eastAsia="仿宋" w:cs="仿宋"/>
              <w:b/>
              <w:bCs w:val="0"/>
              <w:sz w:val="32"/>
              <w:szCs w:val="32"/>
              <w:lang w:eastAsia="zh-CN"/>
            </w:rPr>
            <w:t>二</w:t>
          </w:r>
          <w:r>
            <w:rPr>
              <w:rFonts w:hint="eastAsia" w:ascii="仿宋" w:hAnsi="仿宋" w:eastAsia="仿宋" w:cs="仿宋"/>
              <w:b/>
              <w:bCs w:val="0"/>
              <w:sz w:val="32"/>
              <w:szCs w:val="32"/>
            </w:rPr>
            <w:t>、收支预算情况说明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_Toc13771 </w:instrText>
          </w:r>
          <w:r>
            <w:rPr>
              <w:rFonts w:hint="eastAsia" w:ascii="仿宋" w:hAnsi="仿宋" w:eastAsia="仿宋" w:cs="仿宋"/>
              <w:b/>
              <w:sz w:val="32"/>
              <w:szCs w:val="32"/>
            </w:rPr>
            <w:fldChar w:fldCharType="separate"/>
          </w:r>
          <w:r>
            <w:rPr>
              <w:rFonts w:hint="eastAsia" w:ascii="仿宋" w:hAnsi="仿宋" w:eastAsia="仿宋" w:cs="仿宋"/>
              <w:b/>
              <w:sz w:val="32"/>
              <w:szCs w:val="32"/>
            </w:rPr>
            <w:t>3</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_Toc28374 </w:instrText>
          </w:r>
          <w:r>
            <w:rPr>
              <w:rFonts w:hint="eastAsia" w:ascii="仿宋" w:hAnsi="仿宋" w:eastAsia="仿宋" w:cs="仿宋"/>
              <w:sz w:val="32"/>
              <w:szCs w:val="32"/>
            </w:rPr>
            <w:fldChar w:fldCharType="separate"/>
          </w:r>
          <w:r>
            <w:rPr>
              <w:rFonts w:hint="eastAsia" w:ascii="仿宋" w:hAnsi="仿宋" w:eastAsia="仿宋" w:cs="仿宋"/>
              <w:sz w:val="32"/>
              <w:szCs w:val="32"/>
            </w:rPr>
            <w:t>（一）收入预算情况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_Toc28374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_Toc14416 </w:instrText>
          </w:r>
          <w:r>
            <w:rPr>
              <w:rFonts w:hint="eastAsia" w:ascii="仿宋" w:hAnsi="仿宋" w:eastAsia="仿宋" w:cs="仿宋"/>
              <w:sz w:val="32"/>
              <w:szCs w:val="32"/>
            </w:rPr>
            <w:fldChar w:fldCharType="separate"/>
          </w:r>
          <w:r>
            <w:rPr>
              <w:rFonts w:hint="eastAsia" w:ascii="仿宋" w:hAnsi="仿宋" w:eastAsia="仿宋" w:cs="仿宋"/>
              <w:sz w:val="32"/>
              <w:szCs w:val="32"/>
            </w:rPr>
            <w:t>（二）支出预算情况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_Toc14416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_Toc20100 </w:instrText>
          </w:r>
          <w:r>
            <w:rPr>
              <w:rFonts w:hint="eastAsia" w:ascii="仿宋" w:hAnsi="仿宋" w:eastAsia="仿宋" w:cs="仿宋"/>
              <w:b/>
              <w:sz w:val="32"/>
              <w:szCs w:val="32"/>
            </w:rPr>
            <w:fldChar w:fldCharType="separate"/>
          </w:r>
          <w:r>
            <w:rPr>
              <w:rFonts w:hint="eastAsia" w:ascii="仿宋" w:hAnsi="仿宋" w:eastAsia="仿宋" w:cs="仿宋"/>
              <w:b/>
              <w:bCs w:val="0"/>
              <w:sz w:val="32"/>
              <w:szCs w:val="32"/>
              <w:lang w:eastAsia="zh-CN"/>
            </w:rPr>
            <w:t>三</w:t>
          </w:r>
          <w:r>
            <w:rPr>
              <w:rFonts w:hint="eastAsia" w:ascii="仿宋" w:hAnsi="仿宋" w:eastAsia="仿宋" w:cs="仿宋"/>
              <w:b/>
              <w:bCs w:val="0"/>
              <w:sz w:val="32"/>
              <w:szCs w:val="32"/>
            </w:rPr>
            <w:t>、财政拨款收支预算情况说明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_Toc20100 </w:instrText>
          </w:r>
          <w:r>
            <w:rPr>
              <w:rFonts w:hint="eastAsia" w:ascii="仿宋" w:hAnsi="仿宋" w:eastAsia="仿宋" w:cs="仿宋"/>
              <w:b/>
              <w:sz w:val="32"/>
              <w:szCs w:val="32"/>
            </w:rPr>
            <w:fldChar w:fldCharType="separate"/>
          </w:r>
          <w:r>
            <w:rPr>
              <w:rFonts w:hint="eastAsia" w:ascii="仿宋" w:hAnsi="仿宋" w:eastAsia="仿宋" w:cs="仿宋"/>
              <w:b/>
              <w:sz w:val="32"/>
              <w:szCs w:val="32"/>
            </w:rPr>
            <w:t>3</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_Toc684 </w:instrText>
          </w:r>
          <w:r>
            <w:rPr>
              <w:rFonts w:hint="eastAsia" w:ascii="仿宋" w:hAnsi="仿宋" w:eastAsia="仿宋" w:cs="仿宋"/>
              <w:b/>
              <w:sz w:val="32"/>
              <w:szCs w:val="32"/>
            </w:rPr>
            <w:fldChar w:fldCharType="separate"/>
          </w:r>
          <w:r>
            <w:rPr>
              <w:rFonts w:hint="eastAsia" w:ascii="仿宋" w:hAnsi="仿宋" w:eastAsia="仿宋" w:cs="仿宋"/>
              <w:b/>
              <w:bCs w:val="0"/>
              <w:sz w:val="32"/>
              <w:szCs w:val="32"/>
              <w:lang w:eastAsia="zh-CN"/>
            </w:rPr>
            <w:t>四</w:t>
          </w:r>
          <w:r>
            <w:rPr>
              <w:rFonts w:hint="eastAsia" w:ascii="仿宋" w:hAnsi="仿宋" w:eastAsia="仿宋" w:cs="仿宋"/>
              <w:b/>
              <w:bCs w:val="0"/>
              <w:sz w:val="32"/>
              <w:szCs w:val="32"/>
            </w:rPr>
            <w:t>、一般公共预算当年拨款情况说明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_Toc684 </w:instrText>
          </w:r>
          <w:r>
            <w:rPr>
              <w:rFonts w:hint="eastAsia" w:ascii="仿宋" w:hAnsi="仿宋" w:eastAsia="仿宋" w:cs="仿宋"/>
              <w:b/>
              <w:sz w:val="32"/>
              <w:szCs w:val="32"/>
            </w:rPr>
            <w:fldChar w:fldCharType="separate"/>
          </w:r>
          <w:r>
            <w:rPr>
              <w:rFonts w:hint="eastAsia" w:ascii="仿宋" w:hAnsi="仿宋" w:eastAsia="仿宋" w:cs="仿宋"/>
              <w:b/>
              <w:sz w:val="32"/>
              <w:szCs w:val="32"/>
            </w:rPr>
            <w:t>4</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_Toc21975 </w:instrText>
          </w:r>
          <w:r>
            <w:rPr>
              <w:rFonts w:hint="eastAsia" w:ascii="仿宋" w:hAnsi="仿宋" w:eastAsia="仿宋" w:cs="仿宋"/>
              <w:sz w:val="32"/>
              <w:szCs w:val="32"/>
            </w:rPr>
            <w:fldChar w:fldCharType="separate"/>
          </w:r>
          <w:r>
            <w:rPr>
              <w:rFonts w:hint="eastAsia" w:ascii="仿宋" w:hAnsi="仿宋" w:eastAsia="仿宋" w:cs="仿宋"/>
              <w:sz w:val="32"/>
              <w:szCs w:val="32"/>
            </w:rPr>
            <w:t>（一）一般公共预算当年拨款规模变化情况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_Toc21975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_Toc20892 </w:instrText>
          </w:r>
          <w:r>
            <w:rPr>
              <w:rFonts w:hint="eastAsia" w:ascii="仿宋" w:hAnsi="仿宋" w:eastAsia="仿宋" w:cs="仿宋"/>
              <w:sz w:val="32"/>
              <w:szCs w:val="32"/>
            </w:rPr>
            <w:fldChar w:fldCharType="separate"/>
          </w:r>
          <w:r>
            <w:rPr>
              <w:rFonts w:hint="eastAsia" w:ascii="仿宋" w:hAnsi="仿宋" w:eastAsia="仿宋" w:cs="仿宋"/>
              <w:sz w:val="32"/>
              <w:szCs w:val="32"/>
            </w:rPr>
            <w:t>（二）一般公共预算当年拨款结构情况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_Toc20892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_Toc29163 </w:instrText>
          </w:r>
          <w:r>
            <w:rPr>
              <w:rFonts w:hint="eastAsia" w:ascii="仿宋" w:hAnsi="仿宋" w:eastAsia="仿宋" w:cs="仿宋"/>
              <w:sz w:val="32"/>
              <w:szCs w:val="32"/>
            </w:rPr>
            <w:fldChar w:fldCharType="separate"/>
          </w:r>
          <w:r>
            <w:rPr>
              <w:rFonts w:hint="eastAsia" w:ascii="仿宋" w:hAnsi="仿宋" w:eastAsia="仿宋" w:cs="仿宋"/>
              <w:sz w:val="32"/>
              <w:szCs w:val="32"/>
            </w:rPr>
            <w:t>（三）一般公共预算当年拨款具体使用情况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_Toc29163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_Toc15319 </w:instrText>
          </w:r>
          <w:r>
            <w:rPr>
              <w:rFonts w:hint="eastAsia" w:ascii="仿宋" w:hAnsi="仿宋" w:eastAsia="仿宋" w:cs="仿宋"/>
              <w:b/>
              <w:sz w:val="32"/>
              <w:szCs w:val="32"/>
            </w:rPr>
            <w:fldChar w:fldCharType="separate"/>
          </w:r>
          <w:r>
            <w:rPr>
              <w:rFonts w:hint="eastAsia" w:ascii="仿宋" w:hAnsi="仿宋" w:eastAsia="仿宋" w:cs="仿宋"/>
              <w:b/>
              <w:bCs w:val="0"/>
              <w:sz w:val="32"/>
              <w:szCs w:val="32"/>
              <w:lang w:eastAsia="zh-CN"/>
            </w:rPr>
            <w:t>五</w:t>
          </w:r>
          <w:r>
            <w:rPr>
              <w:rFonts w:hint="eastAsia" w:ascii="仿宋" w:hAnsi="仿宋" w:eastAsia="仿宋" w:cs="仿宋"/>
              <w:b/>
              <w:bCs w:val="0"/>
              <w:sz w:val="32"/>
              <w:szCs w:val="32"/>
            </w:rPr>
            <w:t>、一般公共预算基本支出情况说明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_Toc15319 </w:instrText>
          </w:r>
          <w:r>
            <w:rPr>
              <w:rFonts w:hint="eastAsia" w:ascii="仿宋" w:hAnsi="仿宋" w:eastAsia="仿宋" w:cs="仿宋"/>
              <w:b/>
              <w:sz w:val="32"/>
              <w:szCs w:val="32"/>
            </w:rPr>
            <w:fldChar w:fldCharType="separate"/>
          </w:r>
          <w:r>
            <w:rPr>
              <w:rFonts w:hint="eastAsia" w:ascii="仿宋" w:hAnsi="仿宋" w:eastAsia="仿宋" w:cs="仿宋"/>
              <w:b/>
              <w:sz w:val="32"/>
              <w:szCs w:val="32"/>
            </w:rPr>
            <w:t>5</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_Toc27775 </w:instrText>
          </w:r>
          <w:r>
            <w:rPr>
              <w:rFonts w:hint="eastAsia" w:ascii="仿宋" w:hAnsi="仿宋" w:eastAsia="仿宋" w:cs="仿宋"/>
              <w:b/>
              <w:sz w:val="32"/>
              <w:szCs w:val="32"/>
            </w:rPr>
            <w:fldChar w:fldCharType="separate"/>
          </w:r>
          <w:r>
            <w:rPr>
              <w:rFonts w:hint="eastAsia" w:ascii="仿宋" w:hAnsi="仿宋" w:eastAsia="仿宋" w:cs="仿宋"/>
              <w:b/>
              <w:bCs w:val="0"/>
              <w:sz w:val="32"/>
              <w:szCs w:val="32"/>
              <w:lang w:eastAsia="zh-CN"/>
            </w:rPr>
            <w:t>六</w:t>
          </w:r>
          <w:r>
            <w:rPr>
              <w:rFonts w:hint="eastAsia" w:ascii="仿宋" w:hAnsi="仿宋" w:eastAsia="仿宋" w:cs="仿宋"/>
              <w:b/>
              <w:bCs w:val="0"/>
              <w:sz w:val="32"/>
              <w:szCs w:val="32"/>
            </w:rPr>
            <w:t>、“三公”经费财政拨款预算安排情况说明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_Toc27775 </w:instrText>
          </w:r>
          <w:r>
            <w:rPr>
              <w:rFonts w:hint="eastAsia" w:ascii="仿宋" w:hAnsi="仿宋" w:eastAsia="仿宋" w:cs="仿宋"/>
              <w:b/>
              <w:sz w:val="32"/>
              <w:szCs w:val="32"/>
            </w:rPr>
            <w:fldChar w:fldCharType="separate"/>
          </w:r>
          <w:r>
            <w:rPr>
              <w:rFonts w:hint="eastAsia" w:ascii="仿宋" w:hAnsi="仿宋" w:eastAsia="仿宋" w:cs="仿宋"/>
              <w:b/>
              <w:sz w:val="32"/>
              <w:szCs w:val="32"/>
            </w:rPr>
            <w:t>6</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_Toc17013 </w:instrText>
          </w:r>
          <w:r>
            <w:rPr>
              <w:rFonts w:hint="eastAsia" w:ascii="仿宋" w:hAnsi="仿宋" w:eastAsia="仿宋" w:cs="仿宋"/>
              <w:b/>
              <w:sz w:val="32"/>
              <w:szCs w:val="32"/>
            </w:rPr>
            <w:fldChar w:fldCharType="separate"/>
          </w:r>
          <w:r>
            <w:rPr>
              <w:rFonts w:hint="eastAsia" w:ascii="仿宋" w:hAnsi="仿宋" w:eastAsia="仿宋" w:cs="仿宋"/>
              <w:b/>
              <w:bCs w:val="0"/>
              <w:sz w:val="32"/>
              <w:szCs w:val="32"/>
              <w:lang w:eastAsia="zh-CN"/>
            </w:rPr>
            <w:t>七</w:t>
          </w:r>
          <w:r>
            <w:rPr>
              <w:rFonts w:hint="eastAsia" w:ascii="仿宋" w:hAnsi="仿宋" w:eastAsia="仿宋" w:cs="仿宋"/>
              <w:b/>
              <w:bCs w:val="0"/>
              <w:sz w:val="32"/>
              <w:szCs w:val="32"/>
            </w:rPr>
            <w:t>、政府性基金预算支出情况说明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_Toc17013 </w:instrText>
          </w:r>
          <w:r>
            <w:rPr>
              <w:rFonts w:hint="eastAsia" w:ascii="仿宋" w:hAnsi="仿宋" w:eastAsia="仿宋" w:cs="仿宋"/>
              <w:b/>
              <w:sz w:val="32"/>
              <w:szCs w:val="32"/>
            </w:rPr>
            <w:fldChar w:fldCharType="separate"/>
          </w:r>
          <w:r>
            <w:rPr>
              <w:rFonts w:hint="eastAsia" w:ascii="仿宋" w:hAnsi="仿宋" w:eastAsia="仿宋" w:cs="仿宋"/>
              <w:b/>
              <w:sz w:val="32"/>
              <w:szCs w:val="32"/>
            </w:rPr>
            <w:t>6</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_Toc3893 </w:instrText>
          </w:r>
          <w:r>
            <w:rPr>
              <w:rFonts w:hint="eastAsia" w:ascii="仿宋" w:hAnsi="仿宋" w:eastAsia="仿宋" w:cs="仿宋"/>
              <w:b/>
              <w:sz w:val="32"/>
              <w:szCs w:val="32"/>
            </w:rPr>
            <w:fldChar w:fldCharType="separate"/>
          </w:r>
          <w:r>
            <w:rPr>
              <w:rFonts w:hint="eastAsia" w:ascii="仿宋" w:hAnsi="仿宋" w:eastAsia="仿宋" w:cs="仿宋"/>
              <w:b/>
              <w:bCs w:val="0"/>
              <w:sz w:val="32"/>
              <w:szCs w:val="32"/>
              <w:lang w:eastAsia="zh-CN"/>
            </w:rPr>
            <w:t>八、其他重要事项的情况说明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_Toc3893 </w:instrText>
          </w:r>
          <w:r>
            <w:rPr>
              <w:rFonts w:hint="eastAsia" w:ascii="仿宋" w:hAnsi="仿宋" w:eastAsia="仿宋" w:cs="仿宋"/>
              <w:b/>
              <w:sz w:val="32"/>
              <w:szCs w:val="32"/>
            </w:rPr>
            <w:fldChar w:fldCharType="separate"/>
          </w:r>
          <w:r>
            <w:rPr>
              <w:rFonts w:hint="eastAsia" w:ascii="仿宋" w:hAnsi="仿宋" w:eastAsia="仿宋" w:cs="仿宋"/>
              <w:b/>
              <w:sz w:val="32"/>
              <w:szCs w:val="32"/>
            </w:rPr>
            <w:t>6</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_Toc27068 </w:instrText>
          </w:r>
          <w:r>
            <w:rPr>
              <w:rFonts w:hint="eastAsia" w:ascii="仿宋" w:hAnsi="仿宋" w:eastAsia="仿宋" w:cs="仿宋"/>
              <w:sz w:val="32"/>
              <w:szCs w:val="32"/>
            </w:rPr>
            <w:fldChar w:fldCharType="separate"/>
          </w: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）政府采购情况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_Toc27068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3"/>
            <w:tabs>
              <w:tab w:val="right" w:leader="dot" w:pos="8306"/>
            </w:tabs>
            <w:rPr>
              <w:rFonts w:hint="eastAsia" w:ascii="仿宋" w:hAnsi="仿宋" w:eastAsia="仿宋" w:cs="仿宋"/>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sz w:val="32"/>
              <w:szCs w:val="32"/>
            </w:rPr>
            <w:instrText xml:space="preserve"> HYPERLINK \l _Toc20934 </w:instrText>
          </w:r>
          <w:r>
            <w:rPr>
              <w:rFonts w:hint="eastAsia" w:ascii="仿宋" w:hAnsi="仿宋" w:eastAsia="仿宋" w:cs="仿宋"/>
              <w:sz w:val="32"/>
              <w:szCs w:val="32"/>
            </w:rPr>
            <w:fldChar w:fldCharType="separate"/>
          </w: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）国有资产占有使用情况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_Toc20934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color w:val="000000" w:themeColor="text1"/>
              <w:sz w:val="32"/>
              <w:szCs w:val="32"/>
            </w:rPr>
            <w:fldChar w:fldCharType="end"/>
          </w:r>
        </w:p>
        <w:p>
          <w:pPr>
            <w:pStyle w:val="12"/>
            <w:tabs>
              <w:tab w:val="right" w:leader="dot" w:pos="8306"/>
            </w:tabs>
            <w:rPr>
              <w:rFonts w:hint="eastAsia" w:ascii="仿宋" w:hAnsi="仿宋" w:eastAsia="仿宋" w:cs="仿宋"/>
              <w:b/>
              <w:sz w:val="32"/>
              <w:szCs w:val="32"/>
            </w:rPr>
          </w:pPr>
          <w:r>
            <w:rPr>
              <w:rFonts w:hint="eastAsia" w:ascii="仿宋" w:hAnsi="仿宋" w:eastAsia="仿宋" w:cs="仿宋"/>
              <w:b/>
              <w:color w:val="000000" w:themeColor="text1"/>
              <w:sz w:val="32"/>
              <w:szCs w:val="32"/>
            </w:rPr>
            <w:fldChar w:fldCharType="begin"/>
          </w:r>
          <w:r>
            <w:rPr>
              <w:rFonts w:hint="eastAsia" w:ascii="仿宋" w:hAnsi="仿宋" w:eastAsia="仿宋" w:cs="仿宋"/>
              <w:b/>
              <w:sz w:val="32"/>
              <w:szCs w:val="32"/>
            </w:rPr>
            <w:instrText xml:space="preserve"> HYPERLINK \l _Toc17659 </w:instrText>
          </w:r>
          <w:r>
            <w:rPr>
              <w:rFonts w:hint="eastAsia" w:ascii="仿宋" w:hAnsi="仿宋" w:eastAsia="仿宋" w:cs="仿宋"/>
              <w:b/>
              <w:sz w:val="32"/>
              <w:szCs w:val="32"/>
            </w:rPr>
            <w:fldChar w:fldCharType="separate"/>
          </w:r>
          <w:r>
            <w:rPr>
              <w:rFonts w:hint="eastAsia" w:ascii="仿宋" w:hAnsi="仿宋" w:eastAsia="仿宋" w:cs="仿宋"/>
              <w:b/>
              <w:bCs w:val="0"/>
              <w:sz w:val="32"/>
              <w:szCs w:val="32"/>
              <w:lang w:eastAsia="zh-CN"/>
            </w:rPr>
            <w:t>九、名词解释</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_Toc17659 </w:instrText>
          </w:r>
          <w:r>
            <w:rPr>
              <w:rFonts w:hint="eastAsia" w:ascii="仿宋" w:hAnsi="仿宋" w:eastAsia="仿宋" w:cs="仿宋"/>
              <w:b/>
              <w:sz w:val="32"/>
              <w:szCs w:val="32"/>
            </w:rPr>
            <w:fldChar w:fldCharType="separate"/>
          </w:r>
          <w:r>
            <w:rPr>
              <w:rFonts w:hint="eastAsia" w:ascii="仿宋" w:hAnsi="仿宋" w:eastAsia="仿宋" w:cs="仿宋"/>
              <w:b/>
              <w:sz w:val="32"/>
              <w:szCs w:val="32"/>
            </w:rPr>
            <w:t>6</w:t>
          </w:r>
          <w:r>
            <w:rPr>
              <w:rFonts w:hint="eastAsia" w:ascii="仿宋" w:hAnsi="仿宋" w:eastAsia="仿宋" w:cs="仿宋"/>
              <w:b/>
              <w:sz w:val="32"/>
              <w:szCs w:val="32"/>
            </w:rPr>
            <w:fldChar w:fldCharType="end"/>
          </w:r>
          <w:r>
            <w:rPr>
              <w:rFonts w:hint="eastAsia" w:ascii="仿宋" w:hAnsi="仿宋" w:eastAsia="仿宋" w:cs="仿宋"/>
              <w:b/>
              <w:color w:val="000000" w:themeColor="text1"/>
              <w:sz w:val="32"/>
              <w:szCs w:val="32"/>
            </w:rPr>
            <w:fldChar w:fldCharType="end"/>
          </w:r>
        </w:p>
        <w:p>
          <w:pPr>
            <w:rPr>
              <w:rFonts w:hint="eastAsia" w:ascii="仿宋" w:hAnsi="仿宋" w:eastAsia="仿宋" w:cs="仿宋"/>
              <w:b/>
              <w:color w:val="000000" w:themeColor="text1"/>
              <w:kern w:val="2"/>
              <w:sz w:val="32"/>
              <w:szCs w:val="32"/>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color w:val="000000" w:themeColor="text1"/>
              <w:sz w:val="32"/>
              <w:szCs w:val="32"/>
            </w:rPr>
            <w:fldChar w:fldCharType="end"/>
          </w:r>
        </w:p>
      </w:sdtContent>
    </w:sdt>
    <w:p>
      <w:pPr>
        <w:pStyle w:val="2"/>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val="0"/>
          <w:sz w:val="32"/>
          <w:szCs w:val="32"/>
        </w:rPr>
      </w:pPr>
      <w:bookmarkStart w:id="0" w:name="_Toc12388"/>
      <w:r>
        <w:rPr>
          <w:rFonts w:hint="eastAsia" w:ascii="仿宋" w:hAnsi="仿宋" w:eastAsia="仿宋" w:cs="仿宋"/>
          <w:b/>
          <w:bCs w:val="0"/>
          <w:sz w:val="32"/>
          <w:szCs w:val="32"/>
        </w:rPr>
        <w:t>一、基本职能及主要工作</w:t>
      </w:r>
      <w:bookmarkEnd w:id="0"/>
    </w:p>
    <w:p>
      <w:pPr>
        <w:pStyle w:val="3"/>
        <w:keepNext/>
        <w:keepLines/>
        <w:pageBreakBefore w:val="0"/>
        <w:widowControl w:val="0"/>
        <w:kinsoku/>
        <w:wordWrap/>
        <w:overflowPunct/>
        <w:topLinePunct w:val="0"/>
        <w:autoSpaceDE/>
        <w:autoSpaceDN/>
        <w:bidi w:val="0"/>
        <w:adjustRightInd/>
        <w:snapToGrid/>
        <w:spacing w:line="413" w:lineRule="auto"/>
        <w:ind w:left="0" w:leftChars="0" w:firstLine="643" w:firstLineChars="200"/>
        <w:jc w:val="both"/>
        <w:textAlignment w:val="auto"/>
        <w:rPr>
          <w:rFonts w:hint="eastAsia" w:ascii="仿宋" w:hAnsi="仿宋" w:eastAsia="仿宋" w:cs="仿宋"/>
          <w:sz w:val="32"/>
          <w:szCs w:val="32"/>
        </w:rPr>
      </w:pPr>
      <w:bookmarkStart w:id="1" w:name="_Toc6592"/>
      <w:r>
        <w:rPr>
          <w:rFonts w:hint="eastAsia" w:ascii="仿宋" w:hAnsi="仿宋" w:eastAsia="仿宋" w:cs="仿宋"/>
          <w:sz w:val="32"/>
          <w:szCs w:val="32"/>
        </w:rPr>
        <w:t>（一）</w:t>
      </w:r>
      <w:r>
        <w:rPr>
          <w:rFonts w:hint="eastAsia" w:ascii="仿宋" w:hAnsi="仿宋" w:eastAsia="仿宋" w:cs="仿宋"/>
          <w:sz w:val="32"/>
          <w:szCs w:val="32"/>
          <w:lang w:eastAsia="zh-CN"/>
        </w:rPr>
        <w:t>平梁镇</w:t>
      </w:r>
      <w:r>
        <w:rPr>
          <w:rFonts w:hint="eastAsia" w:ascii="仿宋" w:hAnsi="仿宋" w:eastAsia="仿宋" w:cs="仿宋"/>
          <w:sz w:val="32"/>
          <w:szCs w:val="32"/>
        </w:rPr>
        <w:t>公共事务服务中心职能简介</w:t>
      </w:r>
      <w:bookmarkEnd w:id="1"/>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主要负责民生保障，食品药品管理，社会事业发展等保障服务工作。</w:t>
      </w:r>
    </w:p>
    <w:p>
      <w:pPr>
        <w:pStyle w:val="3"/>
        <w:keepNext/>
        <w:keepLines/>
        <w:pageBreakBefore w:val="0"/>
        <w:widowControl w:val="0"/>
        <w:kinsoku/>
        <w:wordWrap/>
        <w:overflowPunct/>
        <w:topLinePunct w:val="0"/>
        <w:autoSpaceDE/>
        <w:autoSpaceDN/>
        <w:bidi w:val="0"/>
        <w:adjustRightInd/>
        <w:snapToGrid/>
        <w:spacing w:line="413" w:lineRule="auto"/>
        <w:ind w:left="0" w:leftChars="0" w:firstLine="643" w:firstLineChars="200"/>
        <w:jc w:val="both"/>
        <w:textAlignment w:val="auto"/>
        <w:rPr>
          <w:rFonts w:hint="eastAsia" w:ascii="仿宋" w:hAnsi="仿宋" w:eastAsia="仿宋" w:cs="仿宋"/>
          <w:b/>
          <w:sz w:val="32"/>
          <w:szCs w:val="32"/>
        </w:rPr>
      </w:pPr>
      <w:bookmarkStart w:id="2" w:name="_Toc20898"/>
      <w:r>
        <w:rPr>
          <w:rFonts w:hint="eastAsia" w:ascii="仿宋" w:hAnsi="仿宋" w:eastAsia="仿宋" w:cs="仿宋"/>
          <w:b/>
          <w:sz w:val="32"/>
          <w:szCs w:val="32"/>
        </w:rPr>
        <w:t>（二）</w:t>
      </w:r>
      <w:r>
        <w:rPr>
          <w:rFonts w:hint="eastAsia" w:ascii="仿宋" w:hAnsi="仿宋" w:eastAsia="仿宋" w:cs="仿宋"/>
          <w:b/>
          <w:sz w:val="32"/>
          <w:szCs w:val="32"/>
          <w:lang w:eastAsia="zh-CN"/>
        </w:rPr>
        <w:t>平梁镇</w:t>
      </w:r>
      <w:r>
        <w:rPr>
          <w:rFonts w:hint="eastAsia" w:ascii="仿宋" w:hAnsi="仿宋" w:eastAsia="仿宋" w:cs="仿宋"/>
          <w:b/>
          <w:sz w:val="32"/>
          <w:szCs w:val="32"/>
        </w:rPr>
        <w:t>公共事务服务中心</w:t>
      </w:r>
      <w:r>
        <w:rPr>
          <w:rFonts w:hint="eastAsia" w:ascii="仿宋" w:hAnsi="仿宋" w:eastAsia="仿宋" w:cs="仿宋"/>
          <w:b/>
          <w:sz w:val="32"/>
          <w:szCs w:val="32"/>
          <w:lang w:eastAsia="zh-CN"/>
        </w:rPr>
        <w:t>2023</w:t>
      </w:r>
      <w:r>
        <w:rPr>
          <w:rFonts w:hint="eastAsia" w:ascii="仿宋" w:hAnsi="仿宋" w:eastAsia="仿宋" w:cs="仿宋"/>
          <w:b/>
          <w:sz w:val="32"/>
          <w:szCs w:val="32"/>
        </w:rPr>
        <w:t>年重点工作</w:t>
      </w:r>
      <w:bookmarkEnd w:id="2"/>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一是社会保障工作；二是医疗保障工作；三是食品药品管理。</w:t>
      </w:r>
    </w:p>
    <w:p>
      <w:pPr>
        <w:pStyle w:val="2"/>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val="0"/>
          <w:sz w:val="32"/>
          <w:szCs w:val="32"/>
        </w:rPr>
      </w:pPr>
      <w:bookmarkStart w:id="3" w:name="_Toc13771"/>
      <w:r>
        <w:rPr>
          <w:rFonts w:hint="eastAsia" w:ascii="仿宋" w:hAnsi="仿宋" w:eastAsia="仿宋" w:cs="仿宋"/>
          <w:b/>
          <w:bCs w:val="0"/>
          <w:sz w:val="32"/>
          <w:szCs w:val="32"/>
          <w:lang w:eastAsia="zh-CN"/>
        </w:rPr>
        <w:t>二</w:t>
      </w:r>
      <w:r>
        <w:rPr>
          <w:rFonts w:hint="eastAsia" w:ascii="仿宋" w:hAnsi="仿宋" w:eastAsia="仿宋" w:cs="仿宋"/>
          <w:b/>
          <w:bCs w:val="0"/>
          <w:sz w:val="32"/>
          <w:szCs w:val="32"/>
        </w:rPr>
        <w:t>、收支预算情况说明</w:t>
      </w:r>
      <w:bookmarkEnd w:id="3"/>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按照综合预算的原则，</w:t>
      </w: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公共事务服务中心所有收入和支出均纳入部门预算管理。收入包括：一般公共预算拨款收入、上年结转；支出包括：（一般公共服务支出、教育支出）、社会保障和就业支出、医疗卫生与计划生育支出、住房保障支出。</w:t>
      </w: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公共事务服务中心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年收支总预算</w:t>
      </w:r>
      <w:r>
        <w:rPr>
          <w:rFonts w:hint="eastAsia" w:ascii="仿宋" w:hAnsi="仿宋" w:eastAsia="仿宋" w:cs="仿宋"/>
          <w:color w:val="000000" w:themeColor="text1"/>
          <w:sz w:val="32"/>
          <w:szCs w:val="32"/>
          <w:lang w:val="en-US" w:eastAsia="zh-CN"/>
        </w:rPr>
        <w:t>189.41</w:t>
      </w:r>
      <w:r>
        <w:rPr>
          <w:rFonts w:hint="eastAsia" w:ascii="仿宋" w:hAnsi="仿宋" w:eastAsia="仿宋" w:cs="仿宋"/>
          <w:color w:val="000000" w:themeColor="text1"/>
          <w:sz w:val="32"/>
          <w:szCs w:val="32"/>
        </w:rPr>
        <w:t>万元。</w:t>
      </w:r>
    </w:p>
    <w:p>
      <w:pPr>
        <w:pStyle w:val="3"/>
        <w:keepNext/>
        <w:keepLines/>
        <w:pageBreakBefore w:val="0"/>
        <w:widowControl w:val="0"/>
        <w:kinsoku/>
        <w:wordWrap/>
        <w:overflowPunct/>
        <w:topLinePunct w:val="0"/>
        <w:autoSpaceDE/>
        <w:autoSpaceDN/>
        <w:bidi w:val="0"/>
        <w:adjustRightInd/>
        <w:snapToGrid/>
        <w:spacing w:line="413" w:lineRule="auto"/>
        <w:ind w:left="0" w:leftChars="0" w:firstLine="643" w:firstLineChars="200"/>
        <w:jc w:val="both"/>
        <w:textAlignment w:val="auto"/>
        <w:rPr>
          <w:rFonts w:hint="eastAsia" w:ascii="仿宋" w:hAnsi="仿宋" w:eastAsia="仿宋" w:cs="仿宋"/>
          <w:b/>
          <w:sz w:val="32"/>
          <w:szCs w:val="32"/>
        </w:rPr>
      </w:pPr>
      <w:bookmarkStart w:id="4" w:name="_Toc28374"/>
      <w:r>
        <w:rPr>
          <w:rFonts w:hint="eastAsia" w:ascii="仿宋" w:hAnsi="仿宋" w:eastAsia="仿宋" w:cs="仿宋"/>
          <w:b/>
          <w:sz w:val="32"/>
          <w:szCs w:val="32"/>
        </w:rPr>
        <w:t>（一）收入预算情况</w:t>
      </w:r>
      <w:bookmarkEnd w:id="4"/>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 xml:space="preserve">年收入预算 </w:t>
      </w:r>
      <w:r>
        <w:rPr>
          <w:rFonts w:hint="eastAsia" w:ascii="仿宋" w:hAnsi="仿宋" w:eastAsia="仿宋" w:cs="仿宋"/>
          <w:color w:val="000000" w:themeColor="text1"/>
          <w:sz w:val="32"/>
          <w:szCs w:val="32"/>
          <w:lang w:val="en-US" w:eastAsia="zh-CN"/>
        </w:rPr>
        <w:t>189.41</w:t>
      </w:r>
      <w:r>
        <w:rPr>
          <w:rFonts w:hint="eastAsia" w:ascii="仿宋" w:hAnsi="仿宋" w:eastAsia="仿宋" w:cs="仿宋"/>
          <w:color w:val="000000" w:themeColor="text1"/>
          <w:sz w:val="32"/>
          <w:szCs w:val="32"/>
        </w:rPr>
        <w:t>万元，其中：一般公共预算拨款收入</w:t>
      </w:r>
      <w:r>
        <w:rPr>
          <w:rFonts w:hint="eastAsia" w:ascii="仿宋" w:hAnsi="仿宋" w:eastAsia="仿宋" w:cs="仿宋"/>
          <w:color w:val="000000" w:themeColor="text1"/>
          <w:sz w:val="32"/>
          <w:szCs w:val="32"/>
          <w:lang w:val="en-US" w:eastAsia="zh-CN"/>
        </w:rPr>
        <w:t>189.41</w:t>
      </w:r>
      <w:r>
        <w:rPr>
          <w:rFonts w:hint="eastAsia" w:ascii="仿宋" w:hAnsi="仿宋" w:eastAsia="仿宋" w:cs="仿宋"/>
          <w:color w:val="000000" w:themeColor="text1"/>
          <w:sz w:val="32"/>
          <w:szCs w:val="32"/>
        </w:rPr>
        <w:t>万元，占</w:t>
      </w:r>
      <w:r>
        <w:rPr>
          <w:rFonts w:hint="eastAsia" w:ascii="仿宋" w:hAnsi="仿宋" w:eastAsia="仿宋" w:cs="仿宋"/>
          <w:color w:val="000000" w:themeColor="text1"/>
          <w:sz w:val="32"/>
          <w:szCs w:val="32"/>
          <w:lang w:val="en-US" w:eastAsia="zh-CN"/>
        </w:rPr>
        <w:t>100</w:t>
      </w:r>
      <w:r>
        <w:rPr>
          <w:rFonts w:hint="eastAsia" w:ascii="仿宋" w:hAnsi="仿宋" w:eastAsia="仿宋" w:cs="仿宋"/>
          <w:color w:val="000000" w:themeColor="text1"/>
          <w:sz w:val="32"/>
          <w:szCs w:val="32"/>
        </w:rPr>
        <w:t>%。</w:t>
      </w:r>
    </w:p>
    <w:p>
      <w:pPr>
        <w:pStyle w:val="3"/>
        <w:keepNext/>
        <w:keepLines/>
        <w:pageBreakBefore w:val="0"/>
        <w:widowControl w:val="0"/>
        <w:kinsoku/>
        <w:wordWrap/>
        <w:overflowPunct/>
        <w:topLinePunct w:val="0"/>
        <w:autoSpaceDE/>
        <w:autoSpaceDN/>
        <w:bidi w:val="0"/>
        <w:adjustRightInd/>
        <w:snapToGrid/>
        <w:spacing w:line="413" w:lineRule="auto"/>
        <w:ind w:left="0" w:leftChars="0" w:firstLine="643" w:firstLineChars="200"/>
        <w:jc w:val="both"/>
        <w:textAlignment w:val="auto"/>
        <w:rPr>
          <w:rFonts w:hint="eastAsia" w:ascii="仿宋" w:hAnsi="仿宋" w:eastAsia="仿宋" w:cs="仿宋"/>
          <w:b/>
          <w:sz w:val="32"/>
          <w:szCs w:val="32"/>
        </w:rPr>
      </w:pPr>
      <w:bookmarkStart w:id="5" w:name="_Toc14416"/>
      <w:r>
        <w:rPr>
          <w:rFonts w:hint="eastAsia" w:ascii="仿宋" w:hAnsi="仿宋" w:eastAsia="仿宋" w:cs="仿宋"/>
          <w:b/>
          <w:sz w:val="32"/>
          <w:szCs w:val="32"/>
        </w:rPr>
        <w:t>（二）支出预算情况</w:t>
      </w:r>
      <w:bookmarkEnd w:id="5"/>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公共事务服务中心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年支出预算</w:t>
      </w:r>
      <w:r>
        <w:rPr>
          <w:rFonts w:hint="eastAsia" w:ascii="仿宋" w:hAnsi="仿宋" w:eastAsia="仿宋" w:cs="仿宋"/>
          <w:color w:val="000000" w:themeColor="text1"/>
          <w:sz w:val="32"/>
          <w:szCs w:val="32"/>
          <w:lang w:val="en-US" w:eastAsia="zh-CN"/>
        </w:rPr>
        <w:t>189.41</w:t>
      </w:r>
      <w:r>
        <w:rPr>
          <w:rFonts w:hint="eastAsia" w:ascii="仿宋" w:hAnsi="仿宋" w:eastAsia="仿宋" w:cs="仿宋"/>
          <w:color w:val="000000" w:themeColor="text1"/>
          <w:sz w:val="32"/>
          <w:szCs w:val="32"/>
        </w:rPr>
        <w:t>万元，其中：基本支出</w:t>
      </w:r>
      <w:r>
        <w:rPr>
          <w:rFonts w:hint="eastAsia" w:ascii="仿宋" w:hAnsi="仿宋" w:eastAsia="仿宋" w:cs="仿宋"/>
          <w:color w:val="000000" w:themeColor="text1"/>
          <w:sz w:val="32"/>
          <w:szCs w:val="32"/>
          <w:lang w:val="en-US" w:eastAsia="zh-CN"/>
        </w:rPr>
        <w:t>189.41</w:t>
      </w:r>
      <w:r>
        <w:rPr>
          <w:rFonts w:hint="eastAsia" w:ascii="仿宋" w:hAnsi="仿宋" w:eastAsia="仿宋" w:cs="仿宋"/>
          <w:color w:val="000000" w:themeColor="text1"/>
          <w:sz w:val="32"/>
          <w:szCs w:val="32"/>
        </w:rPr>
        <w:t>万元，占</w:t>
      </w:r>
      <w:r>
        <w:rPr>
          <w:rFonts w:hint="eastAsia" w:ascii="仿宋" w:hAnsi="仿宋" w:eastAsia="仿宋" w:cs="仿宋"/>
          <w:color w:val="000000" w:themeColor="text1"/>
          <w:sz w:val="32"/>
          <w:szCs w:val="32"/>
          <w:lang w:val="en-US" w:eastAsia="zh-CN"/>
        </w:rPr>
        <w:t>100</w:t>
      </w:r>
      <w:r>
        <w:rPr>
          <w:rFonts w:hint="eastAsia" w:ascii="仿宋" w:hAnsi="仿宋" w:eastAsia="仿宋" w:cs="仿宋"/>
          <w:color w:val="000000" w:themeColor="text1"/>
          <w:sz w:val="32"/>
          <w:szCs w:val="32"/>
        </w:rPr>
        <w:t>%。</w:t>
      </w:r>
    </w:p>
    <w:p>
      <w:pPr>
        <w:pStyle w:val="2"/>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val="0"/>
          <w:sz w:val="32"/>
          <w:szCs w:val="32"/>
        </w:rPr>
      </w:pPr>
      <w:bookmarkStart w:id="6" w:name="_Toc20100"/>
      <w:r>
        <w:rPr>
          <w:rFonts w:hint="eastAsia" w:ascii="仿宋" w:hAnsi="仿宋" w:eastAsia="仿宋" w:cs="仿宋"/>
          <w:b/>
          <w:bCs w:val="0"/>
          <w:sz w:val="32"/>
          <w:szCs w:val="32"/>
          <w:lang w:eastAsia="zh-CN"/>
        </w:rPr>
        <w:t>三</w:t>
      </w:r>
      <w:r>
        <w:rPr>
          <w:rFonts w:hint="eastAsia" w:ascii="仿宋" w:hAnsi="仿宋" w:eastAsia="仿宋" w:cs="仿宋"/>
          <w:b/>
          <w:bCs w:val="0"/>
          <w:sz w:val="32"/>
          <w:szCs w:val="32"/>
        </w:rPr>
        <w:t>、财政拨款收支预算情况说明</w:t>
      </w:r>
      <w:bookmarkEnd w:id="6"/>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公共事务服务中心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年财政拨款收支总预算</w:t>
      </w:r>
      <w:r>
        <w:rPr>
          <w:rFonts w:hint="eastAsia" w:ascii="仿宋" w:hAnsi="仿宋" w:eastAsia="仿宋" w:cs="仿宋"/>
          <w:color w:val="000000" w:themeColor="text1"/>
          <w:sz w:val="32"/>
          <w:szCs w:val="32"/>
          <w:lang w:val="en-US" w:eastAsia="zh-CN"/>
        </w:rPr>
        <w:t>189.41</w:t>
      </w:r>
      <w:r>
        <w:rPr>
          <w:rFonts w:hint="eastAsia" w:ascii="仿宋" w:hAnsi="仿宋" w:eastAsia="仿宋" w:cs="仿宋"/>
          <w:color w:val="000000" w:themeColor="text1"/>
          <w:sz w:val="32"/>
          <w:szCs w:val="32"/>
        </w:rPr>
        <w:t xml:space="preserve">万元。收入包括：本年一般公共预算拨款收入 </w:t>
      </w:r>
      <w:r>
        <w:rPr>
          <w:rFonts w:hint="eastAsia" w:ascii="仿宋" w:hAnsi="仿宋" w:eastAsia="仿宋" w:cs="仿宋"/>
          <w:color w:val="000000" w:themeColor="text1"/>
          <w:sz w:val="32"/>
          <w:szCs w:val="32"/>
          <w:lang w:val="en-US" w:eastAsia="zh-CN"/>
        </w:rPr>
        <w:t>189.41</w:t>
      </w:r>
      <w:r>
        <w:rPr>
          <w:rFonts w:hint="eastAsia" w:ascii="仿宋" w:hAnsi="仿宋" w:eastAsia="仿宋" w:cs="仿宋"/>
          <w:color w:val="000000" w:themeColor="text1"/>
          <w:sz w:val="32"/>
          <w:szCs w:val="32"/>
        </w:rPr>
        <w:t>万元；支出包括：一般公共服务支出</w:t>
      </w:r>
      <w:r>
        <w:rPr>
          <w:rFonts w:hint="eastAsia" w:ascii="仿宋" w:hAnsi="仿宋" w:eastAsia="仿宋" w:cs="仿宋"/>
          <w:color w:val="000000" w:themeColor="text1"/>
          <w:sz w:val="32"/>
          <w:szCs w:val="32"/>
          <w:lang w:val="en-US" w:eastAsia="zh-CN"/>
        </w:rPr>
        <w:t>57.2</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文化体育与传媒</w:t>
      </w:r>
      <w:r>
        <w:rPr>
          <w:rFonts w:hint="eastAsia" w:ascii="仿宋" w:hAnsi="仿宋" w:eastAsia="仿宋" w:cs="仿宋"/>
          <w:color w:val="000000" w:themeColor="text1"/>
          <w:sz w:val="32"/>
          <w:szCs w:val="32"/>
          <w:lang w:val="en-US" w:eastAsia="zh-CN"/>
        </w:rPr>
        <w:t>65.51万元；</w:t>
      </w:r>
      <w:r>
        <w:rPr>
          <w:rFonts w:hint="eastAsia" w:ascii="仿宋" w:hAnsi="仿宋" w:eastAsia="仿宋" w:cs="仿宋"/>
          <w:color w:val="000000" w:themeColor="text1"/>
          <w:sz w:val="32"/>
          <w:szCs w:val="32"/>
        </w:rPr>
        <w:t>社会保障和就业支出</w:t>
      </w:r>
      <w:r>
        <w:rPr>
          <w:rFonts w:hint="eastAsia" w:ascii="仿宋" w:hAnsi="仿宋" w:eastAsia="仿宋" w:cs="仿宋"/>
          <w:color w:val="000000" w:themeColor="text1"/>
          <w:sz w:val="32"/>
          <w:szCs w:val="32"/>
          <w:lang w:val="en-US" w:eastAsia="zh-CN"/>
        </w:rPr>
        <w:t>18.17</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 xml:space="preserve">医疗卫生与计划生育支出 </w:t>
      </w:r>
      <w:r>
        <w:rPr>
          <w:rFonts w:hint="eastAsia" w:ascii="仿宋" w:hAnsi="仿宋" w:eastAsia="仿宋" w:cs="仿宋"/>
          <w:color w:val="000000" w:themeColor="text1"/>
          <w:sz w:val="32"/>
          <w:szCs w:val="32"/>
          <w:lang w:val="en-US" w:eastAsia="zh-CN"/>
        </w:rPr>
        <w:t>32.92</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住房保障支出</w:t>
      </w:r>
      <w:r>
        <w:rPr>
          <w:rFonts w:hint="eastAsia" w:ascii="仿宋" w:hAnsi="仿宋" w:eastAsia="仿宋" w:cs="仿宋"/>
          <w:color w:val="000000" w:themeColor="text1"/>
          <w:sz w:val="32"/>
          <w:szCs w:val="32"/>
          <w:lang w:val="en-US" w:eastAsia="zh-CN"/>
        </w:rPr>
        <w:t>15.61</w:t>
      </w:r>
      <w:r>
        <w:rPr>
          <w:rFonts w:hint="eastAsia" w:ascii="仿宋" w:hAnsi="仿宋" w:eastAsia="仿宋" w:cs="仿宋"/>
          <w:color w:val="000000" w:themeColor="text1"/>
          <w:sz w:val="32"/>
          <w:szCs w:val="32"/>
        </w:rPr>
        <w:t>万元。</w:t>
      </w:r>
    </w:p>
    <w:p>
      <w:pPr>
        <w:pStyle w:val="2"/>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val="0"/>
          <w:sz w:val="32"/>
          <w:szCs w:val="32"/>
        </w:rPr>
      </w:pPr>
      <w:bookmarkStart w:id="7" w:name="_Toc684"/>
      <w:r>
        <w:rPr>
          <w:rFonts w:hint="eastAsia" w:ascii="仿宋" w:hAnsi="仿宋" w:eastAsia="仿宋" w:cs="仿宋"/>
          <w:b/>
          <w:bCs w:val="0"/>
          <w:sz w:val="32"/>
          <w:szCs w:val="32"/>
          <w:lang w:eastAsia="zh-CN"/>
        </w:rPr>
        <w:t>四</w:t>
      </w:r>
      <w:r>
        <w:rPr>
          <w:rFonts w:hint="eastAsia" w:ascii="仿宋" w:hAnsi="仿宋" w:eastAsia="仿宋" w:cs="仿宋"/>
          <w:b/>
          <w:bCs w:val="0"/>
          <w:sz w:val="32"/>
          <w:szCs w:val="32"/>
        </w:rPr>
        <w:t>、一般公共预算当年拨款情况说明</w:t>
      </w:r>
      <w:bookmarkEnd w:id="7"/>
    </w:p>
    <w:p>
      <w:pPr>
        <w:pStyle w:val="3"/>
        <w:keepNext/>
        <w:keepLines/>
        <w:pageBreakBefore w:val="0"/>
        <w:widowControl w:val="0"/>
        <w:kinsoku/>
        <w:wordWrap/>
        <w:overflowPunct/>
        <w:topLinePunct w:val="0"/>
        <w:autoSpaceDE/>
        <w:autoSpaceDN/>
        <w:bidi w:val="0"/>
        <w:adjustRightInd/>
        <w:snapToGrid/>
        <w:spacing w:line="413" w:lineRule="auto"/>
        <w:ind w:left="0" w:leftChars="0" w:firstLine="643" w:firstLineChars="200"/>
        <w:jc w:val="both"/>
        <w:textAlignment w:val="auto"/>
        <w:rPr>
          <w:rFonts w:hint="eastAsia" w:ascii="仿宋" w:hAnsi="仿宋" w:eastAsia="仿宋" w:cs="仿宋"/>
          <w:b/>
          <w:sz w:val="32"/>
          <w:szCs w:val="32"/>
        </w:rPr>
      </w:pPr>
      <w:bookmarkStart w:id="8" w:name="_Toc21975"/>
      <w:r>
        <w:rPr>
          <w:rFonts w:hint="eastAsia" w:ascii="仿宋" w:hAnsi="仿宋" w:eastAsia="仿宋" w:cs="仿宋"/>
          <w:b/>
          <w:sz w:val="32"/>
          <w:szCs w:val="32"/>
        </w:rPr>
        <w:t>（一）一般公共预算当年拨款规模变化情况</w:t>
      </w:r>
      <w:bookmarkEnd w:id="8"/>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公共事务服务中心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年一般公共预算当年拨款</w:t>
      </w:r>
      <w:r>
        <w:rPr>
          <w:rFonts w:hint="eastAsia" w:ascii="仿宋" w:hAnsi="仿宋" w:eastAsia="仿宋" w:cs="仿宋"/>
          <w:color w:val="000000" w:themeColor="text1"/>
          <w:sz w:val="32"/>
          <w:szCs w:val="32"/>
          <w:lang w:val="en-US" w:eastAsia="zh-CN"/>
        </w:rPr>
        <w:t>189.41</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w:t>
      </w:r>
    </w:p>
    <w:p>
      <w:pPr>
        <w:pStyle w:val="3"/>
        <w:keepNext/>
        <w:keepLines/>
        <w:pageBreakBefore w:val="0"/>
        <w:widowControl w:val="0"/>
        <w:kinsoku/>
        <w:wordWrap/>
        <w:overflowPunct/>
        <w:topLinePunct w:val="0"/>
        <w:autoSpaceDE/>
        <w:autoSpaceDN/>
        <w:bidi w:val="0"/>
        <w:adjustRightInd/>
        <w:snapToGrid/>
        <w:spacing w:line="413" w:lineRule="auto"/>
        <w:ind w:left="0" w:leftChars="0" w:firstLine="643" w:firstLineChars="200"/>
        <w:jc w:val="both"/>
        <w:textAlignment w:val="auto"/>
        <w:rPr>
          <w:rFonts w:hint="eastAsia" w:ascii="仿宋" w:hAnsi="仿宋" w:eastAsia="仿宋" w:cs="仿宋"/>
          <w:b/>
          <w:sz w:val="32"/>
          <w:szCs w:val="32"/>
        </w:rPr>
      </w:pPr>
      <w:bookmarkStart w:id="9" w:name="_Toc20892"/>
      <w:r>
        <w:rPr>
          <w:rFonts w:hint="eastAsia" w:ascii="仿宋" w:hAnsi="仿宋" w:eastAsia="仿宋" w:cs="仿宋"/>
          <w:b/>
          <w:sz w:val="32"/>
          <w:szCs w:val="32"/>
        </w:rPr>
        <w:t>（二）一般公共预算当年拨款结构情况</w:t>
      </w:r>
      <w:bookmarkEnd w:id="9"/>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年一般公共预算支出</w:t>
      </w:r>
      <w:r>
        <w:rPr>
          <w:rFonts w:hint="eastAsia" w:ascii="仿宋" w:hAnsi="仿宋" w:eastAsia="仿宋" w:cs="仿宋"/>
          <w:color w:val="000000" w:themeColor="text1"/>
          <w:sz w:val="32"/>
          <w:szCs w:val="32"/>
          <w:lang w:val="en-US" w:eastAsia="zh-CN"/>
        </w:rPr>
        <w:t>189.41</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w:t>
      </w:r>
    </w:p>
    <w:p>
      <w:pPr>
        <w:pStyle w:val="3"/>
        <w:keepNext/>
        <w:keepLines/>
        <w:pageBreakBefore w:val="0"/>
        <w:widowControl w:val="0"/>
        <w:kinsoku/>
        <w:wordWrap/>
        <w:overflowPunct/>
        <w:topLinePunct w:val="0"/>
        <w:autoSpaceDE/>
        <w:autoSpaceDN/>
        <w:bidi w:val="0"/>
        <w:adjustRightInd/>
        <w:snapToGrid/>
        <w:spacing w:line="413" w:lineRule="auto"/>
        <w:ind w:left="0" w:leftChars="0" w:firstLine="643" w:firstLineChars="200"/>
        <w:jc w:val="both"/>
        <w:textAlignment w:val="auto"/>
        <w:rPr>
          <w:rFonts w:hint="eastAsia" w:ascii="仿宋" w:hAnsi="仿宋" w:eastAsia="仿宋" w:cs="仿宋"/>
          <w:b/>
          <w:sz w:val="32"/>
          <w:szCs w:val="32"/>
        </w:rPr>
      </w:pPr>
      <w:bookmarkStart w:id="10" w:name="_Toc29163"/>
      <w:r>
        <w:rPr>
          <w:rFonts w:hint="eastAsia" w:ascii="仿宋" w:hAnsi="仿宋" w:eastAsia="仿宋" w:cs="仿宋"/>
          <w:b/>
          <w:sz w:val="32"/>
          <w:szCs w:val="32"/>
        </w:rPr>
        <w:t>（三）一般公共预算当年拨款具体使用情况</w:t>
      </w:r>
      <w:bookmarkEnd w:id="10"/>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w:t>
      </w:r>
      <w:r>
        <w:rPr>
          <w:rFonts w:hint="eastAsia" w:ascii="仿宋" w:hAnsi="仿宋" w:eastAsia="仿宋" w:cs="仿宋"/>
          <w:color w:val="000000" w:themeColor="text1"/>
          <w:sz w:val="32"/>
          <w:szCs w:val="32"/>
          <w:lang w:eastAsia="zh-CN"/>
        </w:rPr>
        <w:t>一般公共服务支出</w:t>
      </w:r>
      <w:r>
        <w:rPr>
          <w:rFonts w:hint="eastAsia" w:ascii="仿宋" w:hAnsi="仿宋" w:eastAsia="仿宋" w:cs="仿宋"/>
          <w:color w:val="000000" w:themeColor="text1"/>
          <w:sz w:val="32"/>
          <w:szCs w:val="32"/>
        </w:rPr>
        <w:t>（类）</w:t>
      </w:r>
      <w:r>
        <w:rPr>
          <w:rFonts w:hint="eastAsia" w:ascii="仿宋" w:hAnsi="仿宋" w:eastAsia="仿宋" w:cs="仿宋"/>
          <w:color w:val="000000" w:themeColor="text1"/>
          <w:sz w:val="32"/>
          <w:szCs w:val="32"/>
          <w:lang w:eastAsia="zh-CN"/>
        </w:rPr>
        <w:t>市场监督管理事务</w:t>
      </w:r>
      <w:r>
        <w:rPr>
          <w:rFonts w:hint="eastAsia" w:ascii="仿宋" w:hAnsi="仿宋" w:eastAsia="仿宋" w:cs="仿宋"/>
          <w:color w:val="000000" w:themeColor="text1"/>
          <w:sz w:val="32"/>
          <w:szCs w:val="32"/>
        </w:rPr>
        <w:t>（款）事业运行</w:t>
      </w:r>
      <w:r>
        <w:rPr>
          <w:rFonts w:hint="eastAsia" w:ascii="仿宋" w:hAnsi="仿宋" w:eastAsia="仿宋" w:cs="仿宋"/>
          <w:color w:val="000000" w:themeColor="text1"/>
          <w:sz w:val="32"/>
          <w:szCs w:val="32"/>
          <w:lang w:eastAsia="zh-CN"/>
        </w:rPr>
        <w:t>（项）</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57.2</w:t>
      </w:r>
      <w:r>
        <w:rPr>
          <w:rFonts w:hint="eastAsia" w:ascii="仿宋" w:hAnsi="仿宋" w:eastAsia="仿宋" w:cs="仿宋"/>
          <w:color w:val="000000" w:themeColor="text1"/>
          <w:sz w:val="32"/>
          <w:szCs w:val="32"/>
        </w:rPr>
        <w:t>万元，主要用于：单位正常运转的基本支出，包括基本工资、津贴补贴等人员经费以及办公费、印刷费、水电费等日常公用经费。</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eastAsia="zh-CN"/>
        </w:rPr>
        <w:t>文化体育与传媒</w:t>
      </w:r>
      <w:r>
        <w:rPr>
          <w:rFonts w:hint="eastAsia" w:ascii="仿宋" w:hAnsi="仿宋" w:eastAsia="仿宋" w:cs="仿宋"/>
          <w:color w:val="000000" w:themeColor="text1"/>
          <w:sz w:val="32"/>
          <w:szCs w:val="32"/>
        </w:rPr>
        <w:t>（类）</w:t>
      </w:r>
      <w:r>
        <w:rPr>
          <w:rFonts w:hint="eastAsia" w:ascii="仿宋" w:hAnsi="仿宋" w:eastAsia="仿宋" w:cs="仿宋"/>
          <w:color w:val="000000" w:themeColor="text1"/>
          <w:sz w:val="32"/>
          <w:szCs w:val="32"/>
          <w:lang w:eastAsia="zh-CN"/>
        </w:rPr>
        <w:t>文化</w:t>
      </w:r>
      <w:r>
        <w:rPr>
          <w:rFonts w:hint="eastAsia" w:ascii="仿宋" w:hAnsi="仿宋" w:eastAsia="仿宋" w:cs="仿宋"/>
          <w:color w:val="000000" w:themeColor="text1"/>
          <w:sz w:val="32"/>
          <w:szCs w:val="32"/>
        </w:rPr>
        <w:t>（款）</w:t>
      </w:r>
      <w:r>
        <w:rPr>
          <w:rFonts w:hint="eastAsia" w:ascii="仿宋" w:hAnsi="仿宋" w:eastAsia="仿宋" w:cs="仿宋"/>
          <w:color w:val="000000" w:themeColor="text1"/>
          <w:sz w:val="32"/>
          <w:szCs w:val="32"/>
          <w:lang w:eastAsia="zh-CN"/>
        </w:rPr>
        <w:t>群众文化（项）</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65.51</w:t>
      </w:r>
      <w:r>
        <w:rPr>
          <w:rFonts w:hint="eastAsia" w:ascii="仿宋" w:hAnsi="仿宋" w:eastAsia="仿宋" w:cs="仿宋"/>
          <w:color w:val="000000" w:themeColor="text1"/>
          <w:sz w:val="32"/>
          <w:szCs w:val="32"/>
        </w:rPr>
        <w:t>万元，主要用于：单位正常运转的基本支出，包括基本工资、津贴补贴等人员经费以及办公费、印刷费、水电费等日常公用经费。</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rPr>
        <w:t>社会保障和就业</w:t>
      </w:r>
      <w:r>
        <w:rPr>
          <w:rFonts w:hint="eastAsia" w:ascii="仿宋" w:hAnsi="仿宋" w:eastAsia="仿宋" w:cs="仿宋"/>
          <w:color w:val="000000" w:themeColor="text1"/>
          <w:sz w:val="32"/>
          <w:szCs w:val="32"/>
          <w:lang w:eastAsia="zh-CN"/>
        </w:rPr>
        <w:t>支出</w:t>
      </w:r>
      <w:r>
        <w:rPr>
          <w:rFonts w:hint="eastAsia" w:ascii="仿宋" w:hAnsi="仿宋" w:eastAsia="仿宋" w:cs="仿宋"/>
          <w:color w:val="000000" w:themeColor="text1"/>
          <w:sz w:val="32"/>
          <w:szCs w:val="32"/>
        </w:rPr>
        <w:t>（类）</w:t>
      </w:r>
      <w:r>
        <w:rPr>
          <w:rFonts w:hint="eastAsia" w:ascii="仿宋" w:hAnsi="仿宋" w:eastAsia="仿宋" w:cs="仿宋"/>
          <w:color w:val="000000" w:themeColor="text1"/>
          <w:sz w:val="32"/>
          <w:szCs w:val="32"/>
          <w:lang w:eastAsia="zh-CN"/>
        </w:rPr>
        <w:t>行政事业单位养老支出</w:t>
      </w:r>
      <w:r>
        <w:rPr>
          <w:rFonts w:hint="eastAsia" w:ascii="仿宋" w:hAnsi="仿宋" w:eastAsia="仿宋" w:cs="仿宋"/>
          <w:color w:val="000000" w:themeColor="text1"/>
          <w:sz w:val="32"/>
          <w:szCs w:val="32"/>
        </w:rPr>
        <w:t>（款）机关事业单位基本养老保险缴费支出（项）:</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16.76</w:t>
      </w:r>
      <w:r>
        <w:rPr>
          <w:rFonts w:hint="eastAsia" w:ascii="仿宋" w:hAnsi="仿宋" w:eastAsia="仿宋" w:cs="仿宋"/>
          <w:color w:val="000000" w:themeColor="text1"/>
          <w:sz w:val="32"/>
          <w:szCs w:val="32"/>
        </w:rPr>
        <w:t>万元，主要用于：实施养老保险制度后，部门按规定由单位缴纳的基本养老保险费支出。</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4.卫生健康支出（类）计划生育事务（款）计划生育机构（项）：</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18.17</w:t>
      </w:r>
      <w:r>
        <w:rPr>
          <w:rFonts w:hint="eastAsia" w:ascii="仿宋" w:hAnsi="仿宋" w:eastAsia="仿宋" w:cs="仿宋"/>
          <w:color w:val="000000" w:themeColor="text1"/>
          <w:sz w:val="32"/>
          <w:szCs w:val="32"/>
        </w:rPr>
        <w:t>万元，主要用于：单位按</w:t>
      </w:r>
      <w:r>
        <w:rPr>
          <w:rFonts w:hint="eastAsia" w:ascii="仿宋" w:hAnsi="仿宋" w:eastAsia="仿宋" w:cs="仿宋"/>
          <w:color w:val="000000" w:themeColor="text1"/>
          <w:sz w:val="32"/>
          <w:szCs w:val="32"/>
          <w:lang w:val="en-US" w:eastAsia="zh-CN"/>
        </w:rPr>
        <w:t>计划生育机构事业支出。</w:t>
      </w:r>
      <w:r>
        <w:rPr>
          <w:rFonts w:hint="eastAsia" w:ascii="仿宋" w:hAnsi="仿宋" w:eastAsia="仿宋" w:cs="仿宋"/>
          <w:color w:val="000000" w:themeColor="text1"/>
          <w:sz w:val="32"/>
          <w:szCs w:val="32"/>
        </w:rPr>
        <w:t xml:space="preserve"> </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5</w:t>
      </w:r>
      <w:r>
        <w:rPr>
          <w:rFonts w:hint="eastAsia" w:ascii="仿宋" w:hAnsi="仿宋" w:eastAsia="仿宋" w:cs="仿宋"/>
          <w:color w:val="000000" w:themeColor="text1"/>
          <w:sz w:val="32"/>
          <w:szCs w:val="32"/>
        </w:rPr>
        <w:t>.医疗卫生与计划生育（类）行政事业单位医疗（款）事业单位医疗（项）:</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8.37</w:t>
      </w:r>
      <w:r>
        <w:rPr>
          <w:rFonts w:hint="eastAsia" w:ascii="仿宋" w:hAnsi="仿宋" w:eastAsia="仿宋" w:cs="仿宋"/>
          <w:color w:val="000000" w:themeColor="text1"/>
          <w:sz w:val="32"/>
          <w:szCs w:val="32"/>
        </w:rPr>
        <w:t>万元，主要用于：单位基本医疗保险缴费支出。</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6</w:t>
      </w:r>
      <w:r>
        <w:rPr>
          <w:rFonts w:hint="eastAsia" w:ascii="仿宋" w:hAnsi="仿宋" w:eastAsia="仿宋" w:cs="仿宋"/>
          <w:color w:val="000000" w:themeColor="text1"/>
          <w:sz w:val="32"/>
          <w:szCs w:val="32"/>
        </w:rPr>
        <w:t>.住房保障</w:t>
      </w:r>
      <w:r>
        <w:rPr>
          <w:rFonts w:hint="eastAsia" w:ascii="仿宋" w:hAnsi="仿宋" w:eastAsia="仿宋" w:cs="仿宋"/>
          <w:color w:val="000000" w:themeColor="text1"/>
          <w:sz w:val="32"/>
          <w:szCs w:val="32"/>
          <w:lang w:eastAsia="zh-CN"/>
        </w:rPr>
        <w:t>支出</w:t>
      </w:r>
      <w:r>
        <w:rPr>
          <w:rFonts w:hint="eastAsia" w:ascii="仿宋" w:hAnsi="仿宋" w:eastAsia="仿宋" w:cs="仿宋"/>
          <w:color w:val="000000" w:themeColor="text1"/>
          <w:sz w:val="32"/>
          <w:szCs w:val="32"/>
        </w:rPr>
        <w:t>（类）住房改革支出（款）住房公积金（项）:</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15.61</w:t>
      </w:r>
      <w:r>
        <w:rPr>
          <w:rFonts w:hint="eastAsia" w:ascii="仿宋" w:hAnsi="仿宋" w:eastAsia="仿宋" w:cs="仿宋"/>
          <w:color w:val="000000" w:themeColor="text1"/>
          <w:sz w:val="32"/>
          <w:szCs w:val="32"/>
        </w:rPr>
        <w:t xml:space="preserve">万元，主要用于：单位按人力资源和社会保障部、财政部规定的基本工资和津贴补贴以及规定比例为职工缴纳的住房公积金支出。 </w:t>
      </w:r>
    </w:p>
    <w:p>
      <w:pPr>
        <w:pStyle w:val="2"/>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val="0"/>
          <w:sz w:val="32"/>
          <w:szCs w:val="32"/>
        </w:rPr>
      </w:pPr>
      <w:bookmarkStart w:id="11" w:name="_Toc15319"/>
      <w:r>
        <w:rPr>
          <w:rFonts w:hint="eastAsia" w:ascii="仿宋" w:hAnsi="仿宋" w:eastAsia="仿宋" w:cs="仿宋"/>
          <w:b/>
          <w:bCs w:val="0"/>
          <w:sz w:val="32"/>
          <w:szCs w:val="32"/>
          <w:lang w:eastAsia="zh-CN"/>
        </w:rPr>
        <w:t>五</w:t>
      </w:r>
      <w:r>
        <w:rPr>
          <w:rFonts w:hint="eastAsia" w:ascii="仿宋" w:hAnsi="仿宋" w:eastAsia="仿宋" w:cs="仿宋"/>
          <w:b/>
          <w:bCs w:val="0"/>
          <w:sz w:val="32"/>
          <w:szCs w:val="32"/>
        </w:rPr>
        <w:t>、一般公共预算基本支出情况说明</w:t>
      </w:r>
      <w:bookmarkEnd w:id="11"/>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平梁镇</w:t>
      </w:r>
      <w:r>
        <w:rPr>
          <w:rFonts w:hint="eastAsia" w:ascii="仿宋" w:hAnsi="仿宋" w:eastAsia="仿宋" w:cs="仿宋"/>
          <w:color w:val="000000" w:themeColor="text1"/>
          <w:sz w:val="32"/>
          <w:szCs w:val="32"/>
        </w:rPr>
        <w:t>公共事务服务中心</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年一般公共预算基本支出</w:t>
      </w:r>
      <w:r>
        <w:rPr>
          <w:rFonts w:hint="eastAsia" w:ascii="仿宋" w:hAnsi="仿宋" w:eastAsia="仿宋" w:cs="仿宋"/>
          <w:color w:val="000000" w:themeColor="text1"/>
          <w:sz w:val="32"/>
          <w:szCs w:val="32"/>
          <w:lang w:val="en-US" w:eastAsia="zh-CN"/>
        </w:rPr>
        <w:t>189.41</w:t>
      </w:r>
      <w:r>
        <w:rPr>
          <w:rFonts w:hint="eastAsia" w:ascii="仿宋" w:hAnsi="仿宋" w:eastAsia="仿宋" w:cs="仿宋"/>
          <w:color w:val="000000" w:themeColor="text1"/>
          <w:sz w:val="32"/>
          <w:szCs w:val="32"/>
        </w:rPr>
        <w:t>万元，其中：</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人员经费</w:t>
      </w:r>
      <w:r>
        <w:rPr>
          <w:rFonts w:hint="eastAsia" w:ascii="仿宋" w:hAnsi="仿宋" w:eastAsia="仿宋" w:cs="仿宋"/>
          <w:color w:val="000000" w:themeColor="text1"/>
          <w:sz w:val="32"/>
          <w:szCs w:val="32"/>
          <w:lang w:val="en-US" w:eastAsia="zh-CN"/>
        </w:rPr>
        <w:t>175.8</w:t>
      </w:r>
      <w:r>
        <w:rPr>
          <w:rFonts w:hint="eastAsia" w:ascii="仿宋" w:hAnsi="仿宋" w:eastAsia="仿宋" w:cs="仿宋"/>
          <w:color w:val="000000" w:themeColor="text1"/>
          <w:sz w:val="32"/>
          <w:szCs w:val="32"/>
        </w:rPr>
        <w:t>万元，主要包括：基本工资、津贴补贴、奖金、社会保险缴费、绩效工资、机关事业单位基本养老保险缴费、职业年金缴费、其他工资福利支出、离休费、住房公积金、其他对个人和家庭的补助支出。</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公用经费 </w:t>
      </w:r>
      <w:r>
        <w:rPr>
          <w:rFonts w:hint="eastAsia" w:ascii="仿宋" w:hAnsi="仿宋" w:eastAsia="仿宋" w:cs="仿宋"/>
          <w:color w:val="000000" w:themeColor="text1"/>
          <w:sz w:val="32"/>
          <w:szCs w:val="32"/>
          <w:lang w:val="en-US" w:eastAsia="zh-CN"/>
        </w:rPr>
        <w:t>13.61</w:t>
      </w:r>
      <w:r>
        <w:rPr>
          <w:rFonts w:hint="eastAsia" w:ascii="仿宋" w:hAnsi="仿宋" w:eastAsia="仿宋" w:cs="仿宋"/>
          <w:color w:val="000000" w:themeColor="text1"/>
          <w:sz w:val="32"/>
          <w:szCs w:val="32"/>
        </w:rPr>
        <w:t>万元，主要包括：办公费、印刷费、手续费、水费、电费、邮电费、差旅费、维修（护）费、会议费、培训费、劳务费、工会经费、福利费、其他交通费、其</w:t>
      </w:r>
      <w:bookmarkStart w:id="18" w:name="_GoBack"/>
      <w:bookmarkEnd w:id="18"/>
      <w:r>
        <w:rPr>
          <w:rFonts w:hint="eastAsia" w:ascii="仿宋" w:hAnsi="仿宋" w:eastAsia="仿宋" w:cs="仿宋"/>
          <w:color w:val="000000" w:themeColor="text1"/>
          <w:sz w:val="32"/>
          <w:szCs w:val="32"/>
        </w:rPr>
        <w:t>他商品和服务支出。</w:t>
      </w:r>
    </w:p>
    <w:p>
      <w:pPr>
        <w:pStyle w:val="2"/>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val="0"/>
          <w:sz w:val="32"/>
          <w:szCs w:val="32"/>
        </w:rPr>
      </w:pPr>
      <w:bookmarkStart w:id="12" w:name="_Toc27775"/>
      <w:r>
        <w:rPr>
          <w:rFonts w:hint="eastAsia" w:ascii="仿宋" w:hAnsi="仿宋" w:eastAsia="仿宋" w:cs="仿宋"/>
          <w:b/>
          <w:bCs w:val="0"/>
          <w:sz w:val="32"/>
          <w:szCs w:val="32"/>
          <w:lang w:eastAsia="zh-CN"/>
        </w:rPr>
        <w:t>六</w:t>
      </w:r>
      <w:r>
        <w:rPr>
          <w:rFonts w:hint="eastAsia" w:ascii="仿宋" w:hAnsi="仿宋" w:eastAsia="仿宋" w:cs="仿宋"/>
          <w:b/>
          <w:bCs w:val="0"/>
          <w:sz w:val="32"/>
          <w:szCs w:val="32"/>
        </w:rPr>
        <w:t>、“三公”经费财政拨款预算安排情况说明</w:t>
      </w:r>
      <w:bookmarkEnd w:id="12"/>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年“三公”经费财政拨款预算数</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万元，其中：因公出国（境）经费</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万元，公务接待费</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万元，公务用车购置及运行维护费</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w:t>
      </w:r>
    </w:p>
    <w:p>
      <w:pPr>
        <w:pStyle w:val="2"/>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val="0"/>
          <w:sz w:val="32"/>
          <w:szCs w:val="32"/>
        </w:rPr>
      </w:pPr>
      <w:bookmarkStart w:id="13" w:name="_Toc17013"/>
      <w:r>
        <w:rPr>
          <w:rFonts w:hint="eastAsia" w:ascii="仿宋" w:hAnsi="仿宋" w:eastAsia="仿宋" w:cs="仿宋"/>
          <w:b/>
          <w:bCs w:val="0"/>
          <w:sz w:val="32"/>
          <w:szCs w:val="32"/>
          <w:lang w:eastAsia="zh-CN"/>
        </w:rPr>
        <w:t>七</w:t>
      </w:r>
      <w:r>
        <w:rPr>
          <w:rFonts w:hint="eastAsia" w:ascii="仿宋" w:hAnsi="仿宋" w:eastAsia="仿宋" w:cs="仿宋"/>
          <w:b/>
          <w:bCs w:val="0"/>
          <w:sz w:val="32"/>
          <w:szCs w:val="32"/>
        </w:rPr>
        <w:t>、政府性基金预算支出情况说明</w:t>
      </w:r>
      <w:bookmarkEnd w:id="13"/>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年没有使用政府性基金预算拨款安排的支出。</w:t>
      </w:r>
    </w:p>
    <w:p>
      <w:pPr>
        <w:pStyle w:val="2"/>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val="0"/>
          <w:sz w:val="32"/>
          <w:szCs w:val="32"/>
          <w:lang w:eastAsia="zh-CN"/>
        </w:rPr>
      </w:pPr>
      <w:bookmarkStart w:id="14" w:name="_Toc3893"/>
      <w:r>
        <w:rPr>
          <w:rFonts w:hint="eastAsia" w:ascii="仿宋" w:hAnsi="仿宋" w:eastAsia="仿宋" w:cs="仿宋"/>
          <w:b/>
          <w:bCs w:val="0"/>
          <w:sz w:val="32"/>
          <w:szCs w:val="32"/>
          <w:lang w:eastAsia="zh-CN"/>
        </w:rPr>
        <w:t>八、其他重要事项的情况说明</w:t>
      </w:r>
      <w:bookmarkEnd w:id="14"/>
    </w:p>
    <w:p>
      <w:pPr>
        <w:pStyle w:val="3"/>
        <w:keepNext/>
        <w:keepLines/>
        <w:pageBreakBefore w:val="0"/>
        <w:widowControl w:val="0"/>
        <w:kinsoku/>
        <w:wordWrap/>
        <w:overflowPunct/>
        <w:topLinePunct w:val="0"/>
        <w:autoSpaceDE/>
        <w:autoSpaceDN/>
        <w:bidi w:val="0"/>
        <w:adjustRightInd/>
        <w:snapToGrid/>
        <w:spacing w:line="413" w:lineRule="auto"/>
        <w:ind w:left="0" w:leftChars="0" w:firstLine="643" w:firstLineChars="200"/>
        <w:jc w:val="both"/>
        <w:textAlignment w:val="auto"/>
        <w:rPr>
          <w:rFonts w:hint="eastAsia" w:ascii="仿宋" w:hAnsi="仿宋" w:eastAsia="仿宋" w:cs="仿宋"/>
          <w:b/>
          <w:sz w:val="32"/>
          <w:szCs w:val="32"/>
        </w:rPr>
      </w:pPr>
      <w:bookmarkStart w:id="15" w:name="_Toc27068"/>
      <w:r>
        <w:rPr>
          <w:rFonts w:hint="eastAsia" w:ascii="仿宋" w:hAnsi="仿宋" w:eastAsia="仿宋" w:cs="仿宋"/>
          <w:b/>
          <w:sz w:val="32"/>
          <w:szCs w:val="32"/>
        </w:rPr>
        <w:t>（</w:t>
      </w:r>
      <w:r>
        <w:rPr>
          <w:rFonts w:hint="eastAsia" w:ascii="仿宋" w:hAnsi="仿宋" w:eastAsia="仿宋" w:cs="仿宋"/>
          <w:b/>
          <w:sz w:val="32"/>
          <w:szCs w:val="32"/>
          <w:lang w:eastAsia="zh-CN"/>
        </w:rPr>
        <w:t>一</w:t>
      </w:r>
      <w:r>
        <w:rPr>
          <w:rFonts w:hint="eastAsia" w:ascii="仿宋" w:hAnsi="仿宋" w:eastAsia="仿宋" w:cs="仿宋"/>
          <w:b/>
          <w:sz w:val="32"/>
          <w:szCs w:val="32"/>
        </w:rPr>
        <w:t>）政府采购情况</w:t>
      </w:r>
      <w:bookmarkEnd w:id="15"/>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单位未</w:t>
      </w:r>
      <w:r>
        <w:rPr>
          <w:rFonts w:hint="eastAsia" w:ascii="仿宋" w:hAnsi="仿宋" w:eastAsia="仿宋" w:cs="仿宋"/>
          <w:color w:val="000000" w:themeColor="text1"/>
          <w:sz w:val="32"/>
          <w:szCs w:val="32"/>
        </w:rPr>
        <w:t>安排政府采购预算</w:t>
      </w:r>
      <w:r>
        <w:rPr>
          <w:rFonts w:hint="eastAsia" w:ascii="仿宋" w:hAnsi="仿宋" w:eastAsia="仿宋" w:cs="仿宋"/>
          <w:color w:val="000000" w:themeColor="text1"/>
          <w:sz w:val="32"/>
          <w:szCs w:val="32"/>
          <w:lang w:eastAsia="zh-CN"/>
        </w:rPr>
        <w:t>。</w:t>
      </w:r>
    </w:p>
    <w:p>
      <w:pPr>
        <w:pStyle w:val="3"/>
        <w:keepNext/>
        <w:keepLines/>
        <w:pageBreakBefore w:val="0"/>
        <w:widowControl w:val="0"/>
        <w:kinsoku/>
        <w:wordWrap/>
        <w:overflowPunct/>
        <w:topLinePunct w:val="0"/>
        <w:autoSpaceDE/>
        <w:autoSpaceDN/>
        <w:bidi w:val="0"/>
        <w:adjustRightInd/>
        <w:snapToGrid/>
        <w:spacing w:line="413" w:lineRule="auto"/>
        <w:ind w:left="0" w:leftChars="0" w:firstLine="643" w:firstLineChars="200"/>
        <w:jc w:val="both"/>
        <w:textAlignment w:val="auto"/>
        <w:rPr>
          <w:rFonts w:hint="eastAsia" w:ascii="仿宋" w:hAnsi="仿宋" w:eastAsia="仿宋" w:cs="仿宋"/>
          <w:b/>
          <w:sz w:val="32"/>
          <w:szCs w:val="32"/>
        </w:rPr>
      </w:pPr>
      <w:bookmarkStart w:id="16" w:name="_Toc20934"/>
      <w:r>
        <w:rPr>
          <w:rFonts w:hint="eastAsia" w:ascii="仿宋" w:hAnsi="仿宋" w:eastAsia="仿宋" w:cs="仿宋"/>
          <w:b/>
          <w:sz w:val="32"/>
          <w:szCs w:val="32"/>
        </w:rPr>
        <w:t>（</w:t>
      </w:r>
      <w:r>
        <w:rPr>
          <w:rFonts w:hint="eastAsia" w:ascii="仿宋" w:hAnsi="仿宋" w:eastAsia="仿宋" w:cs="仿宋"/>
          <w:b/>
          <w:sz w:val="32"/>
          <w:szCs w:val="32"/>
          <w:lang w:eastAsia="zh-CN"/>
        </w:rPr>
        <w:t>二</w:t>
      </w:r>
      <w:r>
        <w:rPr>
          <w:rFonts w:hint="eastAsia" w:ascii="仿宋" w:hAnsi="仿宋" w:eastAsia="仿宋" w:cs="仿宋"/>
          <w:b/>
          <w:sz w:val="32"/>
          <w:szCs w:val="32"/>
        </w:rPr>
        <w:t>）国有资产占有使用情况</w:t>
      </w:r>
      <w:bookmarkEnd w:id="16"/>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rPr>
        <w:t>截至</w:t>
      </w:r>
      <w:r>
        <w:rPr>
          <w:rFonts w:hint="eastAsia" w:ascii="仿宋" w:hAnsi="仿宋" w:eastAsia="仿宋" w:cs="仿宋"/>
          <w:color w:val="000000" w:themeColor="text1"/>
          <w:sz w:val="32"/>
          <w:szCs w:val="32"/>
          <w:lang w:eastAsia="zh-CN"/>
        </w:rPr>
        <w:t>2023</w:t>
      </w:r>
      <w:r>
        <w:rPr>
          <w:rFonts w:hint="eastAsia" w:ascii="仿宋" w:hAnsi="仿宋" w:eastAsia="仿宋" w:cs="仿宋"/>
          <w:color w:val="000000" w:themeColor="text1"/>
          <w:sz w:val="32"/>
          <w:szCs w:val="32"/>
        </w:rPr>
        <w:t>年底，</w:t>
      </w:r>
      <w:r>
        <w:rPr>
          <w:rFonts w:hint="eastAsia" w:ascii="仿宋" w:hAnsi="仿宋" w:eastAsia="仿宋" w:cs="仿宋"/>
          <w:color w:val="000000" w:themeColor="text1"/>
          <w:sz w:val="32"/>
          <w:szCs w:val="32"/>
          <w:lang w:eastAsia="zh-CN"/>
        </w:rPr>
        <w:t>单位无车辆。</w:t>
      </w:r>
    </w:p>
    <w:p>
      <w:pPr>
        <w:pStyle w:val="2"/>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val="0"/>
          <w:sz w:val="32"/>
          <w:szCs w:val="32"/>
          <w:lang w:eastAsia="zh-CN"/>
        </w:rPr>
      </w:pPr>
      <w:bookmarkStart w:id="17" w:name="_Toc17659"/>
      <w:r>
        <w:rPr>
          <w:rFonts w:hint="eastAsia" w:ascii="仿宋" w:hAnsi="仿宋" w:eastAsia="仿宋" w:cs="仿宋"/>
          <w:b/>
          <w:bCs w:val="0"/>
          <w:sz w:val="32"/>
          <w:szCs w:val="32"/>
          <w:lang w:eastAsia="zh-CN"/>
        </w:rPr>
        <w:t>九、名词解释</w:t>
      </w:r>
      <w:bookmarkEnd w:id="1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1、一般公共预算拨款收入：指省级财政当年拨付的资金。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2、一般公共服务（类）财政事务（款）行政运行（项）：指机关及参公管理事业单位用于保障机构正常运行、开展日常工作的基本支出。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3、社会保障和就业（类）其他社会保障和就业（款）其他社会保障和就业支出（项）：指除上述项目外，其他用于行政事业单位离退休方面的支出。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4.医疗卫生与计划生育（类）行政事业单位医疗（款）行政单位医疗（项）：指机关及参公管理事业单位用于缴纳单位基本医疗保险支出。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5.住房保障（类）住房改革支出（款）住房公积金（项）：指按照《住房公积金管理条例》的规定，由单位及其在职职工缴存的长期住房储金。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6.基本支出：指为保证机构正常运转，完成日常工作任务而发生的人员支出和公用支出。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7.项目支出：指在基本支出之外为完成特定行政任务和事业发展目标所发生的支出。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8.“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9.机关运行经费：为保障行政单位（包含参照公务员法管理的事业单位）运行用于购买货物和服务的各项资金。包括办公及办公费、水费、电费、印刷费、邮电费、差旅费、会议费等费用开支。</w:t>
      </w:r>
    </w:p>
    <w:p>
      <w:pPr>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color w:val="000000" w:themeColor="text1"/>
          <w:sz w:val="32"/>
          <w:szCs w:val="32"/>
          <w:lang w:eastAsia="zh-CN"/>
        </w:rPr>
      </w:pPr>
    </w:p>
    <w:p>
      <w:pPr>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color w:val="000000" w:themeColor="text1"/>
          <w:sz w:val="32"/>
          <w:szCs w:val="32"/>
          <w:lang w:eastAsia="zh-CN"/>
        </w:rPr>
      </w:pPr>
    </w:p>
    <w:p>
      <w:pPr>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附件：</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年巴州区单位部门收支总表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年巴州区单位部门收入总表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年巴州区单位部门支出总表</w:t>
      </w:r>
    </w:p>
    <w:p>
      <w:pPr>
        <w:ind w:firstLine="640" w:firstLineChars="200"/>
        <w:rPr>
          <w:rFonts w:hint="eastAsia"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年巴州区单位财政拨款收支预算总表</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表2-1. 2023年巴州区单位财政拨款支出预算表（部门经济类科目）</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年巴州区单位一般公共预算支出预算表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年单位一般公共预算基本支出预算表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年单位一般公共预算项目支出预算表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年单位一般公共预算“三公”经费预算表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年政府性基金支出预算表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年政府基金预算“三公”经费支出预算表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5</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年国有资本经营预算支出预算表</w:t>
      </w:r>
    </w:p>
    <w:p>
      <w:pPr>
        <w:ind w:firstLine="640" w:firstLineChars="200"/>
        <w:rPr>
          <w:rFonts w:hint="eastAsia" w:ascii="仿宋" w:hAnsi="仿宋" w:eastAsia="仿宋" w:cs="仿宋"/>
          <w:color w:val="000000" w:themeColor="text1"/>
          <w:sz w:val="32"/>
          <w:szCs w:val="32"/>
        </w:rPr>
      </w:pPr>
    </w:p>
    <w:p>
      <w:pPr>
        <w:ind w:firstLine="640" w:firstLineChars="200"/>
        <w:rPr>
          <w:rFonts w:ascii="方正仿宋_GBK" w:hAnsi="方正仿宋_GBK" w:eastAsia="方正仿宋_GBK" w:cs="方正仿宋_GBK"/>
          <w:color w:val="000000" w:themeColor="text1"/>
          <w:sz w:val="32"/>
          <w:szCs w:val="32"/>
        </w:rPr>
      </w:pP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52C1"/>
    <w:rsid w:val="00020BDD"/>
    <w:rsid w:val="0002613C"/>
    <w:rsid w:val="00043A31"/>
    <w:rsid w:val="0009310D"/>
    <w:rsid w:val="000A2DE7"/>
    <w:rsid w:val="00146E38"/>
    <w:rsid w:val="001E0F0E"/>
    <w:rsid w:val="001F4F5D"/>
    <w:rsid w:val="0021064A"/>
    <w:rsid w:val="00277B07"/>
    <w:rsid w:val="00293ADD"/>
    <w:rsid w:val="002F5B42"/>
    <w:rsid w:val="00307722"/>
    <w:rsid w:val="003517E3"/>
    <w:rsid w:val="00362868"/>
    <w:rsid w:val="003910C1"/>
    <w:rsid w:val="003C7037"/>
    <w:rsid w:val="00430A67"/>
    <w:rsid w:val="00454172"/>
    <w:rsid w:val="00474DE5"/>
    <w:rsid w:val="0048366D"/>
    <w:rsid w:val="004B058D"/>
    <w:rsid w:val="00513F5B"/>
    <w:rsid w:val="0052146A"/>
    <w:rsid w:val="00524C85"/>
    <w:rsid w:val="00532C45"/>
    <w:rsid w:val="005E428E"/>
    <w:rsid w:val="00622B75"/>
    <w:rsid w:val="006452C1"/>
    <w:rsid w:val="00674409"/>
    <w:rsid w:val="00687D24"/>
    <w:rsid w:val="006E7785"/>
    <w:rsid w:val="006F69EE"/>
    <w:rsid w:val="00831974"/>
    <w:rsid w:val="00835B6C"/>
    <w:rsid w:val="008632E1"/>
    <w:rsid w:val="008640E2"/>
    <w:rsid w:val="0086578A"/>
    <w:rsid w:val="008C0AD5"/>
    <w:rsid w:val="008D2BAA"/>
    <w:rsid w:val="009354DF"/>
    <w:rsid w:val="00946FB6"/>
    <w:rsid w:val="0095012B"/>
    <w:rsid w:val="0098687A"/>
    <w:rsid w:val="009B6176"/>
    <w:rsid w:val="009D4EED"/>
    <w:rsid w:val="009D5F71"/>
    <w:rsid w:val="00A111B2"/>
    <w:rsid w:val="00A56C5B"/>
    <w:rsid w:val="00A80F9E"/>
    <w:rsid w:val="00A865F7"/>
    <w:rsid w:val="00AB6B09"/>
    <w:rsid w:val="00AC012E"/>
    <w:rsid w:val="00AD2F67"/>
    <w:rsid w:val="00B80E76"/>
    <w:rsid w:val="00BA031D"/>
    <w:rsid w:val="00C40F78"/>
    <w:rsid w:val="00C81408"/>
    <w:rsid w:val="00C81EDB"/>
    <w:rsid w:val="00CA720C"/>
    <w:rsid w:val="00CB06B3"/>
    <w:rsid w:val="00CD56FD"/>
    <w:rsid w:val="00CD62E5"/>
    <w:rsid w:val="00CE33F1"/>
    <w:rsid w:val="00CF5987"/>
    <w:rsid w:val="00D34013"/>
    <w:rsid w:val="00D60C43"/>
    <w:rsid w:val="00D63EB5"/>
    <w:rsid w:val="00DD3F12"/>
    <w:rsid w:val="00E21DC0"/>
    <w:rsid w:val="00E35D2F"/>
    <w:rsid w:val="00E41DC3"/>
    <w:rsid w:val="00E47F22"/>
    <w:rsid w:val="00E802F4"/>
    <w:rsid w:val="00EB0203"/>
    <w:rsid w:val="00ED56A9"/>
    <w:rsid w:val="00F666CA"/>
    <w:rsid w:val="00F711FB"/>
    <w:rsid w:val="00FF264B"/>
    <w:rsid w:val="010E1B3A"/>
    <w:rsid w:val="040A2D56"/>
    <w:rsid w:val="042866C5"/>
    <w:rsid w:val="07FC503D"/>
    <w:rsid w:val="081216F9"/>
    <w:rsid w:val="089D11E5"/>
    <w:rsid w:val="094964CE"/>
    <w:rsid w:val="0A4535CE"/>
    <w:rsid w:val="0AE132F3"/>
    <w:rsid w:val="0B113DEF"/>
    <w:rsid w:val="0B2240F3"/>
    <w:rsid w:val="0E4B55C3"/>
    <w:rsid w:val="0F8B2A3F"/>
    <w:rsid w:val="12690E97"/>
    <w:rsid w:val="12A42DC1"/>
    <w:rsid w:val="12B703B1"/>
    <w:rsid w:val="13173E66"/>
    <w:rsid w:val="150E7289"/>
    <w:rsid w:val="1529114A"/>
    <w:rsid w:val="155D2206"/>
    <w:rsid w:val="15EB7B76"/>
    <w:rsid w:val="16637C03"/>
    <w:rsid w:val="1763248D"/>
    <w:rsid w:val="18DF7976"/>
    <w:rsid w:val="197033F9"/>
    <w:rsid w:val="19B009A9"/>
    <w:rsid w:val="1A8B6602"/>
    <w:rsid w:val="1B7252DD"/>
    <w:rsid w:val="1B9656A9"/>
    <w:rsid w:val="1C031CEB"/>
    <w:rsid w:val="1E632343"/>
    <w:rsid w:val="20F7782F"/>
    <w:rsid w:val="23EB76F4"/>
    <w:rsid w:val="245F585B"/>
    <w:rsid w:val="24A673E9"/>
    <w:rsid w:val="250C5B77"/>
    <w:rsid w:val="253E5811"/>
    <w:rsid w:val="27C67E06"/>
    <w:rsid w:val="28030466"/>
    <w:rsid w:val="2A325C03"/>
    <w:rsid w:val="2A8273DB"/>
    <w:rsid w:val="2ABF6AF4"/>
    <w:rsid w:val="2C84141C"/>
    <w:rsid w:val="2CB44ACF"/>
    <w:rsid w:val="2D5767D4"/>
    <w:rsid w:val="2DF87B98"/>
    <w:rsid w:val="2E602862"/>
    <w:rsid w:val="2E683CE1"/>
    <w:rsid w:val="2FD81C25"/>
    <w:rsid w:val="313326B1"/>
    <w:rsid w:val="31C815D0"/>
    <w:rsid w:val="32175071"/>
    <w:rsid w:val="33F336ED"/>
    <w:rsid w:val="37874F2B"/>
    <w:rsid w:val="3807657D"/>
    <w:rsid w:val="383F0B37"/>
    <w:rsid w:val="39AF008E"/>
    <w:rsid w:val="3AA51F47"/>
    <w:rsid w:val="3B97674E"/>
    <w:rsid w:val="3D31680E"/>
    <w:rsid w:val="3EFD00A4"/>
    <w:rsid w:val="41346D12"/>
    <w:rsid w:val="41777121"/>
    <w:rsid w:val="4206348D"/>
    <w:rsid w:val="44326074"/>
    <w:rsid w:val="45F86A8B"/>
    <w:rsid w:val="485E3AAC"/>
    <w:rsid w:val="48912E98"/>
    <w:rsid w:val="492D5815"/>
    <w:rsid w:val="4D5E3C69"/>
    <w:rsid w:val="4F6E40EE"/>
    <w:rsid w:val="4F712F3A"/>
    <w:rsid w:val="4FFF7FFC"/>
    <w:rsid w:val="509639CD"/>
    <w:rsid w:val="524C1DBF"/>
    <w:rsid w:val="52DE1203"/>
    <w:rsid w:val="532802E8"/>
    <w:rsid w:val="535F396E"/>
    <w:rsid w:val="5841334C"/>
    <w:rsid w:val="58BF14D7"/>
    <w:rsid w:val="59640006"/>
    <w:rsid w:val="59B34985"/>
    <w:rsid w:val="5ECF103E"/>
    <w:rsid w:val="60EA73D1"/>
    <w:rsid w:val="61143249"/>
    <w:rsid w:val="632C6098"/>
    <w:rsid w:val="647A38B6"/>
    <w:rsid w:val="64870E15"/>
    <w:rsid w:val="648D0BC6"/>
    <w:rsid w:val="65CF5265"/>
    <w:rsid w:val="660135E4"/>
    <w:rsid w:val="698F0730"/>
    <w:rsid w:val="699717E5"/>
    <w:rsid w:val="70B8206F"/>
    <w:rsid w:val="70CC04B5"/>
    <w:rsid w:val="74070CBB"/>
    <w:rsid w:val="764329BA"/>
    <w:rsid w:val="76DC39A3"/>
    <w:rsid w:val="76EC078F"/>
    <w:rsid w:val="76F317DB"/>
    <w:rsid w:val="7A7904E1"/>
    <w:rsid w:val="7A8A3CB5"/>
    <w:rsid w:val="7C0104D6"/>
    <w:rsid w:val="7CD41029"/>
    <w:rsid w:val="7CD4132C"/>
    <w:rsid w:val="7DBC20A8"/>
    <w:rsid w:val="7E35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sz w:val="18"/>
      <w:szCs w:val="18"/>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customStyle="1" w:styleId="13">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400</Words>
  <Characters>2283</Characters>
  <Lines>19</Lines>
  <Paragraphs>5</Paragraphs>
  <TotalTime>1</TotalTime>
  <ScaleCrop>false</ScaleCrop>
  <LinksUpToDate>false</LinksUpToDate>
  <CharactersWithSpaces>2678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Administrator</cp:lastModifiedBy>
  <cp:lastPrinted>2020-07-02T03:02:00Z</cp:lastPrinted>
  <dcterms:modified xsi:type="dcterms:W3CDTF">2023-07-03T09:47:43Z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748A482818324AAEA8FC0FDF19B97D70</vt:lpwstr>
  </property>
</Properties>
</file>