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7193"/>
      <w:bookmarkStart w:id="3" w:name="_Toc15377425"/>
      <w:bookmarkStart w:id="4" w:name="_Toc15396597"/>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77194"/>
      <w:bookmarkStart w:id="8" w:name="_Toc15378442"/>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rPr>
        <w:t>巴中市巴州区公共资源交易服务中心</w:t>
      </w:r>
      <w:r>
        <w:rPr>
          <w:rFonts w:hint="eastAsia" w:ascii="方正小标宋简体" w:hAnsi="方正小标宋简体" w:eastAsia="方正小标宋简体" w:cs="方正小标宋简体"/>
          <w:color w:val="auto"/>
          <w:sz w:val="72"/>
          <w:szCs w:val="72"/>
          <w:highlight w:val="none"/>
          <w:lang w:val="en-US" w:eastAsia="zh-CN"/>
        </w:rPr>
        <w:t>部门决</w:t>
      </w:r>
      <w:bookmarkStart w:id="67" w:name="_GoBack"/>
      <w:bookmarkEnd w:id="67"/>
      <w:r>
        <w:rPr>
          <w:rFonts w:hint="eastAsia" w:ascii="方正小标宋简体" w:hAnsi="方正小标宋简体" w:eastAsia="方正小标宋简体" w:cs="方正小标宋简体"/>
          <w:color w:val="auto"/>
          <w:sz w:val="72"/>
          <w:szCs w:val="72"/>
          <w:highlight w:val="none"/>
        </w:rPr>
        <w:t>算</w:t>
      </w:r>
      <w:bookmarkEnd w:id="6"/>
      <w:bookmarkEnd w:id="7"/>
      <w:bookmarkEnd w:id="8"/>
      <w:bookmarkEnd w:id="9"/>
      <w:bookmarkEnd w:id="10"/>
      <w:bookmarkEnd w:id="11"/>
    </w:p>
    <w:p>
      <w:pPr>
        <w:pStyle w:val="12"/>
        <w:adjustRightInd w:val="0"/>
        <w:snapToGrid w:val="0"/>
        <w:spacing w:line="440" w:lineRule="exact"/>
        <w:jc w:val="left"/>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2"/>
        <w:adjustRightInd w:val="0"/>
        <w:snapToGrid w:val="0"/>
        <w:spacing w:line="440" w:lineRule="exact"/>
        <w:jc w:val="left"/>
        <w:rPr>
          <w:rFonts w:hint="default" w:ascii="仿宋" w:hAnsi="仿宋" w:eastAsia="宋体"/>
          <w:color w:val="auto"/>
          <w:sz w:val="24"/>
          <w:highlight w:val="none"/>
          <w:lang w:val="en-US" w:eastAsia="zh-CN"/>
        </w:rPr>
      </w:pPr>
      <w:r>
        <w:rPr>
          <w:rFonts w:hint="eastAsia"/>
          <w:color w:val="auto"/>
          <w:sz w:val="24"/>
          <w:highlight w:val="none"/>
        </w:rPr>
        <w:t>一、基本职能及主要</w:t>
      </w:r>
      <w:r>
        <w:rPr>
          <w:rFonts w:hint="eastAsia"/>
          <w:color w:val="auto"/>
          <w:sz w:val="24"/>
          <w:highlight w:val="none"/>
          <w:lang w:eastAsia="zh-CN"/>
        </w:rPr>
        <w:t>工</w:t>
      </w:r>
      <w:r>
        <w:rPr>
          <w:rFonts w:hint="eastAsia"/>
          <w:color w:val="auto"/>
          <w:sz w:val="24"/>
          <w:highlight w:val="none"/>
        </w:rPr>
        <w:t>作</w:t>
      </w:r>
      <w:r>
        <w:rPr>
          <w:rFonts w:hint="eastAsia"/>
          <w:color w:val="auto"/>
          <w:sz w:val="24"/>
          <w:highlight w:val="none"/>
          <w:lang w:val="en-US" w:eastAsia="zh-CN"/>
        </w:rPr>
        <w:t>·······································1</w:t>
      </w:r>
    </w:p>
    <w:p>
      <w:pPr>
        <w:pStyle w:val="12"/>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二、机构设置</w:t>
      </w:r>
      <w:r>
        <w:rPr>
          <w:rFonts w:hint="eastAsia"/>
          <w:color w:val="auto"/>
          <w:sz w:val="24"/>
          <w:highlight w:val="none"/>
          <w:lang w:val="en-US" w:eastAsia="zh-CN"/>
        </w:rPr>
        <w:t>·</w:t>
      </w:r>
      <w:r>
        <w:rPr>
          <w:rFonts w:hint="eastAsia" w:ascii="Times New Roman" w:hAnsi="Times New Roman" w:eastAsia="宋体" w:cs="Times New Roman"/>
          <w:color w:val="auto"/>
          <w:kern w:val="2"/>
          <w:sz w:val="24"/>
          <w:szCs w:val="24"/>
          <w:highlight w:val="none"/>
          <w:lang w:val="en-US" w:eastAsia="zh-CN" w:bidi="ar-SA"/>
        </w:rPr>
        <w:t>··································</w:t>
      </w:r>
      <w:r>
        <w:rPr>
          <w:rFonts w:hint="eastAsia"/>
          <w:color w:val="auto"/>
          <w:sz w:val="24"/>
          <w:highlight w:val="none"/>
          <w:lang w:val="en-US" w:eastAsia="zh-CN"/>
        </w:rPr>
        <w:t>··</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2</w:t>
      </w:r>
    </w:p>
    <w:p>
      <w:pPr>
        <w:pStyle w:val="11"/>
        <w:adjustRightInd w:val="0"/>
        <w:snapToGrid w:val="0"/>
        <w:spacing w:before="0" w:line="440" w:lineRule="exact"/>
        <w:jc w:val="left"/>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olor w:val="auto"/>
          <w:sz w:val="24"/>
          <w:highlight w:val="none"/>
          <w:lang w:val="en-US" w:eastAsia="zh-CN"/>
        </w:rPr>
        <w:t>··</w:t>
      </w:r>
      <w:r>
        <w:rPr>
          <w:rFonts w:hint="eastAsia" w:ascii="Times New Roman" w:hAnsi="Times New Roman" w:eastAsia="宋体" w:cs="Times New Roman"/>
          <w:color w:val="auto"/>
          <w:kern w:val="2"/>
          <w:sz w:val="24"/>
          <w:szCs w:val="24"/>
          <w:highlight w:val="none"/>
          <w:lang w:val="en-US" w:eastAsia="zh-CN" w:bidi="ar-SA"/>
        </w:rPr>
        <w:t>···········3</w:t>
      </w:r>
    </w:p>
    <w:p>
      <w:pPr>
        <w:pStyle w:val="11"/>
        <w:adjustRightInd w:val="0"/>
        <w:snapToGrid w:val="0"/>
        <w:spacing w:before="0" w:line="440" w:lineRule="exact"/>
        <w:ind w:firstLine="480" w:firstLineChars="200"/>
        <w:jc w:val="left"/>
        <w:rPr>
          <w:rFonts w:hint="default" w:ascii="仿宋" w:hAnsi="仿宋" w:eastAsia="仿宋" w:cstheme="minorBidi"/>
          <w:color w:val="auto"/>
          <w:sz w:val="24"/>
          <w:highlight w:val="none"/>
          <w:lang w:val="en-US"/>
        </w:rPr>
      </w:pPr>
      <w:r>
        <w:rPr>
          <w:rFonts w:hint="eastAsia"/>
          <w:color w:val="auto"/>
          <w:sz w:val="24"/>
          <w:highlight w:val="none"/>
        </w:rPr>
        <w:t>一、收入支出决算总体情况说明</w:t>
      </w:r>
      <w:r>
        <w:rPr>
          <w:rFonts w:hint="eastAsia" w:ascii="Times New Roman" w:hAnsi="Times New Roman" w:eastAsia="宋体" w:cs="Times New Roman"/>
          <w:color w:val="auto"/>
          <w:kern w:val="2"/>
          <w:sz w:val="24"/>
          <w:szCs w:val="24"/>
          <w:highlight w:val="none"/>
          <w:lang w:val="en-US" w:eastAsia="zh-CN" w:bidi="ar-SA"/>
        </w:rPr>
        <w:t>····································3</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二、收入决算情况说明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4</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5</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5</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6</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9</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9</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11</w:t>
      </w:r>
    </w:p>
    <w:p>
      <w:pPr>
        <w:pStyle w:val="12"/>
        <w:adjustRightInd w:val="0"/>
        <w:snapToGrid w:val="0"/>
        <w:spacing w:line="440" w:lineRule="exact"/>
        <w:ind w:leftChars="0"/>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11</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asciiTheme="minorEastAsia" w:hAnsiTheme="minorEastAsia" w:eastAsiaTheme="minorEastAsia" w:cstheme="minorEastAsia"/>
          <w:color w:val="auto"/>
          <w:sz w:val="24"/>
          <w:highlight w:val="none"/>
          <w:lang w:val="en-US"/>
        </w:rPr>
      </w:pPr>
      <w:r>
        <w:rPr>
          <w:rStyle w:val="16"/>
          <w:rFonts w:hint="eastAsia" w:asciiTheme="minorEastAsia" w:hAnsiTheme="minorEastAsia" w:eastAsiaTheme="minorEastAsia" w:cstheme="minorEastAsia"/>
          <w:color w:val="auto"/>
          <w:sz w:val="24"/>
          <w:highlight w:val="none"/>
          <w:u w:val="none"/>
          <w:lang w:eastAsia="zh-CN"/>
        </w:rPr>
        <w:t>十</w:t>
      </w:r>
      <w:r>
        <w:rPr>
          <w:rStyle w:val="16"/>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11</w:t>
      </w:r>
    </w:p>
    <w:p>
      <w:pPr>
        <w:pStyle w:val="11"/>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Times New Roman" w:hAnsi="Times New Roman" w:eastAsia="宋体" w:cs="Times New Roman"/>
          <w:color w:val="auto"/>
          <w:kern w:val="2"/>
          <w:sz w:val="24"/>
          <w:szCs w:val="24"/>
          <w:highlight w:val="none"/>
          <w:lang w:val="en-US" w:eastAsia="zh-CN" w:bidi="ar-SA"/>
        </w:rPr>
        <w:t>··········································13</w:t>
      </w:r>
    </w:p>
    <w:p>
      <w:pPr>
        <w:pStyle w:val="11"/>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Times New Roman" w:hAnsi="Times New Roman" w:eastAsia="宋体" w:cs="Times New Roman"/>
          <w:color w:val="auto"/>
          <w:kern w:val="2"/>
          <w:sz w:val="24"/>
          <w:szCs w:val="24"/>
          <w:highlight w:val="none"/>
          <w:lang w:val="en-US" w:eastAsia="zh-CN" w:bidi="ar-SA"/>
        </w:rPr>
        <w:t>············································16</w:t>
      </w:r>
    </w:p>
    <w:p>
      <w:pPr>
        <w:pStyle w:val="11"/>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Times New Roman" w:hAnsi="Times New Roman" w:eastAsia="宋体" w:cs="Times New Roman"/>
          <w:color w:val="auto"/>
          <w:kern w:val="2"/>
          <w:sz w:val="24"/>
          <w:szCs w:val="24"/>
          <w:highlight w:val="none"/>
          <w:lang w:val="en-US" w:eastAsia="zh-CN" w:bidi="ar-SA"/>
        </w:rPr>
        <w:t>············································26</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ascii="仿宋" w:hAnsi="仿宋" w:eastAsia="仿宋"/>
          <w:color w:val="auto"/>
          <w:sz w:val="24"/>
          <w:highlight w:val="none"/>
        </w:rPr>
        <w:t>一、</w:t>
      </w:r>
      <w:r>
        <w:rPr>
          <w:rFonts w:hint="eastAsia"/>
          <w:color w:val="auto"/>
          <w:sz w:val="24"/>
          <w:highlight w:val="none"/>
        </w:rPr>
        <w:t>收入支出决算总表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27</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二、收入决算表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29</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三、支出决算表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30</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四、财政拨款收入支出决算总表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31</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asciiTheme="minorEastAsia" w:hAnsiTheme="minorEastAsia" w:eastAsiaTheme="minorEastAsia" w:cstheme="minorEastAsia"/>
          <w:color w:val="auto"/>
          <w:sz w:val="24"/>
          <w:highlight w:val="none"/>
        </w:rPr>
        <w:t>五、财政拨款支出决算明细表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32</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六、一般公共预算财政拨款支出决算表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33</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七、一般公共预算财政拨款支出决算明细表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34</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八、一般公共预算财政拨款基本支出决算表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38</w:t>
      </w:r>
    </w:p>
    <w:p>
      <w:pPr>
        <w:pStyle w:val="12"/>
        <w:adjustRightInd w:val="0"/>
        <w:snapToGrid w:val="0"/>
        <w:spacing w:line="440" w:lineRule="exact"/>
        <w:jc w:val="left"/>
        <w:rPr>
          <w:rFonts w:hint="default"/>
          <w:lang w:val="en-US"/>
        </w:rPr>
      </w:pPr>
      <w:r>
        <w:rPr>
          <w:rFonts w:hint="eastAsia" w:asciiTheme="minorEastAsia" w:hAnsiTheme="minorEastAsia" w:eastAsiaTheme="minorEastAsia" w:cstheme="minorEastAsia"/>
          <w:color w:val="auto"/>
          <w:sz w:val="24"/>
          <w:highlight w:val="none"/>
        </w:rPr>
        <w:t>九、一般公共预算财政拨款项目支出决算表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39</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十、政府性基金预算财政拨款收入支出决算表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40</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十一、国有资本经营预算财政拨款收入支出决算表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41</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42</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十三、财政拨款“三公”经费支出决算表</w:t>
      </w:r>
      <w:r>
        <w:rPr>
          <w:rFonts w:hint="eastAsia"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43</w:t>
      </w:r>
    </w:p>
    <w:p>
      <w:pPr>
        <w:pStyle w:val="4"/>
        <w:jc w:val="center"/>
        <w:rPr>
          <w:rFonts w:hint="eastAsia" w:ascii="黑体" w:hAnsi="黑体" w:eastAsia="黑体"/>
          <w:b w:val="0"/>
          <w:color w:val="auto"/>
          <w:highlight w:val="none"/>
        </w:rPr>
        <w:sectPr>
          <w:headerReference r:id="rId3" w:type="default"/>
          <w:pgSz w:w="16838" w:h="11906" w:orient="landscape"/>
          <w:pgMar w:top="1800" w:right="1440" w:bottom="1800" w:left="1440" w:header="851" w:footer="992" w:gutter="0"/>
          <w:pgNumType w:start="1"/>
          <w:cols w:space="425" w:num="1"/>
          <w:titlePg/>
          <w:docGrid w:type="lines" w:linePitch="312" w:charSpace="0"/>
        </w:sectPr>
      </w:pPr>
      <w:bookmarkStart w:id="12" w:name="_Toc15377196"/>
      <w:bookmarkStart w:id="13" w:name="_Toc15396599"/>
    </w:p>
    <w:p>
      <w:pPr>
        <w:pStyle w:val="4"/>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5"/>
        <w:numPr>
          <w:ilvl w:val="0"/>
          <w:numId w:val="1"/>
        </w:numPr>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lang w:eastAsia="zh-CN"/>
        </w:rPr>
        <w:t>主要职责</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(1).贯彻实施公共资源交易服务相关法律、法规和政策，为公共资源交易活动提供场所、设施和服务。</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(2).制定公共资源交易服务现场管理规章制度、工作流程并组织实施；指导全区公共资源交易活动现场服务和管理工作。</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(3).承担国家、省、市、区投资的重大工程建设项目招投标和比选等公共资源交易现场服务和管理工作；负责国有产权转让交易、政府采购、医药采购、特许经营权出（转）让等现场服务和管理工作；受委托为国有土地和矿业权出（转）让提供交易服务。</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(4).承担区公共资源交易服务中心信息技术平台建设和管理；按照有关规定发布场内交易信息，对进入交易中心的交易活动提供跟踪服务。</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(5).查验进场交易项目相关手续和参与交易活动各方主体资格。</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(6).建立公共资源交易从业者场内信誉评价制度，协助有关部门建立公共资源交易信用评价体系。</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(7).负责项目交易现场监督管理工作。记录、制止和纠正违反交易现场管理制度的行为，接受有关咨询、投诉，并按职责分工及时处理。</w:t>
      </w:r>
    </w:p>
    <w:p>
      <w:pPr>
        <w:rPr>
          <w:rFonts w:hint="eastAsia"/>
          <w:lang w:eastAsia="zh-CN"/>
        </w:rPr>
      </w:pPr>
      <w:r>
        <w:rPr>
          <w:rFonts w:hint="eastAsia" w:ascii="仿宋" w:hAnsi="仿宋" w:eastAsia="仿宋"/>
          <w:bCs/>
          <w:color w:val="000000"/>
          <w:sz w:val="32"/>
          <w:szCs w:val="32"/>
        </w:rPr>
        <w:t>(8).承办区委、区政府及上级业务主管部门交办的其他事项。</w:t>
      </w:r>
    </w:p>
    <w:p>
      <w:pPr>
        <w:pStyle w:val="5"/>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p>
      <w:pPr>
        <w:ind w:firstLine="800" w:firstLineChars="250"/>
        <w:rPr>
          <w:rFonts w:ascii="仿宋" w:hAnsi="仿宋" w:eastAsia="仿宋"/>
          <w:sz w:val="32"/>
          <w:szCs w:val="32"/>
        </w:rPr>
      </w:pPr>
      <w:r>
        <w:rPr>
          <w:rFonts w:hint="eastAsia" w:ascii="仿宋_GB2312" w:eastAsia="仿宋_GB2312" w:cs="仿宋_GB2312"/>
          <w:color w:val="4E4342"/>
          <w:sz w:val="32"/>
          <w:szCs w:val="32"/>
          <w:shd w:val="clear" w:color="auto" w:fill="FFFFFF"/>
        </w:rPr>
        <w:t>区</w:t>
      </w:r>
      <w:r>
        <w:rPr>
          <w:rFonts w:hint="eastAsia" w:ascii="仿宋_GB2312" w:eastAsia="仿宋_GB2312" w:cs="仿宋_GB2312"/>
          <w:color w:val="4E4342"/>
          <w:sz w:val="32"/>
          <w:szCs w:val="32"/>
          <w:shd w:val="clear" w:color="auto" w:fill="FFFFFF"/>
          <w:lang w:eastAsia="zh-CN"/>
        </w:rPr>
        <w:t>公共</w:t>
      </w:r>
      <w:r>
        <w:rPr>
          <w:rFonts w:hint="eastAsia" w:ascii="仿宋_GB2312" w:eastAsia="仿宋_GB2312" w:cs="仿宋_GB2312"/>
          <w:color w:val="4E4342"/>
          <w:sz w:val="32"/>
          <w:szCs w:val="32"/>
          <w:shd w:val="clear" w:color="auto" w:fill="FFFFFF"/>
        </w:rPr>
        <w:t>资源交易服务中心为一</w:t>
      </w:r>
      <w:r>
        <w:rPr>
          <w:rFonts w:hint="eastAsia" w:ascii="仿宋_GB2312" w:eastAsia="仿宋_GB2312" w:cs="仿宋_GB2312"/>
          <w:color w:val="4E4342"/>
          <w:sz w:val="32"/>
          <w:szCs w:val="32"/>
          <w:shd w:val="clear" w:color="auto" w:fill="FFFFFF"/>
          <w:lang w:eastAsia="zh-CN"/>
        </w:rPr>
        <w:t>类</w:t>
      </w:r>
      <w:r>
        <w:rPr>
          <w:rFonts w:hint="eastAsia" w:ascii="仿宋_GB2312" w:eastAsia="仿宋_GB2312" w:cs="仿宋_GB2312"/>
          <w:color w:val="4E4342"/>
          <w:sz w:val="32"/>
          <w:szCs w:val="32"/>
          <w:shd w:val="clear" w:color="auto" w:fill="FFFFFF"/>
        </w:rPr>
        <w:t>公益事业单位，下属二级单位巴州</w:t>
      </w:r>
      <w:r>
        <w:rPr>
          <w:rFonts w:hint="eastAsia" w:ascii="仿宋_GB2312" w:eastAsia="仿宋_GB2312" w:cs="仿宋_GB2312"/>
          <w:color w:val="4E4342"/>
          <w:sz w:val="32"/>
          <w:szCs w:val="32"/>
          <w:shd w:val="clear" w:color="auto" w:fill="FFFFFF"/>
          <w:lang w:eastAsia="zh-CN"/>
        </w:rPr>
        <w:t>区政府采购中心</w:t>
      </w:r>
      <w:r>
        <w:rPr>
          <w:rFonts w:hint="eastAsia" w:ascii="仿宋" w:hAnsi="仿宋" w:eastAsia="仿宋"/>
          <w:sz w:val="32"/>
          <w:szCs w:val="32"/>
        </w:rPr>
        <w:t>。</w:t>
      </w:r>
    </w:p>
    <w:p>
      <w:pPr>
        <w:rPr>
          <w:rFonts w:hint="eastAsia"/>
          <w:lang w:val="en-US" w:eastAsia="zh-CN"/>
        </w:rPr>
      </w:pPr>
    </w:p>
    <w:bookmarkEnd w:id="14"/>
    <w:bookmarkEnd w:id="15"/>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ind w:right="440"/>
        <w:jc w:val="center"/>
        <w:rPr>
          <w:rStyle w:val="25"/>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420" w:firstLineChars="200"/>
        <w:rPr>
          <w:rFonts w:hint="eastAsia" w:ascii="仿宋" w:hAnsi="仿宋" w:eastAsia="仿宋"/>
          <w:color w:val="auto"/>
          <w:sz w:val="32"/>
          <w:szCs w:val="32"/>
          <w:highlight w:val="none"/>
          <w:lang w:val="en-US" w:eastAsia="zh-CN"/>
        </w:rPr>
      </w:pPr>
      <w:r>
        <w:drawing>
          <wp:anchor distT="0" distB="0" distL="114300" distR="114300" simplePos="0" relativeHeight="251660288" behindDoc="0" locked="0" layoutInCell="1" allowOverlap="1">
            <wp:simplePos x="0" y="0"/>
            <wp:positionH relativeFrom="column">
              <wp:posOffset>671195</wp:posOffset>
            </wp:positionH>
            <wp:positionV relativeFrom="paragraph">
              <wp:posOffset>1718945</wp:posOffset>
            </wp:positionV>
            <wp:extent cx="3743960" cy="2324100"/>
            <wp:effectExtent l="4445" t="4445" r="2349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923.61</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10.54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1.15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2022年支付交易大厅建设经费。</w:t>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hint="eastAsia" w:ascii="仿宋" w:hAnsi="仿宋" w:eastAsia="仿宋"/>
          <w:color w:val="auto"/>
          <w:sz w:val="32"/>
          <w:szCs w:val="32"/>
          <w:highlight w:val="none"/>
          <w:lang w:val="en-US" w:eastAsia="zh-CN"/>
        </w:rPr>
      </w:pPr>
    </w:p>
    <w:p>
      <w:pPr>
        <w:spacing w:line="600" w:lineRule="exact"/>
        <w:ind w:firstLine="640" w:firstLineChars="200"/>
        <w:rPr>
          <w:rFonts w:hint="eastAsia" w:ascii="仿宋" w:hAnsi="仿宋" w:eastAsia="仿宋"/>
          <w:color w:val="auto"/>
          <w:sz w:val="32"/>
          <w:szCs w:val="32"/>
          <w:highlight w:val="none"/>
          <w:lang w:val="en-US" w:eastAsia="zh-CN"/>
        </w:rPr>
      </w:pP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923.61</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923.61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3"/>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16510</wp:posOffset>
            </wp:positionH>
            <wp:positionV relativeFrom="paragraph">
              <wp:posOffset>252730</wp:posOffset>
            </wp:positionV>
            <wp:extent cx="5810885" cy="2302510"/>
            <wp:effectExtent l="4445" t="4445" r="13970" b="1714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（图2：收入决算结构图）</w:t>
      </w:r>
    </w:p>
    <w:p>
      <w:pPr>
        <w:spacing w:line="600" w:lineRule="exact"/>
        <w:ind w:firstLine="640" w:firstLineChars="200"/>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3"/>
      </w:pPr>
    </w:p>
    <w:p/>
    <w:p>
      <w:pPr>
        <w:pStyle w:val="2"/>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923.61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eastAsia="zh-CN"/>
        </w:rPr>
        <w:t>513.11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55.56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410.50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44.44</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p>
    <w:p>
      <w:pPr>
        <w:pStyle w:val="3"/>
      </w:pPr>
      <w:r>
        <w:drawing>
          <wp:anchor distT="0" distB="0" distL="114300" distR="114300" simplePos="0" relativeHeight="251663360" behindDoc="0" locked="0" layoutInCell="1" allowOverlap="1">
            <wp:simplePos x="0" y="0"/>
            <wp:positionH relativeFrom="column">
              <wp:posOffset>727075</wp:posOffset>
            </wp:positionH>
            <wp:positionV relativeFrom="paragraph">
              <wp:posOffset>189230</wp:posOffset>
            </wp:positionV>
            <wp:extent cx="3816985" cy="2104390"/>
            <wp:effectExtent l="4445" t="4445" r="7620" b="5715"/>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
      <w:pPr>
        <w:pStyle w:val="2"/>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pStyle w:val="2"/>
      </w:pPr>
    </w:p>
    <w:p>
      <w:pPr>
        <w:spacing w:line="600" w:lineRule="exact"/>
        <w:ind w:firstLine="640" w:firstLineChars="200"/>
        <w:outlineLvl w:val="1"/>
        <w:rPr>
          <w:rFonts w:hint="eastAsia" w:ascii="黑体" w:hAnsi="黑体" w:eastAsia="黑体"/>
          <w:color w:val="auto"/>
          <w:sz w:val="32"/>
          <w:szCs w:val="32"/>
          <w:highlight w:val="none"/>
        </w:rPr>
      </w:pPr>
      <w:bookmarkStart w:id="24" w:name="_Toc15377208"/>
      <w:bookmarkStart w:id="25" w:name="_Toc15396606"/>
    </w:p>
    <w:p>
      <w:pPr>
        <w:spacing w:line="600" w:lineRule="exact"/>
        <w:ind w:firstLine="640" w:firstLineChars="200"/>
        <w:outlineLvl w:val="1"/>
        <w:rPr>
          <w:rStyle w:val="26"/>
          <w:rFonts w:ascii="黑体" w:hAnsi="黑体" w:eastAsia="黑体"/>
          <w:b w:val="0"/>
          <w:color w:val="auto"/>
          <w:highlight w:val="none"/>
        </w:rPr>
      </w:pPr>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eastAsia="zh-CN"/>
        </w:rPr>
        <w:t>923.61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10.54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2022年支付交易大厅建设经费。</w:t>
      </w:r>
    </w:p>
    <w:p>
      <w:pPr>
        <w:spacing w:line="600" w:lineRule="exact"/>
        <w:ind w:firstLine="640"/>
        <w:rPr>
          <w:rFonts w:hint="eastAsia" w:ascii="仿宋" w:hAnsi="仿宋" w:eastAsia="仿宋"/>
          <w:color w:val="auto"/>
          <w:sz w:val="32"/>
          <w:szCs w:val="32"/>
          <w:highlight w:val="none"/>
          <w:lang w:val="en-US" w:eastAsia="zh-CN"/>
        </w:rPr>
      </w:pPr>
      <w:r>
        <w:drawing>
          <wp:anchor distT="0" distB="0" distL="114300" distR="114300" simplePos="0" relativeHeight="251661312" behindDoc="1" locked="0" layoutInCell="1" allowOverlap="1">
            <wp:simplePos x="0" y="0"/>
            <wp:positionH relativeFrom="column">
              <wp:posOffset>2090420</wp:posOffset>
            </wp:positionH>
            <wp:positionV relativeFrom="paragraph">
              <wp:posOffset>80645</wp:posOffset>
            </wp:positionV>
            <wp:extent cx="3301365" cy="2143760"/>
            <wp:effectExtent l="4445" t="4445" r="8890" b="23495"/>
            <wp:wrapTight wrapText="bothSides">
              <wp:wrapPolygon>
                <wp:start x="-29" y="-45"/>
                <wp:lineTo x="-29" y="21453"/>
                <wp:lineTo x="21534" y="21453"/>
                <wp:lineTo x="21534" y="-45"/>
                <wp:lineTo x="-29" y="-45"/>
              </wp:wrapPolygon>
            </wp:wrapTight>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 w:hAnsi="仿宋" w:eastAsia="仿宋"/>
          <w:color w:val="auto"/>
          <w:sz w:val="32"/>
          <w:szCs w:val="32"/>
          <w:highlight w:val="none"/>
        </w:rPr>
      </w:pPr>
    </w:p>
    <w:p>
      <w:pPr>
        <w:pStyle w:val="2"/>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bookmarkStart w:id="26" w:name="_Toc15396607"/>
      <w:bookmarkStart w:id="27" w:name="_Toc15377209"/>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923.61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10.54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2022年支付交易大厅建设经费。</w:t>
      </w:r>
    </w:p>
    <w:p>
      <w:pPr>
        <w:pStyle w:val="2"/>
        <w:rPr>
          <w:rFonts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5080</wp:posOffset>
            </wp:positionH>
            <wp:positionV relativeFrom="paragraph">
              <wp:posOffset>4445</wp:posOffset>
            </wp:positionV>
            <wp:extent cx="3246120" cy="1885950"/>
            <wp:effectExtent l="5080" t="4445" r="6350" b="14605"/>
            <wp:wrapSquare wrapText="bothSides"/>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bookmarkStart w:id="29" w:name="_Toc15377211"/>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923.61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885.22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95.84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文化旅游体育与传媒支出</w:t>
      </w:r>
      <w:r>
        <w:rPr>
          <w:rFonts w:hint="eastAsia" w:ascii="仿宋" w:hAnsi="仿宋" w:eastAsia="仿宋"/>
          <w:b/>
          <w:bCs/>
          <w:color w:val="auto"/>
          <w:sz w:val="32"/>
          <w:szCs w:val="32"/>
          <w:highlight w:val="none"/>
          <w:lang w:eastAsia="zh-CN"/>
        </w:rPr>
        <w:t>0</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eastAsia="zh-CN"/>
        </w:rPr>
        <w:t>0</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26.07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12.32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drawing>
          <wp:inline distT="0" distB="0" distL="114300" distR="114300">
            <wp:extent cx="5187950" cy="2352675"/>
            <wp:effectExtent l="4445" t="4445" r="825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923.61</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一般公共服务（类）</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885.22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Style w:val="15"/>
          <w:rFonts w:hint="eastAsia" w:ascii="仿宋" w:hAnsi="仿宋" w:eastAsia="仿宋"/>
          <w:b w:val="0"/>
          <w:bCs/>
          <w:color w:val="auto"/>
          <w:sz w:val="32"/>
          <w:szCs w:val="32"/>
          <w:highlight w:val="none"/>
          <w:lang w:eastAsia="zh-CN"/>
        </w:rPr>
      </w:pPr>
      <w:r>
        <w:rPr>
          <w:rStyle w:val="15"/>
          <w:rFonts w:ascii="仿宋" w:hAnsi="仿宋" w:eastAsia="仿宋"/>
          <w:bCs/>
          <w:color w:val="auto"/>
          <w:sz w:val="32"/>
          <w:szCs w:val="32"/>
          <w:highlight w:val="none"/>
        </w:rPr>
        <w:t>2.</w:t>
      </w:r>
      <w:r>
        <w:rPr>
          <w:rStyle w:val="15"/>
          <w:rFonts w:hint="eastAsia" w:ascii="仿宋" w:hAnsi="仿宋" w:eastAsia="仿宋"/>
          <w:bCs/>
          <w:color w:val="auto"/>
          <w:sz w:val="32"/>
          <w:szCs w:val="32"/>
          <w:highlight w:val="none"/>
        </w:rPr>
        <w:t>社会保障和就业（类）</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26.07</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5"/>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卫生健康支出</w:t>
      </w:r>
      <w:r>
        <w:rPr>
          <w:rStyle w:val="15"/>
          <w:rFonts w:hint="eastAsia" w:ascii="仿宋" w:hAnsi="仿宋" w:eastAsia="仿宋"/>
          <w:bCs/>
          <w:color w:val="auto"/>
          <w:sz w:val="32"/>
          <w:szCs w:val="32"/>
          <w:highlight w:val="none"/>
        </w:rPr>
        <w:t>（类）</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12.32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5"/>
          <w:rFonts w:ascii="仿宋" w:hAnsi="仿宋" w:eastAsia="仿宋"/>
          <w:bCs/>
          <w:color w:val="auto"/>
          <w:sz w:val="32"/>
          <w:szCs w:val="32"/>
          <w:highlight w:val="none"/>
        </w:rPr>
        <w:t>4.</w:t>
      </w:r>
      <w:r>
        <w:rPr>
          <w:rStyle w:val="15"/>
          <w:rFonts w:hint="eastAsia" w:ascii="仿宋" w:hAnsi="仿宋" w:eastAsia="仿宋" w:cs="Times New Roman"/>
          <w:b/>
          <w:bCs/>
          <w:color w:val="000000"/>
          <w:sz w:val="32"/>
          <w:szCs w:val="32"/>
          <w:lang w:val="en-US" w:eastAsia="zh-CN"/>
        </w:rPr>
        <w:t>住房保障（类）：</w:t>
      </w:r>
      <w:r>
        <w:rPr>
          <w:rStyle w:val="15"/>
          <w:rFonts w:hint="eastAsia" w:ascii="仿宋" w:hAnsi="仿宋" w:eastAsia="仿宋"/>
          <w:b w:val="0"/>
          <w:bCs/>
          <w:color w:val="000000"/>
          <w:sz w:val="32"/>
          <w:szCs w:val="32"/>
          <w:lang w:val="en-US" w:eastAsia="zh-CN"/>
        </w:rPr>
        <w:t>支出决算为0万元，完成预算100%，</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000000"/>
          <w:sz w:val="32"/>
          <w:szCs w:val="32"/>
          <w:lang w:val="en-US" w:eastAsia="zh-CN"/>
        </w:rPr>
        <w:t>。</w:t>
      </w:r>
    </w:p>
    <w:p>
      <w:pPr>
        <w:tabs>
          <w:tab w:val="right" w:pos="8306"/>
        </w:tabs>
        <w:spacing w:line="600" w:lineRule="exact"/>
        <w:ind w:firstLine="640"/>
        <w:outlineLvl w:val="1"/>
        <w:rPr>
          <w:rStyle w:val="26"/>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eastAsia="zh-CN"/>
        </w:rPr>
        <w:t>513.11</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315.52</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197.58</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6"/>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/减少0万元，增长/下降0%。</w:t>
      </w:r>
      <w:r>
        <w:rPr>
          <w:rFonts w:hint="eastAsia" w:ascii="仿宋" w:hAnsi="仿宋" w:eastAsia="仿宋"/>
          <w:color w:val="auto"/>
          <w:sz w:val="32"/>
          <w:szCs w:val="32"/>
          <w:highlight w:val="none"/>
        </w:rPr>
        <w:t>决算数小于预算数持平。</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b/>
          <w:color w:val="auto"/>
          <w:sz w:val="32"/>
          <w:szCs w:val="32"/>
          <w:highlight w:val="none"/>
        </w:rPr>
      </w:pPr>
      <w:bookmarkStart w:id="40" w:name="_Toc15377218"/>
      <w:bookmarkStart w:id="41" w:name="_Toc15396610"/>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964" w:firstLineChars="3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964" w:firstLineChars="3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w:t>
      </w:r>
      <w:r>
        <w:rPr>
          <w:rFonts w:hint="eastAsia" w:ascii="仿宋_GB2312" w:eastAsia="仿宋_GB2312"/>
          <w:color w:val="auto"/>
          <w:sz w:val="32"/>
          <w:szCs w:val="32"/>
          <w:highlight w:val="none"/>
          <w:lang w:eastAsia="zh-CN"/>
        </w:rPr>
        <w:t>元</w:t>
      </w:r>
      <w:r>
        <w:rPr>
          <w:rFonts w:hint="eastAsia" w:ascii="仿宋_GB2312" w:eastAsia="仿宋_GB2312"/>
          <w:color w:val="auto"/>
          <w:sz w:val="32"/>
          <w:szCs w:val="32"/>
          <w:highlight w:val="none"/>
        </w:rPr>
        <w:t>。</w:t>
      </w:r>
    </w:p>
    <w:p>
      <w:pPr>
        <w:spacing w:line="600" w:lineRule="exact"/>
        <w:ind w:firstLine="640"/>
        <w:outlineLvl w:val="1"/>
        <w:rPr>
          <w:rFonts w:ascii="黑体" w:eastAsia="黑体"/>
          <w:color w:val="auto"/>
          <w:sz w:val="32"/>
          <w:szCs w:val="32"/>
          <w:highlight w:val="none"/>
        </w:rPr>
      </w:pPr>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6"/>
          <w:rFonts w:ascii="黑体" w:hAnsi="黑体" w:eastAsia="黑体"/>
          <w:b w:val="0"/>
          <w:color w:val="auto"/>
          <w:highlight w:val="none"/>
        </w:rPr>
      </w:pPr>
      <w:bookmarkStart w:id="42" w:name="_Toc15377219"/>
      <w:bookmarkStart w:id="43" w:name="_Toc15396611"/>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4" w:name="_Toc15396612"/>
      <w:bookmarkStart w:id="45" w:name="_Toc15377221"/>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预算编制阶段，组织对创建一流营商环境办公经费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政务大厅运行经费投促中心、12345市民服务热线办公经费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“一体化平台”运行经费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交易中心运行经费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7个项目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widowControl/>
        <w:jc w:val="left"/>
        <w:rPr>
          <w:rFonts w:ascii="仿宋_GB2312" w:eastAsia="仿宋_GB2312"/>
          <w:b/>
          <w:color w:val="auto"/>
          <w:sz w:val="32"/>
          <w:szCs w:val="32"/>
          <w:highlight w:val="none"/>
        </w:rPr>
      </w:pP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7"/>
        <w:adjustRightInd w:val="0"/>
        <w:snapToGrid w:val="0"/>
        <w:spacing w:before="93" w:line="600" w:lineRule="exact"/>
        <w:ind w:firstLine="640" w:firstLineChars="200"/>
        <w:outlineLvl w:val="2"/>
        <w:rPr>
          <w:rFonts w:ascii="Times New Roman" w:eastAsia="仿宋"/>
          <w:bCs/>
          <w:color w:val="000000"/>
          <w:sz w:val="32"/>
          <w:szCs w:val="32"/>
        </w:rPr>
      </w:pPr>
      <w:bookmarkStart w:id="51" w:name="_Toc15377226"/>
      <w:r>
        <w:rPr>
          <w:rFonts w:ascii="Times New Roman" w:eastAsia="仿宋"/>
          <w:bCs/>
          <w:color w:val="000000"/>
          <w:sz w:val="32"/>
          <w:szCs w:val="32"/>
        </w:rPr>
        <w:t>1.财政拨款收入：指</w:t>
      </w:r>
      <w:r>
        <w:rPr>
          <w:rFonts w:hint="eastAsia" w:ascii="Times New Roman" w:eastAsia="仿宋"/>
          <w:bCs/>
          <w:color w:val="000000"/>
          <w:sz w:val="32"/>
          <w:szCs w:val="32"/>
        </w:rPr>
        <w:t>中央、</w:t>
      </w:r>
      <w:r>
        <w:rPr>
          <w:rFonts w:ascii="Times New Roman" w:eastAsia="仿宋"/>
          <w:bCs/>
          <w:color w:val="000000"/>
          <w:sz w:val="32"/>
          <w:szCs w:val="32"/>
        </w:rPr>
        <w:t>省级</w:t>
      </w:r>
      <w:r>
        <w:rPr>
          <w:rFonts w:hint="eastAsia" w:ascii="Times New Roman" w:eastAsia="仿宋"/>
          <w:bCs/>
          <w:color w:val="000000"/>
          <w:sz w:val="32"/>
          <w:szCs w:val="32"/>
        </w:rPr>
        <w:t>及本级</w:t>
      </w:r>
      <w:r>
        <w:rPr>
          <w:rFonts w:ascii="Times New Roman" w:eastAsia="仿宋"/>
          <w:bCs/>
          <w:color w:val="000000"/>
          <w:sz w:val="32"/>
          <w:szCs w:val="32"/>
        </w:rPr>
        <w:t>财政当年拨付的资金。</w:t>
      </w:r>
    </w:p>
    <w:p>
      <w:pPr>
        <w:pStyle w:val="7"/>
        <w:adjustRightInd w:val="0"/>
        <w:snapToGrid w:val="0"/>
        <w:spacing w:before="93" w:line="600" w:lineRule="exact"/>
        <w:ind w:firstLine="640" w:firstLineChars="200"/>
        <w:outlineLvl w:val="2"/>
        <w:rPr>
          <w:rFonts w:ascii="Times New Roman" w:eastAsia="仿宋"/>
          <w:bCs/>
          <w:color w:val="000000"/>
          <w:sz w:val="32"/>
          <w:szCs w:val="32"/>
        </w:rPr>
      </w:pPr>
      <w:r>
        <w:rPr>
          <w:rFonts w:ascii="Times New Roman" w:eastAsia="仿宋"/>
          <w:bCs/>
          <w:color w:val="000000"/>
          <w:sz w:val="32"/>
          <w:szCs w:val="32"/>
        </w:rPr>
        <w:t>2.其他收入：指除上述“财政拨款收入”、“事业收入”、“经营收入”等以外的收入。</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ascii="Times New Roman" w:eastAsia="仿宋"/>
          <w:bCs/>
          <w:color w:val="000000"/>
          <w:sz w:val="32"/>
          <w:szCs w:val="32"/>
        </w:rPr>
        <w:t>3.年初结转和结余：指单位按有关规定结转到下年或以后年度继续使用的资金。</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ascii="Times New Roman" w:eastAsia="仿宋"/>
          <w:bCs/>
          <w:color w:val="000000"/>
          <w:sz w:val="32"/>
          <w:szCs w:val="32"/>
        </w:rPr>
        <w:t>4.一般公共服务（类）财政事务（款）</w:t>
      </w:r>
      <w:r>
        <w:rPr>
          <w:rFonts w:hint="eastAsia" w:ascii="Times New Roman" w:eastAsia="仿宋"/>
          <w:bCs/>
          <w:color w:val="000000"/>
          <w:sz w:val="32"/>
          <w:szCs w:val="32"/>
          <w:lang w:eastAsia="zh-CN"/>
        </w:rPr>
        <w:t>事业</w:t>
      </w:r>
      <w:r>
        <w:rPr>
          <w:rFonts w:ascii="Times New Roman" w:eastAsia="仿宋"/>
          <w:bCs/>
          <w:color w:val="000000"/>
          <w:sz w:val="32"/>
          <w:szCs w:val="32"/>
        </w:rPr>
        <w:t>运行（项）：指机关事业单位用于保障机构正常运行、开展日常工作的基本支出。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ascii="Times New Roman" w:eastAsia="仿宋"/>
          <w:bCs/>
          <w:color w:val="000000"/>
          <w:sz w:val="32"/>
          <w:szCs w:val="32"/>
        </w:rPr>
        <w:t>5.一般公共服务（类）财政事务（款）</w:t>
      </w:r>
      <w:r>
        <w:rPr>
          <w:rFonts w:hint="eastAsia" w:ascii="Times New Roman" w:eastAsia="仿宋"/>
          <w:bCs/>
          <w:color w:val="000000"/>
          <w:sz w:val="32"/>
          <w:szCs w:val="32"/>
          <w:lang w:eastAsia="zh-CN"/>
        </w:rPr>
        <w:t>其他政府办公厅及机关机构事务支出</w:t>
      </w:r>
      <w:r>
        <w:rPr>
          <w:rFonts w:ascii="Times New Roman" w:eastAsia="仿宋"/>
          <w:bCs/>
          <w:color w:val="000000"/>
          <w:sz w:val="32"/>
          <w:szCs w:val="32"/>
        </w:rPr>
        <w:t>（项）：指机关事业单位开展</w:t>
      </w:r>
      <w:r>
        <w:rPr>
          <w:rFonts w:hint="eastAsia" w:ascii="Times New Roman" w:eastAsia="仿宋"/>
          <w:bCs/>
          <w:color w:val="000000"/>
          <w:sz w:val="32"/>
          <w:szCs w:val="32"/>
          <w:lang w:eastAsia="zh-CN"/>
        </w:rPr>
        <w:t>脱贫攻坚、大厅运行等</w:t>
      </w:r>
      <w:r>
        <w:rPr>
          <w:rFonts w:ascii="Times New Roman" w:eastAsia="仿宋"/>
          <w:bCs/>
          <w:color w:val="000000"/>
          <w:sz w:val="32"/>
          <w:szCs w:val="32"/>
        </w:rPr>
        <w:t>项目支出。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ascii="Times New Roman" w:eastAsia="仿宋"/>
          <w:bCs/>
          <w:color w:val="000000"/>
          <w:sz w:val="32"/>
          <w:szCs w:val="32"/>
        </w:rPr>
        <w:t>6.社会保障和就业（类）行政事业单位离退休（款）机关事业单位基本养老保险缴费支出（项）：指部门实施养老保险制度由单位缴纳的养老保险费的支出。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7</w:t>
      </w:r>
      <w:r>
        <w:rPr>
          <w:rFonts w:ascii="Times New Roman" w:eastAsia="仿宋"/>
          <w:bCs/>
          <w:color w:val="000000"/>
          <w:sz w:val="32"/>
          <w:szCs w:val="32"/>
        </w:rPr>
        <w:t>.社会保障和就业（类）行政事业单位离退休（款）机关事业单位职业年金缴费支出（项）：指部门实施养老保险制度由单位缴纳的职业年金的支出。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8.</w:t>
      </w:r>
      <w:r>
        <w:rPr>
          <w:rFonts w:ascii="Times New Roman" w:eastAsia="仿宋"/>
          <w:bCs/>
          <w:color w:val="000000"/>
          <w:sz w:val="32"/>
          <w:szCs w:val="32"/>
        </w:rPr>
        <w:t>医疗卫生与计划生育（类）行政事业单位医疗（款）行政单位医疗（项）：指机关事业单位用于缴纳单位基本医疗保险支出。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9.</w:t>
      </w:r>
      <w:r>
        <w:rPr>
          <w:rFonts w:ascii="Times New Roman" w:eastAsia="仿宋"/>
          <w:bCs/>
          <w:color w:val="000000"/>
          <w:sz w:val="32"/>
          <w:szCs w:val="32"/>
        </w:rPr>
        <w:t>医疗卫生与计划生育（类）行政事业单位医疗（款）事业单位医疗（项）：指事业单位用于缴纳单位基本医疗保险支出。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10</w:t>
      </w:r>
      <w:r>
        <w:rPr>
          <w:rFonts w:ascii="Times New Roman" w:eastAsia="仿宋"/>
          <w:bCs/>
          <w:color w:val="000000"/>
          <w:sz w:val="32"/>
          <w:szCs w:val="32"/>
        </w:rPr>
        <w:t>.住房保障（类）住房改革支出（款）住房公积金（项）：反映行政事业单位按规定为职工缴纳的住房公积金。</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ascii="Times New Roman" w:eastAsia="仿宋"/>
          <w:bCs/>
          <w:color w:val="000000"/>
          <w:sz w:val="32"/>
          <w:szCs w:val="32"/>
        </w:rPr>
        <w:t>1</w:t>
      </w:r>
      <w:r>
        <w:rPr>
          <w:rFonts w:hint="eastAsia" w:ascii="Times New Roman" w:eastAsia="仿宋"/>
          <w:bCs/>
          <w:color w:val="000000"/>
          <w:sz w:val="32"/>
          <w:szCs w:val="32"/>
          <w:lang w:val="en-US" w:eastAsia="zh-CN"/>
        </w:rPr>
        <w:t>1</w:t>
      </w:r>
      <w:r>
        <w:rPr>
          <w:rFonts w:ascii="Times New Roman" w:eastAsia="仿宋"/>
          <w:bCs/>
          <w:color w:val="000000"/>
          <w:sz w:val="32"/>
          <w:szCs w:val="32"/>
        </w:rPr>
        <w:t>.基本支出：指为保障机构正常运转、完成日常工作任务而发生的人员支出和公用支出。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12</w:t>
      </w:r>
      <w:r>
        <w:rPr>
          <w:rFonts w:ascii="Times New Roman" w:eastAsia="仿宋"/>
          <w:bCs/>
          <w:color w:val="000000"/>
          <w:sz w:val="32"/>
          <w:szCs w:val="32"/>
        </w:rPr>
        <w:t>.项目支出：指在基本支出之外为完成特定行政任务和事业发展目标所发生的支出。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13.</w:t>
      </w:r>
      <w:r>
        <w:rPr>
          <w:rFonts w:ascii="Times New Roman" w:eastAsia="仿宋"/>
          <w:bCs/>
          <w:color w:val="000000"/>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14</w:t>
      </w:r>
      <w:r>
        <w:rPr>
          <w:rFonts w:ascii="Times New Roman" w:eastAsia="仿宋"/>
          <w:bCs/>
          <w:color w:val="000000"/>
          <w:sz w:val="32"/>
          <w:szCs w:val="32"/>
        </w:rPr>
        <w:t>.机关运行经费：为保障单位运行用于购买货物和服务的各项资金，包括办公及印刷费、邮电费、差旅费、会议费、福利费、日常维修费、一般购置费、办公用房水电费以及其他费用。</w:t>
      </w:r>
    </w:p>
    <w:p>
      <w:pPr>
        <w:pStyle w:val="7"/>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Times New Roman" w:eastAsia="仿宋"/>
          <w:bCs/>
          <w:color w:val="000000"/>
          <w:sz w:val="32"/>
          <w:szCs w:val="32"/>
          <w:lang w:val="en-US" w:eastAsia="zh-CN"/>
        </w:rPr>
        <w:t>15</w:t>
      </w:r>
      <w:r>
        <w:rPr>
          <w:rFonts w:ascii="Times New Roman" w:eastAsia="仿宋"/>
          <w:bCs/>
          <w:color w:val="000000"/>
          <w:sz w:val="32"/>
          <w:szCs w:val="32"/>
        </w:rPr>
        <w:t>.财政应返还额度：为行政事业单位会计核算科目，用于核算实行国库集中支付的行政事业单位应收财政返还的资金额度。</w:t>
      </w:r>
    </w:p>
    <w:p>
      <w:pPr>
        <w:spacing w:line="600" w:lineRule="exact"/>
        <w:jc w:val="center"/>
        <w:outlineLvl w:val="0"/>
        <w:rPr>
          <w:rStyle w:val="25"/>
          <w:rFonts w:ascii="黑体" w:hAnsi="黑体" w:eastAsia="黑体"/>
          <w:b w:val="0"/>
          <w:color w:val="auto"/>
          <w:highlight w:val="none"/>
        </w:rPr>
      </w:pP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3" w:name="_Toc15396618"/>
      <w:r>
        <w:rPr>
          <w:rFonts w:hint="eastAsia" w:ascii="宋体" w:hAnsi="宋体" w:eastAsia="宋体" w:cs="宋体"/>
          <w:color w:val="auto"/>
          <w:kern w:val="0"/>
          <w:sz w:val="32"/>
          <w:szCs w:val="32"/>
          <w:highlight w:val="none"/>
          <w:lang w:val="en-US" w:eastAsia="zh-CN" w:bidi="ar-SA"/>
        </w:rPr>
        <w:t>部门预算项目支出绩效自评表（2022年度）</w:t>
      </w:r>
    </w:p>
    <w:tbl>
      <w:tblPr>
        <w:tblStyle w:val="13"/>
        <w:tblW w:w="12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6"/>
        <w:gridCol w:w="2556"/>
        <w:gridCol w:w="756"/>
        <w:gridCol w:w="1615"/>
        <w:gridCol w:w="662"/>
        <w:gridCol w:w="1023"/>
        <w:gridCol w:w="1387"/>
        <w:gridCol w:w="812"/>
        <w:gridCol w:w="937"/>
        <w:gridCol w:w="868"/>
        <w:gridCol w:w="576"/>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1288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黑体" w:eastAsia="黑体" w:cs="黑体"/>
                <w:b/>
                <w:bCs/>
                <w:i w:val="0"/>
                <w:iCs w:val="0"/>
                <w:color w:val="000000"/>
                <w:sz w:val="30"/>
                <w:szCs w:val="30"/>
                <w:u w:val="none"/>
              </w:rPr>
            </w:pPr>
            <w:r>
              <w:rPr>
                <w:rFonts w:hint="eastAsia" w:ascii="黑体" w:hAnsi="黑体" w:eastAsia="黑体" w:cs="黑体"/>
                <w:b/>
                <w:bCs/>
                <w:i w:val="0"/>
                <w:iCs w:val="0"/>
                <w:color w:val="000000"/>
                <w:kern w:val="0"/>
                <w:sz w:val="30"/>
                <w:szCs w:val="30"/>
                <w:u w:val="none"/>
                <w:lang w:val="en-US" w:eastAsia="zh-CN" w:bidi="ar"/>
              </w:rPr>
              <w:t>部门项目支出绩效目标表（2022年度）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6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870"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单位名称</w:t>
            </w:r>
          </w:p>
        </w:tc>
        <w:tc>
          <w:tcPr>
            <w:tcW w:w="2052"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项目名称</w:t>
            </w:r>
          </w:p>
        </w:tc>
        <w:tc>
          <w:tcPr>
            <w:tcW w:w="73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预算数</w:t>
            </w:r>
          </w:p>
        </w:tc>
        <w:tc>
          <w:tcPr>
            <w:tcW w:w="172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年度目标</w:t>
            </w:r>
          </w:p>
        </w:tc>
        <w:tc>
          <w:tcPr>
            <w:tcW w:w="70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二级指标</w:t>
            </w:r>
          </w:p>
        </w:tc>
        <w:tc>
          <w:tcPr>
            <w:tcW w:w="1417"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三级指标</w:t>
            </w:r>
          </w:p>
        </w:tc>
        <w:tc>
          <w:tcPr>
            <w:tcW w:w="879"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指标性质</w:t>
            </w:r>
          </w:p>
        </w:tc>
        <w:tc>
          <w:tcPr>
            <w:tcW w:w="1010"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指标值</w:t>
            </w:r>
          </w:p>
        </w:tc>
        <w:tc>
          <w:tcPr>
            <w:tcW w:w="94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度量单位</w:t>
            </w:r>
          </w:p>
        </w:tc>
        <w:tc>
          <w:tcPr>
            <w:tcW w:w="554"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权重</w:t>
            </w:r>
          </w:p>
        </w:tc>
        <w:tc>
          <w:tcPr>
            <w:tcW w:w="863"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center"/>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18"/>
                <w:szCs w:val="18"/>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870"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198-公共交易服务中心</w:t>
            </w:r>
          </w:p>
        </w:tc>
        <w:tc>
          <w:tcPr>
            <w:tcW w:w="2052"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923.61</w:t>
            </w:r>
          </w:p>
        </w:tc>
        <w:tc>
          <w:tcPr>
            <w:tcW w:w="172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F7F7F7" w:fill="F7F7F7"/>
            <w:vAlign w:val="center"/>
          </w:tcPr>
          <w:p>
            <w:pP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198001-巴中市巴州区公共资源交易服务中心</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51190221R000000167580-其他对个人和家庭的补助</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16.38</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51190221R000000169567-职业年金</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0.99</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51190221T000000169078-创建一流营商环境办公经费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根据区委文件要求【巴区委（2019）127号】创建一流营商环境，还需加大工作力度提供必要的人力物力保障</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服务企业满意</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51190221T000000169097-政务大厅运行经费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进一步推进了“放管服”改革。进一步简化了办事流程，精简立项、规划报件、施工许可等中间环节12个，减幅达到11%，提速达75%，压缩审批时限达80.4%，行政审批事项实际提前率达到96%。二是“互联网+政务服务”有序推进。依托省一体化平台和电子证照库，逐项梳理我区证照库目录，初步建立了全区统一的电子证照库。三是优化了便民服务基础设施。如在公安窗口增加了候办休息座椅，在大厅公共区域安放了饮水机和纸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办事群众满意度</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51190221T000000169106-投促中心、12345市民服务热线办公经费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项目资金主要用于两方面：一是巴州区企业投资促进协调服务中心组建上门服务小分队，深入企业收集发展中的问题和需求，协调处理相关问题的差旅费、办公费等；二是12345政务服务热线办受理市运营中心分派至我区的工单，全年约12000件均做到了当天转派，并及时追踪、督办</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企业及投诉群众满意</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51190221T000000169123-“一体化平台”运行经费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一体化政务平台人员服务群众增速办件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服务群众办事企业满意</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51190221T000000169138-公共资源交易平台建设经费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51190221T000000169158-交易中心运行经费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为更好地促进公平交易、公正透明、科学交易，提升公共资源配置的效益</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全区采购交易</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51190221Y000000041107-事业人员公用经费</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51190222R000000342646-养老保险（事业）</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14.83</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51190222R000000342647-医疗保险（事业）</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9.55</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51190222R000000342648-住房公积金（事业）</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23.78</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51190222R000000342649-工伤保险（事业）</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0.36</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51190222R000000342650-失业保险（事业）</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51190222R000000342654-长聘人员报酬支出</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51190222R000000344527-职工住院补充医疗保险</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2.49</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51190222R000004902819-基础绩效奖</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56.17</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51190222R000004961443-基本工资(事业)</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129.21</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51190222R000004980574-一次性绩效</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21.96</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51190222R000004989955-独生子女奖励</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0.07</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51190222R000005023653-其他工资福利支出</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38.00</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51190222T000000375523-政务大厅租赁费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51190222Y000000346376-第一书记工作经费</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51190222Y000004965044-工会经费</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2.38</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51190222Y000005727818-其他公用经费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3"/>
        <w:rPr>
          <w:rFonts w:hint="eastAsia" w:ascii="仿宋_GB2312" w:hAnsi="Calibri" w:eastAsia="仿宋_GB2312" w:cs="仿宋"/>
          <w:color w:val="auto"/>
          <w:kern w:val="0"/>
          <w:sz w:val="32"/>
          <w:szCs w:val="32"/>
          <w:highlight w:val="none"/>
          <w:lang w:val="en-US" w:eastAsia="zh-CN" w:bidi="ar-SA"/>
        </w:rPr>
      </w:pPr>
    </w:p>
    <w:p>
      <w:pPr>
        <w:pStyle w:val="7"/>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1"/>
      <w:bookmarkEnd w:id="53"/>
      <w:bookmarkStart w:id="54" w:name="_Toc15396619"/>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4"/>
    </w:p>
    <w:p>
      <w:pPr>
        <w:pStyle w:val="5"/>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5"/>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5"/>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5"/>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5"/>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5"/>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5"/>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5"/>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5"/>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p>
    <w:p>
      <w:pPr>
        <w:pStyle w:val="5"/>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p>
    <w:p>
      <w:pPr>
        <w:pStyle w:val="5"/>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bookmarkEnd w:id="65"/>
      <w:r>
        <w:rPr>
          <w:rStyle w:val="26"/>
          <w:rFonts w:hint="eastAsia" w:ascii="仿宋" w:hAnsi="仿宋" w:eastAsia="仿宋"/>
          <w:b w:val="0"/>
          <w:bCs w:val="0"/>
          <w:color w:val="auto"/>
          <w:highlight w:val="none"/>
          <w:lang w:eastAsia="zh-CN"/>
        </w:rPr>
        <w:t>国有资本经营预算财政拨款支出决算表</w:t>
      </w:r>
    </w:p>
    <w:p>
      <w:pPr>
        <w:pStyle w:val="5"/>
        <w:rPr>
          <w:rStyle w:val="26"/>
          <w:rFonts w:hint="eastAsia" w:ascii="仿宋" w:hAnsi="仿宋" w:eastAsia="仿宋"/>
          <w:b w:val="0"/>
          <w:bCs w:val="0"/>
          <w:color w:val="auto"/>
          <w:highlight w:val="none"/>
          <w:lang w:eastAsia="zh-CN"/>
        </w:rPr>
      </w:pPr>
      <w:bookmarkStart w:id="66" w:name="_Toc15396631"/>
      <w:r>
        <w:rPr>
          <w:rStyle w:val="26"/>
          <w:rFonts w:hint="eastAsia" w:ascii="仿宋" w:hAnsi="仿宋" w:eastAsia="仿宋"/>
          <w:b w:val="0"/>
          <w:bCs w:val="0"/>
          <w:color w:val="auto"/>
          <w:highlight w:val="none"/>
        </w:rPr>
        <w:t>十三、</w:t>
      </w:r>
      <w:bookmarkEnd w:id="66"/>
      <w:r>
        <w:rPr>
          <w:rStyle w:val="26"/>
          <w:rFonts w:hint="eastAsia" w:ascii="仿宋" w:hAnsi="仿宋" w:eastAsia="仿宋"/>
          <w:b w:val="0"/>
          <w:bCs w:val="0"/>
          <w:color w:val="auto"/>
          <w:highlight w:val="none"/>
          <w:lang w:eastAsia="zh-CN"/>
        </w:rPr>
        <w:t>财政拨款“三公”经费支出决算表</w:t>
      </w:r>
    </w:p>
    <w:p>
      <w:pPr>
        <w:rPr>
          <w:rStyle w:val="26"/>
          <w:rFonts w:hint="eastAsia" w:ascii="仿宋" w:hAnsi="仿宋" w:eastAsia="仿宋"/>
          <w:b w:val="0"/>
          <w:bCs w:val="0"/>
          <w:color w:val="auto"/>
          <w:highlight w:val="none"/>
          <w:lang w:eastAsia="zh-CN"/>
        </w:rPr>
      </w:pPr>
    </w:p>
    <w:p>
      <w:pPr>
        <w:pStyle w:val="2"/>
        <w:rPr>
          <w:rStyle w:val="26"/>
          <w:rFonts w:hint="eastAsia" w:ascii="仿宋" w:hAnsi="仿宋" w:eastAsia="仿宋"/>
          <w:b w:val="0"/>
          <w:bCs w:val="0"/>
          <w:color w:val="auto"/>
          <w:highlight w:val="none"/>
          <w:lang w:eastAsia="zh-CN"/>
        </w:rPr>
      </w:pPr>
    </w:p>
    <w:p>
      <w:pPr>
        <w:pStyle w:val="3"/>
        <w:rPr>
          <w:rStyle w:val="26"/>
          <w:rFonts w:hint="eastAsia" w:ascii="仿宋" w:hAnsi="仿宋" w:eastAsia="仿宋"/>
          <w:b w:val="0"/>
          <w:bCs w:val="0"/>
          <w:color w:val="auto"/>
          <w:highlight w:val="none"/>
          <w:lang w:eastAsia="zh-CN"/>
        </w:rPr>
      </w:pPr>
    </w:p>
    <w:p>
      <w:pPr>
        <w:rPr>
          <w:rStyle w:val="26"/>
          <w:rFonts w:hint="eastAsia" w:ascii="仿宋" w:hAnsi="仿宋" w:eastAsia="仿宋"/>
          <w:b w:val="0"/>
          <w:bCs w:val="0"/>
          <w:color w:val="auto"/>
          <w:highlight w:val="none"/>
          <w:lang w:eastAsia="zh-CN"/>
        </w:rPr>
      </w:pPr>
    </w:p>
    <w:p>
      <w:pPr>
        <w:pStyle w:val="2"/>
        <w:rPr>
          <w:rStyle w:val="26"/>
          <w:rFonts w:hint="eastAsia" w:ascii="仿宋" w:hAnsi="仿宋" w:eastAsia="仿宋"/>
          <w:b w:val="0"/>
          <w:bCs w:val="0"/>
          <w:color w:val="auto"/>
          <w:highlight w:val="none"/>
          <w:lang w:eastAsia="zh-CN"/>
        </w:rPr>
      </w:pPr>
    </w:p>
    <w:p>
      <w:pPr>
        <w:rPr>
          <w:rStyle w:val="26"/>
          <w:rFonts w:hint="eastAsia" w:ascii="仿宋" w:hAnsi="仿宋" w:eastAsia="仿宋"/>
          <w:b w:val="0"/>
          <w:bCs w:val="0"/>
          <w:color w:val="auto"/>
          <w:highlight w:val="none"/>
          <w:lang w:eastAsia="zh-CN"/>
        </w:rPr>
      </w:pPr>
    </w:p>
    <w:p>
      <w:pPr>
        <w:pStyle w:val="2"/>
        <w:rPr>
          <w:rFonts w:hint="eastAsia"/>
          <w:lang w:eastAsia="zh-CN"/>
        </w:rPr>
      </w:pPr>
      <w:r>
        <w:rPr>
          <w:rFonts w:hint="eastAsia"/>
          <w:lang w:eastAsia="zh-CN"/>
        </w:rPr>
        <w:drawing>
          <wp:inline distT="0" distB="0" distL="114300" distR="114300">
            <wp:extent cx="9022715" cy="5272405"/>
            <wp:effectExtent l="0" t="0" r="6985" b="4445"/>
            <wp:docPr id="10" name="图片 10" descr="169951386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99513867082"/>
                    <pic:cNvPicPr>
                      <a:picLocks noChangeAspect="1"/>
                    </pic:cNvPicPr>
                  </pic:nvPicPr>
                  <pic:blipFill>
                    <a:blip r:embed="rId13"/>
                    <a:stretch>
                      <a:fillRect/>
                    </a:stretch>
                  </pic:blipFill>
                  <pic:spPr>
                    <a:xfrm>
                      <a:off x="0" y="0"/>
                      <a:ext cx="9022715" cy="5272405"/>
                    </a:xfrm>
                    <a:prstGeom prst="rect">
                      <a:avLst/>
                    </a:prstGeom>
                  </pic:spPr>
                </pic:pic>
              </a:graphicData>
            </a:graphic>
          </wp:inline>
        </w:drawing>
      </w:r>
    </w:p>
    <w:p>
      <w:pPr>
        <w:pStyle w:val="3"/>
      </w:pPr>
      <w:r>
        <w:drawing>
          <wp:inline distT="0" distB="0" distL="114300" distR="114300">
            <wp:extent cx="8855710" cy="2600325"/>
            <wp:effectExtent l="0" t="0" r="2540"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4"/>
                    <a:stretch>
                      <a:fillRect/>
                    </a:stretch>
                  </pic:blipFill>
                  <pic:spPr>
                    <a:xfrm>
                      <a:off x="0" y="0"/>
                      <a:ext cx="8855710" cy="2600325"/>
                    </a:xfrm>
                    <a:prstGeom prst="rect">
                      <a:avLst/>
                    </a:prstGeom>
                    <a:noFill/>
                    <a:ln>
                      <a:noFill/>
                    </a:ln>
                  </pic:spPr>
                </pic:pic>
              </a:graphicData>
            </a:graphic>
          </wp:inline>
        </w:drawing>
      </w:r>
    </w:p>
    <w:p/>
    <w:p>
      <w:pPr>
        <w:pStyle w:val="2"/>
      </w:pPr>
    </w:p>
    <w:p>
      <w:pPr>
        <w:pStyle w:val="3"/>
      </w:pPr>
    </w:p>
    <w:p/>
    <w:p>
      <w:pPr>
        <w:pStyle w:val="2"/>
      </w:pPr>
    </w:p>
    <w:p>
      <w:pPr>
        <w:pStyle w:val="3"/>
      </w:pPr>
    </w:p>
    <w:p/>
    <w:p>
      <w:pPr>
        <w:pStyle w:val="2"/>
      </w:pPr>
      <w:r>
        <w:drawing>
          <wp:inline distT="0" distB="0" distL="114300" distR="114300">
            <wp:extent cx="8862695" cy="2889250"/>
            <wp:effectExtent l="0" t="0" r="14605" b="635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5"/>
                    <a:stretch>
                      <a:fillRect/>
                    </a:stretch>
                  </pic:blipFill>
                  <pic:spPr>
                    <a:xfrm>
                      <a:off x="0" y="0"/>
                      <a:ext cx="8862695" cy="2889250"/>
                    </a:xfrm>
                    <a:prstGeom prst="rect">
                      <a:avLst/>
                    </a:prstGeom>
                    <a:noFill/>
                    <a:ln>
                      <a:noFill/>
                    </a:ln>
                  </pic:spPr>
                </pic:pic>
              </a:graphicData>
            </a:graphic>
          </wp:inline>
        </w:drawing>
      </w:r>
    </w:p>
    <w:p>
      <w:pPr>
        <w:pStyle w:val="3"/>
      </w:pPr>
    </w:p>
    <w:p/>
    <w:p>
      <w:pPr>
        <w:pStyle w:val="2"/>
      </w:pPr>
    </w:p>
    <w:p>
      <w:pPr>
        <w:pStyle w:val="3"/>
      </w:pPr>
    </w:p>
    <w:p/>
    <w:p>
      <w:pPr>
        <w:pStyle w:val="2"/>
      </w:pPr>
    </w:p>
    <w:p/>
    <w:p>
      <w:pPr>
        <w:pStyle w:val="2"/>
      </w:pPr>
      <w:r>
        <w:drawing>
          <wp:inline distT="0" distB="0" distL="114300" distR="114300">
            <wp:extent cx="8860155" cy="6389370"/>
            <wp:effectExtent l="0" t="0" r="17145" b="1143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6"/>
                    <a:stretch>
                      <a:fillRect/>
                    </a:stretch>
                  </pic:blipFill>
                  <pic:spPr>
                    <a:xfrm>
                      <a:off x="0" y="0"/>
                      <a:ext cx="8860155" cy="6389370"/>
                    </a:xfrm>
                    <a:prstGeom prst="rect">
                      <a:avLst/>
                    </a:prstGeom>
                    <a:noFill/>
                    <a:ln>
                      <a:noFill/>
                    </a:ln>
                  </pic:spPr>
                </pic:pic>
              </a:graphicData>
            </a:graphic>
          </wp:inline>
        </w:drawing>
      </w:r>
    </w:p>
    <w:p>
      <w:r>
        <w:drawing>
          <wp:inline distT="0" distB="0" distL="114300" distR="114300">
            <wp:extent cx="8956675" cy="5269230"/>
            <wp:effectExtent l="0" t="0" r="15875" b="762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7"/>
                    <a:stretch>
                      <a:fillRect/>
                    </a:stretch>
                  </pic:blipFill>
                  <pic:spPr>
                    <a:xfrm>
                      <a:off x="0" y="0"/>
                      <a:ext cx="8956675" cy="5269230"/>
                    </a:xfrm>
                    <a:prstGeom prst="rect">
                      <a:avLst/>
                    </a:prstGeom>
                    <a:noFill/>
                    <a:ln>
                      <a:noFill/>
                    </a:ln>
                  </pic:spPr>
                </pic:pic>
              </a:graphicData>
            </a:graphic>
          </wp:inline>
        </w:drawing>
      </w:r>
    </w:p>
    <w:p>
      <w:pPr>
        <w:pStyle w:val="2"/>
      </w:pPr>
      <w:r>
        <w:drawing>
          <wp:inline distT="0" distB="0" distL="114300" distR="114300">
            <wp:extent cx="8876665" cy="3238500"/>
            <wp:effectExtent l="0" t="0" r="635"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8"/>
                    <a:stretch>
                      <a:fillRect/>
                    </a:stretch>
                  </pic:blipFill>
                  <pic:spPr>
                    <a:xfrm>
                      <a:off x="0" y="0"/>
                      <a:ext cx="8876665" cy="3238500"/>
                    </a:xfrm>
                    <a:prstGeom prst="rect">
                      <a:avLst/>
                    </a:prstGeom>
                    <a:noFill/>
                    <a:ln>
                      <a:noFill/>
                    </a:ln>
                  </pic:spPr>
                </pic:pic>
              </a:graphicData>
            </a:graphic>
          </wp:inline>
        </w:drawing>
      </w:r>
    </w:p>
    <w:p>
      <w:pPr>
        <w:pStyle w:val="3"/>
      </w:pPr>
    </w:p>
    <w:p/>
    <w:p>
      <w:pPr>
        <w:pStyle w:val="2"/>
      </w:pPr>
    </w:p>
    <w:p>
      <w:pPr>
        <w:pStyle w:val="3"/>
      </w:pPr>
    </w:p>
    <w:p/>
    <w:p>
      <w:pPr>
        <w:pStyle w:val="2"/>
      </w:pPr>
      <w:r>
        <w:drawing>
          <wp:inline distT="0" distB="0" distL="114300" distR="114300">
            <wp:extent cx="8853805" cy="2468880"/>
            <wp:effectExtent l="0" t="0" r="4445" b="762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9"/>
                    <a:stretch>
                      <a:fillRect/>
                    </a:stretch>
                  </pic:blipFill>
                  <pic:spPr>
                    <a:xfrm>
                      <a:off x="0" y="0"/>
                      <a:ext cx="8853805" cy="2468880"/>
                    </a:xfrm>
                    <a:prstGeom prst="rect">
                      <a:avLst/>
                    </a:prstGeom>
                    <a:noFill/>
                    <a:ln>
                      <a:noFill/>
                    </a:ln>
                  </pic:spPr>
                </pic:pic>
              </a:graphicData>
            </a:graphic>
          </wp:inline>
        </w:drawing>
      </w:r>
    </w:p>
    <w:p>
      <w:pPr>
        <w:pStyle w:val="3"/>
      </w:pPr>
    </w:p>
    <w:p/>
    <w:p>
      <w:pPr>
        <w:pStyle w:val="2"/>
      </w:pPr>
    </w:p>
    <w:p>
      <w:pPr>
        <w:pStyle w:val="3"/>
      </w:pPr>
    </w:p>
    <w:p/>
    <w:p>
      <w:pPr>
        <w:pStyle w:val="2"/>
      </w:pPr>
    </w:p>
    <w:p>
      <w:pPr>
        <w:pStyle w:val="3"/>
      </w:pPr>
    </w:p>
    <w:p>
      <w:r>
        <w:drawing>
          <wp:inline distT="0" distB="0" distL="114300" distR="114300">
            <wp:extent cx="8858250" cy="2280920"/>
            <wp:effectExtent l="0" t="0" r="0" b="508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20"/>
                    <a:stretch>
                      <a:fillRect/>
                    </a:stretch>
                  </pic:blipFill>
                  <pic:spPr>
                    <a:xfrm>
                      <a:off x="0" y="0"/>
                      <a:ext cx="8858250" cy="2280920"/>
                    </a:xfrm>
                    <a:prstGeom prst="rect">
                      <a:avLst/>
                    </a:prstGeom>
                    <a:noFill/>
                    <a:ln>
                      <a:noFill/>
                    </a:ln>
                  </pic:spPr>
                </pic:pic>
              </a:graphicData>
            </a:graphic>
          </wp:inline>
        </w:drawing>
      </w:r>
    </w:p>
    <w:p>
      <w:pPr>
        <w:pStyle w:val="2"/>
      </w:pPr>
    </w:p>
    <w:p>
      <w:pPr>
        <w:pStyle w:val="3"/>
      </w:pPr>
    </w:p>
    <w:p/>
    <w:p>
      <w:pPr>
        <w:pStyle w:val="2"/>
      </w:pPr>
    </w:p>
    <w:p>
      <w:pPr>
        <w:pStyle w:val="3"/>
      </w:pPr>
    </w:p>
    <w:p/>
    <w:p>
      <w:pPr>
        <w:pStyle w:val="2"/>
      </w:pPr>
    </w:p>
    <w:p>
      <w:pPr>
        <w:pStyle w:val="3"/>
      </w:pPr>
    </w:p>
    <w:p>
      <w:r>
        <w:drawing>
          <wp:inline distT="0" distB="0" distL="114300" distR="114300">
            <wp:extent cx="7867650" cy="3448050"/>
            <wp:effectExtent l="0" t="0" r="0"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21"/>
                    <a:stretch>
                      <a:fillRect/>
                    </a:stretch>
                  </pic:blipFill>
                  <pic:spPr>
                    <a:xfrm>
                      <a:off x="0" y="0"/>
                      <a:ext cx="7867650" cy="3448050"/>
                    </a:xfrm>
                    <a:prstGeom prst="rect">
                      <a:avLst/>
                    </a:prstGeom>
                    <a:noFill/>
                    <a:ln>
                      <a:noFill/>
                    </a:ln>
                  </pic:spPr>
                </pic:pic>
              </a:graphicData>
            </a:graphic>
          </wp:inline>
        </w:drawing>
      </w: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pPr>
      <w:r>
        <w:drawing>
          <wp:inline distT="0" distB="0" distL="114300" distR="114300">
            <wp:extent cx="8858885" cy="5075555"/>
            <wp:effectExtent l="0" t="0" r="18415" b="1079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22"/>
                    <a:stretch>
                      <a:fillRect/>
                    </a:stretch>
                  </pic:blipFill>
                  <pic:spPr>
                    <a:xfrm>
                      <a:off x="0" y="0"/>
                      <a:ext cx="8858885" cy="5075555"/>
                    </a:xfrm>
                    <a:prstGeom prst="rect">
                      <a:avLst/>
                    </a:prstGeom>
                    <a:noFill/>
                    <a:ln>
                      <a:noFill/>
                    </a:ln>
                  </pic:spPr>
                </pic:pic>
              </a:graphicData>
            </a:graphic>
          </wp:inline>
        </w:drawing>
      </w:r>
    </w:p>
    <w:p/>
    <w:p>
      <w:pPr>
        <w:pStyle w:val="2"/>
      </w:pPr>
      <w:r>
        <w:drawing>
          <wp:inline distT="0" distB="0" distL="114300" distR="114300">
            <wp:extent cx="8905240" cy="3761105"/>
            <wp:effectExtent l="0" t="0" r="10160" b="10795"/>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23"/>
                    <a:stretch>
                      <a:fillRect/>
                    </a:stretch>
                  </pic:blipFill>
                  <pic:spPr>
                    <a:xfrm>
                      <a:off x="0" y="0"/>
                      <a:ext cx="8905240" cy="3761105"/>
                    </a:xfrm>
                    <a:prstGeom prst="rect">
                      <a:avLst/>
                    </a:prstGeom>
                    <a:noFill/>
                    <a:ln>
                      <a:noFill/>
                    </a:ln>
                  </pic:spPr>
                </pic:pic>
              </a:graphicData>
            </a:graphic>
          </wp:inline>
        </w:drawing>
      </w:r>
    </w:p>
    <w:p>
      <w:pPr>
        <w:pStyle w:val="3"/>
      </w:pPr>
    </w:p>
    <w:p/>
    <w:p>
      <w:pPr>
        <w:pStyle w:val="2"/>
      </w:pPr>
    </w:p>
    <w:p/>
    <w:p>
      <w:pPr>
        <w:pStyle w:val="2"/>
      </w:pPr>
      <w:r>
        <w:drawing>
          <wp:inline distT="0" distB="0" distL="114300" distR="114300">
            <wp:extent cx="8853805" cy="3198495"/>
            <wp:effectExtent l="0" t="0" r="4445" b="190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24"/>
                    <a:stretch>
                      <a:fillRect/>
                    </a:stretch>
                  </pic:blipFill>
                  <pic:spPr>
                    <a:xfrm>
                      <a:off x="0" y="0"/>
                      <a:ext cx="8853805" cy="3198495"/>
                    </a:xfrm>
                    <a:prstGeom prst="rect">
                      <a:avLst/>
                    </a:prstGeom>
                    <a:noFill/>
                    <a:ln>
                      <a:noFill/>
                    </a:ln>
                  </pic:spPr>
                </pic:pic>
              </a:graphicData>
            </a:graphic>
          </wp:inline>
        </w:drawing>
      </w:r>
    </w:p>
    <w:p>
      <w:pPr>
        <w:pStyle w:val="3"/>
      </w:pPr>
    </w:p>
    <w:p/>
    <w:p>
      <w:pPr>
        <w:pStyle w:val="2"/>
      </w:pPr>
    </w:p>
    <w:p>
      <w:pPr>
        <w:pStyle w:val="3"/>
      </w:pPr>
    </w:p>
    <w:p/>
    <w:p>
      <w:pPr>
        <w:pStyle w:val="2"/>
      </w:pPr>
      <w:r>
        <w:drawing>
          <wp:inline distT="0" distB="0" distL="114300" distR="114300">
            <wp:extent cx="9076690" cy="3323590"/>
            <wp:effectExtent l="0" t="0" r="10160" b="1016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pic:cNvPicPr>
                  </pic:nvPicPr>
                  <pic:blipFill>
                    <a:blip r:embed="rId25"/>
                    <a:stretch>
                      <a:fillRect/>
                    </a:stretch>
                  </pic:blipFill>
                  <pic:spPr>
                    <a:xfrm>
                      <a:off x="0" y="0"/>
                      <a:ext cx="9076690" cy="3323590"/>
                    </a:xfrm>
                    <a:prstGeom prst="rect">
                      <a:avLst/>
                    </a:prstGeom>
                    <a:noFill/>
                    <a:ln>
                      <a:noFill/>
                    </a:ln>
                  </pic:spPr>
                </pic:pic>
              </a:graphicData>
            </a:graphic>
          </wp:inline>
        </w:drawing>
      </w:r>
    </w:p>
    <w:p>
      <w:pPr>
        <w:pStyle w:val="3"/>
      </w:pPr>
    </w:p>
    <w:p/>
    <w:p>
      <w:pPr>
        <w:pStyle w:val="2"/>
      </w:pPr>
    </w:p>
    <w:p>
      <w:pPr>
        <w:pStyle w:val="3"/>
      </w:pPr>
    </w:p>
    <w:p/>
    <w:p>
      <w:pPr>
        <w:pStyle w:val="2"/>
      </w:pPr>
      <w:r>
        <w:drawing>
          <wp:inline distT="0" distB="0" distL="114300" distR="114300">
            <wp:extent cx="8686800" cy="3400425"/>
            <wp:effectExtent l="0" t="0" r="0" b="9525"/>
            <wp:docPr id="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pic:cNvPicPr>
                      <a:picLocks noChangeAspect="1"/>
                    </pic:cNvPicPr>
                  </pic:nvPicPr>
                  <pic:blipFill>
                    <a:blip r:embed="rId26"/>
                    <a:stretch>
                      <a:fillRect/>
                    </a:stretch>
                  </pic:blipFill>
                  <pic:spPr>
                    <a:xfrm>
                      <a:off x="0" y="0"/>
                      <a:ext cx="8686800" cy="3400425"/>
                    </a:xfrm>
                    <a:prstGeom prst="rect">
                      <a:avLst/>
                    </a:prstGeom>
                    <a:noFill/>
                    <a:ln>
                      <a:noFill/>
                    </a:ln>
                  </pic:spPr>
                </pic:pic>
              </a:graphicData>
            </a:graphic>
          </wp:inline>
        </w:drawing>
      </w:r>
    </w:p>
    <w:p>
      <w:pPr>
        <w:pStyle w:val="3"/>
      </w:pPr>
    </w:p>
    <w:p/>
    <w:p>
      <w:pPr>
        <w:pStyle w:val="2"/>
      </w:pPr>
    </w:p>
    <w:p>
      <w:pPr>
        <w:pStyle w:val="3"/>
      </w:pPr>
    </w:p>
    <w:p>
      <w:r>
        <w:drawing>
          <wp:inline distT="0" distB="0" distL="114300" distR="114300">
            <wp:extent cx="8855075" cy="3256915"/>
            <wp:effectExtent l="0" t="0" r="3175" b="635"/>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pic:cNvPicPr>
                      <a:picLocks noChangeAspect="1"/>
                    </pic:cNvPicPr>
                  </pic:nvPicPr>
                  <pic:blipFill>
                    <a:blip r:embed="rId27"/>
                    <a:stretch>
                      <a:fillRect/>
                    </a:stretch>
                  </pic:blipFill>
                  <pic:spPr>
                    <a:xfrm>
                      <a:off x="0" y="0"/>
                      <a:ext cx="8855075" cy="3256915"/>
                    </a:xfrm>
                    <a:prstGeom prst="rect">
                      <a:avLst/>
                    </a:prstGeom>
                    <a:noFill/>
                    <a:ln>
                      <a:noFill/>
                    </a:ln>
                  </pic:spPr>
                </pic:pic>
              </a:graphicData>
            </a:graphic>
          </wp:inline>
        </w:drawing>
      </w:r>
    </w:p>
    <w:p/>
    <w:p>
      <w:pPr>
        <w:pStyle w:val="2"/>
      </w:pPr>
    </w:p>
    <w:p>
      <w:pPr>
        <w:pStyle w:val="3"/>
      </w:pPr>
    </w:p>
    <w:p/>
    <w:p>
      <w:pPr>
        <w:pStyle w:val="2"/>
        <w:rPr>
          <w:rFonts w:hint="eastAsia"/>
          <w:lang w:eastAsia="zh-CN"/>
        </w:rPr>
      </w:pPr>
    </w:p>
    <w:sectPr>
      <w:footerReference r:id="rId5" w:type="first"/>
      <w:footerReference r:id="rId4" w:type="default"/>
      <w:pgSz w:w="16838" w:h="11906" w:orient="landscape"/>
      <w:pgMar w:top="1800" w:right="1440" w:bottom="1800" w:left="144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NDI1MjM0MjgzYzM2MGNkN2IyYjRlMjhlOWI1MG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117BDE"/>
    <w:rsid w:val="053A62B5"/>
    <w:rsid w:val="07DB0C2F"/>
    <w:rsid w:val="09E63665"/>
    <w:rsid w:val="0A2032A3"/>
    <w:rsid w:val="0B8A37D8"/>
    <w:rsid w:val="0BCD4D32"/>
    <w:rsid w:val="0D3A63F7"/>
    <w:rsid w:val="0D810F64"/>
    <w:rsid w:val="0ED06655"/>
    <w:rsid w:val="0F7A6F7F"/>
    <w:rsid w:val="10C055FF"/>
    <w:rsid w:val="118107EC"/>
    <w:rsid w:val="11D549C4"/>
    <w:rsid w:val="11DD6519"/>
    <w:rsid w:val="16BB723D"/>
    <w:rsid w:val="18015F3F"/>
    <w:rsid w:val="194F6725"/>
    <w:rsid w:val="1A11084C"/>
    <w:rsid w:val="1B570174"/>
    <w:rsid w:val="1BB750B7"/>
    <w:rsid w:val="1BE8440E"/>
    <w:rsid w:val="1D155CEE"/>
    <w:rsid w:val="20E029BA"/>
    <w:rsid w:val="20F57F95"/>
    <w:rsid w:val="22D447A0"/>
    <w:rsid w:val="240371BF"/>
    <w:rsid w:val="25711CC6"/>
    <w:rsid w:val="25C741E6"/>
    <w:rsid w:val="26CA2142"/>
    <w:rsid w:val="27842671"/>
    <w:rsid w:val="27B842BA"/>
    <w:rsid w:val="29FD04D3"/>
    <w:rsid w:val="2ABE7A3E"/>
    <w:rsid w:val="2CA234A8"/>
    <w:rsid w:val="2EFA178C"/>
    <w:rsid w:val="30B46D73"/>
    <w:rsid w:val="319F7F4E"/>
    <w:rsid w:val="33BD4FFE"/>
    <w:rsid w:val="383D272C"/>
    <w:rsid w:val="39AE70AB"/>
    <w:rsid w:val="3A1C460B"/>
    <w:rsid w:val="3C0C0783"/>
    <w:rsid w:val="3EB0111A"/>
    <w:rsid w:val="3F9F3A96"/>
    <w:rsid w:val="41AA04BB"/>
    <w:rsid w:val="48BF60AB"/>
    <w:rsid w:val="493C27A5"/>
    <w:rsid w:val="493C27E9"/>
    <w:rsid w:val="496F39ED"/>
    <w:rsid w:val="49FF41D3"/>
    <w:rsid w:val="4BC6087B"/>
    <w:rsid w:val="4BE068DB"/>
    <w:rsid w:val="4BF6002B"/>
    <w:rsid w:val="4ECE2238"/>
    <w:rsid w:val="4FD74E04"/>
    <w:rsid w:val="51DB4B86"/>
    <w:rsid w:val="55333C3E"/>
    <w:rsid w:val="57252607"/>
    <w:rsid w:val="5DA16A52"/>
    <w:rsid w:val="5E1804D5"/>
    <w:rsid w:val="5E622685"/>
    <w:rsid w:val="5EE65064"/>
    <w:rsid w:val="603B318E"/>
    <w:rsid w:val="62292C19"/>
    <w:rsid w:val="64CA39A1"/>
    <w:rsid w:val="6687052B"/>
    <w:rsid w:val="69075638"/>
    <w:rsid w:val="69630ADE"/>
    <w:rsid w:val="6ACF103B"/>
    <w:rsid w:val="6C4A05C8"/>
    <w:rsid w:val="6D3B1A89"/>
    <w:rsid w:val="71BF4EC2"/>
    <w:rsid w:val="72734D90"/>
    <w:rsid w:val="7412278C"/>
    <w:rsid w:val="75267B11"/>
    <w:rsid w:val="76B828F8"/>
    <w:rsid w:val="795F7A95"/>
    <w:rsid w:val="79E7B28D"/>
    <w:rsid w:val="7C923CDE"/>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0"/>
    <w:qFormat/>
    <w:uiPriority w:val="99"/>
    <w:pPr>
      <w:tabs>
        <w:tab w:val="center" w:pos="4153"/>
        <w:tab w:val="right" w:pos="8306"/>
      </w:tabs>
      <w:snapToGrid w:val="0"/>
      <w:jc w:val="left"/>
    </w:pPr>
    <w:rPr>
      <w:rFonts w:ascii="Calibri" w:hAnsi="Calibri"/>
      <w:kern w:val="0"/>
      <w:sz w:val="18"/>
      <w:szCs w:val="18"/>
    </w:rPr>
  </w:style>
  <w:style w:type="paragraph" w:styleId="3">
    <w:name w:val="Title"/>
    <w:basedOn w:val="1"/>
    <w:next w:val="1"/>
    <w:qFormat/>
    <w:uiPriority w:val="10"/>
    <w:pPr>
      <w:spacing w:before="240" w:after="240" w:line="360" w:lineRule="auto"/>
      <w:jc w:val="center"/>
      <w:outlineLvl w:val="0"/>
    </w:pPr>
    <w:rPr>
      <w:rFonts w:ascii="Arial" w:hAnsi="Arial"/>
      <w:b/>
      <w:sz w:val="32"/>
    </w:rPr>
  </w:style>
  <w:style w:type="paragraph" w:styleId="7">
    <w:name w:val="Body Text"/>
    <w:basedOn w:val="1"/>
    <w:link w:val="22"/>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8"/>
    <w:semiHidden/>
    <w:unhideWhenUsed/>
    <w:qFormat/>
    <w:uiPriority w:val="99"/>
    <w:rPr>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2"/>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7"/>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4"/>
    <w:qFormat/>
    <w:uiPriority w:val="9"/>
    <w:rPr>
      <w:rFonts w:ascii="Times New Roman" w:hAnsi="Times New Roman"/>
      <w:b/>
      <w:bCs/>
      <w:kern w:val="44"/>
      <w:sz w:val="44"/>
      <w:szCs w:val="44"/>
    </w:rPr>
  </w:style>
  <w:style w:type="character" w:customStyle="1" w:styleId="26">
    <w:name w:val="标题 2 Char"/>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9"/>
    <w:semiHidden/>
    <w:qFormat/>
    <w:uiPriority w:val="99"/>
    <w:rPr>
      <w:rFonts w:ascii="Times New Roman" w:hAnsi="Times New Roman"/>
      <w:kern w:val="2"/>
      <w:sz w:val="18"/>
      <w:szCs w:val="18"/>
    </w:rPr>
  </w:style>
  <w:style w:type="character" w:customStyle="1" w:styleId="29">
    <w:name w:val="标题 3 Char"/>
    <w:basedOn w:val="14"/>
    <w:link w:val="6"/>
    <w:qFormat/>
    <w:uiPriority w:val="9"/>
    <w:rPr>
      <w:rFonts w:ascii="Times New Roman" w:hAnsi="Times New Roman"/>
      <w:b/>
      <w:bCs/>
      <w:kern w:val="2"/>
      <w:sz w:val="32"/>
      <w:szCs w:val="32"/>
    </w:rPr>
  </w:style>
  <w:style w:type="paragraph" w:customStyle="1" w:styleId="30">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36130;&#21153;\&#36130;&#21153;&#36164;&#26009;\&#36130;&#21153;&#20844;&#24320;\&#21306;&#25919;&#20132;&#20013;&#24515;&#39044;&#20915;&#31639;&#20844;&#24320;\2022&#24180;&#20915;&#31639;\&#24052;&#20013;&#24066;&#24052;&#24030;&#21306;&#20844;&#20849;&#36164;&#28304;&#20132;&#26131;&#26381;&#21153;&#20013;&#24515;.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1&#24180;&#20915;&#31639;&#25209;&#22797;&#21450;&#20844;&#24320;%20&#65288;&#20132;&#26131;&#20013;&#24515;&#65289;\&#25209;&#22797;&#34920;&#26684;\&#24052;&#20013;&#24066;&#24052;&#24030;&#21306;&#25919;&#21153;&#26381;&#21153;&#21644;&#20844;&#20849;&#36164;&#28304;&#20132;&#26131;&#26381;&#21153;&#20013;&#24515;.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4494;&#20449;\WeChat%20Files\chenfang3634\FileStorage\File\2023-11\&#22270;&#2663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4494;&#20449;\WeChat%20Files\chenfang3634\FileStorage\File\2023-11\&#22270;&#2663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4494;&#20449;\WeChat%20Files\chenfang3634\FileStorage\File\2023-11\&#22270;&#2663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4494;&#20449;\WeChat%20Files\chenfang3634\FileStorage\File\2023-11\&#22270;&#266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altLang="en-US"/>
              <a:t>图1：收、支决算总计变动情况图（单位：万元）</a:t>
            </a:r>
            <a:endParaRPr altLang="en-US"/>
          </a:p>
        </c:rich>
      </c:tx>
      <c:layout>
        <c:manualLayout>
          <c:xMode val="edge"/>
          <c:yMode val="edge"/>
          <c:x val="0.0305291723202171"/>
          <c:y val="0.0501214329083181"/>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'[巴中市巴州区公共资源交易服务中心.XLS]G01 收入支出决算总表(公开01表)'!$I$11:$I$12</c:f>
              <c:strCache>
                <c:ptCount val="2"/>
                <c:pt idx="0">
                  <c:v>2021年</c:v>
                </c:pt>
                <c:pt idx="1">
                  <c:v>2022年</c:v>
                </c:pt>
              </c:strCache>
            </c:strRef>
          </c:cat>
          <c:val>
            <c:numRef>
              <c:f>'[巴中市巴州区公共资源交易服务中心.XLS]G01 收入支出决算总表(公开01表)'!$J$11:$J$12</c:f>
              <c:numCache>
                <c:formatCode>General</c:formatCode>
                <c:ptCount val="2"/>
                <c:pt idx="0">
                  <c:v>913.07</c:v>
                </c:pt>
                <c:pt idx="1">
                  <c:v>923.61</c:v>
                </c:pt>
              </c:numCache>
            </c:numRef>
          </c:val>
        </c:ser>
        <c:dLbls>
          <c:showLegendKey val="0"/>
          <c:showVal val="1"/>
          <c:showCatName val="0"/>
          <c:showSerName val="0"/>
          <c:showPercent val="0"/>
          <c:showBubbleSize val="0"/>
        </c:dLbls>
        <c:gapWidth val="246"/>
        <c:overlap val="-28"/>
        <c:axId val="586828831"/>
        <c:axId val="538191137"/>
      </c:barChart>
      <c:catAx>
        <c:axId val="5868288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191137"/>
        <c:crosses val="autoZero"/>
        <c:auto val="1"/>
        <c:lblAlgn val="ctr"/>
        <c:lblOffset val="100"/>
        <c:noMultiLvlLbl val="0"/>
      </c:catAx>
      <c:valAx>
        <c:axId val="53819113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8288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27668988890981"/>
          <c:y val="0.0370919881305638"/>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'[巴中市巴州区政务服务和公共资源交易服务中心.XLS]Z01 收入支出决算批复表(财决批复01表)'!$J$20:$J$26</c:f>
              <c:strCache>
                <c:ptCount val="7"/>
                <c:pt idx="0">
                  <c:v>一般公共预算财政拨款收入</c:v>
                </c:pt>
                <c:pt idx="1">
                  <c:v>政府性基金预算财政拨款</c:v>
                </c:pt>
                <c:pt idx="2">
                  <c:v>国有资本经营预算财政拨款</c:v>
                </c:pt>
                <c:pt idx="3">
                  <c:v>上级补助收入</c:v>
                </c:pt>
                <c:pt idx="4">
                  <c:v>事业收入</c:v>
                </c:pt>
                <c:pt idx="5">
                  <c:v>经营收入</c:v>
                </c:pt>
                <c:pt idx="6">
                  <c:v>附属单位上缴</c:v>
                </c:pt>
              </c:strCache>
            </c:strRef>
          </c:cat>
          <c:val>
            <c:numRef>
              <c:f>'[巴中市巴州区政务服务和公共资源交易服务中心.XLS]Z01 收入支出决算批复表(财决批复01表)'!$K$20:$K$26</c:f>
              <c:numCache>
                <c:formatCode>0%</c:formatCode>
                <c:ptCount val="7"/>
                <c:pt idx="0">
                  <c:v>1</c:v>
                </c:pt>
                <c:pt idx="1">
                  <c:v>0</c:v>
                </c:pt>
                <c:pt idx="2">
                  <c:v>0</c:v>
                </c:pt>
                <c:pt idx="3">
                  <c:v>0</c:v>
                </c:pt>
                <c:pt idx="4">
                  <c:v>0</c:v>
                </c:pt>
                <c:pt idx="5">
                  <c:v>0</c:v>
                </c:pt>
                <c:pt idx="6">
                  <c:v>0</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Pt>
            <c:idx val="4"/>
            <c:bubble3D val="0"/>
            <c:spPr>
              <a:solidFill>
                <a:schemeClr val="accent5"/>
              </a:solidFill>
              <a:ln w="25400">
                <a:solidFill>
                  <a:schemeClr val="lt1"/>
                </a:solidFill>
              </a:ln>
              <a:effectLst/>
            </c:spPr>
          </c:dPt>
          <c:dPt>
            <c:idx val="5"/>
            <c:bubble3D val="0"/>
            <c:spPr>
              <a:solidFill>
                <a:schemeClr val="accent6"/>
              </a:solidFill>
              <a:ln w="25400">
                <a:solidFill>
                  <a:schemeClr val="lt1"/>
                </a:solidFill>
              </a:ln>
              <a:effectLst/>
            </c:spPr>
          </c:dPt>
          <c:dPt>
            <c:idx val="6"/>
            <c:bubble3D val="0"/>
            <c:spPr>
              <a:solidFill>
                <a:schemeClr val="accent1">
                  <a:lumMod val="60000"/>
                </a:schemeClr>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'[巴中市巴州区政务服务和公共资源交易服务中心.XLS]Z01 收入支出决算批复表(财决批复01表)'!$J$20:$J$26</c:f>
              <c:strCache>
                <c:ptCount val="7"/>
                <c:pt idx="0">
                  <c:v>一般公共预算财政拨款收入</c:v>
                </c:pt>
                <c:pt idx="1">
                  <c:v>政府性基金预算财政拨款</c:v>
                </c:pt>
                <c:pt idx="2">
                  <c:v>国有资本经营预算财政拨款</c:v>
                </c:pt>
                <c:pt idx="3">
                  <c:v>上级补助收入</c:v>
                </c:pt>
                <c:pt idx="4">
                  <c:v>事业收入</c:v>
                </c:pt>
                <c:pt idx="5">
                  <c:v>经营收入</c:v>
                </c:pt>
                <c:pt idx="6">
                  <c:v>附属单位上缴</c:v>
                </c:pt>
              </c:strCache>
            </c:strRef>
          </c:cat>
          <c:val>
            <c:numRef>
              <c:f>'[巴中市巴州区政务服务和公共资源交易服务中心.XLS]Z01 收入支出决算批复表(财决批复01表)'!$L$20:$L$26</c:f>
              <c:numCache>
                <c:formatCode>General</c:formatCode>
                <c:ptCount val="7"/>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r>
              <a:rPr lang="en-US" altLang="zh-CN"/>
              <a:t>(</a:t>
            </a:r>
            <a:r>
              <a:rPr altLang="en-US"/>
              <a:t>单位：万元</a:t>
            </a:r>
            <a:r>
              <a:rPr lang="en-US" altLang="zh-CN"/>
              <a:t>)</a:t>
            </a:r>
            <a:endParaRPr lang="en-US" altLang="zh-CN"/>
          </a:p>
        </c:rich>
      </c:tx>
      <c:layout>
        <c:manualLayout>
          <c:xMode val="edge"/>
          <c:yMode val="edge"/>
          <c:x val="0.0911902616201293"/>
          <c:y val="0.110392239273501"/>
        </c:manualLayout>
      </c:layout>
      <c:overlay val="0"/>
      <c:spPr>
        <a:noFill/>
        <a:ln>
          <a:noFill/>
        </a:ln>
        <a:effectLst/>
      </c:spPr>
    </c:title>
    <c:autoTitleDeleted val="0"/>
    <c:view3D>
      <c:rotX val="30"/>
      <c:rotY val="12"/>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119736842105263"/>
          <c:y val="0.25462962962963"/>
          <c:w val="0.79078947368421"/>
          <c:h val="0.642361111111111"/>
        </c:manualLayout>
      </c:layout>
      <c:pie3DChart>
        <c:varyColors val="1"/>
        <c:ser>
          <c:idx val="0"/>
          <c:order val="0"/>
          <c:tx>
            <c:strRef>
              <c:f>[图标.xlsx]Sheet1!$C$5</c:f>
              <c:strCache>
                <c:ptCount val="1"/>
                <c:pt idx="0">
                  <c:v>金额</c:v>
                </c:pt>
              </c:strCache>
            </c:strRef>
          </c:tx>
          <c:spPr>
            <a:scene3d>
              <a:camera prst="orthographicFront"/>
              <a:lightRig rig="threePt" dir="t"/>
            </a:scene3d>
            <a:sp3d contourW="9525"/>
          </c:spPr>
          <c:explosion val="0"/>
          <c:dPt>
            <c:idx val="0"/>
            <c:bubble3D val="0"/>
            <c:explosion val="30"/>
            <c:spPr>
              <a:solidFill>
                <a:schemeClr val="accent1"/>
              </a:solidFill>
              <a:ln>
                <a:solidFill>
                  <a:schemeClr val="bg1"/>
                </a:solidFill>
              </a:ln>
              <a:effectLst/>
              <a:scene3d>
                <a:camera prst="orthographicFront"/>
                <a:lightRig rig="threePt" dir="t"/>
              </a:scene3d>
              <a:sp3d contourW="9525"/>
            </c:spPr>
          </c:dPt>
          <c:dPt>
            <c:idx val="1"/>
            <c:bubble3D val="0"/>
            <c:spPr>
              <a:solidFill>
                <a:schemeClr val="accent2"/>
              </a:solidFill>
              <a:ln>
                <a:solidFill>
                  <a:schemeClr val="bg1"/>
                </a:solidFill>
              </a:ln>
              <a:effectLst/>
              <a:scene3d>
                <a:camera prst="orthographicFront"/>
                <a:lightRig rig="threePt" dir="t"/>
              </a:scene3d>
              <a:sp3d contourW="9525"/>
            </c:spPr>
          </c:dPt>
          <c:dLbls>
            <c:dLbl>
              <c:idx val="0"/>
              <c:layout>
                <c:manualLayout>
                  <c:x val="-0.165163631021889"/>
                  <c:y val="-0.21073376759879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b="1"/>
                      <a:t>基本支出513.1156%</a:t>
                    </a:r>
                    <a:endParaRPr b="1"/>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16845543815036"/>
                  <c:y val="0.059410670621550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b="1"/>
                      <a:t>项目支出410.5044%</a:t>
                    </a:r>
                    <a:endParaRPr b="1"/>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[图标.xlsx]Sheet1!$D$4:$E$4</c:f>
              <c:strCache>
                <c:ptCount val="2"/>
                <c:pt idx="0">
                  <c:v>基本支出</c:v>
                </c:pt>
                <c:pt idx="1">
                  <c:v>项目支出</c:v>
                </c:pt>
              </c:strCache>
            </c:strRef>
          </c:cat>
          <c:val>
            <c:numRef>
              <c:f>[图标.xlsx]Sheet1!$D$5:$E$5</c:f>
              <c:numCache>
                <c:formatCode>0.00_ </c:formatCode>
                <c:ptCount val="2"/>
                <c:pt idx="0">
                  <c:v>513.11</c:v>
                </c:pt>
                <c:pt idx="1">
                  <c:v>410.5</c:v>
                </c:pt>
              </c:numCache>
            </c:numRef>
          </c:val>
        </c:ser>
        <c:ser>
          <c:idx val="1"/>
          <c:order val="1"/>
          <c:tx>
            <c:strRef>
              <c:f>[图标.xlsx]Sheet1!$C$6</c:f>
              <c:strCache>
                <c:ptCount val="1"/>
                <c:pt idx="0">
                  <c:v>占比</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[图标.xlsx]Sheet1!$D$4:$E$4</c:f>
              <c:strCache>
                <c:ptCount val="2"/>
                <c:pt idx="0">
                  <c:v>基本支出</c:v>
                </c:pt>
                <c:pt idx="1">
                  <c:v>项目支出</c:v>
                </c:pt>
              </c:strCache>
            </c:strRef>
          </c:cat>
          <c:val>
            <c:numRef>
              <c:f>[图标.xlsx]Sheet1!$D$6:$E$6</c:f>
              <c:numCache>
                <c:formatCode>0.00%</c:formatCode>
                <c:ptCount val="2"/>
                <c:pt idx="0">
                  <c:v>0.5556</c:v>
                </c:pt>
                <c:pt idx="1">
                  <c:v>0.4444</c:v>
                </c:pt>
              </c:numCache>
            </c:numRef>
          </c:val>
        </c:ser>
        <c:dLbls>
          <c:showLegendKey val="0"/>
          <c:showVal val="1"/>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财政拨款收、支总计变动情况（单位：万元）</a:t>
            </a:r>
          </a:p>
        </c:rich>
      </c:tx>
      <c:layout/>
      <c:overlay val="0"/>
      <c:spPr>
        <a:noFill/>
        <a:ln>
          <a:noFill/>
        </a:ln>
        <a:effectLst/>
      </c:spPr>
    </c:title>
    <c:autoTitleDeleted val="0"/>
    <c:plotArea>
      <c:layout/>
      <c:barChart>
        <c:barDir val="col"/>
        <c:grouping val="clustered"/>
        <c:varyColors val="0"/>
        <c:ser>
          <c:idx val="0"/>
          <c:order val="0"/>
          <c:tx>
            <c:strRef>
              <c:f>[图标.xlsx]Sheet1!$D$14</c:f>
              <c:strCache>
                <c:ptCount val="1"/>
                <c:pt idx="0">
                  <c:v>财政拨款收、支总计变动情况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strRef>
              <c:f>[图标.xlsx]Sheet1!$C$15:$C$16</c:f>
              <c:strCache>
                <c:ptCount val="2"/>
                <c:pt idx="0">
                  <c:v>2021年</c:v>
                </c:pt>
                <c:pt idx="1">
                  <c:v>2022年</c:v>
                </c:pt>
              </c:strCache>
            </c:strRef>
          </c:cat>
          <c:val>
            <c:numRef>
              <c:f>[图标.xlsx]Sheet1!$D$15:$D$16</c:f>
              <c:numCache>
                <c:formatCode>General</c:formatCode>
                <c:ptCount val="2"/>
                <c:pt idx="0">
                  <c:v>913.07</c:v>
                </c:pt>
                <c:pt idx="1">
                  <c:v>923.61</c:v>
                </c:pt>
              </c:numCache>
            </c:numRef>
          </c:val>
        </c:ser>
        <c:dLbls>
          <c:showLegendKey val="0"/>
          <c:showVal val="1"/>
          <c:showCatName val="0"/>
          <c:showSerName val="0"/>
          <c:showPercent val="0"/>
          <c:showBubbleSize val="0"/>
        </c:dLbls>
        <c:gapWidth val="246"/>
        <c:overlap val="-28"/>
        <c:axId val="409818445"/>
        <c:axId val="552137923"/>
      </c:barChart>
      <c:catAx>
        <c:axId val="409818445"/>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137923"/>
        <c:crosses val="autoZero"/>
        <c:auto val="1"/>
        <c:lblAlgn val="ctr"/>
        <c:lblOffset val="100"/>
        <c:noMultiLvlLbl val="0"/>
      </c:catAx>
      <c:valAx>
        <c:axId val="552137923"/>
        <c:scaling>
          <c:orientation val="minMax"/>
        </c:scaling>
        <c:delete val="0"/>
        <c:axPos val="l"/>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8184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一般公共预算财政拨款支出决算变动情况（单位：万元）</a:t>
            </a:r>
          </a:p>
        </c:rich>
      </c:tx>
      <c:layout/>
      <c:overlay val="0"/>
      <c:spPr>
        <a:noFill/>
        <a:ln>
          <a:noFill/>
        </a:ln>
        <a:effectLst/>
      </c:spPr>
    </c:title>
    <c:autoTitleDeleted val="0"/>
    <c:plotArea>
      <c:layout/>
      <c:barChart>
        <c:barDir val="col"/>
        <c:grouping val="clustered"/>
        <c:varyColors val="0"/>
        <c:ser>
          <c:idx val="0"/>
          <c:order val="0"/>
          <c:tx>
            <c:strRef>
              <c:f>[图标.xlsx]Sheet1!$D$25</c:f>
              <c:strCache>
                <c:ptCount val="1"/>
                <c:pt idx="0">
                  <c:v>一般公共预算财政拨款支出决算变动情况</c:v>
                </c:pt>
              </c:strCache>
            </c:strRef>
          </c:tx>
          <c:spPr>
            <a:solidFill>
              <a:schemeClr val="accent1"/>
            </a:solidFill>
            <a:ln>
              <a:noFill/>
            </a:ln>
            <a:effectLst/>
          </c:spPr>
          <c:invertIfNegative val="0"/>
          <c:dLbls>
            <c:delete val="1"/>
          </c:dLbls>
          <c:cat>
            <c:strRef>
              <c:f>[图标.xlsx]Sheet1!$C$26:$C$27</c:f>
              <c:strCache>
                <c:ptCount val="2"/>
                <c:pt idx="0">
                  <c:v>2021年</c:v>
                </c:pt>
                <c:pt idx="1">
                  <c:v>2022年</c:v>
                </c:pt>
              </c:strCache>
            </c:strRef>
          </c:cat>
          <c:val>
            <c:numRef>
              <c:f>[图标.xlsx]Sheet1!$D$26:$D$27</c:f>
              <c:numCache>
                <c:formatCode>General</c:formatCode>
                <c:ptCount val="2"/>
                <c:pt idx="0">
                  <c:v>913.07</c:v>
                </c:pt>
                <c:pt idx="1">
                  <c:v>923.61</c:v>
                </c:pt>
              </c:numCache>
            </c:numRef>
          </c:val>
        </c:ser>
        <c:dLbls>
          <c:showLegendKey val="0"/>
          <c:showVal val="0"/>
          <c:showCatName val="0"/>
          <c:showSerName val="0"/>
          <c:showPercent val="0"/>
          <c:showBubbleSize val="0"/>
        </c:dLbls>
        <c:gapWidth val="246"/>
        <c:overlap val="-28"/>
        <c:axId val="799686696"/>
        <c:axId val="112176797"/>
      </c:barChart>
      <c:catAx>
        <c:axId val="7996866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176797"/>
        <c:crosses val="autoZero"/>
        <c:auto val="1"/>
        <c:lblAlgn val="ctr"/>
        <c:lblOffset val="100"/>
        <c:noMultiLvlLbl val="0"/>
      </c:catAx>
      <c:valAx>
        <c:axId val="11217679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686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一般公共预算财政拨款支出决算结构（单位：万元）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1"/>
              <c:layout>
                <c:manualLayout>
                  <c:x val="-0.0657363026358707"/>
                  <c:y val="-0.022444491409679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97989256580371"/>
                  <c:y val="-0.0015727290074128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[图标.xlsx]Sheet1!$C$39:$C$41</c:f>
              <c:strCache>
                <c:ptCount val="3"/>
                <c:pt idx="0">
                  <c:v>一般公共服务支出</c:v>
                </c:pt>
                <c:pt idx="1">
                  <c:v>社会保障和就业支出</c:v>
                </c:pt>
                <c:pt idx="2">
                  <c:v>卫生健康支出</c:v>
                </c:pt>
              </c:strCache>
            </c:strRef>
          </c:cat>
          <c:val>
            <c:numRef>
              <c:f>[图标.xlsx]Sheet1!$D$39:$D$41</c:f>
              <c:numCache>
                <c:formatCode>General</c:formatCode>
                <c:ptCount val="3"/>
                <c:pt idx="0">
                  <c:v>885.22</c:v>
                </c:pt>
                <c:pt idx="1">
                  <c:v>26.07</c:v>
                </c:pt>
                <c:pt idx="2">
                  <c:v>12.32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63552631578947"/>
          <c:y val="0.175462962962963"/>
          <c:w val="0.760789473684211"/>
          <c:h val="0.1462962962962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9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p:lastModifiedBy>
  <cp:lastPrinted>2023-07-31T02:35:00Z</cp:lastPrinted>
  <dcterms:modified xsi:type="dcterms:W3CDTF">2023-11-14T01:10:10Z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8E1C613D3C8242CDB472C964A79BBC09_13</vt:lpwstr>
  </property>
</Properties>
</file>