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7193"/>
      <w:bookmarkStart w:id="2" w:name="_Toc15377425"/>
      <w:bookmarkStart w:id="3" w:name="_Toc15378441"/>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pStyle w:val="5"/>
        <w:spacing w:before="93"/>
      </w:pPr>
    </w:p>
    <w:p>
      <w:pPr>
        <w:spacing w:line="600" w:lineRule="exact"/>
        <w:jc w:val="center"/>
        <w:outlineLvl w:val="0"/>
        <w:rPr>
          <w:rFonts w:ascii="方正小标宋简体" w:hAnsi="宋体" w:eastAsia="方正小标宋简体"/>
          <w:sz w:val="52"/>
          <w:szCs w:val="52"/>
        </w:rPr>
      </w:pPr>
    </w:p>
    <w:p>
      <w:pPr>
        <w:jc w:val="center"/>
        <w:rPr>
          <w:rFonts w:hint="eastAsia" w:ascii="方正小标宋简体" w:eastAsia="方正小标宋简体"/>
          <w:sz w:val="52"/>
          <w:szCs w:val="52"/>
        </w:rPr>
      </w:pPr>
      <w:r>
        <w:rPr>
          <w:rFonts w:hint="eastAsia" w:ascii="方正小标宋简体" w:eastAsia="方正小标宋简体"/>
          <w:sz w:val="52"/>
          <w:szCs w:val="52"/>
        </w:rPr>
        <w:t>2022年度</w:t>
      </w:r>
      <w:bookmarkEnd w:id="0"/>
      <w:bookmarkEnd w:id="1"/>
      <w:bookmarkEnd w:id="2"/>
      <w:bookmarkEnd w:id="3"/>
      <w:bookmarkEnd w:id="4"/>
    </w:p>
    <w:p>
      <w:pPr>
        <w:jc w:val="center"/>
        <w:rPr>
          <w:rFonts w:hint="eastAsia" w:ascii="方正小标宋简体" w:eastAsia="方正小标宋简体"/>
          <w:sz w:val="52"/>
          <w:szCs w:val="52"/>
        </w:rPr>
      </w:pPr>
      <w:bookmarkStart w:id="6" w:name="_Toc15378442"/>
      <w:bookmarkStart w:id="7" w:name="_Toc15377426"/>
      <w:bookmarkStart w:id="8" w:name="_Toc15377194"/>
      <w:bookmarkStart w:id="9" w:name="_Toc15396476"/>
      <w:bookmarkStart w:id="10" w:name="_Toc15396598"/>
      <w:r>
        <w:rPr>
          <w:rFonts w:hint="eastAsia" w:ascii="方正小标宋简体" w:eastAsia="方正小标宋简体"/>
          <w:sz w:val="52"/>
          <w:szCs w:val="52"/>
        </w:rPr>
        <w:t>中共四川省</w:t>
      </w:r>
      <w:bookmarkEnd w:id="5"/>
      <w:bookmarkStart w:id="11" w:name="_Toc15306268"/>
      <w:r>
        <w:rPr>
          <w:rFonts w:hint="eastAsia" w:ascii="方正小标宋简体" w:eastAsia="方正小标宋简体"/>
          <w:sz w:val="52"/>
          <w:szCs w:val="52"/>
        </w:rPr>
        <w:t>巴中市</w:t>
      </w:r>
    </w:p>
    <w:p>
      <w:pPr>
        <w:jc w:val="center"/>
        <w:rPr>
          <w:rFonts w:hint="eastAsia" w:ascii="方正小标宋简体" w:eastAsia="方正小标宋简体"/>
          <w:sz w:val="52"/>
          <w:szCs w:val="52"/>
        </w:rPr>
      </w:pPr>
      <w:r>
        <w:rPr>
          <w:rFonts w:hint="eastAsia" w:ascii="方正小标宋简体" w:eastAsia="方正小标宋简体"/>
          <w:sz w:val="52"/>
          <w:szCs w:val="52"/>
        </w:rPr>
        <w:t>巴州区委统战部</w:t>
      </w:r>
      <w:bookmarkStart w:id="103" w:name="_GoBack"/>
      <w:bookmarkEnd w:id="103"/>
      <w:r>
        <w:rPr>
          <w:rFonts w:hint="eastAsia" w:ascii="方正小标宋简体" w:eastAsia="方正小标宋简体"/>
          <w:sz w:val="52"/>
          <w:szCs w:val="52"/>
        </w:rPr>
        <w:t>部门决算</w:t>
      </w:r>
      <w:bookmarkEnd w:id="6"/>
      <w:bookmarkEnd w:id="7"/>
      <w:bookmarkEnd w:id="8"/>
      <w:bookmarkEnd w:id="9"/>
      <w:bookmarkEnd w:id="10"/>
      <w:bookmarkEnd w:id="11"/>
    </w:p>
    <w:p>
      <w:pPr>
        <w:jc w:val="center"/>
        <w:rPr>
          <w:rFonts w:hint="eastAsia" w:ascii="方正小标宋简体" w:hAnsi="宋体" w:eastAsia="方正小标宋简体"/>
          <w:sz w:val="44"/>
          <w:szCs w:val="44"/>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sdt>
      <w:sdtPr>
        <w:rPr>
          <w:rFonts w:ascii="Times New Roman" w:hAnsi="Times New Roman" w:eastAsia="宋体" w:cs="Times New Roman"/>
          <w:b w:val="0"/>
          <w:bCs w:val="0"/>
          <w:color w:val="auto"/>
          <w:kern w:val="2"/>
          <w:sz w:val="21"/>
          <w:szCs w:val="24"/>
          <w:lang w:val="zh-CN"/>
        </w:rPr>
        <w:id w:val="26158233"/>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6"/>
            <w:jc w:val="center"/>
            <w:rPr>
              <w:rFonts w:hint="eastAsia"/>
              <w:sz w:val="32"/>
              <w:szCs w:val="32"/>
              <w:lang w:val="zh-CN"/>
            </w:rPr>
          </w:pPr>
          <w:r>
            <w:rPr>
              <w:sz w:val="32"/>
              <w:szCs w:val="32"/>
              <w:lang w:val="zh-CN"/>
            </w:rPr>
            <w:t>目录</w:t>
          </w:r>
        </w:p>
        <w:p>
          <w:pPr>
            <w:jc w:val="center"/>
            <w:rPr>
              <w:rFonts w:hint="eastAsia"/>
              <w:lang w:val="zh-CN"/>
            </w:rPr>
          </w:pPr>
          <w:r>
            <w:rPr>
              <w:rFonts w:hint="eastAsia"/>
              <w:lang w:val="zh-CN"/>
            </w:rPr>
            <w:t>公示时间：2023年8月25日</w:t>
          </w:r>
        </w:p>
        <w:p>
          <w:pPr>
            <w:rPr>
              <w:lang w:val="zh-CN"/>
            </w:rPr>
          </w:pPr>
        </w:p>
        <w:p>
          <w:pPr>
            <w:pStyle w:val="12"/>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"_Toc150784330" </w:instrText>
          </w:r>
          <w:r>
            <w:fldChar w:fldCharType="separate"/>
          </w:r>
          <w:r>
            <w:rPr>
              <w:rStyle w:val="19"/>
              <w:rFonts w:hint="eastAsia" w:ascii="黑体" w:hAnsi="黑体" w:eastAsia="黑体"/>
            </w:rPr>
            <w:t>第一部分</w:t>
          </w:r>
          <w:r>
            <w:rPr>
              <w:rStyle w:val="19"/>
              <w:rFonts w:ascii="黑体" w:hAnsi="黑体" w:eastAsia="黑体"/>
            </w:rPr>
            <w:t xml:space="preserve"> </w:t>
          </w:r>
          <w:r>
            <w:rPr>
              <w:rStyle w:val="19"/>
              <w:rFonts w:hint="eastAsia" w:ascii="黑体" w:hAnsi="黑体" w:eastAsia="黑体"/>
            </w:rPr>
            <w:t>部门概况</w:t>
          </w:r>
          <w:r>
            <w:tab/>
          </w:r>
          <w:r>
            <w:fldChar w:fldCharType="begin"/>
          </w:r>
          <w:r>
            <w:instrText xml:space="preserve"> PAGEREF _Toc150784330 \h </w:instrText>
          </w:r>
          <w:r>
            <w:fldChar w:fldCharType="separate"/>
          </w:r>
          <w:r>
            <w:t>3</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"_Toc150784331" </w:instrText>
          </w:r>
          <w:r>
            <w:fldChar w:fldCharType="separate"/>
          </w:r>
          <w:r>
            <w:rPr>
              <w:rStyle w:val="19"/>
              <w:rFonts w:hint="eastAsia" w:ascii="黑体" w:hAnsi="黑体" w:eastAsia="黑体"/>
            </w:rPr>
            <w:t>一、部门职责</w:t>
          </w:r>
          <w:r>
            <w:tab/>
          </w:r>
          <w:r>
            <w:rPr>
              <w:rFonts w:hint="eastAsia"/>
              <w:lang w:val="en-US" w:eastAsia="zh-CN"/>
            </w:rPr>
            <w:t>3</w:t>
          </w:r>
          <w:r>
            <w:fldChar w:fldCharType="end"/>
          </w:r>
        </w:p>
        <w:p>
          <w:pPr>
            <w:pStyle w:val="13"/>
            <w:rPr>
              <w:rFonts w:asciiTheme="minorHAnsi" w:hAnsiTheme="minorHAnsi" w:eastAsiaTheme="minorEastAsia" w:cstheme="minorBidi"/>
              <w:szCs w:val="22"/>
            </w:rPr>
          </w:pPr>
          <w:r>
            <w:fldChar w:fldCharType="begin"/>
          </w:r>
          <w:r>
            <w:instrText xml:space="preserve"> HYPERLINK \l "_Toc150784332" </w:instrText>
          </w:r>
          <w:r>
            <w:fldChar w:fldCharType="separate"/>
          </w:r>
          <w:r>
            <w:rPr>
              <w:rStyle w:val="19"/>
              <w:rFonts w:hint="eastAsia" w:ascii="黑体" w:eastAsia="黑体"/>
            </w:rPr>
            <w:t>二、</w:t>
          </w:r>
          <w:r>
            <w:rPr>
              <w:rStyle w:val="19"/>
              <w:rFonts w:hint="eastAsia" w:ascii="黑体" w:hAnsi="黑体" w:eastAsia="黑体"/>
            </w:rPr>
            <w:t>机构设置</w:t>
          </w:r>
          <w:r>
            <w:tab/>
          </w:r>
          <w:r>
            <w:fldChar w:fldCharType="begin"/>
          </w:r>
          <w:r>
            <w:instrText xml:space="preserve"> PAGEREF _Toc150784332 \h </w:instrText>
          </w:r>
          <w:r>
            <w:fldChar w:fldCharType="separate"/>
          </w:r>
          <w:r>
            <w:t>9</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"_Toc150784333" </w:instrText>
          </w:r>
          <w:r>
            <w:fldChar w:fldCharType="separate"/>
          </w:r>
          <w:r>
            <w:rPr>
              <w:rStyle w:val="19"/>
              <w:rFonts w:hint="eastAsia" w:ascii="黑体" w:hAnsi="黑体" w:eastAsia="黑体"/>
            </w:rPr>
            <w:t>第二部分</w:t>
          </w:r>
          <w:r>
            <w:rPr>
              <w:rStyle w:val="19"/>
              <w:rFonts w:ascii="黑体" w:hAnsi="黑体" w:eastAsia="黑体"/>
            </w:rPr>
            <w:t xml:space="preserve"> 2022</w:t>
          </w:r>
          <w:r>
            <w:rPr>
              <w:rStyle w:val="19"/>
              <w:rFonts w:hint="eastAsia" w:ascii="黑体" w:hAnsi="黑体" w:eastAsia="黑体"/>
            </w:rPr>
            <w:t>年度部门决算情况说明</w:t>
          </w:r>
          <w:r>
            <w:tab/>
          </w:r>
          <w:r>
            <w:fldChar w:fldCharType="begin"/>
          </w:r>
          <w:r>
            <w:instrText xml:space="preserve"> PAGEREF _Toc150784333 \h </w:instrText>
          </w:r>
          <w:r>
            <w:fldChar w:fldCharType="separate"/>
          </w:r>
          <w:r>
            <w:t>10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"_Toc150784334" </w:instrText>
          </w:r>
          <w:r>
            <w:fldChar w:fldCharType="separate"/>
          </w:r>
          <w:r>
            <w:rPr>
              <w:rStyle w:val="19"/>
              <w:rFonts w:hint="eastAsia"/>
            </w:rPr>
            <w:t>一、收入支出决算总体情况说明</w:t>
          </w:r>
          <w:r>
            <w:tab/>
          </w:r>
          <w:r>
            <w:fldChar w:fldCharType="begin"/>
          </w:r>
          <w:r>
            <w:instrText xml:space="preserve"> PAGEREF _Toc150784334 \h </w:instrText>
          </w:r>
          <w:r>
            <w:fldChar w:fldCharType="separate"/>
          </w:r>
          <w:r>
            <w:t>10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"_Toc150784335" </w:instrText>
          </w:r>
          <w:r>
            <w:fldChar w:fldCharType="separate"/>
          </w:r>
          <w:r>
            <w:rPr>
              <w:rStyle w:val="19"/>
              <w:rFonts w:hint="eastAsia"/>
            </w:rPr>
            <w:t>二、收入决算情况说明</w:t>
          </w:r>
          <w:r>
            <w:tab/>
          </w:r>
          <w:r>
            <w:fldChar w:fldCharType="begin"/>
          </w:r>
          <w:r>
            <w:instrText xml:space="preserve"> PAGEREF _Toc150784335 \h </w:instrText>
          </w:r>
          <w:r>
            <w:fldChar w:fldCharType="separate"/>
          </w:r>
          <w:r>
            <w:t>10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"_Toc150784336" </w:instrText>
          </w:r>
          <w:r>
            <w:fldChar w:fldCharType="separate"/>
          </w:r>
          <w:r>
            <w:rPr>
              <w:rStyle w:val="19"/>
              <w:rFonts w:hint="eastAsia"/>
            </w:rPr>
            <w:t>三、支出决算情况说明</w:t>
          </w:r>
          <w:r>
            <w:tab/>
          </w:r>
          <w:r>
            <w:fldChar w:fldCharType="begin"/>
          </w:r>
          <w:r>
            <w:instrText xml:space="preserve"> PAGEREF _Toc150784336 \h </w:instrText>
          </w:r>
          <w:r>
            <w:fldChar w:fldCharType="separate"/>
          </w:r>
          <w:r>
            <w:t>11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"_Toc150784337" </w:instrText>
          </w:r>
          <w:r>
            <w:fldChar w:fldCharType="separate"/>
          </w:r>
          <w:r>
            <w:rPr>
              <w:rStyle w:val="19"/>
              <w:rFonts w:hint="eastAsia"/>
            </w:rPr>
            <w:t>四、财政拨款收入支出决算总体情况说明</w:t>
          </w:r>
          <w:r>
            <w:tab/>
          </w:r>
          <w:r>
            <w:fldChar w:fldCharType="begin"/>
          </w:r>
          <w:r>
            <w:instrText xml:space="preserve"> PAGEREF _Toc150784337 \h </w:instrText>
          </w:r>
          <w:r>
            <w:fldChar w:fldCharType="separate"/>
          </w:r>
          <w:r>
            <w:t>12</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"_Toc150784338" </w:instrText>
          </w:r>
          <w:r>
            <w:fldChar w:fldCharType="separate"/>
          </w:r>
          <w:r>
            <w:rPr>
              <w:rStyle w:val="19"/>
              <w:rFonts w:hint="eastAsia"/>
            </w:rPr>
            <w:t>五、一般公共预算财政拨款支出决算情况说明</w:t>
          </w:r>
          <w:r>
            <w:tab/>
          </w:r>
          <w:r>
            <w:fldChar w:fldCharType="begin"/>
          </w:r>
          <w:r>
            <w:instrText xml:space="preserve"> PAGEREF _Toc150784338 \h </w:instrText>
          </w:r>
          <w:r>
            <w:fldChar w:fldCharType="separate"/>
          </w:r>
          <w:r>
            <w:t>13</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"_Toc150784339" </w:instrText>
          </w:r>
          <w:r>
            <w:fldChar w:fldCharType="separate"/>
          </w:r>
          <w:r>
            <w:rPr>
              <w:rStyle w:val="19"/>
              <w:rFonts w:hint="eastAsia"/>
            </w:rPr>
            <w:t>六、一般公共预算财政拨款基本支出决算情况说明</w:t>
          </w:r>
          <w:r>
            <w:tab/>
          </w:r>
          <w:r>
            <w:fldChar w:fldCharType="begin"/>
          </w:r>
          <w:r>
            <w:instrText xml:space="preserve"> PAGEREF _Toc150784339 \h </w:instrText>
          </w:r>
          <w:r>
            <w:fldChar w:fldCharType="separate"/>
          </w:r>
          <w:r>
            <w:t>15</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"_Toc150784340" </w:instrText>
          </w:r>
          <w:r>
            <w:fldChar w:fldCharType="separate"/>
          </w:r>
          <w:r>
            <w:rPr>
              <w:rStyle w:val="19"/>
              <w:rFonts w:hint="eastAsia"/>
            </w:rPr>
            <w:t>七、财政拨款“三公”经费支出决算情况说明</w:t>
          </w:r>
          <w:r>
            <w:tab/>
          </w:r>
          <w:r>
            <w:fldChar w:fldCharType="begin"/>
          </w:r>
          <w:r>
            <w:instrText xml:space="preserve"> PAGEREF _Toc150784340 \h </w:instrText>
          </w:r>
          <w:r>
            <w:fldChar w:fldCharType="separate"/>
          </w:r>
          <w:r>
            <w:t>16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"_Toc150784341" </w:instrText>
          </w:r>
          <w:r>
            <w:fldChar w:fldCharType="separate"/>
          </w:r>
          <w:r>
            <w:rPr>
              <w:rStyle w:val="19"/>
              <w:rFonts w:hint="eastAsia"/>
            </w:rPr>
            <w:t>八、政府性基金预算支出决算情况说明</w:t>
          </w:r>
          <w:r>
            <w:tab/>
          </w:r>
          <w:r>
            <w:fldChar w:fldCharType="begin"/>
          </w:r>
          <w:r>
            <w:instrText xml:space="preserve"> PAGEREF _Toc150784341 \h </w:instrText>
          </w:r>
          <w:r>
            <w:fldChar w:fldCharType="separate"/>
          </w:r>
          <w:r>
            <w:t>18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"_Toc150784342" </w:instrText>
          </w:r>
          <w:r>
            <w:fldChar w:fldCharType="separate"/>
          </w:r>
          <w:r>
            <w:rPr>
              <w:rStyle w:val="19"/>
              <w:rFonts w:hint="eastAsia"/>
            </w:rPr>
            <w:t>九、国有资本经营预算支出决算情况说明</w:t>
          </w:r>
          <w:r>
            <w:tab/>
          </w:r>
          <w:r>
            <w:fldChar w:fldCharType="begin"/>
          </w:r>
          <w:r>
            <w:instrText xml:space="preserve"> PAGEREF _Toc150784342 \h </w:instrText>
          </w:r>
          <w:r>
            <w:fldChar w:fldCharType="separate"/>
          </w:r>
          <w:r>
            <w:t>18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"_Toc150784343" </w:instrText>
          </w:r>
          <w:r>
            <w:fldChar w:fldCharType="separate"/>
          </w:r>
          <w:r>
            <w:rPr>
              <w:rStyle w:val="19"/>
              <w:rFonts w:hint="eastAsia"/>
            </w:rPr>
            <w:t>十、其他重要事项的情况说明</w:t>
          </w:r>
          <w:r>
            <w:tab/>
          </w:r>
          <w:r>
            <w:fldChar w:fldCharType="begin"/>
          </w:r>
          <w:r>
            <w:instrText xml:space="preserve"> PAGEREF _Toc150784343 \h </w:instrText>
          </w:r>
          <w:r>
            <w:fldChar w:fldCharType="separate"/>
          </w:r>
          <w:r>
            <w:t>18</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"_Toc150784344" </w:instrText>
          </w:r>
          <w:r>
            <w:fldChar w:fldCharType="separate"/>
          </w:r>
          <w:r>
            <w:rPr>
              <w:rStyle w:val="19"/>
              <w:rFonts w:hint="eastAsia"/>
            </w:rPr>
            <w:t>第三部分名词解释</w:t>
          </w:r>
          <w:r>
            <w:tab/>
          </w:r>
          <w:r>
            <w:fldChar w:fldCharType="begin"/>
          </w:r>
          <w:r>
            <w:instrText xml:space="preserve"> PAGEREF _Toc150784344 \h </w:instrText>
          </w:r>
          <w:r>
            <w:fldChar w:fldCharType="separate"/>
          </w:r>
          <w:r>
            <w:t>22</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"_Toc150784345" </w:instrText>
          </w:r>
          <w:r>
            <w:fldChar w:fldCharType="separate"/>
          </w:r>
          <w:r>
            <w:rPr>
              <w:rStyle w:val="19"/>
              <w:rFonts w:hint="eastAsia"/>
            </w:rPr>
            <w:t>第四部分</w:t>
          </w:r>
          <w:r>
            <w:rPr>
              <w:rStyle w:val="19"/>
            </w:rPr>
            <w:t xml:space="preserve"> </w:t>
          </w:r>
          <w:r>
            <w:rPr>
              <w:rStyle w:val="19"/>
              <w:rFonts w:hint="eastAsia"/>
            </w:rPr>
            <w:t>附件</w:t>
          </w:r>
          <w:r>
            <w:tab/>
          </w:r>
          <w:r>
            <w:fldChar w:fldCharType="begin"/>
          </w:r>
          <w:r>
            <w:instrText xml:space="preserve"> PAGEREF _Toc150784345 \h </w:instrText>
          </w:r>
          <w:r>
            <w:fldChar w:fldCharType="separate"/>
          </w:r>
          <w:r>
            <w:t>25</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"_Toc150784346" </w:instrText>
          </w:r>
          <w:r>
            <w:fldChar w:fldCharType="separate"/>
          </w:r>
          <w:r>
            <w:rPr>
              <w:rStyle w:val="19"/>
              <w:rFonts w:hint="eastAsia" w:ascii="黑体" w:hAnsi="黑体" w:eastAsia="黑体" w:cs="黑体"/>
            </w:rPr>
            <w:t>附件</w:t>
          </w:r>
          <w:r>
            <w:tab/>
          </w:r>
          <w:r>
            <w:fldChar w:fldCharType="begin"/>
          </w:r>
          <w:r>
            <w:instrText xml:space="preserve"> PAGEREF _Toc150784346 \h </w:instrText>
          </w:r>
          <w:r>
            <w:fldChar w:fldCharType="separate"/>
          </w:r>
          <w:r>
            <w:t>25</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"_Toc150784347" </w:instrText>
          </w:r>
          <w:r>
            <w:fldChar w:fldCharType="separate"/>
          </w:r>
          <w:r>
            <w:rPr>
              <w:rStyle w:val="19"/>
              <w:rFonts w:hint="eastAsia"/>
            </w:rPr>
            <w:t>第五部分</w:t>
          </w:r>
          <w:r>
            <w:rPr>
              <w:rStyle w:val="19"/>
            </w:rPr>
            <w:t xml:space="preserve"> </w:t>
          </w:r>
          <w:r>
            <w:rPr>
              <w:rStyle w:val="19"/>
              <w:rFonts w:hint="eastAsia"/>
            </w:rPr>
            <w:t>附表</w:t>
          </w:r>
          <w:r>
            <w:tab/>
          </w:r>
          <w:r>
            <w:fldChar w:fldCharType="begin"/>
          </w:r>
          <w:r>
            <w:instrText xml:space="preserve"> PAGEREF _Toc150784347 \h </w:instrText>
          </w:r>
          <w:r>
            <w:fldChar w:fldCharType="separate"/>
          </w:r>
          <w:r>
            <w:t>39</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"_Toc150784348" </w:instrText>
          </w:r>
          <w:r>
            <w:fldChar w:fldCharType="separate"/>
          </w:r>
          <w:r>
            <w:rPr>
              <w:rStyle w:val="19"/>
              <w:rFonts w:hint="eastAsia" w:ascii="仿宋" w:hAnsi="仿宋" w:eastAsia="仿宋"/>
            </w:rPr>
            <w:t>一、收入支出决算总表</w:t>
          </w:r>
          <w:r>
            <w:tab/>
          </w:r>
          <w:r>
            <w:fldChar w:fldCharType="begin"/>
          </w:r>
          <w:r>
            <w:instrText xml:space="preserve"> PAGEREF _Toc150784348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"_Toc150784349" </w:instrText>
          </w:r>
          <w:r>
            <w:fldChar w:fldCharType="separate"/>
          </w:r>
          <w:r>
            <w:rPr>
              <w:rStyle w:val="19"/>
              <w:rFonts w:hint="eastAsia" w:ascii="仿宋" w:hAnsi="仿宋" w:eastAsia="仿宋"/>
            </w:rPr>
            <w:t>二、收入决算表</w:t>
          </w:r>
          <w:r>
            <w:tab/>
          </w:r>
          <w:r>
            <w:fldChar w:fldCharType="begin"/>
          </w:r>
          <w:r>
            <w:instrText xml:space="preserve"> PAGEREF _Toc150784349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"_Toc150784350" </w:instrText>
          </w:r>
          <w:r>
            <w:fldChar w:fldCharType="separate"/>
          </w:r>
          <w:r>
            <w:rPr>
              <w:rStyle w:val="19"/>
              <w:rFonts w:hint="eastAsia" w:ascii="仿宋" w:hAnsi="仿宋" w:eastAsia="仿宋"/>
            </w:rPr>
            <w:t>三、支出决算表</w:t>
          </w:r>
          <w:r>
            <w:tab/>
          </w:r>
          <w:r>
            <w:fldChar w:fldCharType="begin"/>
          </w:r>
          <w:r>
            <w:instrText xml:space="preserve"> PAGEREF _Toc150784350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"_Toc150784351" </w:instrText>
          </w:r>
          <w:r>
            <w:fldChar w:fldCharType="separate"/>
          </w:r>
          <w:r>
            <w:rPr>
              <w:rStyle w:val="19"/>
              <w:rFonts w:hint="eastAsia" w:ascii="仿宋" w:hAnsi="仿宋" w:eastAsia="仿宋"/>
            </w:rPr>
            <w:t>四、财政拨款收入支出决算总表</w:t>
          </w:r>
          <w:r>
            <w:tab/>
          </w:r>
          <w:r>
            <w:fldChar w:fldCharType="begin"/>
          </w:r>
          <w:r>
            <w:instrText xml:space="preserve"> PAGEREF _Toc150784351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"_Toc150784352" </w:instrText>
          </w:r>
          <w:r>
            <w:fldChar w:fldCharType="separate"/>
          </w:r>
          <w:r>
            <w:rPr>
              <w:rStyle w:val="19"/>
              <w:rFonts w:hint="eastAsia" w:ascii="仿宋" w:hAnsi="仿宋" w:eastAsia="仿宋"/>
            </w:rPr>
            <w:t>五、财政拨款支出决算明细表</w:t>
          </w:r>
          <w:r>
            <w:tab/>
          </w:r>
          <w:r>
            <w:fldChar w:fldCharType="begin"/>
          </w:r>
          <w:r>
            <w:instrText xml:space="preserve"> PAGEREF _Toc150784352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"_Toc150784353" </w:instrText>
          </w:r>
          <w:r>
            <w:fldChar w:fldCharType="separate"/>
          </w:r>
          <w:r>
            <w:rPr>
              <w:rStyle w:val="19"/>
              <w:rFonts w:hint="eastAsia" w:ascii="仿宋" w:hAnsi="仿宋" w:eastAsia="仿宋"/>
            </w:rPr>
            <w:t>六、一般公共预算财政拨款支出决算表</w:t>
          </w:r>
          <w:r>
            <w:tab/>
          </w:r>
          <w:r>
            <w:fldChar w:fldCharType="begin"/>
          </w:r>
          <w:r>
            <w:instrText xml:space="preserve"> PAGEREF _Toc150784353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"_Toc150784354" </w:instrText>
          </w:r>
          <w:r>
            <w:fldChar w:fldCharType="separate"/>
          </w:r>
          <w:r>
            <w:rPr>
              <w:rStyle w:val="19"/>
              <w:rFonts w:hint="eastAsia" w:ascii="仿宋" w:hAnsi="仿宋" w:eastAsia="仿宋"/>
            </w:rPr>
            <w:t>七、一般公共预算财政拨款支出决算明细表</w:t>
          </w:r>
          <w:r>
            <w:tab/>
          </w:r>
          <w:r>
            <w:fldChar w:fldCharType="begin"/>
          </w:r>
          <w:r>
            <w:instrText xml:space="preserve"> PAGEREF _Toc150784354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"_Toc150784355" </w:instrText>
          </w:r>
          <w:r>
            <w:fldChar w:fldCharType="separate"/>
          </w:r>
          <w:r>
            <w:rPr>
              <w:rStyle w:val="19"/>
              <w:rFonts w:hint="eastAsia" w:ascii="仿宋" w:hAnsi="仿宋" w:eastAsia="仿宋"/>
            </w:rPr>
            <w:t>八、一般公共预算财政拨款基本支出决算表</w:t>
          </w:r>
          <w:r>
            <w:tab/>
          </w:r>
          <w:r>
            <w:fldChar w:fldCharType="begin"/>
          </w:r>
          <w:r>
            <w:instrText xml:space="preserve"> PAGEREF _Toc150784355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"_Toc150784356" </w:instrText>
          </w:r>
          <w:r>
            <w:fldChar w:fldCharType="separate"/>
          </w:r>
          <w:r>
            <w:rPr>
              <w:rStyle w:val="19"/>
              <w:rFonts w:hint="eastAsia" w:ascii="仿宋" w:hAnsi="仿宋" w:eastAsia="仿宋"/>
            </w:rPr>
            <w:t>九、一般公共预算财政拨款项目支出决算表</w:t>
          </w:r>
          <w:r>
            <w:tab/>
          </w:r>
          <w:r>
            <w:fldChar w:fldCharType="begin"/>
          </w:r>
          <w:r>
            <w:instrText xml:space="preserve"> PAGEREF _Toc150784356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"_Toc150784357" </w:instrText>
          </w:r>
          <w:r>
            <w:fldChar w:fldCharType="separate"/>
          </w:r>
          <w:r>
            <w:rPr>
              <w:rStyle w:val="19"/>
              <w:rFonts w:hint="eastAsia" w:ascii="仿宋" w:hAnsi="仿宋" w:eastAsia="仿宋"/>
            </w:rPr>
            <w:t>十、政府性基金预算财政拨款收入支出决算表</w:t>
          </w:r>
          <w:r>
            <w:tab/>
          </w:r>
          <w:r>
            <w:fldChar w:fldCharType="begin"/>
          </w:r>
          <w:r>
            <w:instrText xml:space="preserve"> PAGEREF _Toc150784357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"_Toc150784358" </w:instrText>
          </w:r>
          <w:r>
            <w:fldChar w:fldCharType="separate"/>
          </w:r>
          <w:r>
            <w:rPr>
              <w:rStyle w:val="19"/>
              <w:rFonts w:hint="eastAsia" w:ascii="仿宋" w:hAnsi="仿宋" w:eastAsia="仿宋"/>
            </w:rPr>
            <w:t>十一、国有资本经营预算财政拨款收入支出决算表</w:t>
          </w:r>
          <w:r>
            <w:tab/>
          </w:r>
          <w:r>
            <w:fldChar w:fldCharType="begin"/>
          </w:r>
          <w:r>
            <w:instrText xml:space="preserve"> PAGEREF _Toc150784358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"_Toc150784359" </w:instrText>
          </w:r>
          <w:r>
            <w:fldChar w:fldCharType="separate"/>
          </w:r>
          <w:r>
            <w:rPr>
              <w:rStyle w:val="19"/>
              <w:rFonts w:hint="eastAsia" w:ascii="仿宋" w:hAnsi="仿宋" w:eastAsia="仿宋"/>
            </w:rPr>
            <w:t>十二、国有资本经营预算财政拨款支出决算表</w:t>
          </w:r>
          <w:r>
            <w:tab/>
          </w:r>
          <w:r>
            <w:fldChar w:fldCharType="begin"/>
          </w:r>
          <w:r>
            <w:instrText xml:space="preserve"> PAGEREF _Toc150784359 \h </w:instrText>
          </w:r>
          <w:r>
            <w:fldChar w:fldCharType="separate"/>
          </w:r>
          <w:r>
            <w:t>40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"_Toc150784360" </w:instrText>
          </w:r>
          <w:r>
            <w:fldChar w:fldCharType="separate"/>
          </w:r>
          <w:r>
            <w:rPr>
              <w:rStyle w:val="19"/>
              <w:rFonts w:hint="eastAsia" w:ascii="仿宋" w:hAnsi="仿宋" w:eastAsia="仿宋"/>
            </w:rPr>
            <w:t>十三、财政拨款“三公”经费支出决算表</w:t>
          </w:r>
          <w:r>
            <w:tab/>
          </w:r>
          <w:r>
            <w:fldChar w:fldCharType="begin"/>
          </w:r>
          <w:r>
            <w:instrText xml:space="preserve"> PAGEREF _Toc150784360 \h </w:instrText>
          </w:r>
          <w:r>
            <w:fldChar w:fldCharType="separate"/>
          </w:r>
          <w:r>
            <w:t>40</w:t>
          </w:r>
          <w:r>
            <w:fldChar w:fldCharType="end"/>
          </w:r>
          <w:r>
            <w:fldChar w:fldCharType="end"/>
          </w:r>
        </w:p>
        <w:p>
          <w:r>
            <w:fldChar w:fldCharType="end"/>
          </w:r>
        </w:p>
      </w:sdtContent>
    </w:sdt>
    <w:p>
      <w:r>
        <w:rPr>
          <w:rFonts w:ascii="方正小标宋简体" w:hAnsi="宋体" w:eastAsia="方正小标宋简体"/>
          <w:sz w:val="36"/>
          <w:szCs w:val="36"/>
        </w:rPr>
        <w:br w:type="page"/>
      </w:r>
      <w:bookmarkStart w:id="12" w:name="_Toc15377196"/>
      <w:bookmarkStart w:id="13" w:name="_Toc15396599"/>
    </w:p>
    <w:p>
      <w:pPr>
        <w:pStyle w:val="2"/>
        <w:jc w:val="center"/>
        <w:rPr>
          <w:rFonts w:ascii="黑体" w:eastAsia="黑体"/>
          <w:sz w:val="32"/>
          <w:szCs w:val="32"/>
        </w:rPr>
      </w:pPr>
      <w:bookmarkStart w:id="14" w:name="_Toc150784330"/>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bookmarkEnd w:id="14"/>
    </w:p>
    <w:p>
      <w:pPr>
        <w:pStyle w:val="3"/>
        <w:spacing w:before="0" w:after="0" w:line="560" w:lineRule="exact"/>
        <w:ind w:firstLine="640" w:firstLineChars="200"/>
        <w:rPr>
          <w:rFonts w:ascii="黑体" w:hAnsi="黑体" w:eastAsia="黑体"/>
          <w:b w:val="0"/>
        </w:rPr>
      </w:pPr>
      <w:bookmarkStart w:id="15" w:name="_Toc15377197"/>
      <w:bookmarkStart w:id="16" w:name="_Toc15396600"/>
      <w:bookmarkStart w:id="17" w:name="_Toc150784331"/>
      <w:r>
        <w:rPr>
          <w:rFonts w:hint="eastAsia" w:ascii="黑体" w:hAnsi="黑体" w:eastAsia="黑体"/>
          <w:b w:val="0"/>
        </w:rPr>
        <w:t>一、</w:t>
      </w:r>
      <w:bookmarkEnd w:id="15"/>
      <w:bookmarkEnd w:id="16"/>
      <w:r>
        <w:rPr>
          <w:rFonts w:hint="eastAsia" w:ascii="黑体" w:hAnsi="黑体" w:eastAsia="黑体"/>
          <w:b w:val="0"/>
        </w:rPr>
        <w:t>部门职责</w:t>
      </w:r>
      <w:bookmarkEnd w:id="17"/>
    </w:p>
    <w:p>
      <w:pPr>
        <w:spacing w:line="560" w:lineRule="exact"/>
        <w:ind w:firstLine="640" w:firstLineChars="200"/>
        <w:rPr>
          <w:rFonts w:ascii="仿宋_GB2312" w:hAnsi="黑体" w:eastAsia="仿宋_GB2312" w:cstheme="majorBidi"/>
          <w:b/>
          <w:bCs/>
          <w:sz w:val="32"/>
          <w:szCs w:val="32"/>
        </w:rPr>
      </w:pPr>
      <w:r>
        <w:rPr>
          <w:rFonts w:hint="eastAsia" w:ascii="仿宋_GB2312" w:eastAsia="仿宋_GB2312"/>
          <w:sz w:val="32"/>
          <w:szCs w:val="32"/>
        </w:rPr>
        <w:t>中共巴中市巴州区委统一战线工作部（简称区委统战部）是区委主管统一战线工作的职能部门，为正科级，列区委工作机关序列。</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color w:val="000000"/>
          <w:sz w:val="32"/>
          <w:szCs w:val="32"/>
        </w:rPr>
        <w:t>中共巴中市巴州区委统一战线工作部、巴中市巴州区民族宗教事务局职能</w:t>
      </w:r>
      <w:r>
        <w:rPr>
          <w:rFonts w:hint="eastAsia" w:ascii="楷体_GB2312" w:hAnsi="楷体_GB2312" w:eastAsia="楷体_GB2312" w:cs="楷体_GB2312"/>
          <w:sz w:val="32"/>
          <w:szCs w:val="32"/>
        </w:rPr>
        <w:t>简介</w:t>
      </w:r>
    </w:p>
    <w:p>
      <w:pPr>
        <w:spacing w:line="560" w:lineRule="exact"/>
        <w:ind w:firstLine="640" w:firstLineChars="200"/>
        <w:rPr>
          <w:rFonts w:eastAsia="仿宋_GB2312"/>
          <w:color w:val="000000"/>
          <w:sz w:val="32"/>
          <w:szCs w:val="32"/>
        </w:rPr>
      </w:pPr>
      <w:r>
        <w:rPr>
          <w:rFonts w:eastAsia="仿宋_GB2312"/>
          <w:sz w:val="32"/>
          <w:szCs w:val="32"/>
        </w:rPr>
        <w:t>1.</w:t>
      </w:r>
      <w:r>
        <w:rPr>
          <w:rFonts w:hint="eastAsia" w:eastAsia="仿宋_GB2312"/>
          <w:color w:val="000000"/>
          <w:sz w:val="32"/>
          <w:szCs w:val="32"/>
        </w:rPr>
        <w:t>贯彻落实加强党对统一战线工作集中统一领导的要求，发挥区委在统战方面的参谋机构、组织协调机构、具体执行机构、督促检查机构作用，了解情况、掌握政策、协调关系、安排人事、增进共识、加强团结，协调统一战线各方面关系，组织和落实中央和省委、市委、区委关于统一战线工作重大决策部署，巩固壮大最广泛的统一战线。</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2. </w:t>
      </w:r>
      <w:r>
        <w:rPr>
          <w:rFonts w:eastAsia="仿宋_GB2312"/>
          <w:color w:val="000000"/>
          <w:sz w:val="32"/>
          <w:szCs w:val="32"/>
        </w:rPr>
        <w:t>研究统一战线重大理论方针政策和法律法规在</w:t>
      </w:r>
      <w:r>
        <w:rPr>
          <w:rFonts w:hint="eastAsia" w:eastAsia="仿宋_GB2312"/>
          <w:color w:val="000000"/>
          <w:sz w:val="32"/>
          <w:szCs w:val="32"/>
        </w:rPr>
        <w:t>巴州区</w:t>
      </w:r>
      <w:r>
        <w:rPr>
          <w:rFonts w:eastAsia="仿宋_GB2312"/>
          <w:color w:val="000000"/>
          <w:sz w:val="32"/>
          <w:szCs w:val="32"/>
        </w:rPr>
        <w:t>的细化落实，深入调查研究，及时向</w:t>
      </w:r>
      <w:r>
        <w:rPr>
          <w:rFonts w:hint="eastAsia" w:eastAsia="仿宋_GB2312"/>
          <w:color w:val="000000"/>
          <w:sz w:val="32"/>
          <w:szCs w:val="32"/>
        </w:rPr>
        <w:t>区</w:t>
      </w:r>
      <w:r>
        <w:rPr>
          <w:rFonts w:eastAsia="仿宋_GB2312"/>
          <w:color w:val="000000"/>
          <w:sz w:val="32"/>
          <w:szCs w:val="32"/>
        </w:rPr>
        <w:t>委报告统</w:t>
      </w:r>
      <w:r>
        <w:rPr>
          <w:rFonts w:hint="eastAsia" w:eastAsia="仿宋_GB2312"/>
          <w:color w:val="000000"/>
          <w:sz w:val="32"/>
          <w:szCs w:val="32"/>
        </w:rPr>
        <w:t>一</w:t>
      </w:r>
      <w:r>
        <w:rPr>
          <w:rFonts w:eastAsia="仿宋_GB2312"/>
          <w:color w:val="000000"/>
          <w:sz w:val="32"/>
          <w:szCs w:val="32"/>
        </w:rPr>
        <w:t>战线工作情况并提出建议，统筹协调和指导</w:t>
      </w:r>
      <w:r>
        <w:rPr>
          <w:rFonts w:hint="eastAsia" w:eastAsia="仿宋_GB2312"/>
          <w:color w:val="000000"/>
          <w:sz w:val="32"/>
          <w:szCs w:val="32"/>
        </w:rPr>
        <w:t>各级</w:t>
      </w:r>
      <w:r>
        <w:rPr>
          <w:rFonts w:eastAsia="仿宋_GB2312"/>
          <w:color w:val="000000"/>
          <w:sz w:val="32"/>
          <w:szCs w:val="32"/>
        </w:rPr>
        <w:t>各部门统一战线工作。</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3. </w:t>
      </w:r>
      <w:r>
        <w:rPr>
          <w:rFonts w:eastAsia="仿宋_GB2312"/>
          <w:color w:val="000000"/>
          <w:sz w:val="32"/>
          <w:szCs w:val="32"/>
        </w:rPr>
        <w:t>负责发现、培养党外代表人士，制定党外干部培养规划，负责党外人士的政治安排，会同有关部门做好安排党外人士担任政府和司法机关等领导职务的工作，推动</w:t>
      </w:r>
      <w:r>
        <w:rPr>
          <w:rFonts w:hint="eastAsia" w:eastAsia="仿宋_GB2312"/>
          <w:color w:val="000000"/>
          <w:sz w:val="32"/>
          <w:szCs w:val="32"/>
        </w:rPr>
        <w:t>学校、</w:t>
      </w:r>
      <w:r>
        <w:rPr>
          <w:rFonts w:eastAsia="仿宋_GB2312"/>
          <w:color w:val="000000"/>
          <w:sz w:val="32"/>
          <w:szCs w:val="32"/>
        </w:rPr>
        <w:t>人民团体、国有企业党外干部安排工作。协助民主党派</w:t>
      </w:r>
      <w:r>
        <w:rPr>
          <w:rFonts w:hint="eastAsia" w:eastAsia="仿宋_GB2312"/>
          <w:color w:val="000000"/>
          <w:sz w:val="32"/>
          <w:szCs w:val="32"/>
        </w:rPr>
        <w:t>巴州区总支</w:t>
      </w:r>
      <w:r>
        <w:rPr>
          <w:rFonts w:eastAsia="仿宋_GB2312"/>
          <w:color w:val="000000"/>
          <w:sz w:val="32"/>
          <w:szCs w:val="32"/>
        </w:rPr>
        <w:t>、</w:t>
      </w:r>
      <w:r>
        <w:rPr>
          <w:rFonts w:hint="eastAsia" w:eastAsia="仿宋_GB2312"/>
          <w:color w:val="000000"/>
          <w:sz w:val="32"/>
          <w:szCs w:val="32"/>
        </w:rPr>
        <w:t>区</w:t>
      </w:r>
      <w:r>
        <w:rPr>
          <w:rFonts w:eastAsia="仿宋_GB2312"/>
          <w:color w:val="000000"/>
          <w:sz w:val="32"/>
          <w:szCs w:val="32"/>
        </w:rPr>
        <w:t>工商联做好干部管理工作，反映和协调解决党外代表人士工作生活中的实际困难。</w:t>
      </w:r>
    </w:p>
    <w:p>
      <w:pPr>
        <w:spacing w:line="560" w:lineRule="exact"/>
        <w:ind w:firstLine="640" w:firstLineChars="200"/>
        <w:rPr>
          <w:rFonts w:eastAsia="仿宋_GB2312"/>
          <w:color w:val="000000"/>
          <w:spacing w:val="-11"/>
          <w:sz w:val="32"/>
          <w:szCs w:val="32"/>
        </w:rPr>
      </w:pPr>
      <w:r>
        <w:rPr>
          <w:rFonts w:hint="eastAsia" w:eastAsia="仿宋_GB2312"/>
          <w:color w:val="000000"/>
          <w:sz w:val="32"/>
          <w:szCs w:val="32"/>
        </w:rPr>
        <w:t xml:space="preserve">4. </w:t>
      </w:r>
      <w:r>
        <w:rPr>
          <w:rFonts w:eastAsia="仿宋_GB2312"/>
          <w:color w:val="000000"/>
          <w:sz w:val="32"/>
          <w:szCs w:val="32"/>
        </w:rPr>
        <w:t>贯彻落实党的宣传工作方针，统筹推进全</w:t>
      </w:r>
      <w:r>
        <w:rPr>
          <w:rFonts w:hint="eastAsia" w:eastAsia="仿宋_GB2312"/>
          <w:color w:val="000000"/>
          <w:sz w:val="32"/>
          <w:szCs w:val="32"/>
        </w:rPr>
        <w:t>区</w:t>
      </w:r>
      <w:r>
        <w:rPr>
          <w:rFonts w:eastAsia="仿宋_GB2312"/>
          <w:color w:val="000000"/>
          <w:sz w:val="32"/>
          <w:szCs w:val="32"/>
        </w:rPr>
        <w:t>统一战线宣传和意识形态工作，组织贯彻落实中央</w:t>
      </w:r>
      <w:r>
        <w:rPr>
          <w:rFonts w:hint="eastAsia" w:eastAsia="仿宋_GB2312"/>
          <w:color w:val="000000"/>
          <w:sz w:val="32"/>
          <w:szCs w:val="32"/>
        </w:rPr>
        <w:t>、</w:t>
      </w:r>
      <w:r>
        <w:rPr>
          <w:rFonts w:eastAsia="仿宋_GB2312"/>
          <w:color w:val="000000"/>
          <w:sz w:val="32"/>
          <w:szCs w:val="32"/>
        </w:rPr>
        <w:t>省委、</w:t>
      </w:r>
      <w:r>
        <w:rPr>
          <w:rFonts w:hint="eastAsia" w:eastAsia="仿宋_GB2312"/>
          <w:color w:val="000000"/>
          <w:sz w:val="32"/>
          <w:szCs w:val="32"/>
        </w:rPr>
        <w:t>市委、区委统一战线</w:t>
      </w:r>
      <w:r>
        <w:rPr>
          <w:rFonts w:eastAsia="仿宋_GB2312"/>
          <w:color w:val="000000"/>
          <w:sz w:val="32"/>
          <w:szCs w:val="32"/>
        </w:rPr>
        <w:t>宣传工作政策和规划，统筹推进网络统战工作，打造网络</w:t>
      </w:r>
      <w:r>
        <w:rPr>
          <w:rFonts w:eastAsia="仿宋_GB2312"/>
          <w:color w:val="000000"/>
          <w:spacing w:val="-11"/>
          <w:sz w:val="32"/>
          <w:szCs w:val="32"/>
        </w:rPr>
        <w:t>统战工作平台，研判涉及统一战线的舆情并协调有关部门应对处置。</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5. </w:t>
      </w:r>
      <w:r>
        <w:rPr>
          <w:rFonts w:eastAsia="仿宋_GB2312"/>
          <w:color w:val="000000"/>
          <w:sz w:val="32"/>
          <w:szCs w:val="32"/>
        </w:rPr>
        <w:t>负责联系各民主党派，通报情况、反映意见、制定年度政党协商计划，贯彻落实中国共产党领导的多党合作和政治协商制度以及对民主党派的方针政策，支持、帮助民主党派加强自身建设，做好支持民主党派履行职责、发挥作用的工作。</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6. </w:t>
      </w:r>
      <w:r>
        <w:rPr>
          <w:rFonts w:eastAsia="仿宋_GB2312"/>
          <w:color w:val="000000"/>
          <w:sz w:val="32"/>
          <w:szCs w:val="32"/>
        </w:rPr>
        <w:t>贯彻落实党的民族工作方针，研究拟订民族工作规范性文件，协调处理民族工作中的重大问题</w:t>
      </w:r>
      <w:r>
        <w:rPr>
          <w:rFonts w:hint="eastAsia" w:eastAsia="仿宋_GB2312"/>
          <w:color w:val="000000"/>
          <w:sz w:val="32"/>
          <w:szCs w:val="32"/>
        </w:rPr>
        <w:t>，</w:t>
      </w:r>
      <w:r>
        <w:rPr>
          <w:rFonts w:eastAsia="仿宋_GB2312"/>
          <w:color w:val="000000"/>
          <w:sz w:val="32"/>
          <w:szCs w:val="32"/>
        </w:rPr>
        <w:t>根据分工，统筹协调做好</w:t>
      </w:r>
      <w:r>
        <w:rPr>
          <w:rFonts w:eastAsia="仿宋_GB2312"/>
          <w:color w:val="000000"/>
          <w:spacing w:val="-6"/>
          <w:sz w:val="32"/>
          <w:szCs w:val="32"/>
        </w:rPr>
        <w:t>少数民族干部工作。</w:t>
      </w:r>
      <w:r>
        <w:rPr>
          <w:rFonts w:hint="eastAsia" w:eastAsia="仿宋_GB2312"/>
          <w:color w:val="000000"/>
          <w:spacing w:val="-6"/>
          <w:sz w:val="32"/>
          <w:szCs w:val="32"/>
        </w:rPr>
        <w:t>依法管理民族事务</w:t>
      </w:r>
      <w:r>
        <w:rPr>
          <w:rFonts w:eastAsia="仿宋_GB2312"/>
          <w:color w:val="000000"/>
          <w:spacing w:val="-6"/>
          <w:sz w:val="32"/>
          <w:szCs w:val="32"/>
        </w:rPr>
        <w:t>，全面促进民族事业发展</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7. </w:t>
      </w:r>
      <w:r>
        <w:rPr>
          <w:rFonts w:eastAsia="仿宋_GB2312"/>
          <w:color w:val="000000"/>
          <w:sz w:val="32"/>
          <w:szCs w:val="32"/>
        </w:rPr>
        <w:t>贯彻落实党的宗教工作基本方针和政策，研究拟订宗教工作中的地方性措施并督促落实。</w:t>
      </w:r>
      <w:r>
        <w:rPr>
          <w:rFonts w:hint="eastAsia" w:eastAsia="仿宋_GB2312"/>
          <w:color w:val="000000"/>
          <w:sz w:val="32"/>
          <w:szCs w:val="32"/>
        </w:rPr>
        <w:t>依法管理宗教行政事务，</w:t>
      </w:r>
      <w:r>
        <w:rPr>
          <w:rFonts w:eastAsia="仿宋_GB2312"/>
          <w:color w:val="000000"/>
          <w:sz w:val="32"/>
          <w:szCs w:val="32"/>
        </w:rPr>
        <w:t>保护公民宗教信仰自由和正常的宗教活动，维护宗教界合法权益，抵御境外利用宗教进行渗透，引导各宗教坚持中国化方向，巩固和发展同宗教界的爱国统一战线。</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8. </w:t>
      </w:r>
      <w:r>
        <w:rPr>
          <w:rFonts w:eastAsia="仿宋_GB2312"/>
          <w:color w:val="000000"/>
          <w:sz w:val="32"/>
          <w:szCs w:val="32"/>
        </w:rPr>
        <w:t>负责联系、培养无党派代表人士，支持、帮助无党派人士加强自身建设、发挥作用。调查研究全</w:t>
      </w:r>
      <w:r>
        <w:rPr>
          <w:rFonts w:hint="eastAsia" w:eastAsia="仿宋_GB2312"/>
          <w:color w:val="000000"/>
          <w:sz w:val="32"/>
          <w:szCs w:val="32"/>
        </w:rPr>
        <w:t>区</w:t>
      </w:r>
      <w:r>
        <w:rPr>
          <w:rFonts w:eastAsia="仿宋_GB2312"/>
          <w:color w:val="000000"/>
          <w:sz w:val="32"/>
          <w:szCs w:val="32"/>
        </w:rPr>
        <w:t>党外知识分子情况并提出建议，联系、培养党外知识分子代表人士，开展思想政治工作，指导</w:t>
      </w:r>
      <w:r>
        <w:rPr>
          <w:rFonts w:hint="eastAsia" w:eastAsia="仿宋_GB2312"/>
          <w:color w:val="000000"/>
          <w:sz w:val="32"/>
          <w:szCs w:val="32"/>
        </w:rPr>
        <w:t>学校、</w:t>
      </w:r>
      <w:r>
        <w:rPr>
          <w:rFonts w:eastAsia="仿宋_GB2312"/>
          <w:color w:val="000000"/>
          <w:sz w:val="32"/>
          <w:szCs w:val="32"/>
        </w:rPr>
        <w:t>国有企业等有关单位开展统战工作。</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9. </w:t>
      </w:r>
      <w:r>
        <w:rPr>
          <w:rFonts w:eastAsia="仿宋_GB2312"/>
          <w:color w:val="000000"/>
          <w:sz w:val="32"/>
          <w:szCs w:val="32"/>
        </w:rPr>
        <w:t>负责联系、培养新的社会阶层代表人士，支持、帮助新的社会阶层人士加强自身建设、发挥作用。调查研究全</w:t>
      </w:r>
      <w:r>
        <w:rPr>
          <w:rFonts w:hint="eastAsia" w:eastAsia="仿宋_GB2312"/>
          <w:color w:val="000000"/>
          <w:sz w:val="32"/>
          <w:szCs w:val="32"/>
        </w:rPr>
        <w:t>区</w:t>
      </w:r>
      <w:r>
        <w:rPr>
          <w:rFonts w:eastAsia="仿宋_GB2312"/>
          <w:color w:val="000000"/>
          <w:sz w:val="32"/>
          <w:szCs w:val="32"/>
        </w:rPr>
        <w:t>新的社</w:t>
      </w:r>
      <w:r>
        <w:rPr>
          <w:rFonts w:eastAsia="仿宋_GB2312"/>
          <w:color w:val="000000"/>
          <w:spacing w:val="-6"/>
          <w:sz w:val="32"/>
          <w:szCs w:val="32"/>
        </w:rPr>
        <w:t>会阶层人士情况并提出建议，联系、培养新的社会阶层代表人士，开展思想政治工作，指导社会组织开展新的社会阶层人士统战工作。</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10. </w:t>
      </w:r>
      <w:r>
        <w:rPr>
          <w:rFonts w:eastAsia="仿宋_GB2312"/>
          <w:color w:val="000000"/>
          <w:sz w:val="32"/>
          <w:szCs w:val="32"/>
        </w:rPr>
        <w:t>承担全</w:t>
      </w:r>
      <w:r>
        <w:rPr>
          <w:rFonts w:hint="eastAsia" w:eastAsia="仿宋_GB2312"/>
          <w:color w:val="000000"/>
          <w:sz w:val="32"/>
          <w:szCs w:val="32"/>
        </w:rPr>
        <w:t>区</w:t>
      </w:r>
      <w:r>
        <w:rPr>
          <w:rFonts w:eastAsia="仿宋_GB2312"/>
          <w:color w:val="000000"/>
          <w:sz w:val="32"/>
          <w:szCs w:val="32"/>
        </w:rPr>
        <w:t>非公有制经济协调工作，负责全</w:t>
      </w:r>
      <w:r>
        <w:rPr>
          <w:rFonts w:hint="eastAsia" w:eastAsia="仿宋_GB2312"/>
          <w:color w:val="000000"/>
          <w:sz w:val="32"/>
          <w:szCs w:val="32"/>
        </w:rPr>
        <w:t>区</w:t>
      </w:r>
      <w:r>
        <w:rPr>
          <w:rFonts w:eastAsia="仿宋_GB2312"/>
          <w:color w:val="000000"/>
          <w:sz w:val="32"/>
          <w:szCs w:val="32"/>
        </w:rPr>
        <w:t>非公有制经济代表人士工作，参与制定、推动落实鼓励支持引导非公有制经济发展的政策，调查研究全</w:t>
      </w:r>
      <w:r>
        <w:rPr>
          <w:rFonts w:hint="eastAsia" w:eastAsia="仿宋_GB2312"/>
          <w:color w:val="000000"/>
          <w:sz w:val="32"/>
          <w:szCs w:val="32"/>
        </w:rPr>
        <w:t>区</w:t>
      </w:r>
      <w:r>
        <w:rPr>
          <w:rFonts w:eastAsia="仿宋_GB2312"/>
          <w:color w:val="000000"/>
          <w:sz w:val="32"/>
          <w:szCs w:val="32"/>
        </w:rPr>
        <w:t>非公有制经济人士情况并提出</w:t>
      </w:r>
      <w:r>
        <w:rPr>
          <w:rFonts w:hint="eastAsia" w:eastAsia="仿宋_GB2312"/>
          <w:color w:val="000000"/>
          <w:sz w:val="32"/>
          <w:szCs w:val="32"/>
        </w:rPr>
        <w:t>政策</w:t>
      </w:r>
      <w:r>
        <w:rPr>
          <w:rFonts w:eastAsia="仿宋_GB2312"/>
          <w:color w:val="000000"/>
          <w:sz w:val="32"/>
          <w:szCs w:val="32"/>
        </w:rPr>
        <w:t>建议，了解和反映非公有制经济人士的意见，团结、服务、引导、教育非公有制经济人士，促进非公有制经济健康发展和非公有制经济人士健康成长。</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11. </w:t>
      </w:r>
      <w:r>
        <w:rPr>
          <w:rFonts w:eastAsia="仿宋_GB2312"/>
          <w:color w:val="000000"/>
          <w:sz w:val="32"/>
          <w:szCs w:val="32"/>
        </w:rPr>
        <w:t>统一管理台湾事务工作</w:t>
      </w:r>
      <w:r>
        <w:rPr>
          <w:rFonts w:hint="eastAsia" w:eastAsia="仿宋_GB2312"/>
          <w:color w:val="000000"/>
          <w:sz w:val="32"/>
          <w:szCs w:val="32"/>
        </w:rPr>
        <w:t>，牵头开展港澳统战工作</w:t>
      </w:r>
      <w:r>
        <w:rPr>
          <w:rFonts w:eastAsia="仿宋_GB2312"/>
          <w:color w:val="000000"/>
          <w:sz w:val="32"/>
          <w:szCs w:val="32"/>
        </w:rPr>
        <w:t>。贯彻执行中央、省委</w:t>
      </w:r>
      <w:r>
        <w:rPr>
          <w:rFonts w:hint="eastAsia" w:eastAsia="仿宋_GB2312"/>
          <w:color w:val="000000"/>
          <w:sz w:val="32"/>
          <w:szCs w:val="32"/>
        </w:rPr>
        <w:t>、市委</w:t>
      </w:r>
      <w:r>
        <w:rPr>
          <w:rFonts w:eastAsia="仿宋_GB2312"/>
          <w:color w:val="000000"/>
          <w:sz w:val="32"/>
          <w:szCs w:val="32"/>
        </w:rPr>
        <w:t>对台工作方针政策和上级业务部门及</w:t>
      </w:r>
      <w:r>
        <w:rPr>
          <w:rFonts w:hint="eastAsia" w:eastAsia="仿宋_GB2312"/>
          <w:color w:val="000000"/>
          <w:sz w:val="32"/>
          <w:szCs w:val="32"/>
        </w:rPr>
        <w:t>区委</w:t>
      </w:r>
      <w:r>
        <w:rPr>
          <w:rFonts w:eastAsia="仿宋_GB2312"/>
          <w:color w:val="000000"/>
          <w:sz w:val="32"/>
          <w:szCs w:val="32"/>
        </w:rPr>
        <w:t>、</w:t>
      </w:r>
      <w:r>
        <w:rPr>
          <w:rFonts w:hint="eastAsia" w:eastAsia="仿宋_GB2312"/>
          <w:color w:val="000000"/>
          <w:sz w:val="32"/>
          <w:szCs w:val="32"/>
        </w:rPr>
        <w:t>区</w:t>
      </w:r>
      <w:r>
        <w:rPr>
          <w:rFonts w:eastAsia="仿宋_GB2312"/>
          <w:color w:val="000000"/>
          <w:sz w:val="32"/>
          <w:szCs w:val="32"/>
        </w:rPr>
        <w:t>政府涉台工作部署，组织、指导、管理、协调全</w:t>
      </w:r>
      <w:r>
        <w:rPr>
          <w:rFonts w:hint="eastAsia" w:eastAsia="仿宋_GB2312"/>
          <w:color w:val="000000"/>
          <w:sz w:val="32"/>
          <w:szCs w:val="32"/>
        </w:rPr>
        <w:t>区</w:t>
      </w:r>
      <w:r>
        <w:rPr>
          <w:rFonts w:eastAsia="仿宋_GB2312"/>
          <w:color w:val="000000"/>
          <w:sz w:val="32"/>
          <w:szCs w:val="32"/>
        </w:rPr>
        <w:t>各级各部门的对台工作。起草我</w:t>
      </w:r>
      <w:r>
        <w:rPr>
          <w:rFonts w:hint="eastAsia" w:eastAsia="仿宋_GB2312"/>
          <w:color w:val="000000"/>
          <w:sz w:val="32"/>
          <w:szCs w:val="32"/>
        </w:rPr>
        <w:t>区</w:t>
      </w:r>
      <w:r>
        <w:rPr>
          <w:rFonts w:eastAsia="仿宋_GB2312"/>
          <w:color w:val="000000"/>
          <w:sz w:val="32"/>
          <w:szCs w:val="32"/>
        </w:rPr>
        <w:t>涉台事务方面的有关规定。会同有关部门统筹协调和指导全</w:t>
      </w:r>
      <w:r>
        <w:rPr>
          <w:rFonts w:hint="eastAsia" w:eastAsia="仿宋_GB2312"/>
          <w:color w:val="000000"/>
          <w:sz w:val="32"/>
          <w:szCs w:val="32"/>
        </w:rPr>
        <w:t>区</w:t>
      </w:r>
      <w:r>
        <w:rPr>
          <w:rFonts w:eastAsia="仿宋_GB2312"/>
          <w:color w:val="000000"/>
          <w:sz w:val="32"/>
          <w:szCs w:val="32"/>
        </w:rPr>
        <w:t>对台经贸、文化、科技等方面的交流与合作</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12. </w:t>
      </w:r>
      <w:r>
        <w:rPr>
          <w:rFonts w:eastAsia="仿宋_GB2312"/>
          <w:color w:val="000000"/>
          <w:sz w:val="32"/>
          <w:szCs w:val="32"/>
        </w:rPr>
        <w:t>统一管理侨务工作，贯彻落实党的侨务工作方针政策，</w:t>
      </w:r>
      <w:r>
        <w:rPr>
          <w:rFonts w:hint="eastAsia" w:eastAsia="仿宋_GB2312"/>
          <w:color w:val="000000"/>
          <w:sz w:val="32"/>
          <w:szCs w:val="32"/>
        </w:rPr>
        <w:t>拟</w:t>
      </w:r>
      <w:r>
        <w:rPr>
          <w:rFonts w:eastAsia="仿宋_GB2312"/>
          <w:color w:val="000000"/>
          <w:sz w:val="32"/>
          <w:szCs w:val="32"/>
        </w:rPr>
        <w:t>订全</w:t>
      </w:r>
      <w:r>
        <w:rPr>
          <w:rFonts w:hint="eastAsia" w:eastAsia="仿宋_GB2312"/>
          <w:color w:val="000000"/>
          <w:sz w:val="32"/>
          <w:szCs w:val="32"/>
        </w:rPr>
        <w:t>区</w:t>
      </w:r>
      <w:r>
        <w:rPr>
          <w:rFonts w:eastAsia="仿宋_GB2312"/>
          <w:color w:val="000000"/>
          <w:sz w:val="32"/>
          <w:szCs w:val="32"/>
        </w:rPr>
        <w:t>侨务工作规划并组织协调、督促检查落实，调查研究侨情和侨务工作情况，管理侨务行政事务，统筹协调有关部门和社会团体涉侨工作，联系海外有关侨团和代表人士，负责海外侨胞代表人士在相关统战团体的安排，指导推动涉侨宣传、文化交流、华文教育工作等，保护华侨和归侨侨眷在</w:t>
      </w:r>
      <w:r>
        <w:rPr>
          <w:rFonts w:hint="eastAsia" w:eastAsia="仿宋_GB2312"/>
          <w:color w:val="000000"/>
          <w:sz w:val="32"/>
          <w:szCs w:val="32"/>
        </w:rPr>
        <w:t>区</w:t>
      </w:r>
      <w:r>
        <w:rPr>
          <w:rFonts w:eastAsia="仿宋_GB2312"/>
          <w:color w:val="000000"/>
          <w:sz w:val="32"/>
          <w:szCs w:val="32"/>
        </w:rPr>
        <w:t>内的合法权利和利益。</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13. </w:t>
      </w:r>
      <w:r>
        <w:rPr>
          <w:rFonts w:eastAsia="仿宋_GB2312"/>
          <w:color w:val="000000"/>
          <w:sz w:val="32"/>
          <w:szCs w:val="32"/>
        </w:rPr>
        <w:t>受</w:t>
      </w:r>
      <w:r>
        <w:rPr>
          <w:rFonts w:hint="eastAsia" w:eastAsia="仿宋_GB2312"/>
          <w:color w:val="000000"/>
          <w:sz w:val="32"/>
          <w:szCs w:val="32"/>
        </w:rPr>
        <w:t>区委</w:t>
      </w:r>
      <w:r>
        <w:rPr>
          <w:rFonts w:eastAsia="仿宋_GB2312"/>
          <w:color w:val="000000"/>
          <w:sz w:val="32"/>
          <w:szCs w:val="32"/>
        </w:rPr>
        <w:t>委托，领导</w:t>
      </w:r>
      <w:r>
        <w:rPr>
          <w:rFonts w:hint="eastAsia" w:eastAsia="仿宋_GB2312"/>
          <w:color w:val="000000"/>
          <w:sz w:val="32"/>
          <w:szCs w:val="32"/>
        </w:rPr>
        <w:t>区</w:t>
      </w:r>
      <w:r>
        <w:rPr>
          <w:rFonts w:eastAsia="仿宋_GB2312"/>
          <w:color w:val="000000"/>
          <w:sz w:val="32"/>
          <w:szCs w:val="32"/>
        </w:rPr>
        <w:t>工商联党组，指导工商联工作。管理侨务、台湾事务工作。做好统一战线有关单位和团体及事业单位的管理工作。</w:t>
      </w:r>
    </w:p>
    <w:p>
      <w:pPr>
        <w:spacing w:line="560" w:lineRule="exact"/>
        <w:ind w:firstLine="640" w:firstLineChars="200"/>
        <w:rPr>
          <w:rFonts w:eastAsia="仿宋_GB2312"/>
          <w:color w:val="000000"/>
          <w:sz w:val="32"/>
          <w:szCs w:val="32"/>
        </w:rPr>
      </w:pPr>
      <w:r>
        <w:rPr>
          <w:rFonts w:hint="eastAsia" w:eastAsia="仿宋_GB2312"/>
          <w:color w:val="000000"/>
          <w:sz w:val="32"/>
          <w:szCs w:val="32"/>
        </w:rPr>
        <w:t xml:space="preserve">14. </w:t>
      </w:r>
      <w:r>
        <w:rPr>
          <w:rFonts w:eastAsia="仿宋_GB2312"/>
          <w:color w:val="000000"/>
          <w:sz w:val="32"/>
          <w:szCs w:val="32"/>
        </w:rPr>
        <w:t>完成</w:t>
      </w:r>
      <w:r>
        <w:rPr>
          <w:rFonts w:hint="eastAsia" w:eastAsia="仿宋_GB2312"/>
          <w:color w:val="000000"/>
          <w:sz w:val="32"/>
          <w:szCs w:val="32"/>
        </w:rPr>
        <w:t>区委</w:t>
      </w:r>
      <w:r>
        <w:rPr>
          <w:rFonts w:eastAsia="仿宋_GB2312"/>
          <w:color w:val="000000"/>
          <w:sz w:val="32"/>
          <w:szCs w:val="32"/>
        </w:rPr>
        <w:t>交办的其他任务。</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（二）2022年重点工作完成情况。</w:t>
      </w:r>
    </w:p>
    <w:p>
      <w:pPr>
        <w:spacing w:line="560" w:lineRule="exact"/>
        <w:ind w:firstLine="640" w:firstLineChars="200"/>
        <w:rPr>
          <w:rFonts w:ascii="方正仿宋_GBK" w:hAnsi="方正仿宋_GBK" w:eastAsia="方正仿宋_GBK" w:cs="方正仿宋_GBK"/>
          <w:bCs/>
          <w:sz w:val="32"/>
          <w:szCs w:val="32"/>
        </w:rPr>
      </w:pPr>
      <w:r>
        <w:rPr>
          <w:rFonts w:hint="eastAsia" w:hAnsi="方正仿宋简体" w:eastAsia="方正仿宋简体"/>
          <w:bCs/>
          <w:sz w:val="32"/>
          <w:szCs w:val="32"/>
        </w:rPr>
        <w:t>2022年，</w:t>
      </w:r>
      <w:r>
        <w:rPr>
          <w:rFonts w:hint="eastAsia" w:eastAsia="方正仿宋_GBK"/>
          <w:bCs/>
          <w:sz w:val="32"/>
          <w:szCs w:val="32"/>
        </w:rPr>
        <w:t>在区委的坚强领导下，区委统战部深入学习贯彻习近平总书记关于做好新时代党的统一战线工作的重要思想，紧扣学习宣传贯彻党的二十大和省市区委全会精神，围绕省委统战部“4321”工作法，凝聚人心力量，推动创新实践，服务发展大局，为清爽奋进幸福巴州建设凝聚了统战智慧和力量</w:t>
      </w:r>
      <w:r>
        <w:rPr>
          <w:rFonts w:hint="eastAsia" w:hAnsi="方正仿宋简体" w:eastAsia="方正仿宋简体"/>
          <w:bCs/>
          <w:sz w:val="32"/>
          <w:szCs w:val="32"/>
        </w:rPr>
        <w:t>。</w:t>
      </w:r>
      <w:r>
        <w:rPr>
          <w:rFonts w:eastAsia="方正仿宋简体"/>
          <w:bCs/>
          <w:sz w:val="32"/>
          <w:szCs w:val="32"/>
        </w:rPr>
        <w:t>2022年，</w:t>
      </w:r>
      <w:r>
        <w:rPr>
          <w:rFonts w:eastAsia="方正仿宋_GBK"/>
          <w:bCs/>
          <w:sz w:val="32"/>
          <w:szCs w:val="32"/>
        </w:rPr>
        <w:t>承办了全省城市民族工作现场会，</w:t>
      </w:r>
      <w:r>
        <w:rPr>
          <w:rFonts w:eastAsia="方正仿宋简体"/>
          <w:bCs/>
          <w:sz w:val="32"/>
          <w:szCs w:val="32"/>
        </w:rPr>
        <w:t>民主党派工作得到</w:t>
      </w:r>
      <w:r>
        <w:rPr>
          <w:rFonts w:eastAsia="方正仿宋_GBK"/>
          <w:bCs/>
          <w:sz w:val="32"/>
          <w:szCs w:val="32"/>
        </w:rPr>
        <w:t>省人大常委会副主任何延政的</w:t>
      </w:r>
      <w:r>
        <w:rPr>
          <w:rFonts w:hint="eastAsia" w:eastAsia="方正仿宋_GBK"/>
          <w:bCs/>
          <w:sz w:val="32"/>
          <w:szCs w:val="32"/>
        </w:rPr>
        <w:t>肯定性签批，年度目标绩效考评位列全市第一</w:t>
      </w:r>
      <w:r>
        <w:rPr>
          <w:rFonts w:eastAsia="方正仿宋_GBK"/>
          <w:bCs/>
          <w:sz w:val="32"/>
          <w:szCs w:val="32"/>
        </w:rPr>
        <w:t>。</w:t>
      </w:r>
    </w:p>
    <w:p>
      <w:pPr>
        <w:pStyle w:val="5"/>
        <w:spacing w:beforeLines="0" w:line="560" w:lineRule="exact"/>
        <w:ind w:firstLine="640" w:firstLineChars="200"/>
        <w:rPr>
          <w:rFonts w:ascii="仿宋" w:hAnsi="仿宋" w:eastAsia="仿宋" w:cs="仿宋"/>
          <w:bCs/>
          <w:sz w:val="32"/>
          <w:szCs w:val="32"/>
        </w:rPr>
      </w:pPr>
      <w:r>
        <w:rPr>
          <w:rFonts w:hint="eastAsia" w:ascii="楷体" w:hAnsi="楷体" w:eastAsia="楷体" w:cs="楷体"/>
          <w:bCs/>
          <w:sz w:val="32"/>
          <w:szCs w:val="32"/>
        </w:rPr>
        <w:t>一是聚识聚力筑牢同心基础。</w:t>
      </w:r>
      <w:r>
        <w:rPr>
          <w:rFonts w:hint="eastAsia" w:ascii="仿宋" w:hAnsi="仿宋" w:eastAsia="仿宋" w:cs="仿宋"/>
          <w:bCs/>
          <w:kern w:val="2"/>
          <w:sz w:val="32"/>
          <w:szCs w:val="32"/>
        </w:rPr>
        <w:t>聚焦学习贯彻党的二十大凝心聚力，组织统战系统召开专题学习会、座谈会16次，开展“不忘合作初心，继续携手前进”“唱支山歌给党听·喜迎党的二十大”少数民族联谊以及非凡十年主题教育活动8次，深入学习习近平总书记系列重要讲话精神，进一步凝聚共同团结奋斗力量，推动全区统一战线更好服务发展大局。</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二是善作善成服务中心大局。</w:t>
      </w:r>
      <w:r>
        <w:rPr>
          <w:rFonts w:hint="eastAsia" w:ascii="仿宋" w:hAnsi="仿宋" w:eastAsia="仿宋" w:cs="仿宋"/>
          <w:bCs/>
          <w:sz w:val="32"/>
          <w:szCs w:val="32"/>
        </w:rPr>
        <w:t>认真落实区委投资促进工作部署，大力开展统战招商。2022年依托商会、新联会平台，对接企业54家，邀请意向企业来巴考察6次，签约落地项目3个，总投资1.25亿元，到位3000万元，已全部建成投产。积极向上争取资金，到位民族项目资金120万元，用于民族产业发展、民族团结进步示范点建设等。创新实施回引工程，回引返乡创业300余人，投资近3亿元创办各类企业，2022年民营经济增加值预计达116亿元。务实推进“万企兴万村”行动，新增30家企业与村签约结对，对接28家义乌企业结对帮扶15个村。成功创建市级“万企兴万村”示范点1个，设立区级示范点2个。</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三是用心用情引导发挥作用。</w:t>
      </w:r>
      <w:r>
        <w:rPr>
          <w:rFonts w:hint="eastAsia" w:ascii="仿宋" w:hAnsi="仿宋" w:eastAsia="仿宋" w:cs="仿宋"/>
          <w:bCs/>
          <w:sz w:val="32"/>
          <w:szCs w:val="32"/>
        </w:rPr>
        <w:t>引导统战成员积极建言资政，开展政党协商4次、专题调研3次，收集意见建议56条，形成调研报告5篇，提交议（提）案220件。动员统战系统助力疫情防控，500余名民主党派成员、无党派人士、新阶人士闻令而动，在医疗救治、志愿服务等方面积极作为，奋战抗疫一线。组织统战力量服务乡村振兴，开展“三送”等社会服务活动40余次，全区民营企业、统战成员累计捐赠款物折币210万元。农工党巴州区总支在朱垭村建立具有学习培训、联谊交友、建言献策、社会服务等功能的农工党之家，探索形成“1234”工作法助力乡村振兴，得到省人大常委会副主任何延政的肯定性签批。</w:t>
      </w:r>
    </w:p>
    <w:p>
      <w:pPr>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四是融心融情促进民族团结。</w:t>
      </w:r>
      <w:r>
        <w:rPr>
          <w:rFonts w:hint="eastAsia" w:ascii="仿宋" w:hAnsi="仿宋" w:eastAsia="仿宋" w:cs="仿宋"/>
          <w:bCs/>
          <w:sz w:val="32"/>
          <w:szCs w:val="32"/>
        </w:rPr>
        <w:t>围绕少数民族群众就学、就业创业、维权等方面精准服务，帮助解决学生入学5人、群众就业8人，实施民族项目3个，惠及群众500余人，协助兑现藏族群众法院执行款10万元。在全市率先推进少数民族散杂居社区治理，在鼓楼社区打造同心广场，创新建立“红石榴服务站”，实行“三联系、四必访、五服务”工作机制，推行“三个三”工作法，承办了全省城市民族工作现场会，受到省委统战工作领导小组肯定。</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五是高质高量加强队伍建设。</w:t>
      </w:r>
      <w:r>
        <w:rPr>
          <w:rFonts w:hint="eastAsia" w:ascii="仿宋" w:hAnsi="仿宋" w:eastAsia="仿宋" w:cs="仿宋"/>
          <w:bCs/>
          <w:sz w:val="32"/>
          <w:szCs w:val="32"/>
        </w:rPr>
        <w:t>全覆盖调摸统战资源，建立党外代表人士“区域+领域+个人”3套台账共3000余人。联合组织部门、直工委举办统战、民宗干部专题培训3期260人次，推荐6名党外干部参加省、市培训，党外代表人士素质能力进一步提升。加强民主党派班子建设，配备民主党派主委1人、副主委2人，调整副主委1人。加大党外干部推荐力度，向区委推荐优秀党外干部11人，6人被提拔重用，党外干部队伍分布更均衡、层次更合理、衔接更有序。</w:t>
      </w:r>
    </w:p>
    <w:p>
      <w:pPr>
        <w:pStyle w:val="5"/>
        <w:spacing w:beforeLines="0" w:line="560" w:lineRule="exact"/>
        <w:ind w:firstLine="640" w:firstLineChars="200"/>
        <w:rPr>
          <w:rFonts w:ascii="仿宋" w:hAnsi="仿宋" w:eastAsia="仿宋" w:cs="仿宋"/>
          <w:bCs/>
          <w:sz w:val="32"/>
          <w:szCs w:val="32"/>
        </w:rPr>
      </w:pPr>
      <w:r>
        <w:rPr>
          <w:rFonts w:hint="eastAsia" w:ascii="楷体" w:hAnsi="楷体" w:eastAsia="楷体" w:cs="楷体"/>
          <w:bCs/>
          <w:sz w:val="32"/>
          <w:szCs w:val="32"/>
        </w:rPr>
        <w:t>六是依法依规整治突出问题。</w:t>
      </w:r>
      <w:r>
        <w:rPr>
          <w:rFonts w:hint="eastAsia" w:ascii="仿宋" w:hAnsi="仿宋" w:eastAsia="仿宋" w:cs="仿宋"/>
          <w:bCs/>
          <w:sz w:val="32"/>
          <w:szCs w:val="32"/>
        </w:rPr>
        <w:t>全力推进宗教领域殡葬治理，全面完成普佛寺、光福寺殡葬问题后续治理任务，共拆除格位2001个，搬迁骨灰盒3个，空盒8个。扎实推进红梅阁寺殡葬治理，坚定落实区委决策部署，牵头组建4个工作专班，先后16次召开专题会议研究推动，针对</w:t>
      </w:r>
      <w:r>
        <w:rPr>
          <w:rFonts w:hint="eastAsia" w:ascii="仿宋" w:hAnsi="仿宋" w:eastAsia="仿宋" w:cs="仿宋"/>
          <w:bCs/>
          <w:color w:val="000000"/>
          <w:kern w:val="2"/>
          <w:sz w:val="32"/>
          <w:szCs w:val="32"/>
        </w:rPr>
        <w:t>“关键人员”，</w:t>
      </w:r>
      <w:r>
        <w:rPr>
          <w:rFonts w:hint="eastAsia" w:ascii="仿宋" w:hAnsi="仿宋" w:eastAsia="仿宋" w:cs="仿宋"/>
          <w:bCs/>
          <w:sz w:val="32"/>
          <w:szCs w:val="32"/>
        </w:rPr>
        <w:t>落实“四包一”措施，着力做好问题化解和稳控工作。截至目前，已完成搬迁775个，其中灰盒78个，成功劝阻253人次到市赴省进京上访，宗教领域持续和谐稳定。</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七是尽心尽力化解民企诉求。</w:t>
      </w:r>
      <w:r>
        <w:rPr>
          <w:rFonts w:hint="eastAsia" w:ascii="仿宋" w:hAnsi="仿宋" w:eastAsia="仿宋" w:cs="仿宋"/>
          <w:bCs/>
          <w:sz w:val="32"/>
          <w:szCs w:val="32"/>
        </w:rPr>
        <w:t>结合市民诉求大起底，开展统战部长与民企面对面、“进百企解千难”活动，全年走访企业36家，协调办理企业诉求建议55条，召开政银企座谈会1次，推动6家企业实现“政担合作”贷款融资，向31家企业提供对口法律服务，审结涉企案件548件。有效化解市委统战部长与民营企业家“面对面”沟通协商反映诉求，茶叶产业发展投资奖补协议已全部完成签约，协调资金70余万元建设文旅康养企业反映的景区道路。</w:t>
      </w:r>
    </w:p>
    <w:p>
      <w:pPr>
        <w:overflowPunct w:val="0"/>
        <w:spacing w:line="560" w:lineRule="exact"/>
        <w:ind w:firstLine="640" w:firstLineChars="200"/>
      </w:pPr>
      <w:r>
        <w:rPr>
          <w:rFonts w:hint="eastAsia" w:ascii="楷体" w:hAnsi="楷体" w:eastAsia="楷体" w:cs="楷体"/>
          <w:bCs/>
          <w:kern w:val="0"/>
          <w:sz w:val="32"/>
          <w:szCs w:val="32"/>
        </w:rPr>
        <w:t>八是多维多样推进统战宣传。</w:t>
      </w:r>
      <w:r>
        <w:rPr>
          <w:rFonts w:hint="eastAsia" w:ascii="仿宋" w:hAnsi="仿宋" w:eastAsia="仿宋" w:cs="仿宋"/>
          <w:bCs/>
          <w:sz w:val="32"/>
          <w:szCs w:val="32"/>
        </w:rPr>
        <w:t>聚焦“喜迎二十大·携手新时代”主题，接力开展“统战宣传月”活动，坚持阵地、活动、网络“三位一体”，重点发挥线上宣传优势，全年开设统战微课堂20期，开展主题宣讲6场次，在“巴州发布”开展统战知识有奖问答，3万余名干群参与统战知识问答，组织参加全市统战知识竞赛，线上获全市第一，线下县区第二。切实抓统战信息宣传工作，全年在中央、省、市统战媒体采用367条536分，完成全年目标任务的268%。</w:t>
      </w:r>
    </w:p>
    <w:p>
      <w:pPr>
        <w:pStyle w:val="3"/>
        <w:spacing w:before="0" w:after="0" w:line="560" w:lineRule="exact"/>
        <w:ind w:firstLine="640" w:firstLineChars="200"/>
        <w:rPr>
          <w:rStyle w:val="30"/>
          <w:b w:val="0"/>
          <w:bCs w:val="0"/>
        </w:rPr>
      </w:pPr>
      <w:bookmarkStart w:id="18" w:name="_Toc150784332"/>
      <w:bookmarkStart w:id="19" w:name="_Toc15396601"/>
      <w:bookmarkStart w:id="20" w:name="_Toc15377200"/>
      <w:r>
        <w:rPr>
          <w:rFonts w:hint="eastAsia" w:ascii="黑体" w:eastAsia="黑体"/>
          <w:b w:val="0"/>
        </w:rPr>
        <w:t>二、</w:t>
      </w:r>
      <w:r>
        <w:rPr>
          <w:rFonts w:hint="eastAsia" w:ascii="黑体" w:hAnsi="黑体" w:eastAsia="黑体"/>
          <w:b w:val="0"/>
        </w:rPr>
        <w:t>机</w:t>
      </w:r>
      <w:r>
        <w:rPr>
          <w:rStyle w:val="30"/>
          <w:rFonts w:hint="eastAsia" w:ascii="黑体" w:hAnsi="黑体" w:eastAsia="黑体"/>
          <w:b w:val="0"/>
          <w:bCs w:val="0"/>
        </w:rPr>
        <w:t>构设置</w:t>
      </w:r>
      <w:bookmarkEnd w:id="18"/>
      <w:bookmarkEnd w:id="19"/>
      <w:bookmarkEnd w:id="20"/>
    </w:p>
    <w:p>
      <w:pPr>
        <w:spacing w:line="560" w:lineRule="exact"/>
        <w:ind w:firstLine="640" w:firstLineChars="200"/>
        <w:rPr>
          <w:rFonts w:ascii="仿宋" w:hAnsi="仿宋" w:eastAsia="仿宋"/>
          <w:sz w:val="32"/>
          <w:szCs w:val="32"/>
        </w:rPr>
      </w:pPr>
      <w:r>
        <w:rPr>
          <w:rFonts w:hint="eastAsia" w:ascii="仿宋" w:hAnsi="仿宋" w:eastAsia="仿宋"/>
          <w:sz w:val="32"/>
          <w:szCs w:val="32"/>
        </w:rPr>
        <w:t>区委统战部下属二级预算单位0个，其中行政单位0个，参照公务员法管理的事业单位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个，其他事业单位1个。</w:t>
      </w:r>
    </w:p>
    <w:p>
      <w:pPr>
        <w:pStyle w:val="2"/>
        <w:spacing w:before="0" w:line="560" w:lineRule="exact"/>
        <w:jc w:val="center"/>
        <w:rPr>
          <w:rFonts w:ascii="黑体" w:hAnsi="黑体" w:eastAsia="黑体"/>
          <w:b w:val="0"/>
        </w:rPr>
      </w:pPr>
      <w:bookmarkStart w:id="21" w:name="_Toc15396602"/>
      <w:bookmarkStart w:id="22" w:name="_Toc15377204"/>
    </w:p>
    <w:p>
      <w:pPr>
        <w:rPr>
          <w:rFonts w:ascii="黑体" w:hAnsi="黑体" w:eastAsia="黑体"/>
          <w:bCs/>
        </w:rPr>
      </w:pPr>
    </w:p>
    <w:p>
      <w:pPr>
        <w:pStyle w:val="5"/>
        <w:spacing w:before="93"/>
        <w:rPr>
          <w:rFonts w:ascii="黑体" w:hAnsi="黑体" w:eastAsia="黑体"/>
          <w:bCs/>
        </w:rPr>
      </w:pPr>
    </w:p>
    <w:p>
      <w:pPr>
        <w:pStyle w:val="5"/>
        <w:spacing w:before="93"/>
        <w:rPr>
          <w:rFonts w:ascii="黑体" w:hAnsi="黑体" w:eastAsia="黑体"/>
          <w:bCs/>
        </w:rPr>
      </w:pPr>
    </w:p>
    <w:p>
      <w:pPr>
        <w:pStyle w:val="5"/>
        <w:spacing w:before="93"/>
        <w:rPr>
          <w:rFonts w:ascii="黑体" w:hAnsi="黑体" w:eastAsia="黑体"/>
          <w:bCs/>
        </w:rPr>
      </w:pPr>
    </w:p>
    <w:p>
      <w:pPr>
        <w:pStyle w:val="5"/>
        <w:spacing w:before="93"/>
        <w:rPr>
          <w:rFonts w:ascii="黑体" w:hAnsi="黑体" w:eastAsia="黑体"/>
          <w:bCs/>
        </w:rPr>
      </w:pPr>
    </w:p>
    <w:p>
      <w:pPr>
        <w:pStyle w:val="5"/>
        <w:spacing w:before="93"/>
        <w:rPr>
          <w:rFonts w:ascii="黑体" w:hAnsi="黑体" w:eastAsia="黑体"/>
          <w:bCs/>
        </w:rPr>
      </w:pPr>
    </w:p>
    <w:p>
      <w:pPr>
        <w:pStyle w:val="5"/>
        <w:spacing w:before="93"/>
        <w:rPr>
          <w:rFonts w:ascii="黑体" w:hAnsi="黑体" w:eastAsia="黑体"/>
          <w:bCs/>
        </w:rPr>
      </w:pPr>
    </w:p>
    <w:p>
      <w:pPr>
        <w:pStyle w:val="5"/>
        <w:spacing w:before="93"/>
        <w:rPr>
          <w:rFonts w:ascii="黑体" w:hAnsi="黑体" w:eastAsia="黑体"/>
          <w:bCs/>
        </w:rPr>
      </w:pPr>
    </w:p>
    <w:p>
      <w:pPr>
        <w:pStyle w:val="2"/>
        <w:spacing w:before="0" w:line="560" w:lineRule="exact"/>
        <w:jc w:val="center"/>
        <w:rPr>
          <w:rStyle w:val="29"/>
          <w:rFonts w:ascii="黑体" w:hAnsi="黑体" w:eastAsia="黑体"/>
          <w:b w:val="0"/>
          <w:bCs/>
        </w:rPr>
      </w:pPr>
      <w:bookmarkStart w:id="23" w:name="_Toc150784333"/>
      <w:r>
        <w:rPr>
          <w:rFonts w:hint="eastAsia" w:ascii="黑体" w:hAnsi="黑体" w:eastAsia="黑体"/>
          <w:b w:val="0"/>
        </w:rPr>
        <w:t>第二部分 2022年度</w:t>
      </w:r>
      <w:r>
        <w:rPr>
          <w:rStyle w:val="29"/>
          <w:rFonts w:hint="eastAsia" w:ascii="黑体" w:hAnsi="黑体" w:eastAsia="黑体"/>
          <w:b w:val="0"/>
          <w:bCs/>
        </w:rPr>
        <w:t>部门决算情况说明</w:t>
      </w:r>
      <w:bookmarkEnd w:id="21"/>
      <w:bookmarkEnd w:id="22"/>
      <w:bookmarkEnd w:id="23"/>
    </w:p>
    <w:p/>
    <w:p>
      <w:pPr>
        <w:pStyle w:val="3"/>
      </w:pPr>
      <w:bookmarkStart w:id="24" w:name="_Toc15396603"/>
      <w:bookmarkStart w:id="25" w:name="_Toc150784334"/>
      <w:bookmarkStart w:id="26" w:name="_Toc15377205"/>
      <w:r>
        <w:rPr>
          <w:rFonts w:hint="eastAsia"/>
        </w:rPr>
        <w:t>一、收入支出决算总体情况说明</w:t>
      </w:r>
      <w:bookmarkEnd w:id="24"/>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2022年度收、支总计472.25万元。与2021年相比，收、支总计各增加82.51万元，增长21</w:t>
      </w:r>
      <w:r>
        <w:rPr>
          <w:rFonts w:ascii="仿宋" w:hAnsi="仿宋" w:eastAsia="仿宋"/>
          <w:sz w:val="32"/>
          <w:szCs w:val="32"/>
        </w:rPr>
        <w:t>%</w:t>
      </w:r>
      <w:r>
        <w:rPr>
          <w:rFonts w:hint="eastAsia" w:ascii="仿宋" w:hAnsi="仿宋" w:eastAsia="仿宋"/>
          <w:sz w:val="32"/>
          <w:szCs w:val="32"/>
        </w:rPr>
        <w:t>。主要变动原因是人员增加导致基本支出增加。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ind w:firstLine="640" w:firstLineChars="200"/>
      </w:pPr>
      <w:r>
        <w:rPr>
          <w:rFonts w:hint="eastAsia" w:ascii="仿宋" w:hAnsi="仿宋" w:eastAsia="仿宋"/>
          <w:sz w:val="32"/>
          <w:szCs w:val="32"/>
        </w:rPr>
        <w:t xml:space="preserve">                                      单位：万元</w:t>
      </w:r>
    </w:p>
    <w:p>
      <w:pPr>
        <w:pStyle w:val="5"/>
        <w:spacing w:before="93"/>
        <w:rPr>
          <w:rFonts w:ascii="仿宋" w:hAnsi="仿宋" w:eastAsia="仿宋"/>
          <w:sz w:val="32"/>
          <w:szCs w:val="32"/>
        </w:rPr>
      </w:pPr>
      <w:r>
        <w:rPr>
          <w:rFonts w:ascii="仿宋" w:hAnsi="仿宋" w:eastAsia="仿宋"/>
          <w:color w:val="FF0000"/>
          <w:sz w:val="32"/>
          <w:szCs w:val="32"/>
        </w:rPr>
        <w:drawing>
          <wp:anchor distT="0" distB="0" distL="0" distR="0" simplePos="0" relativeHeight="251661312" behindDoc="0" locked="0" layoutInCell="1" allowOverlap="1">
            <wp:simplePos x="0" y="0"/>
            <wp:positionH relativeFrom="column">
              <wp:posOffset>558800</wp:posOffset>
            </wp:positionH>
            <wp:positionV relativeFrom="paragraph">
              <wp:posOffset>180340</wp:posOffset>
            </wp:positionV>
            <wp:extent cx="4648200" cy="3175000"/>
            <wp:effectExtent l="4445" t="4445" r="10795" b="571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
      </w:pPr>
      <w:bookmarkStart w:id="27" w:name="_Toc15377206"/>
      <w:bookmarkStart w:id="28" w:name="_Toc15396604"/>
      <w:bookmarkStart w:id="29" w:name="_Toc150784335"/>
      <w:r>
        <w:rPr>
          <w:rFonts w:hint="eastAsia"/>
        </w:rPr>
        <w:t>二、收入决算情况说明</w:t>
      </w:r>
      <w:bookmarkEnd w:id="27"/>
      <w:bookmarkEnd w:id="28"/>
      <w:bookmarkEnd w:id="29"/>
    </w:p>
    <w:p>
      <w:pPr>
        <w:ind w:firstLine="640" w:firstLineChars="200"/>
        <w:rPr>
          <w:rFonts w:ascii="方正仿宋_GBK" w:eastAsia="方正仿宋_GBK"/>
          <w:sz w:val="32"/>
          <w:szCs w:val="32"/>
        </w:rPr>
      </w:pPr>
      <w:r>
        <w:rPr>
          <w:rFonts w:hint="eastAsia" w:ascii="方正仿宋_GBK" w:eastAsia="方正仿宋_GBK"/>
          <w:sz w:val="32"/>
          <w:szCs w:val="32"/>
        </w:rPr>
        <w:t>2022年本年收入合计472.25万元，其中：一般公共预算财政拨款收入472.25万元，占100%；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ind w:firstLine="640" w:firstLineChars="200"/>
      </w:pPr>
      <w:r>
        <w:rPr>
          <w:rFonts w:hint="eastAsia" w:ascii="仿宋" w:hAnsi="仿宋" w:eastAsia="仿宋"/>
          <w:sz w:val="32"/>
          <w:szCs w:val="32"/>
        </w:rPr>
        <w:drawing>
          <wp:anchor distT="0" distB="0" distL="0" distR="0" simplePos="0" relativeHeight="251662336" behindDoc="0" locked="0" layoutInCell="1" allowOverlap="1">
            <wp:simplePos x="0" y="0"/>
            <wp:positionH relativeFrom="column">
              <wp:posOffset>474980</wp:posOffset>
            </wp:positionH>
            <wp:positionV relativeFrom="paragraph">
              <wp:posOffset>511175</wp:posOffset>
            </wp:positionV>
            <wp:extent cx="4914900" cy="3279140"/>
            <wp:effectExtent l="19050" t="0" r="1905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sz w:val="32"/>
          <w:szCs w:val="32"/>
        </w:rPr>
        <w:t xml:space="preserve">                                      单位：万元</w:t>
      </w:r>
    </w:p>
    <w:p>
      <w:pPr>
        <w:pStyle w:val="5"/>
        <w:spacing w:before="93"/>
      </w:pPr>
    </w:p>
    <w:p>
      <w:pPr>
        <w:pStyle w:val="3"/>
      </w:pPr>
      <w:bookmarkStart w:id="30" w:name="_Toc15396605"/>
      <w:bookmarkStart w:id="31" w:name="_Toc15377207"/>
      <w:bookmarkStart w:id="32" w:name="_Toc150784336"/>
      <w:r>
        <w:rPr>
          <w:rFonts w:hint="eastAsia"/>
        </w:rPr>
        <w:t>三、支出决算情况说明</w:t>
      </w:r>
      <w:bookmarkEnd w:id="30"/>
      <w:bookmarkEnd w:id="31"/>
      <w:bookmarkEnd w:id="32"/>
    </w:p>
    <w:p>
      <w:pPr>
        <w:ind w:firstLine="640" w:firstLineChars="200"/>
        <w:rPr>
          <w:rFonts w:ascii="方正仿宋_GBK" w:eastAsia="方正仿宋_GBK"/>
          <w:sz w:val="32"/>
          <w:szCs w:val="32"/>
        </w:rPr>
      </w:pPr>
      <w:r>
        <w:rPr>
          <w:rFonts w:hint="eastAsia" w:ascii="方正仿宋_GBK" w:eastAsia="方正仿宋_GBK"/>
          <w:sz w:val="32"/>
          <w:szCs w:val="32"/>
        </w:rPr>
        <w:t>2022年本年支出合计472.25万元，其中：基本支出250.25万元，占53%；项目支出222万元，占47%；上缴上级支出0万元，占0%；经营支出0万元，占0%；对附属单位补助支出0万元，占0%。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ind w:firstLine="640" w:firstLineChars="200"/>
        <w:rPr>
          <w:rFonts w:ascii="仿宋" w:hAnsi="仿宋" w:eastAsia="仿宋"/>
          <w:sz w:val="32"/>
          <w:szCs w:val="32"/>
        </w:rPr>
      </w:pPr>
      <w:r>
        <w:rPr>
          <w:rFonts w:hint="eastAsia" w:ascii="仿宋" w:hAnsi="仿宋" w:eastAsia="仿宋"/>
          <w:sz w:val="32"/>
          <w:szCs w:val="32"/>
        </w:rPr>
        <w:drawing>
          <wp:anchor distT="0" distB="0" distL="0" distR="0" simplePos="0" relativeHeight="251660288" behindDoc="0" locked="0" layoutInCell="1" allowOverlap="1">
            <wp:simplePos x="0" y="0"/>
            <wp:positionH relativeFrom="column">
              <wp:posOffset>545465</wp:posOffset>
            </wp:positionH>
            <wp:positionV relativeFrom="paragraph">
              <wp:posOffset>453390</wp:posOffset>
            </wp:positionV>
            <wp:extent cx="4647565" cy="1860550"/>
            <wp:effectExtent l="19050" t="0" r="19685" b="635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sz w:val="32"/>
          <w:szCs w:val="32"/>
        </w:rPr>
        <w:t xml:space="preserve">                                      单位：万元</w:t>
      </w:r>
    </w:p>
    <w:p>
      <w:pPr>
        <w:pStyle w:val="3"/>
      </w:pPr>
      <w:bookmarkStart w:id="33" w:name="_Toc15377208"/>
      <w:bookmarkStart w:id="34" w:name="_Toc150784337"/>
      <w:bookmarkStart w:id="35" w:name="_Toc15396606"/>
      <w:r>
        <w:rPr>
          <w:rFonts w:hint="eastAsia"/>
        </w:rPr>
        <w:t>四、财政拨款收入支出决算总体情况说明</w:t>
      </w:r>
      <w:bookmarkEnd w:id="33"/>
      <w:bookmarkEnd w:id="34"/>
      <w:bookmarkEnd w:id="3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22年财政拨款收、支总计472.25万元。与</w:t>
      </w:r>
      <w:r>
        <w:rPr>
          <w:rFonts w:ascii="仿宋" w:hAnsi="仿宋" w:eastAsia="仿宋"/>
          <w:sz w:val="32"/>
          <w:szCs w:val="32"/>
        </w:rPr>
        <w:t>20</w:t>
      </w:r>
      <w:r>
        <w:rPr>
          <w:rFonts w:hint="eastAsia" w:ascii="仿宋" w:hAnsi="仿宋" w:eastAsia="仿宋"/>
          <w:sz w:val="32"/>
          <w:szCs w:val="32"/>
        </w:rPr>
        <w:t>21年相比，财政拨款收、支总计各增加82.51万元，增长21</w:t>
      </w:r>
      <w:r>
        <w:rPr>
          <w:rFonts w:ascii="仿宋" w:hAnsi="仿宋" w:eastAsia="仿宋"/>
          <w:sz w:val="32"/>
          <w:szCs w:val="32"/>
        </w:rPr>
        <w:t>%</w:t>
      </w:r>
      <w:r>
        <w:rPr>
          <w:rFonts w:hint="eastAsia" w:ascii="仿宋" w:hAnsi="仿宋" w:eastAsia="仿宋"/>
          <w:sz w:val="32"/>
          <w:szCs w:val="32"/>
        </w:rPr>
        <w:t>。主</w:t>
      </w:r>
    </w:p>
    <w:p>
      <w:pPr>
        <w:spacing w:line="600" w:lineRule="exact"/>
        <w:rPr>
          <w:rFonts w:ascii="仿宋" w:hAnsi="仿宋" w:eastAsia="仿宋"/>
          <w:sz w:val="32"/>
          <w:szCs w:val="32"/>
        </w:rPr>
      </w:pPr>
      <w:r>
        <w:rPr>
          <w:rFonts w:hint="eastAsia" w:ascii="仿宋" w:hAnsi="仿宋" w:eastAsia="仿宋"/>
          <w:sz w:val="32"/>
          <w:szCs w:val="32"/>
        </w:rPr>
        <w:t>要变动原因是人员增加导致基本支出增加，项目资金增加。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ind w:firstLine="6400" w:firstLineChars="2000"/>
        <w:rPr>
          <w:rFonts w:ascii="仿宋" w:hAnsi="仿宋" w:eastAsia="仿宋"/>
          <w:sz w:val="32"/>
          <w:szCs w:val="32"/>
        </w:rPr>
      </w:pPr>
      <w:r>
        <w:rPr>
          <w:rFonts w:hint="eastAsia" w:ascii="仿宋" w:hAnsi="仿宋" w:eastAsia="仿宋"/>
          <w:sz w:val="32"/>
          <w:szCs w:val="32"/>
        </w:rPr>
        <w:drawing>
          <wp:anchor distT="0" distB="0" distL="0" distR="0" simplePos="0" relativeHeight="251664384" behindDoc="0" locked="0" layoutInCell="1" allowOverlap="1">
            <wp:simplePos x="0" y="0"/>
            <wp:positionH relativeFrom="column">
              <wp:posOffset>633095</wp:posOffset>
            </wp:positionH>
            <wp:positionV relativeFrom="page">
              <wp:posOffset>6456045</wp:posOffset>
            </wp:positionV>
            <wp:extent cx="3948430" cy="2360930"/>
            <wp:effectExtent l="19050" t="0" r="13970" b="1270"/>
            <wp:wrapTopAndBottom/>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单位：万元</w:t>
      </w:r>
    </w:p>
    <w:p>
      <w:pPr>
        <w:ind w:firstLine="6400" w:firstLineChars="2000"/>
        <w:rPr>
          <w:rFonts w:ascii="仿宋" w:hAnsi="仿宋" w:eastAsia="仿宋"/>
          <w:sz w:val="32"/>
          <w:szCs w:val="32"/>
        </w:rPr>
      </w:pPr>
    </w:p>
    <w:p>
      <w:pPr>
        <w:pStyle w:val="3"/>
      </w:pPr>
      <w:bookmarkStart w:id="36" w:name="_Toc150784338"/>
      <w:bookmarkStart w:id="37" w:name="_Toc15396607"/>
      <w:bookmarkStart w:id="38" w:name="_Toc15377209"/>
      <w:r>
        <w:rPr>
          <w:rFonts w:hint="eastAsia"/>
        </w:rPr>
        <w:t>五、一般公共预算财政拨款支出决算情况说明</w:t>
      </w:r>
      <w:bookmarkEnd w:id="36"/>
      <w:bookmarkEnd w:id="37"/>
      <w:bookmarkEnd w:id="38"/>
    </w:p>
    <w:p>
      <w:pPr>
        <w:ind w:firstLine="640" w:firstLineChars="200"/>
        <w:rPr>
          <w:rFonts w:ascii="方正仿宋_GBK" w:eastAsia="方正仿宋_GBK"/>
          <w:sz w:val="32"/>
          <w:szCs w:val="32"/>
        </w:rPr>
      </w:pPr>
      <w:bookmarkStart w:id="39" w:name="_Toc15377210"/>
      <w:r>
        <w:rPr>
          <w:rFonts w:hint="eastAsia" w:ascii="方正仿宋_GBK" w:eastAsia="方正仿宋_GBK"/>
          <w:sz w:val="32"/>
          <w:szCs w:val="32"/>
        </w:rPr>
        <w:t>（一）一般公共预算财政拨款支出决算总体情况</w:t>
      </w:r>
      <w:bookmarkEnd w:id="39"/>
    </w:p>
    <w:p>
      <w:pPr>
        <w:ind w:firstLine="640" w:firstLineChars="200"/>
        <w:rPr>
          <w:rFonts w:ascii="方正仿宋_GBK" w:hAnsi="仿宋" w:eastAsia="方正仿宋_GBK"/>
          <w:sz w:val="32"/>
          <w:szCs w:val="32"/>
        </w:rPr>
      </w:pPr>
      <w:r>
        <w:rPr>
          <w:rFonts w:hint="eastAsia" w:ascii="方正仿宋_GBK" w:hAnsi="仿宋" w:eastAsia="方正仿宋_GBK"/>
          <w:sz w:val="32"/>
          <w:szCs w:val="32"/>
        </w:rPr>
        <w:t>2022年一般公共预算财政拨款支出472.25万元，占本年支出合计的100%。与2021年相比，一般公共预算财政拨款支出增加82.51万元，增长21%。主要变动原因是人员增加导致资金增加，项目资金增加。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ind w:firstLine="640" w:firstLineChars="200"/>
        <w:rPr>
          <w:rFonts w:ascii="仿宋" w:hAnsi="仿宋" w:eastAsia="仿宋"/>
          <w:sz w:val="32"/>
          <w:szCs w:val="32"/>
        </w:rPr>
      </w:pPr>
      <w:r>
        <w:rPr>
          <w:rFonts w:hint="eastAsia" w:ascii="仿宋" w:hAnsi="仿宋" w:eastAsia="仿宋"/>
          <w:sz w:val="32"/>
          <w:szCs w:val="32"/>
        </w:rPr>
        <w:drawing>
          <wp:anchor distT="0" distB="0" distL="0" distR="0" simplePos="0" relativeHeight="251659264" behindDoc="0" locked="0" layoutInCell="1" allowOverlap="1">
            <wp:simplePos x="0" y="0"/>
            <wp:positionH relativeFrom="column">
              <wp:posOffset>481965</wp:posOffset>
            </wp:positionH>
            <wp:positionV relativeFrom="page">
              <wp:posOffset>4841875</wp:posOffset>
            </wp:positionV>
            <wp:extent cx="4239895" cy="2838450"/>
            <wp:effectExtent l="19050" t="0" r="2730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sz w:val="32"/>
          <w:szCs w:val="32"/>
        </w:rPr>
        <w:t xml:space="preserve">                                      单位：万元</w:t>
      </w:r>
    </w:p>
    <w:p>
      <w:pPr>
        <w:ind w:firstLine="640" w:firstLineChars="200"/>
        <w:rPr>
          <w:rFonts w:hint="eastAsia" w:ascii="仿宋" w:hAnsi="仿宋" w:eastAsia="仿宋"/>
          <w:sz w:val="32"/>
          <w:szCs w:val="32"/>
        </w:rPr>
      </w:pPr>
    </w:p>
    <w:p>
      <w:pPr>
        <w:ind w:firstLine="640" w:firstLineChars="200"/>
        <w:rPr>
          <w:rFonts w:ascii="方正仿宋_GBK" w:eastAsia="方正仿宋_GBK"/>
          <w:sz w:val="32"/>
          <w:szCs w:val="32"/>
        </w:rPr>
      </w:pPr>
      <w:bookmarkStart w:id="40" w:name="_Toc15377211"/>
      <w:r>
        <w:rPr>
          <w:rFonts w:hint="eastAsia" w:ascii="方正仿宋_GBK" w:eastAsia="方正仿宋_GBK"/>
          <w:sz w:val="32"/>
          <w:szCs w:val="32"/>
        </w:rPr>
        <w:t>（二）一般公共预算财政拨款支出决算结构情况</w:t>
      </w:r>
      <w:bookmarkEnd w:id="40"/>
    </w:p>
    <w:p>
      <w:pPr>
        <w:ind w:firstLine="640" w:firstLineChars="200"/>
        <w:rPr>
          <w:rFonts w:ascii="方正仿宋_GBK" w:eastAsia="方正仿宋_GBK"/>
          <w:sz w:val="32"/>
          <w:szCs w:val="32"/>
        </w:rPr>
      </w:pPr>
      <w:r>
        <w:rPr>
          <w:rFonts w:hint="eastAsia" w:ascii="方正仿宋_GBK" w:eastAsia="方正仿宋_GBK"/>
          <w:sz w:val="32"/>
          <w:szCs w:val="32"/>
        </w:rPr>
        <w:t>2022年一般公共预算财政拨款支出472.25万元，主要用于以下方面:一般公共服务</w:t>
      </w:r>
      <w:r>
        <w:rPr>
          <w:rFonts w:hint="eastAsia" w:ascii="方正仿宋_GBK" w:eastAsia="方正仿宋_GBK"/>
          <w:bCs/>
          <w:sz w:val="32"/>
          <w:szCs w:val="32"/>
        </w:rPr>
        <w:t>支出</w:t>
      </w:r>
      <w:r>
        <w:rPr>
          <w:rFonts w:hint="eastAsia" w:ascii="方正仿宋_GBK" w:eastAsia="方正仿宋_GBK"/>
          <w:sz w:val="32"/>
          <w:szCs w:val="32"/>
        </w:rPr>
        <w:t>327.2万元，占69%；社会保障和就业</w:t>
      </w:r>
      <w:r>
        <w:rPr>
          <w:rFonts w:hint="eastAsia" w:ascii="方正仿宋_GBK" w:eastAsia="方正仿宋_GBK"/>
          <w:bCs/>
          <w:sz w:val="32"/>
          <w:szCs w:val="32"/>
        </w:rPr>
        <w:t>支出</w:t>
      </w:r>
      <w:r>
        <w:rPr>
          <w:rFonts w:hint="eastAsia" w:ascii="方正仿宋_GBK" w:eastAsia="方正仿宋_GBK"/>
          <w:sz w:val="32"/>
          <w:szCs w:val="32"/>
        </w:rPr>
        <w:t>15.39万元，占3%；</w:t>
      </w:r>
      <w:r>
        <w:rPr>
          <w:rFonts w:hint="eastAsia" w:ascii="方正仿宋_GBK" w:eastAsia="方正仿宋_GBK"/>
          <w:bCs/>
          <w:sz w:val="32"/>
          <w:szCs w:val="32"/>
        </w:rPr>
        <w:t>卫生健康支出</w:t>
      </w:r>
      <w:r>
        <w:rPr>
          <w:rFonts w:hint="eastAsia" w:ascii="方正仿宋_GBK" w:eastAsia="方正仿宋_GBK"/>
          <w:sz w:val="32"/>
          <w:szCs w:val="32"/>
        </w:rPr>
        <w:t>11.22万元，占2%；巩固脱贫衔接乡村振兴支出100万元，占22%；</w:t>
      </w:r>
      <w:r>
        <w:rPr>
          <w:rFonts w:hint="eastAsia" w:ascii="方正仿宋_GBK" w:eastAsia="方正仿宋_GBK"/>
          <w:bCs/>
          <w:sz w:val="32"/>
          <w:szCs w:val="32"/>
        </w:rPr>
        <w:t>住房保障支出</w:t>
      </w:r>
      <w:r>
        <w:rPr>
          <w:rFonts w:hint="eastAsia" w:ascii="方正仿宋_GBK" w:eastAsia="方正仿宋_GBK"/>
          <w:sz w:val="32"/>
          <w:szCs w:val="32"/>
        </w:rPr>
        <w:t>18.45万元，占4%。</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5"/>
        <w:spacing w:before="93"/>
        <w:rPr>
          <w:rFonts w:ascii="仿宋" w:hAnsi="仿宋" w:eastAsia="仿宋"/>
          <w:sz w:val="32"/>
          <w:szCs w:val="32"/>
        </w:rPr>
      </w:pPr>
      <w:r>
        <w:rPr>
          <w:rFonts w:hint="eastAsia"/>
          <w:color w:val="FF0000"/>
          <w:sz w:val="32"/>
          <w:szCs w:val="32"/>
        </w:rPr>
        <w:drawing>
          <wp:anchor distT="0" distB="0" distL="0" distR="0" simplePos="0" relativeHeight="251663360" behindDoc="0" locked="0" layoutInCell="1" allowOverlap="1">
            <wp:simplePos x="0" y="0"/>
            <wp:positionH relativeFrom="column">
              <wp:posOffset>501015</wp:posOffset>
            </wp:positionH>
            <wp:positionV relativeFrom="paragraph">
              <wp:posOffset>628015</wp:posOffset>
            </wp:positionV>
            <wp:extent cx="4657725" cy="2901950"/>
            <wp:effectExtent l="4445" t="5080" r="16510" b="1905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 xml:space="preserve">                                      单位：万元</w:t>
      </w:r>
    </w:p>
    <w:p>
      <w:pPr>
        <w:rPr>
          <w:rFonts w:ascii="仿宋" w:hAnsi="仿宋" w:eastAsia="仿宋"/>
          <w:sz w:val="32"/>
          <w:szCs w:val="32"/>
        </w:rPr>
      </w:pPr>
      <w:bookmarkStart w:id="41" w:name="_Toc15377212"/>
      <w:r>
        <w:rPr>
          <w:rFonts w:hint="eastAsia"/>
          <w:color w:val="FF0000"/>
        </w:rPr>
        <w:t>　　</w:t>
      </w:r>
      <w:r>
        <w:rPr>
          <w:rFonts w:hint="eastAsia" w:ascii="仿宋" w:hAnsi="仿宋" w:eastAsia="仿宋"/>
          <w:sz w:val="32"/>
          <w:szCs w:val="32"/>
        </w:rPr>
        <w:t>（三）一般公共预算财政拨款支出决算具体情况</w:t>
      </w:r>
      <w:bookmarkEnd w:id="41"/>
    </w:p>
    <w:p>
      <w:pPr>
        <w:ind w:firstLine="640" w:firstLineChars="200"/>
        <w:rPr>
          <w:rFonts w:ascii="仿宋" w:hAnsi="仿宋" w:eastAsia="仿宋"/>
          <w:sz w:val="32"/>
          <w:szCs w:val="32"/>
        </w:rPr>
      </w:pPr>
      <w:bookmarkStart w:id="42" w:name="_Toc15377213"/>
      <w:bookmarkStart w:id="43" w:name="_Toc15378460"/>
      <w:bookmarkStart w:id="44" w:name="_Toc15377444"/>
      <w:r>
        <w:rPr>
          <w:rFonts w:hint="eastAsia" w:ascii="仿宋" w:hAnsi="仿宋" w:eastAsia="仿宋"/>
          <w:sz w:val="32"/>
          <w:szCs w:val="32"/>
        </w:rPr>
        <w:t>2022年一般公共预算支出决算数为472.25万元，</w:t>
      </w:r>
      <w:r>
        <w:rPr>
          <w:rStyle w:val="18"/>
          <w:rFonts w:hint="eastAsia" w:ascii="仿宋" w:hAnsi="仿宋" w:eastAsia="仿宋"/>
          <w:bCs/>
          <w:sz w:val="32"/>
          <w:szCs w:val="32"/>
        </w:rPr>
        <w:t>完成预算100</w:t>
      </w:r>
      <w:r>
        <w:rPr>
          <w:rStyle w:val="18"/>
          <w:rFonts w:ascii="仿宋" w:hAnsi="仿宋" w:eastAsia="仿宋"/>
          <w:bCs/>
          <w:sz w:val="32"/>
          <w:szCs w:val="32"/>
        </w:rPr>
        <w:t>%</w:t>
      </w:r>
      <w:r>
        <w:rPr>
          <w:rStyle w:val="18"/>
          <w:rFonts w:hint="eastAsia" w:ascii="仿宋" w:hAnsi="仿宋" w:eastAsia="仿宋"/>
          <w:bCs/>
          <w:sz w:val="32"/>
          <w:szCs w:val="32"/>
        </w:rPr>
        <w:t>。其中：</w:t>
      </w:r>
      <w:bookmarkEnd w:id="42"/>
      <w:bookmarkEnd w:id="43"/>
      <w:bookmarkEnd w:id="44"/>
    </w:p>
    <w:p>
      <w:pPr>
        <w:spacing w:line="600" w:lineRule="exact"/>
        <w:rPr>
          <w:rFonts w:eastAsia="仿宋_GB2312"/>
        </w:rPr>
      </w:pPr>
      <w:r>
        <w:rPr>
          <w:rStyle w:val="18"/>
          <w:rFonts w:hint="eastAsia" w:ascii="仿宋" w:hAnsi="仿宋" w:eastAsia="仿宋"/>
          <w:bCs/>
          <w:sz w:val="32"/>
          <w:szCs w:val="32"/>
        </w:rPr>
        <w:t>　　</w:t>
      </w:r>
      <w:r>
        <w:rPr>
          <w:rStyle w:val="18"/>
          <w:rFonts w:ascii="仿宋" w:hAnsi="仿宋" w:eastAsia="仿宋"/>
          <w:bCs/>
          <w:sz w:val="32"/>
          <w:szCs w:val="32"/>
        </w:rPr>
        <w:t>1.</w:t>
      </w:r>
      <w:r>
        <w:rPr>
          <w:rStyle w:val="18"/>
          <w:rFonts w:hint="eastAsia" w:ascii="仿宋" w:hAnsi="仿宋" w:eastAsia="仿宋"/>
          <w:bCs/>
          <w:sz w:val="32"/>
          <w:szCs w:val="32"/>
        </w:rPr>
        <w:t>一般公共服务（类）商贸事务（款）行政运行（项）</w:t>
      </w:r>
      <w:r>
        <w:rPr>
          <w:rStyle w:val="18"/>
          <w:rFonts w:ascii="仿宋" w:hAnsi="仿宋" w:eastAsia="仿宋"/>
          <w:bCs/>
          <w:sz w:val="32"/>
          <w:szCs w:val="32"/>
        </w:rPr>
        <w:t>:</w:t>
      </w:r>
      <w:r>
        <w:rPr>
          <w:rStyle w:val="18"/>
          <w:rFonts w:hint="eastAsia" w:ascii="仿宋" w:hAnsi="仿宋" w:eastAsia="仿宋"/>
          <w:b w:val="0"/>
          <w:bCs/>
          <w:sz w:val="32"/>
          <w:szCs w:val="32"/>
        </w:rPr>
        <w:t>支出决算为7.31万元，完成预算100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ascii="仿宋" w:hAnsi="仿宋" w:eastAsia="仿宋"/>
          <w:b w:val="0"/>
          <w:bCs/>
          <w:sz w:val="32"/>
          <w:szCs w:val="32"/>
        </w:rPr>
      </w:pPr>
      <w:r>
        <w:rPr>
          <w:rStyle w:val="18"/>
          <w:rFonts w:ascii="仿宋" w:hAnsi="仿宋" w:eastAsia="仿宋"/>
          <w:bCs/>
          <w:sz w:val="32"/>
          <w:szCs w:val="32"/>
        </w:rPr>
        <w:t>2.</w:t>
      </w:r>
      <w:r>
        <w:rPr>
          <w:rStyle w:val="18"/>
          <w:rFonts w:hint="eastAsia" w:ascii="仿宋" w:hAnsi="仿宋" w:eastAsia="仿宋"/>
          <w:bCs/>
          <w:sz w:val="32"/>
          <w:szCs w:val="32"/>
        </w:rPr>
        <w:t>一般公共服务（类）群众团体事务（款）一般行政管理事务（项）</w:t>
      </w:r>
      <w:r>
        <w:rPr>
          <w:rStyle w:val="18"/>
          <w:rFonts w:ascii="仿宋" w:hAnsi="仿宋" w:eastAsia="仿宋"/>
          <w:bCs/>
          <w:sz w:val="32"/>
          <w:szCs w:val="32"/>
        </w:rPr>
        <w:t>:</w:t>
      </w:r>
      <w:r>
        <w:rPr>
          <w:rStyle w:val="18"/>
          <w:rFonts w:hint="eastAsia" w:ascii="仿宋" w:hAnsi="仿宋" w:eastAsia="仿宋"/>
          <w:b w:val="0"/>
          <w:bCs/>
          <w:sz w:val="32"/>
          <w:szCs w:val="32"/>
        </w:rPr>
        <w:t>支出决算为15万元，完成预算100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rPr>
        <w:t>3</w:t>
      </w:r>
      <w:r>
        <w:rPr>
          <w:rStyle w:val="18"/>
          <w:rFonts w:ascii="仿宋" w:hAnsi="仿宋" w:eastAsia="仿宋"/>
          <w:bCs/>
          <w:sz w:val="32"/>
          <w:szCs w:val="32"/>
        </w:rPr>
        <w:t>.</w:t>
      </w:r>
      <w:r>
        <w:rPr>
          <w:rStyle w:val="18"/>
          <w:rFonts w:hint="eastAsia" w:ascii="仿宋" w:hAnsi="仿宋" w:eastAsia="仿宋"/>
          <w:bCs/>
          <w:sz w:val="32"/>
          <w:szCs w:val="32"/>
        </w:rPr>
        <w:t>一般公共服务（类）统战事务（款）行政运行（项）</w:t>
      </w:r>
      <w:r>
        <w:rPr>
          <w:rStyle w:val="18"/>
          <w:rFonts w:ascii="仿宋" w:hAnsi="仿宋" w:eastAsia="仿宋"/>
          <w:bCs/>
          <w:sz w:val="32"/>
          <w:szCs w:val="32"/>
        </w:rPr>
        <w:t>:</w:t>
      </w:r>
      <w:r>
        <w:rPr>
          <w:rStyle w:val="18"/>
          <w:rFonts w:hint="eastAsia" w:ascii="仿宋" w:hAnsi="仿宋" w:eastAsia="仿宋"/>
          <w:b w:val="0"/>
          <w:bCs/>
          <w:sz w:val="32"/>
          <w:szCs w:val="32"/>
        </w:rPr>
        <w:t>支出决算为197.89万元，完成预算100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rPr>
        <w:t>4</w:t>
      </w:r>
      <w:r>
        <w:rPr>
          <w:rStyle w:val="18"/>
          <w:rFonts w:ascii="仿宋" w:hAnsi="仿宋" w:eastAsia="仿宋"/>
          <w:bCs/>
          <w:sz w:val="32"/>
          <w:szCs w:val="32"/>
        </w:rPr>
        <w:t>.</w:t>
      </w:r>
      <w:r>
        <w:rPr>
          <w:rStyle w:val="18"/>
          <w:rFonts w:hint="eastAsia" w:ascii="仿宋" w:hAnsi="仿宋" w:eastAsia="仿宋"/>
          <w:bCs/>
          <w:sz w:val="32"/>
          <w:szCs w:val="32"/>
        </w:rPr>
        <w:t>一般公共服务（类）统战事务（款）一般行政管理事务（项）</w:t>
      </w:r>
      <w:r>
        <w:rPr>
          <w:rStyle w:val="18"/>
          <w:rFonts w:ascii="仿宋" w:hAnsi="仿宋" w:eastAsia="仿宋"/>
          <w:bCs/>
          <w:sz w:val="32"/>
          <w:szCs w:val="32"/>
        </w:rPr>
        <w:t>:</w:t>
      </w:r>
      <w:r>
        <w:rPr>
          <w:rStyle w:val="18"/>
          <w:rFonts w:hint="eastAsia" w:ascii="仿宋" w:hAnsi="仿宋" w:eastAsia="仿宋"/>
          <w:b w:val="0"/>
          <w:bCs/>
          <w:sz w:val="32"/>
          <w:szCs w:val="32"/>
        </w:rPr>
        <w:t>支出决算为48万元，完成预算100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rPr>
        <w:t>5</w:t>
      </w:r>
      <w:r>
        <w:rPr>
          <w:rStyle w:val="18"/>
          <w:rFonts w:ascii="仿宋" w:hAnsi="仿宋" w:eastAsia="仿宋"/>
          <w:bCs/>
          <w:sz w:val="32"/>
          <w:szCs w:val="32"/>
        </w:rPr>
        <w:t>.</w:t>
      </w:r>
      <w:r>
        <w:rPr>
          <w:rStyle w:val="18"/>
          <w:rFonts w:hint="eastAsia" w:ascii="仿宋" w:hAnsi="仿宋" w:eastAsia="仿宋"/>
          <w:bCs/>
          <w:sz w:val="32"/>
          <w:szCs w:val="32"/>
        </w:rPr>
        <w:t>一般公共服务（类）统战事务（款）宗教事务（项）</w:t>
      </w:r>
      <w:r>
        <w:rPr>
          <w:rStyle w:val="18"/>
          <w:rFonts w:ascii="仿宋" w:hAnsi="仿宋" w:eastAsia="仿宋"/>
          <w:bCs/>
          <w:sz w:val="32"/>
          <w:szCs w:val="32"/>
        </w:rPr>
        <w:t>:</w:t>
      </w:r>
      <w:r>
        <w:rPr>
          <w:rStyle w:val="18"/>
          <w:rFonts w:hint="eastAsia" w:ascii="仿宋" w:hAnsi="仿宋" w:eastAsia="仿宋"/>
          <w:b w:val="0"/>
          <w:bCs/>
          <w:sz w:val="32"/>
          <w:szCs w:val="32"/>
        </w:rPr>
        <w:t>支出决算为59万元，完成预算100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8"/>
          <w:rFonts w:hint="eastAsia" w:ascii="仿宋" w:hAnsi="仿宋" w:eastAsia="仿宋"/>
          <w:bCs/>
          <w:sz w:val="32"/>
          <w:szCs w:val="32"/>
        </w:rPr>
        <w:t>6</w:t>
      </w:r>
      <w:r>
        <w:rPr>
          <w:rStyle w:val="18"/>
          <w:rFonts w:ascii="仿宋" w:hAnsi="仿宋" w:eastAsia="仿宋"/>
          <w:bCs/>
          <w:sz w:val="32"/>
          <w:szCs w:val="32"/>
        </w:rPr>
        <w:t>.</w:t>
      </w:r>
      <w:r>
        <w:rPr>
          <w:rStyle w:val="18"/>
          <w:rFonts w:hint="eastAsia" w:ascii="仿宋" w:hAnsi="仿宋" w:eastAsia="仿宋"/>
          <w:bCs/>
          <w:sz w:val="32"/>
          <w:szCs w:val="32"/>
        </w:rPr>
        <w:t>社会保障和就业（类）行政事业单位养老支出（款）机关事业单位基本养老保险缴费支出（项）</w:t>
      </w:r>
      <w:r>
        <w:rPr>
          <w:rStyle w:val="18"/>
          <w:rFonts w:ascii="仿宋" w:hAnsi="仿宋" w:eastAsia="仿宋"/>
          <w:bCs/>
          <w:sz w:val="32"/>
          <w:szCs w:val="32"/>
        </w:rPr>
        <w:t>:</w:t>
      </w:r>
      <w:r>
        <w:rPr>
          <w:rStyle w:val="18"/>
          <w:rFonts w:hint="eastAsia" w:ascii="仿宋" w:hAnsi="仿宋" w:eastAsia="仿宋"/>
          <w:b w:val="0"/>
          <w:bCs/>
          <w:sz w:val="32"/>
          <w:szCs w:val="32"/>
        </w:rPr>
        <w:t>支出决算为15.39万元，完成预算100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ascii="仿宋" w:hAnsi="仿宋" w:eastAsia="仿宋"/>
          <w:b w:val="0"/>
          <w:bCs/>
          <w:sz w:val="32"/>
          <w:szCs w:val="32"/>
        </w:rPr>
      </w:pPr>
      <w:r>
        <w:rPr>
          <w:rStyle w:val="18"/>
          <w:rFonts w:hint="eastAsia" w:ascii="仿宋" w:hAnsi="仿宋" w:eastAsia="仿宋"/>
          <w:bCs/>
          <w:sz w:val="32"/>
          <w:szCs w:val="32"/>
        </w:rPr>
        <w:t>7</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（类）行政事业单位医疗（款）行政单位医疗、事业单位医疗、 公务员医疗补助（项）</w:t>
      </w:r>
      <w:r>
        <w:rPr>
          <w:rStyle w:val="18"/>
          <w:rFonts w:ascii="仿宋" w:hAnsi="仿宋" w:eastAsia="仿宋"/>
          <w:bCs/>
          <w:sz w:val="32"/>
          <w:szCs w:val="32"/>
        </w:rPr>
        <w:t>:</w:t>
      </w:r>
      <w:r>
        <w:rPr>
          <w:rStyle w:val="18"/>
          <w:rFonts w:hint="eastAsia" w:ascii="仿宋" w:hAnsi="仿宋" w:eastAsia="仿宋"/>
          <w:b w:val="0"/>
          <w:bCs/>
          <w:sz w:val="32"/>
          <w:szCs w:val="32"/>
        </w:rPr>
        <w:t>支出决算为11.22万元，完成预算100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pStyle w:val="5"/>
        <w:spacing w:before="93"/>
        <w:ind w:firstLine="643" w:firstLineChars="200"/>
      </w:pPr>
      <w:r>
        <w:rPr>
          <w:rStyle w:val="18"/>
          <w:rFonts w:hint="eastAsia" w:ascii="仿宋" w:hAnsi="仿宋" w:eastAsia="仿宋"/>
          <w:bCs/>
          <w:sz w:val="32"/>
          <w:szCs w:val="32"/>
        </w:rPr>
        <w:t>8</w:t>
      </w:r>
      <w:r>
        <w:rPr>
          <w:rStyle w:val="18"/>
          <w:rFonts w:ascii="仿宋" w:hAnsi="仿宋" w:eastAsia="仿宋"/>
          <w:bCs/>
          <w:sz w:val="32"/>
          <w:szCs w:val="32"/>
        </w:rPr>
        <w:t>.</w:t>
      </w:r>
      <w:r>
        <w:rPr>
          <w:rFonts w:hint="eastAsia" w:ascii="仿宋" w:hAnsi="仿宋" w:eastAsia="仿宋"/>
          <w:b/>
          <w:bCs/>
          <w:sz w:val="32"/>
          <w:szCs w:val="32"/>
        </w:rPr>
        <w:t>农林水支出</w:t>
      </w:r>
      <w:r>
        <w:rPr>
          <w:rStyle w:val="18"/>
          <w:rFonts w:hint="eastAsia" w:ascii="仿宋" w:hAnsi="仿宋" w:eastAsia="仿宋"/>
          <w:bCs/>
          <w:sz w:val="32"/>
          <w:szCs w:val="32"/>
        </w:rPr>
        <w:t>（类）巩固脱贫衔接乡村振兴（款）其他巩固脱贫衔接乡村振兴支出（项）</w:t>
      </w:r>
      <w:r>
        <w:rPr>
          <w:rStyle w:val="18"/>
          <w:rFonts w:ascii="仿宋" w:hAnsi="仿宋" w:eastAsia="仿宋"/>
          <w:bCs/>
          <w:sz w:val="32"/>
          <w:szCs w:val="32"/>
        </w:rPr>
        <w:t>:</w:t>
      </w:r>
      <w:r>
        <w:rPr>
          <w:rStyle w:val="18"/>
          <w:rFonts w:hint="eastAsia" w:ascii="仿宋" w:hAnsi="仿宋" w:eastAsia="仿宋"/>
          <w:b w:val="0"/>
          <w:bCs/>
          <w:sz w:val="32"/>
          <w:szCs w:val="32"/>
        </w:rPr>
        <w:t>支出决算为100万元，完成预算100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8"/>
          <w:rFonts w:hint="eastAsia" w:ascii="仿宋" w:hAnsi="仿宋" w:eastAsia="仿宋" w:cstheme="minorBidi"/>
          <w:bCs/>
          <w:sz w:val="32"/>
          <w:szCs w:val="32"/>
        </w:rPr>
        <w:t>9.</w:t>
      </w:r>
      <w:r>
        <w:rPr>
          <w:rStyle w:val="18"/>
          <w:rFonts w:ascii="仿宋" w:hAnsi="仿宋" w:eastAsia="仿宋" w:cstheme="minorBidi"/>
          <w:bCs/>
          <w:sz w:val="32"/>
          <w:szCs w:val="32"/>
        </w:rPr>
        <w:t>住房保障（类）住房改革（款）住房公积金（项）:</w:t>
      </w:r>
      <w:r>
        <w:rPr>
          <w:rStyle w:val="18"/>
          <w:rFonts w:hint="eastAsia" w:ascii="仿宋" w:hAnsi="仿宋" w:eastAsia="仿宋"/>
          <w:b w:val="0"/>
          <w:bCs/>
          <w:sz w:val="32"/>
          <w:szCs w:val="32"/>
        </w:rPr>
        <w:t>支出决算为18.45万元，完成预算100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pStyle w:val="3"/>
        <w:rPr>
          <w:rStyle w:val="30"/>
          <w:b w:val="0"/>
          <w:bCs w:val="0"/>
        </w:rPr>
      </w:pPr>
      <w:bookmarkStart w:id="45" w:name="_Toc150784339"/>
      <w:bookmarkStart w:id="46" w:name="_Toc15377214"/>
      <w:bookmarkStart w:id="47" w:name="_Toc15396608"/>
      <w:r>
        <w:rPr>
          <w:rFonts w:hint="eastAsia"/>
        </w:rPr>
        <w:t>六、一般公共预算财政拨款基本支出决算情况说明</w:t>
      </w:r>
      <w:bookmarkEnd w:id="45"/>
      <w:bookmarkEnd w:id="46"/>
      <w:bookmarkEnd w:id="47"/>
      <w:r>
        <w:rPr>
          <w:rStyle w:val="30"/>
          <w:rFonts w:ascii="黑体" w:hAnsi="黑体" w:eastAsia="黑体"/>
          <w:b w:val="0"/>
          <w:bCs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22年一般公共预算财政拨款基本支出250.25万元，其中：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221.66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28.59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3"/>
      </w:pPr>
      <w:bookmarkStart w:id="48" w:name="_Toc150784340"/>
      <w:bookmarkStart w:id="49" w:name="_Toc15377215"/>
      <w:bookmarkStart w:id="50" w:name="_Toc15396609"/>
      <w:r>
        <w:rPr>
          <w:rFonts w:hint="eastAsia"/>
        </w:rPr>
        <w:t>七、财政拨款“三公”经费支出决算情况说明</w:t>
      </w:r>
      <w:bookmarkEnd w:id="48"/>
      <w:bookmarkEnd w:id="49"/>
      <w:bookmarkEnd w:id="50"/>
    </w:p>
    <w:p>
      <w:pPr>
        <w:ind w:firstLine="640" w:firstLineChars="200"/>
        <w:rPr>
          <w:rFonts w:ascii="方正仿宋_GBK" w:eastAsia="方正仿宋_GBK"/>
          <w:sz w:val="32"/>
          <w:szCs w:val="32"/>
        </w:rPr>
      </w:pPr>
      <w:bookmarkStart w:id="51" w:name="_Toc15377216"/>
      <w:r>
        <w:rPr>
          <w:rFonts w:hint="eastAsia" w:ascii="方正仿宋_GBK" w:eastAsia="方正仿宋_GBK"/>
          <w:sz w:val="32"/>
          <w:szCs w:val="32"/>
        </w:rPr>
        <w:t>（一）“三公”经费财政拨款支出决算总体情况说明</w:t>
      </w:r>
      <w:bookmarkEnd w:id="51"/>
    </w:p>
    <w:p>
      <w:pPr>
        <w:ind w:firstLine="640" w:firstLineChars="200"/>
        <w:rPr>
          <w:rFonts w:ascii="方正仿宋_GBK" w:eastAsia="方正仿宋_GBK"/>
          <w:sz w:val="32"/>
          <w:szCs w:val="32"/>
        </w:rPr>
      </w:pPr>
      <w:r>
        <w:rPr>
          <w:rFonts w:hint="eastAsia" w:ascii="方正仿宋_GBK" w:eastAsia="方正仿宋_GBK"/>
          <w:sz w:val="32"/>
          <w:szCs w:val="32"/>
        </w:rPr>
        <w:t>2022年“三公”经费财政拨款支出决算为0.68万元，完成预算100%，较上年增加0.35万元，增长206%。决算数大于预算数的主要原因是公务接待批次、人员数量增加。</w:t>
      </w:r>
    </w:p>
    <w:p>
      <w:pPr>
        <w:ind w:firstLine="640" w:firstLineChars="200"/>
        <w:rPr>
          <w:rFonts w:ascii="方正仿宋_GBK" w:eastAsia="方正仿宋_GBK"/>
          <w:sz w:val="32"/>
          <w:szCs w:val="32"/>
        </w:rPr>
      </w:pPr>
      <w:bookmarkStart w:id="52" w:name="_Toc15377217"/>
      <w:r>
        <w:rPr>
          <w:rFonts w:hint="eastAsia" w:ascii="方正仿宋_GBK" w:eastAsia="方正仿宋_GBK"/>
          <w:sz w:val="32"/>
          <w:szCs w:val="32"/>
        </w:rPr>
        <w:t>（二）“三公”经费财政拨款支出决算具体情况说明</w:t>
      </w:r>
      <w:bookmarkEnd w:id="52"/>
    </w:p>
    <w:p>
      <w:pPr>
        <w:ind w:firstLine="640" w:firstLineChars="200"/>
        <w:rPr>
          <w:rFonts w:ascii="方正仿宋_GBK" w:eastAsia="方正仿宋_GBK"/>
          <w:sz w:val="32"/>
          <w:szCs w:val="32"/>
        </w:rPr>
      </w:pPr>
      <w:r>
        <w:rPr>
          <w:rFonts w:hint="eastAsia" w:ascii="方正仿宋_GBK" w:eastAsia="方正仿宋_GBK"/>
          <w:sz w:val="32"/>
          <w:szCs w:val="32"/>
        </w:rPr>
        <w:t>2022年“三公”经费财政拨款支出决算中，因公出国（境）费支出决算0万元，占0%；公务用车购置及运行维护费支出决算0万元，占0%；公务接待费支出决算0万元，占0%。具体情况如下：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 w:hAnsi="仿宋" w:eastAsia="仿宋"/>
          <w:sz w:val="32"/>
          <w:szCs w:val="32"/>
        </w:rPr>
      </w:pPr>
      <w:r>
        <w:rPr>
          <w:rFonts w:hint="eastAsia" w:ascii="仿宋" w:hAnsi="仿宋" w:eastAsia="仿宋"/>
          <w:sz w:val="32"/>
          <w:szCs w:val="32"/>
        </w:rPr>
        <w:t xml:space="preserve">                                  单位：万元</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0" distR="0" simplePos="0" relativeHeight="251665408" behindDoc="0" locked="0" layoutInCell="1" allowOverlap="1">
            <wp:simplePos x="0" y="0"/>
            <wp:positionH relativeFrom="column">
              <wp:posOffset>529590</wp:posOffset>
            </wp:positionH>
            <wp:positionV relativeFrom="paragraph">
              <wp:posOffset>111760</wp:posOffset>
            </wp:positionV>
            <wp:extent cx="4650740" cy="2901950"/>
            <wp:effectExtent l="19050" t="0" r="16510" b="0"/>
            <wp:wrapTopAndBottom/>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8"/>
          <w:rFonts w:hint="eastAsia" w:ascii="仿宋" w:hAnsi="仿宋" w:eastAsia="仿宋"/>
          <w:b w:val="0"/>
          <w:bCs/>
          <w:sz w:val="32"/>
          <w:szCs w:val="32"/>
        </w:rPr>
        <w:t>完成预算0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8"/>
          <w:rFonts w:hint="eastAsia" w:ascii="仿宋" w:hAnsi="仿宋" w:eastAsia="仿宋"/>
          <w:b w:val="0"/>
          <w:bCs/>
          <w:sz w:val="32"/>
          <w:szCs w:val="32"/>
        </w:rPr>
        <w:t>完成预算0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0.68万元，</w:t>
      </w:r>
      <w:r>
        <w:rPr>
          <w:rStyle w:val="18"/>
          <w:rFonts w:hint="eastAsia" w:ascii="仿宋" w:hAnsi="仿宋" w:eastAsia="仿宋"/>
          <w:b w:val="0"/>
          <w:bCs/>
          <w:sz w:val="32"/>
          <w:szCs w:val="32"/>
        </w:rPr>
        <w:t>完成预算100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21年增加0.35万元，增长206</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公务接待数量增加</w:t>
      </w:r>
      <w:r>
        <w:rPr>
          <w:rFonts w:hint="eastAsia" w:ascii="仿宋_GB2312" w:eastAsia="仿宋_GB2312"/>
          <w:sz w:val="32"/>
          <w:szCs w:val="32"/>
        </w:rPr>
        <w:t>。其中：</w:t>
      </w:r>
    </w:p>
    <w:p>
      <w:pPr>
        <w:spacing w:line="600" w:lineRule="exact"/>
        <w:ind w:firstLine="640"/>
        <w:rPr>
          <w:rFonts w:ascii="仿宋_GB2312" w:eastAsia="仿宋_GB2312"/>
          <w:color w:val="FF0000"/>
          <w:sz w:val="32"/>
          <w:szCs w:val="32"/>
        </w:rPr>
      </w:pPr>
      <w:r>
        <w:rPr>
          <w:rFonts w:hint="eastAsia" w:ascii="仿宋" w:hAnsi="仿宋" w:eastAsia="仿宋"/>
          <w:b/>
          <w:sz w:val="32"/>
          <w:szCs w:val="32"/>
        </w:rPr>
        <w:t>国内公务接待支出</w:t>
      </w:r>
      <w:r>
        <w:rPr>
          <w:rFonts w:hint="eastAsia" w:ascii="仿宋" w:hAnsi="仿宋" w:eastAsia="仿宋"/>
          <w:sz w:val="32"/>
          <w:szCs w:val="32"/>
        </w:rPr>
        <w:t>0.68</w:t>
      </w:r>
      <w:r>
        <w:rPr>
          <w:rFonts w:hint="eastAsia" w:ascii="仿宋_GB2312" w:eastAsia="仿宋_GB2312"/>
          <w:sz w:val="32"/>
          <w:szCs w:val="32"/>
        </w:rPr>
        <w:t>万元，主要用于执行公务、开展业务活动开支的交通费、住宿费、用餐费等。国内公务接待3批次，29人次（不包括陪同人员），共计支出0.68万元，具体内容包括：2022年3月31日市民主党派来巴州区调研文旅康养首位产业发展（16人），2022年6月9日达州市民宗局来巴开展铸牢中华民族共同体意识调研（8人），2022年6月22日省民族研究所来巴开展民族工作调研（5人）。</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p>
    <w:p>
      <w:pPr>
        <w:pStyle w:val="3"/>
      </w:pPr>
      <w:bookmarkStart w:id="53" w:name="_Toc15377218"/>
      <w:bookmarkStart w:id="54" w:name="_Toc15396610"/>
      <w:bookmarkStart w:id="55" w:name="_Toc150784341"/>
      <w:r>
        <w:rPr>
          <w:rFonts w:hint="eastAsia"/>
        </w:rPr>
        <w:t>八、政府性基金预算支出决算情况说明</w:t>
      </w:r>
      <w:bookmarkEnd w:id="53"/>
      <w:bookmarkEnd w:id="54"/>
      <w:bookmarkEnd w:id="5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pStyle w:val="3"/>
      </w:pPr>
      <w:bookmarkStart w:id="56" w:name="_Toc15396611"/>
      <w:bookmarkStart w:id="57" w:name="_Toc15377219"/>
      <w:bookmarkStart w:id="58" w:name="_Toc150784342"/>
      <w:r>
        <w:rPr>
          <w:rFonts w:hint="eastAsia"/>
        </w:rPr>
        <w:t>九、国有资本经营预算支出决算情况说明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pStyle w:val="3"/>
      </w:pPr>
      <w:bookmarkStart w:id="59" w:name="_Toc15396612"/>
      <w:bookmarkStart w:id="60" w:name="_Toc15377221"/>
      <w:bookmarkStart w:id="61" w:name="_Toc150784343"/>
      <w:r>
        <w:rPr>
          <w:rFonts w:hint="eastAsia"/>
        </w:rPr>
        <w:t>十、其他重要事项的情况说明</w:t>
      </w:r>
      <w:bookmarkEnd w:id="59"/>
      <w:bookmarkEnd w:id="60"/>
      <w:bookmarkEnd w:id="61"/>
    </w:p>
    <w:p>
      <w:pPr>
        <w:ind w:firstLine="640" w:firstLineChars="200"/>
        <w:rPr>
          <w:rFonts w:ascii="仿宋_GB2312" w:eastAsia="仿宋_GB2312"/>
          <w:sz w:val="32"/>
          <w:szCs w:val="32"/>
        </w:rPr>
      </w:pPr>
      <w:bookmarkStart w:id="62" w:name="_Toc15377222"/>
      <w:r>
        <w:rPr>
          <w:rFonts w:hint="eastAsia" w:ascii="仿宋_GB2312" w:eastAsia="仿宋_GB2312"/>
          <w:sz w:val="32"/>
          <w:szCs w:val="32"/>
        </w:rPr>
        <w:t>（一）机关运行经费支出情况</w:t>
      </w:r>
      <w:bookmarkEnd w:id="62"/>
    </w:p>
    <w:p>
      <w:pPr>
        <w:ind w:firstLine="640" w:firstLineChars="200"/>
        <w:rPr>
          <w:rFonts w:ascii="仿宋_GB2312" w:eastAsia="仿宋_GB2312"/>
          <w:sz w:val="32"/>
          <w:szCs w:val="32"/>
        </w:rPr>
      </w:pPr>
      <w:r>
        <w:rPr>
          <w:rFonts w:hint="eastAsia" w:ascii="仿宋_GB2312" w:eastAsia="仿宋_GB2312"/>
          <w:sz w:val="32"/>
          <w:szCs w:val="32"/>
        </w:rPr>
        <w:t>2022年，区委统战部机关运行经费支出28.59万元，比2021年减少5.6万元，下降19%。主要原因是人员变动导致公用经费减少。</w:t>
      </w:r>
    </w:p>
    <w:p>
      <w:pPr>
        <w:ind w:firstLine="640" w:firstLineChars="200"/>
        <w:rPr>
          <w:rFonts w:ascii="仿宋_GB2312" w:eastAsia="仿宋_GB2312"/>
          <w:sz w:val="32"/>
          <w:szCs w:val="32"/>
        </w:rPr>
      </w:pPr>
      <w:bookmarkStart w:id="63" w:name="_Toc15377223"/>
      <w:r>
        <w:rPr>
          <w:rFonts w:hint="eastAsia" w:ascii="仿宋_GB2312" w:eastAsia="仿宋_GB2312"/>
          <w:sz w:val="32"/>
          <w:szCs w:val="32"/>
        </w:rPr>
        <w:t>（二）政府采购支出情况</w:t>
      </w:r>
      <w:bookmarkEnd w:id="63"/>
    </w:p>
    <w:p>
      <w:pPr>
        <w:ind w:firstLine="640" w:firstLineChars="200"/>
        <w:rPr>
          <w:rFonts w:ascii="仿宋_GB2312" w:eastAsia="仿宋_GB2312"/>
          <w:sz w:val="32"/>
          <w:szCs w:val="32"/>
        </w:rPr>
      </w:pPr>
      <w:r>
        <w:rPr>
          <w:rFonts w:hint="eastAsia" w:ascii="仿宋_GB2312" w:eastAsia="仿宋_GB2312"/>
          <w:sz w:val="32"/>
          <w:szCs w:val="32"/>
        </w:rPr>
        <w:t>2022年，区委统战部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640" w:firstLineChars="200"/>
        <w:rPr>
          <w:rFonts w:ascii="仿宋_GB2312" w:eastAsia="仿宋_GB2312"/>
          <w:sz w:val="32"/>
          <w:szCs w:val="32"/>
        </w:rPr>
      </w:pPr>
      <w:bookmarkStart w:id="64" w:name="_Toc15377224"/>
      <w:r>
        <w:rPr>
          <w:rFonts w:hint="eastAsia" w:ascii="仿宋_GB2312" w:eastAsia="仿宋_GB2312"/>
          <w:sz w:val="32"/>
          <w:szCs w:val="32"/>
        </w:rPr>
        <w:t>（三）国有资产占有使用情况</w:t>
      </w:r>
      <w:bookmarkEnd w:id="64"/>
    </w:p>
    <w:p>
      <w:pPr>
        <w:ind w:firstLine="640" w:firstLineChars="200"/>
        <w:rPr>
          <w:rFonts w:ascii="仿宋_GB2312" w:eastAsia="仿宋_GB2312"/>
          <w:sz w:val="32"/>
          <w:szCs w:val="32"/>
        </w:rPr>
      </w:pPr>
      <w:r>
        <w:rPr>
          <w:rFonts w:hint="eastAsia" w:ascii="仿宋_GB2312" w:eastAsia="仿宋_GB2312"/>
          <w:sz w:val="32"/>
          <w:szCs w:val="32"/>
        </w:rPr>
        <w:t>截至2022年12月31日，区委统战部共有车辆0辆，其中：主要领导干部用车0辆、机要通信用车0辆、应急保障用车0辆、其他用车0辆，单价100万元以上专用设备0台（套）。</w:t>
      </w:r>
    </w:p>
    <w:p>
      <w:pPr>
        <w:ind w:firstLine="640" w:firstLineChars="200"/>
        <w:rPr>
          <w:rFonts w:ascii="仿宋_GB2312" w:eastAsia="仿宋_GB2312"/>
          <w:sz w:val="32"/>
          <w:szCs w:val="32"/>
        </w:rPr>
      </w:pPr>
      <w:bookmarkStart w:id="65" w:name="_Toc55892357"/>
      <w:bookmarkStart w:id="66" w:name="_Toc55892510"/>
      <w:bookmarkStart w:id="67" w:name="_Toc55837022"/>
      <w:r>
        <w:rPr>
          <w:rFonts w:hint="eastAsia" w:ascii="仿宋_GB2312" w:eastAsia="仿宋_GB2312"/>
          <w:sz w:val="32"/>
          <w:szCs w:val="32"/>
        </w:rPr>
        <w:t>（四）预算绩效管理情况。</w:t>
      </w:r>
      <w:bookmarkEnd w:id="65"/>
      <w:bookmarkEnd w:id="66"/>
      <w:bookmarkEnd w:id="6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2022年度预算编制阶段，组织对统战特别工作经费、宗教工作经费、宗教团体工作经费、培训费、大佛寺商业资金第三方审计项目开展了预算事前绩效评估，对4个项目编制了绩效目标，预算执行过程中，选取4个项目开展绩效监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区委统战部整体（含部门预算项目）绩效自评报告、统战特别工作经费、宗教工作经费、宗教团体工作经费、培训费、大佛寺商业资金第三方审计预算项目绩效自评报告，其中，区委统战部部门整体（含部门预算项目）绩效自评得分为93分，绩效自评综述：区委统战部较好地完成了年度总体绩效目标，部门综合管理有序，专项项目规划合理，项目实施效果明显；统战特别工作经费项目绩效自评得分为92分，绩效自评综述：项目全年预算数20万元，执行数为20万元，完成预算的100%。通过项目实施，保障了统一战线工作的开展，支持了统一战线领域发展，密切了统一战线成员之间的关系，提高了统一战线的社会影响力，发现的主要问题：项目开展掌握情况不够精准。下一步改进措施：加强项目开展的跟踪管理。宗教工作经费项目绩效自评得分为93.5分，绩效自评综述：项目全年预算数6万元，执行数为6万元，完成预算的100%。通过项目实施，保障了宗教领域工作活动的开展，促进了宗教和顺社会和谐，提高了宗教工作的管理水平，发现的主要问题：宗教领域工作开展不够深不够广。下一步改进措施：进一步提高宗教界管理水平。宗教团体工作经费、培训费、项目绩效自评得分为93分，绩效自评综述：项目全年预算数25万元，执行数为25万元，完成预算的100%。通过项目实施，保障了宗教团体日常工作、培训活动的开展，促进了宗教团体和顺，提高了宗教团体工作的管理水平，发现的主要问题：宗教团体正规化建设、管理水平有待提高。下一步改进措施：加强对宗教团体的业务指导，组织更加切合实际的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佛寺商业资金第三方审计项目绩效自评得分为93.5分，绩效自评综述：项目全年预算数18万元，执行数为18万元，完成预算的100%。通过项目实施，保障了对大佛寺商业资金剥离的审计工作，完成了省市对我区宗教领域巡视发现的问题，提高了对宗教活动场所的正规化管理水平，发现的主要问题：项目实施周期长、任务重、工作量大；下一步改进措施：加强与审计相关单位的沟通协调，加快工作进度；绩效自评报告详见附件。</w:t>
      </w:r>
    </w:p>
    <w:p>
      <w:pPr>
        <w:widowControl/>
        <w:ind w:firstLine="643" w:firstLineChars="200"/>
        <w:jc w:val="left"/>
        <w:rPr>
          <w:rFonts w:ascii="仿宋_GB2312" w:eastAsia="仿宋_GB2312"/>
          <w:b/>
          <w:sz w:val="32"/>
          <w:szCs w:val="32"/>
        </w:rPr>
      </w:pPr>
      <w:r>
        <w:rPr>
          <w:rFonts w:ascii="仿宋_GB2312" w:eastAsia="仿宋_GB2312"/>
          <w:b/>
          <w:sz w:val="32"/>
          <w:szCs w:val="32"/>
        </w:rPr>
        <w:br w:type="page"/>
      </w:r>
    </w:p>
    <w:p>
      <w:pPr>
        <w:pStyle w:val="2"/>
        <w:jc w:val="center"/>
      </w:pPr>
      <w:bookmarkStart w:id="68" w:name="_Toc15396613"/>
      <w:bookmarkStart w:id="69" w:name="_Toc15377225"/>
      <w:bookmarkStart w:id="70" w:name="_Toc150784344"/>
      <w:r>
        <w:rPr>
          <w:rFonts w:hint="eastAsia"/>
        </w:rPr>
        <w:t>第三部分名词解释</w:t>
      </w:r>
      <w:bookmarkEnd w:id="68"/>
      <w:bookmarkEnd w:id="69"/>
      <w:bookmarkEnd w:id="70"/>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9.一般公共服务（类）统战事务（款）行政运行（项）: 指行政单位（包含实行公务员管理的事业单位）的基本支出。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10.一般公共服务（类）统战事务（款）一般行政管理事务（项）：指行政单位（包含实行公务员管理的事业单位）未单独设置项级科目的其他项目支出。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11.社会保障和就业（类）行政事业单位离退休（款）机关事业单位基本养老保险缴费支出（项）: 指机关事业单位实施养老保险制度由单位缴纳的基本养老保险支出。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12.医疗卫生与计划生育（类）行政事业单位医疗（款）行政单位医疗（项）:指财政部门集中安排的行政单位基本医疗保险缴费经费，未参加医疗保险的行政单位的公费医疗经费，按国家规定享受离休人员、红军老战士待遇人员的医疗经费。</w:t>
      </w:r>
    </w:p>
    <w:p>
      <w:pPr>
        <w:spacing w:line="600" w:lineRule="exact"/>
        <w:ind w:firstLine="640"/>
        <w:rPr>
          <w:rFonts w:ascii="仿宋" w:hAnsi="仿宋" w:eastAsia="仿宋"/>
          <w:b/>
          <w:color w:val="000000"/>
          <w:sz w:val="32"/>
          <w:szCs w:val="32"/>
        </w:rPr>
      </w:pPr>
      <w:r>
        <w:rPr>
          <w:rFonts w:hint="eastAsia" w:ascii="仿宋_GB2312" w:eastAsia="仿宋_GB2312"/>
          <w:color w:val="000000"/>
          <w:sz w:val="32"/>
          <w:szCs w:val="32"/>
        </w:rPr>
        <w:t>13. 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1" w:name="_Toc15377226"/>
    </w:p>
    <w:p>
      <w:pPr>
        <w:pStyle w:val="2"/>
        <w:jc w:val="center"/>
      </w:pPr>
      <w:r>
        <w:rPr>
          <w:rFonts w:ascii="宋体"/>
        </w:rPr>
        <w:br w:type="page"/>
      </w:r>
      <w:bookmarkStart w:id="72" w:name="_Toc15396614"/>
      <w:bookmarkStart w:id="73" w:name="_Toc150784345"/>
      <w:r>
        <w:rPr>
          <w:rFonts w:hint="eastAsia"/>
        </w:rPr>
        <w:t>第四部分 附件</w:t>
      </w:r>
      <w:bookmarkEnd w:id="72"/>
      <w:bookmarkEnd w:id="73"/>
    </w:p>
    <w:p>
      <w:pPr>
        <w:spacing w:line="572" w:lineRule="exact"/>
        <w:jc w:val="left"/>
        <w:outlineLvl w:val="0"/>
        <w:rPr>
          <w:rFonts w:ascii="方正小标宋简体" w:hAnsi="方正小标宋简体" w:eastAsia="方正小标宋简体" w:cs="方正小标宋简体"/>
          <w:sz w:val="44"/>
          <w:szCs w:val="44"/>
        </w:rPr>
      </w:pPr>
      <w:bookmarkStart w:id="74" w:name="_Toc150784346"/>
      <w:r>
        <w:rPr>
          <w:rFonts w:hint="eastAsia" w:ascii="黑体" w:hAnsi="黑体" w:eastAsia="黑体" w:cs="黑体"/>
          <w:sz w:val="32"/>
          <w:szCs w:val="32"/>
        </w:rPr>
        <w:t>附件</w:t>
      </w:r>
      <w:bookmarkEnd w:id="74"/>
    </w:p>
    <w:p>
      <w:pPr>
        <w:widowControl/>
        <w:spacing w:line="560" w:lineRule="exact"/>
        <w:contextualSpacing/>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区委统战部2022年部门整体绩效评价报告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1"/>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（一）机构组成。</w:t>
      </w:r>
    </w:p>
    <w:p>
      <w:pPr>
        <w:spacing w:line="576" w:lineRule="exact"/>
        <w:ind w:firstLine="600" w:firstLineChars="200"/>
        <w:rPr>
          <w:rFonts w:ascii="楷体_GB2312" w:hAnsi="楷体_GB2312" w:eastAsia="楷体_GB2312" w:cs="楷体_GB2312"/>
          <w:b/>
          <w:bCs/>
          <w:kern w:val="0"/>
          <w:sz w:val="32"/>
          <w:szCs w:val="32"/>
          <w:shd w:val="clear" w:color="auto" w:fill="FFFFFF"/>
          <w:lang w:val="zh-CN"/>
        </w:rPr>
      </w:pPr>
      <w:r>
        <w:rPr>
          <w:rFonts w:hint="eastAsia" w:ascii="Calibri" w:hAnsi="Calibri" w:eastAsia="仿宋_GB2312"/>
          <w:sz w:val="30"/>
          <w:szCs w:val="30"/>
        </w:rPr>
        <w:t>区委统战部设办公室、统战综合业务股、民族宗教股、民主党派工作股（干部股）4个股室。有1个直属事业单位：巴中市巴州区统一战线事务服务中心。</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spacing w:line="576" w:lineRule="exact"/>
        <w:ind w:firstLine="600" w:firstLineChars="200"/>
        <w:rPr>
          <w:rFonts w:ascii="仿宋_GB2312" w:hAnsi="Calibri" w:eastAsia="仿宋_GB2312"/>
          <w:sz w:val="30"/>
          <w:szCs w:val="30"/>
        </w:rPr>
      </w:pPr>
      <w:r>
        <w:rPr>
          <w:rFonts w:hint="eastAsia" w:ascii="仿宋_GB2312" w:hAnsi="Calibri" w:eastAsia="仿宋_GB2312"/>
          <w:sz w:val="30"/>
          <w:szCs w:val="30"/>
        </w:rPr>
        <w:t>基本职能：</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区委统战部是区委主管统一战线工作的专门机构。其基本职能是了解情况、掌握政策、协调关系、安排人事。</w:t>
      </w:r>
    </w:p>
    <w:p>
      <w:pPr>
        <w:spacing w:line="576" w:lineRule="exact"/>
        <w:ind w:firstLine="600" w:firstLineChars="200"/>
        <w:rPr>
          <w:rFonts w:ascii="Calibri" w:hAnsi="Calibri" w:eastAsia="仿宋_GB2312"/>
          <w:sz w:val="30"/>
          <w:szCs w:val="30"/>
        </w:rPr>
      </w:pPr>
      <w:r>
        <w:rPr>
          <w:rFonts w:hint="eastAsia" w:ascii="Calibri" w:hAnsi="Calibri" w:eastAsia="仿宋_GB2312"/>
          <w:sz w:val="30"/>
          <w:szCs w:val="30"/>
        </w:rPr>
        <w:t>其主要职责：</w:t>
      </w:r>
    </w:p>
    <w:p>
      <w:pPr>
        <w:spacing w:line="576" w:lineRule="exact"/>
        <w:ind w:firstLine="640" w:firstLineChars="200"/>
        <w:rPr>
          <w:rFonts w:eastAsia="仿宋_GB2312"/>
          <w:color w:val="000000"/>
          <w:sz w:val="32"/>
          <w:szCs w:val="32"/>
        </w:rPr>
      </w:pPr>
      <w:r>
        <w:rPr>
          <w:rFonts w:hint="eastAsia" w:eastAsia="仿宋_GB2312"/>
          <w:color w:val="000000"/>
          <w:sz w:val="32"/>
          <w:szCs w:val="32"/>
        </w:rPr>
        <w:t>（1）贯彻落实加强党对统一战线工作集中统一领导的要求，发挥区委在统战方面的参谋机构、组织协调机构、具体执行机构、督促检查机构作用，了解情况、掌握政策、协调关系、安排人事、增进共识、加强团结，协调统一战线各方面关系，组织和落实中央和省委、市委、区委关于统一战线工作重大决策部署，巩固壮大最广泛的统一战线。</w:t>
      </w:r>
    </w:p>
    <w:p>
      <w:pPr>
        <w:spacing w:line="576" w:lineRule="exact"/>
        <w:ind w:firstLine="640" w:firstLineChars="200"/>
        <w:rPr>
          <w:rFonts w:eastAsia="仿宋_GB2312"/>
          <w:color w:val="000000"/>
          <w:sz w:val="32"/>
          <w:szCs w:val="32"/>
        </w:rPr>
      </w:pPr>
      <w:r>
        <w:rPr>
          <w:rFonts w:hint="eastAsia" w:eastAsia="仿宋_GB2312"/>
          <w:color w:val="000000"/>
          <w:sz w:val="32"/>
          <w:szCs w:val="32"/>
        </w:rPr>
        <w:t>（2）</w:t>
      </w:r>
      <w:r>
        <w:rPr>
          <w:rFonts w:eastAsia="仿宋_GB2312"/>
          <w:color w:val="000000"/>
          <w:sz w:val="32"/>
          <w:szCs w:val="32"/>
        </w:rPr>
        <w:t>研究统一战线重大理论方针政策和法律法规在</w:t>
      </w:r>
      <w:r>
        <w:rPr>
          <w:rFonts w:hint="eastAsia" w:eastAsia="仿宋_GB2312"/>
          <w:color w:val="000000"/>
          <w:sz w:val="32"/>
          <w:szCs w:val="32"/>
        </w:rPr>
        <w:t>巴州区</w:t>
      </w:r>
      <w:r>
        <w:rPr>
          <w:rFonts w:eastAsia="仿宋_GB2312"/>
          <w:color w:val="000000"/>
          <w:sz w:val="32"/>
          <w:szCs w:val="32"/>
        </w:rPr>
        <w:t>的细化落实，深入调查研究，及时向</w:t>
      </w:r>
      <w:r>
        <w:rPr>
          <w:rFonts w:hint="eastAsia" w:eastAsia="仿宋_GB2312"/>
          <w:color w:val="000000"/>
          <w:sz w:val="32"/>
          <w:szCs w:val="32"/>
        </w:rPr>
        <w:t>区</w:t>
      </w:r>
      <w:r>
        <w:rPr>
          <w:rFonts w:eastAsia="仿宋_GB2312"/>
          <w:color w:val="000000"/>
          <w:sz w:val="32"/>
          <w:szCs w:val="32"/>
        </w:rPr>
        <w:t>委报告统</w:t>
      </w:r>
      <w:r>
        <w:rPr>
          <w:rFonts w:hint="eastAsia" w:eastAsia="仿宋_GB2312"/>
          <w:color w:val="000000"/>
          <w:sz w:val="32"/>
          <w:szCs w:val="32"/>
        </w:rPr>
        <w:t>一</w:t>
      </w:r>
      <w:r>
        <w:rPr>
          <w:rFonts w:eastAsia="仿宋_GB2312"/>
          <w:color w:val="000000"/>
          <w:sz w:val="32"/>
          <w:szCs w:val="32"/>
        </w:rPr>
        <w:t>战线工作情况并提出建议，统筹协调和指导</w:t>
      </w:r>
      <w:r>
        <w:rPr>
          <w:rFonts w:hint="eastAsia" w:eastAsia="仿宋_GB2312"/>
          <w:color w:val="000000"/>
          <w:sz w:val="32"/>
          <w:szCs w:val="32"/>
        </w:rPr>
        <w:t>各级</w:t>
      </w:r>
      <w:r>
        <w:rPr>
          <w:rFonts w:eastAsia="仿宋_GB2312"/>
          <w:color w:val="000000"/>
          <w:sz w:val="32"/>
          <w:szCs w:val="32"/>
        </w:rPr>
        <w:t>各部门统一战线工作。</w:t>
      </w:r>
    </w:p>
    <w:p>
      <w:pPr>
        <w:spacing w:line="576"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负责发现、培养党外代表人士，制定党外干部培养规划，负责党外人士的政治安排，会同有关部门做好安排党外人士担任政府和司法机关等领导职务的工作，推动</w:t>
      </w:r>
      <w:r>
        <w:rPr>
          <w:rFonts w:hint="eastAsia" w:eastAsia="仿宋_GB2312"/>
          <w:color w:val="000000"/>
          <w:sz w:val="32"/>
          <w:szCs w:val="32"/>
        </w:rPr>
        <w:t>学校、</w:t>
      </w:r>
      <w:r>
        <w:rPr>
          <w:rFonts w:eastAsia="仿宋_GB2312"/>
          <w:color w:val="000000"/>
          <w:sz w:val="32"/>
          <w:szCs w:val="32"/>
        </w:rPr>
        <w:t>人民团体、国有企业党外干部安排工作。协助民主党派</w:t>
      </w:r>
      <w:r>
        <w:rPr>
          <w:rFonts w:hint="eastAsia" w:eastAsia="仿宋_GB2312"/>
          <w:color w:val="000000"/>
          <w:sz w:val="32"/>
          <w:szCs w:val="32"/>
        </w:rPr>
        <w:t>巴州区总支</w:t>
      </w:r>
      <w:r>
        <w:rPr>
          <w:rFonts w:eastAsia="仿宋_GB2312"/>
          <w:color w:val="000000"/>
          <w:sz w:val="32"/>
          <w:szCs w:val="32"/>
        </w:rPr>
        <w:t>、</w:t>
      </w:r>
      <w:r>
        <w:rPr>
          <w:rFonts w:hint="eastAsia" w:eastAsia="仿宋_GB2312"/>
          <w:color w:val="000000"/>
          <w:sz w:val="32"/>
          <w:szCs w:val="32"/>
        </w:rPr>
        <w:t>区</w:t>
      </w:r>
      <w:r>
        <w:rPr>
          <w:rFonts w:eastAsia="仿宋_GB2312"/>
          <w:color w:val="000000"/>
          <w:sz w:val="32"/>
          <w:szCs w:val="32"/>
        </w:rPr>
        <w:t>工商联做好干部管理工作，反映和协调解决党外代表人士工作生活中的实际困难。</w:t>
      </w:r>
    </w:p>
    <w:p>
      <w:pPr>
        <w:spacing w:line="576" w:lineRule="exact"/>
        <w:ind w:firstLine="640" w:firstLineChars="200"/>
        <w:rPr>
          <w:rFonts w:eastAsia="仿宋_GB2312"/>
          <w:color w:val="000000"/>
          <w:spacing w:val="-11"/>
          <w:sz w:val="32"/>
          <w:szCs w:val="32"/>
        </w:rPr>
      </w:pPr>
      <w:r>
        <w:rPr>
          <w:rFonts w:hint="eastAsia" w:eastAsia="仿宋_GB2312"/>
          <w:color w:val="000000"/>
          <w:sz w:val="32"/>
          <w:szCs w:val="32"/>
        </w:rPr>
        <w:t>（4）</w:t>
      </w:r>
      <w:r>
        <w:rPr>
          <w:rFonts w:eastAsia="仿宋_GB2312"/>
          <w:color w:val="000000"/>
          <w:sz w:val="32"/>
          <w:szCs w:val="32"/>
        </w:rPr>
        <w:t>贯彻落实党的宣传工作方针，统筹推进全</w:t>
      </w:r>
      <w:r>
        <w:rPr>
          <w:rFonts w:hint="eastAsia" w:eastAsia="仿宋_GB2312"/>
          <w:color w:val="000000"/>
          <w:sz w:val="32"/>
          <w:szCs w:val="32"/>
        </w:rPr>
        <w:t>区</w:t>
      </w:r>
      <w:r>
        <w:rPr>
          <w:rFonts w:eastAsia="仿宋_GB2312"/>
          <w:color w:val="000000"/>
          <w:sz w:val="32"/>
          <w:szCs w:val="32"/>
        </w:rPr>
        <w:t>统一战线宣传和意识形态工作，组织贯彻落实中央</w:t>
      </w:r>
      <w:r>
        <w:rPr>
          <w:rFonts w:hint="eastAsia" w:eastAsia="仿宋_GB2312"/>
          <w:color w:val="000000"/>
          <w:sz w:val="32"/>
          <w:szCs w:val="32"/>
        </w:rPr>
        <w:t>、</w:t>
      </w:r>
      <w:r>
        <w:rPr>
          <w:rFonts w:eastAsia="仿宋_GB2312"/>
          <w:color w:val="000000"/>
          <w:sz w:val="32"/>
          <w:szCs w:val="32"/>
        </w:rPr>
        <w:t>省委、</w:t>
      </w:r>
      <w:r>
        <w:rPr>
          <w:rFonts w:hint="eastAsia" w:eastAsia="仿宋_GB2312"/>
          <w:color w:val="000000"/>
          <w:sz w:val="32"/>
          <w:szCs w:val="32"/>
        </w:rPr>
        <w:t>市委、区委统一战线</w:t>
      </w:r>
      <w:r>
        <w:rPr>
          <w:rFonts w:eastAsia="仿宋_GB2312"/>
          <w:color w:val="000000"/>
          <w:sz w:val="32"/>
          <w:szCs w:val="32"/>
        </w:rPr>
        <w:t>宣传工作政策和规划，统筹推进网络统战工作，打造网络</w:t>
      </w:r>
      <w:r>
        <w:rPr>
          <w:rFonts w:eastAsia="仿宋_GB2312"/>
          <w:color w:val="000000"/>
          <w:spacing w:val="-11"/>
          <w:sz w:val="32"/>
          <w:szCs w:val="32"/>
        </w:rPr>
        <w:t>统战工作平台，研判涉及统一战线的舆情并协调有关部门应对处置。</w:t>
      </w:r>
    </w:p>
    <w:p>
      <w:pPr>
        <w:spacing w:line="576"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负责联系各民主党派，通报情况、反映意见、制定年度政党协商计划，贯彻落实中国共产党领导的多党合作和政治协商制度以及对民主党派的方针政策，支持、帮助民主党派加强自身建设，做好支持民主党派履行职责、发挥作用的工作。</w:t>
      </w:r>
    </w:p>
    <w:p>
      <w:pPr>
        <w:spacing w:line="576" w:lineRule="exact"/>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贯彻落实党的民族工作方针，研究拟订民族工作规范性文件，协调处理民族工作中的重大问题</w:t>
      </w:r>
      <w:r>
        <w:rPr>
          <w:rFonts w:hint="eastAsia" w:eastAsia="仿宋_GB2312"/>
          <w:color w:val="000000"/>
          <w:sz w:val="32"/>
          <w:szCs w:val="32"/>
        </w:rPr>
        <w:t>，</w:t>
      </w:r>
      <w:r>
        <w:rPr>
          <w:rFonts w:eastAsia="仿宋_GB2312"/>
          <w:color w:val="000000"/>
          <w:sz w:val="32"/>
          <w:szCs w:val="32"/>
        </w:rPr>
        <w:t>根据分工，统筹协调做好少数民族干部工作。</w:t>
      </w:r>
      <w:r>
        <w:rPr>
          <w:rFonts w:hint="eastAsia" w:eastAsia="仿宋_GB2312"/>
          <w:color w:val="000000"/>
          <w:sz w:val="32"/>
          <w:szCs w:val="32"/>
        </w:rPr>
        <w:t>依法管理民族事务</w:t>
      </w:r>
      <w:r>
        <w:rPr>
          <w:rFonts w:eastAsia="仿宋_GB2312"/>
          <w:color w:val="000000"/>
          <w:sz w:val="32"/>
          <w:szCs w:val="32"/>
        </w:rPr>
        <w:t>，全面促进民族事业发展。</w:t>
      </w:r>
    </w:p>
    <w:p>
      <w:pPr>
        <w:spacing w:line="576" w:lineRule="exact"/>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贯彻落实党的宗教工作基本方针和政策，研究拟订宗教工作中的地方性措施并督促落实。</w:t>
      </w:r>
      <w:r>
        <w:rPr>
          <w:rFonts w:hint="eastAsia" w:eastAsia="仿宋_GB2312"/>
          <w:color w:val="000000"/>
          <w:sz w:val="32"/>
          <w:szCs w:val="32"/>
        </w:rPr>
        <w:t>依法管理宗教行政事务，</w:t>
      </w:r>
      <w:r>
        <w:rPr>
          <w:rFonts w:eastAsia="仿宋_GB2312"/>
          <w:color w:val="000000"/>
          <w:sz w:val="32"/>
          <w:szCs w:val="32"/>
        </w:rPr>
        <w:t>保护公民宗教信仰自由和正常的宗教活动，维护宗教界合法权益，抵御境外利用宗教进行渗透，引导各宗教坚持中国化方向，巩固和发展同宗教界的爱国统一战线。</w:t>
      </w:r>
    </w:p>
    <w:p>
      <w:pPr>
        <w:spacing w:line="576" w:lineRule="exact"/>
        <w:ind w:firstLine="640" w:firstLineChars="2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负责联系、培养无党派代表人士，支持、帮助无党派人士加强自身建设、发挥作用。调查研究全</w:t>
      </w:r>
      <w:r>
        <w:rPr>
          <w:rFonts w:hint="eastAsia" w:eastAsia="仿宋_GB2312"/>
          <w:color w:val="000000"/>
          <w:sz w:val="32"/>
          <w:szCs w:val="32"/>
        </w:rPr>
        <w:t>区</w:t>
      </w:r>
      <w:r>
        <w:rPr>
          <w:rFonts w:eastAsia="仿宋_GB2312"/>
          <w:color w:val="000000"/>
          <w:sz w:val="32"/>
          <w:szCs w:val="32"/>
        </w:rPr>
        <w:t>党外知识分子情况并提出建议，联系、培养党外知识分子代表人士，开展思想政治工作，指导</w:t>
      </w:r>
      <w:r>
        <w:rPr>
          <w:rFonts w:hint="eastAsia" w:eastAsia="仿宋_GB2312"/>
          <w:color w:val="000000"/>
          <w:sz w:val="32"/>
          <w:szCs w:val="32"/>
        </w:rPr>
        <w:t>学校、</w:t>
      </w:r>
      <w:r>
        <w:rPr>
          <w:rFonts w:eastAsia="仿宋_GB2312"/>
          <w:color w:val="000000"/>
          <w:sz w:val="32"/>
          <w:szCs w:val="32"/>
        </w:rPr>
        <w:t>国有企业等有关单位开展统战工作。</w:t>
      </w:r>
    </w:p>
    <w:p>
      <w:pPr>
        <w:spacing w:line="576" w:lineRule="exact"/>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负责联系、培养新的社会阶层代表人士，支持、帮助新的社会阶层人士加强自身建设、发挥作用。调查研究全</w:t>
      </w:r>
      <w:r>
        <w:rPr>
          <w:rFonts w:hint="eastAsia" w:eastAsia="仿宋_GB2312"/>
          <w:color w:val="000000"/>
          <w:sz w:val="32"/>
          <w:szCs w:val="32"/>
        </w:rPr>
        <w:t>区</w:t>
      </w:r>
      <w:r>
        <w:rPr>
          <w:rFonts w:eastAsia="仿宋_GB2312"/>
          <w:color w:val="000000"/>
          <w:sz w:val="32"/>
          <w:szCs w:val="32"/>
        </w:rPr>
        <w:t>新的社会阶层人士情况并提出建议，联系、培养新的社会阶层代表人士，开展思想政治工作，指导社会组织开展新的社会阶层人士统战工作。</w:t>
      </w:r>
    </w:p>
    <w:p>
      <w:pPr>
        <w:spacing w:line="576" w:lineRule="exact"/>
        <w:ind w:firstLine="640" w:firstLineChars="200"/>
        <w:rPr>
          <w:rFonts w:eastAsia="仿宋_GB2312"/>
          <w:color w:val="000000"/>
          <w:sz w:val="32"/>
          <w:szCs w:val="32"/>
        </w:rPr>
      </w:pPr>
      <w:r>
        <w:rPr>
          <w:rFonts w:hint="eastAsia" w:eastAsia="仿宋_GB2312"/>
          <w:color w:val="000000"/>
          <w:sz w:val="32"/>
          <w:szCs w:val="32"/>
        </w:rPr>
        <w:t>（10）</w:t>
      </w:r>
      <w:r>
        <w:rPr>
          <w:rFonts w:eastAsia="仿宋_GB2312"/>
          <w:color w:val="000000"/>
          <w:sz w:val="32"/>
          <w:szCs w:val="32"/>
        </w:rPr>
        <w:t>承担全</w:t>
      </w:r>
      <w:r>
        <w:rPr>
          <w:rFonts w:hint="eastAsia" w:eastAsia="仿宋_GB2312"/>
          <w:color w:val="000000"/>
          <w:sz w:val="32"/>
          <w:szCs w:val="32"/>
        </w:rPr>
        <w:t>区</w:t>
      </w:r>
      <w:r>
        <w:rPr>
          <w:rFonts w:eastAsia="仿宋_GB2312"/>
          <w:color w:val="000000"/>
          <w:sz w:val="32"/>
          <w:szCs w:val="32"/>
        </w:rPr>
        <w:t>非公有制经济协调工作，负责全</w:t>
      </w:r>
      <w:r>
        <w:rPr>
          <w:rFonts w:hint="eastAsia" w:eastAsia="仿宋_GB2312"/>
          <w:color w:val="000000"/>
          <w:sz w:val="32"/>
          <w:szCs w:val="32"/>
        </w:rPr>
        <w:t>区</w:t>
      </w:r>
      <w:r>
        <w:rPr>
          <w:rFonts w:eastAsia="仿宋_GB2312"/>
          <w:color w:val="000000"/>
          <w:sz w:val="32"/>
          <w:szCs w:val="32"/>
        </w:rPr>
        <w:t>非公有制经济代表人士工作，参与制定、推动落实鼓励支持引导非公有制经济发展的政策，调查研究全</w:t>
      </w:r>
      <w:r>
        <w:rPr>
          <w:rFonts w:hint="eastAsia" w:eastAsia="仿宋_GB2312"/>
          <w:color w:val="000000"/>
          <w:sz w:val="32"/>
          <w:szCs w:val="32"/>
        </w:rPr>
        <w:t>区</w:t>
      </w:r>
      <w:r>
        <w:rPr>
          <w:rFonts w:eastAsia="仿宋_GB2312"/>
          <w:color w:val="000000"/>
          <w:sz w:val="32"/>
          <w:szCs w:val="32"/>
        </w:rPr>
        <w:t>非公有制经济人士情况并提出</w:t>
      </w:r>
      <w:r>
        <w:rPr>
          <w:rFonts w:hint="eastAsia" w:eastAsia="仿宋_GB2312"/>
          <w:color w:val="000000"/>
          <w:sz w:val="32"/>
          <w:szCs w:val="32"/>
        </w:rPr>
        <w:t>政策</w:t>
      </w:r>
      <w:r>
        <w:rPr>
          <w:rFonts w:eastAsia="仿宋_GB2312"/>
          <w:color w:val="000000"/>
          <w:sz w:val="32"/>
          <w:szCs w:val="32"/>
        </w:rPr>
        <w:t>建议，了解和反映非公有制经济人士的意见，团结、服务、引导、教育非公有制经济人士，促进非公有制经济健康发展和非公有制经济人士健康成长。</w:t>
      </w:r>
    </w:p>
    <w:p>
      <w:pPr>
        <w:spacing w:line="576" w:lineRule="exact"/>
        <w:ind w:firstLine="640" w:firstLineChars="200"/>
        <w:rPr>
          <w:rFonts w:eastAsia="仿宋_GB2312"/>
          <w:color w:val="000000"/>
          <w:sz w:val="32"/>
          <w:szCs w:val="32"/>
        </w:rPr>
      </w:pPr>
      <w:r>
        <w:rPr>
          <w:rFonts w:hint="eastAsia" w:eastAsia="仿宋_GB2312"/>
          <w:color w:val="000000"/>
          <w:sz w:val="32"/>
          <w:szCs w:val="32"/>
        </w:rPr>
        <w:t>（11）</w:t>
      </w:r>
      <w:r>
        <w:rPr>
          <w:rFonts w:eastAsia="仿宋_GB2312"/>
          <w:color w:val="000000"/>
          <w:sz w:val="32"/>
          <w:szCs w:val="32"/>
        </w:rPr>
        <w:t>统一管理台湾事务工作</w:t>
      </w:r>
      <w:r>
        <w:rPr>
          <w:rFonts w:hint="eastAsia" w:eastAsia="仿宋_GB2312"/>
          <w:color w:val="000000"/>
          <w:sz w:val="32"/>
          <w:szCs w:val="32"/>
        </w:rPr>
        <w:t>，牵头开展港澳统战工作</w:t>
      </w:r>
      <w:r>
        <w:rPr>
          <w:rFonts w:eastAsia="仿宋_GB2312"/>
          <w:color w:val="000000"/>
          <w:sz w:val="32"/>
          <w:szCs w:val="32"/>
        </w:rPr>
        <w:t>。贯彻执行中央、省委</w:t>
      </w:r>
      <w:r>
        <w:rPr>
          <w:rFonts w:hint="eastAsia" w:eastAsia="仿宋_GB2312"/>
          <w:color w:val="000000"/>
          <w:sz w:val="32"/>
          <w:szCs w:val="32"/>
        </w:rPr>
        <w:t>、市委</w:t>
      </w:r>
      <w:r>
        <w:rPr>
          <w:rFonts w:eastAsia="仿宋_GB2312"/>
          <w:color w:val="000000"/>
          <w:sz w:val="32"/>
          <w:szCs w:val="32"/>
        </w:rPr>
        <w:t>对台工作方针政策和上级业务部门及</w:t>
      </w:r>
      <w:r>
        <w:rPr>
          <w:rFonts w:hint="eastAsia" w:eastAsia="仿宋_GB2312"/>
          <w:color w:val="000000"/>
          <w:sz w:val="32"/>
          <w:szCs w:val="32"/>
        </w:rPr>
        <w:t>区委</w:t>
      </w:r>
      <w:r>
        <w:rPr>
          <w:rFonts w:eastAsia="仿宋_GB2312"/>
          <w:color w:val="000000"/>
          <w:sz w:val="32"/>
          <w:szCs w:val="32"/>
        </w:rPr>
        <w:t>、</w:t>
      </w:r>
      <w:r>
        <w:rPr>
          <w:rFonts w:hint="eastAsia" w:eastAsia="仿宋_GB2312"/>
          <w:color w:val="000000"/>
          <w:sz w:val="32"/>
          <w:szCs w:val="32"/>
        </w:rPr>
        <w:t>区</w:t>
      </w:r>
      <w:r>
        <w:rPr>
          <w:rFonts w:eastAsia="仿宋_GB2312"/>
          <w:color w:val="000000"/>
          <w:sz w:val="32"/>
          <w:szCs w:val="32"/>
        </w:rPr>
        <w:t>政府涉台工作部署，组织、指导、管理、协调全</w:t>
      </w:r>
      <w:r>
        <w:rPr>
          <w:rFonts w:hint="eastAsia" w:eastAsia="仿宋_GB2312"/>
          <w:color w:val="000000"/>
          <w:sz w:val="32"/>
          <w:szCs w:val="32"/>
        </w:rPr>
        <w:t>区</w:t>
      </w:r>
      <w:r>
        <w:rPr>
          <w:rFonts w:eastAsia="仿宋_GB2312"/>
          <w:color w:val="000000"/>
          <w:sz w:val="32"/>
          <w:szCs w:val="32"/>
        </w:rPr>
        <w:t>各级各部门的对台工作。起草我</w:t>
      </w:r>
      <w:r>
        <w:rPr>
          <w:rFonts w:hint="eastAsia" w:eastAsia="仿宋_GB2312"/>
          <w:color w:val="000000"/>
          <w:sz w:val="32"/>
          <w:szCs w:val="32"/>
        </w:rPr>
        <w:t>区</w:t>
      </w:r>
      <w:r>
        <w:rPr>
          <w:rFonts w:eastAsia="仿宋_GB2312"/>
          <w:color w:val="000000"/>
          <w:sz w:val="32"/>
          <w:szCs w:val="32"/>
        </w:rPr>
        <w:t>涉台事务方面的有关规定。会同有关部门统筹协调和指导全</w:t>
      </w:r>
      <w:r>
        <w:rPr>
          <w:rFonts w:hint="eastAsia" w:eastAsia="仿宋_GB2312"/>
          <w:color w:val="000000"/>
          <w:sz w:val="32"/>
          <w:szCs w:val="32"/>
        </w:rPr>
        <w:t>区</w:t>
      </w:r>
      <w:r>
        <w:rPr>
          <w:rFonts w:eastAsia="仿宋_GB2312"/>
          <w:color w:val="000000"/>
          <w:sz w:val="32"/>
          <w:szCs w:val="32"/>
        </w:rPr>
        <w:t>对台经贸、文化、科技等方面的交流与合作</w:t>
      </w:r>
      <w:r>
        <w:rPr>
          <w:rFonts w:hint="eastAsia" w:eastAsia="仿宋_GB2312"/>
          <w:color w:val="000000"/>
          <w:sz w:val="32"/>
          <w:szCs w:val="32"/>
        </w:rPr>
        <w:t>。</w:t>
      </w:r>
    </w:p>
    <w:p>
      <w:pPr>
        <w:spacing w:line="576" w:lineRule="exact"/>
        <w:ind w:firstLine="640" w:firstLineChars="200"/>
        <w:rPr>
          <w:rFonts w:eastAsia="仿宋_GB2312"/>
          <w:color w:val="000000"/>
          <w:sz w:val="32"/>
          <w:szCs w:val="32"/>
        </w:rPr>
      </w:pPr>
      <w:r>
        <w:rPr>
          <w:rFonts w:hint="eastAsia" w:eastAsia="仿宋_GB2312"/>
          <w:color w:val="000000"/>
          <w:sz w:val="32"/>
          <w:szCs w:val="32"/>
        </w:rPr>
        <w:t>（12）</w:t>
      </w:r>
      <w:r>
        <w:rPr>
          <w:rFonts w:eastAsia="仿宋_GB2312"/>
          <w:color w:val="000000"/>
          <w:sz w:val="32"/>
          <w:szCs w:val="32"/>
        </w:rPr>
        <w:t>统一管理侨务工作，贯彻落实党的侨务工作方针政策，</w:t>
      </w:r>
      <w:r>
        <w:rPr>
          <w:rFonts w:hint="eastAsia" w:eastAsia="仿宋_GB2312"/>
          <w:color w:val="000000"/>
          <w:sz w:val="32"/>
          <w:szCs w:val="32"/>
        </w:rPr>
        <w:t>拟</w:t>
      </w:r>
      <w:r>
        <w:rPr>
          <w:rFonts w:eastAsia="仿宋_GB2312"/>
          <w:color w:val="000000"/>
          <w:sz w:val="32"/>
          <w:szCs w:val="32"/>
        </w:rPr>
        <w:t>订全</w:t>
      </w:r>
      <w:r>
        <w:rPr>
          <w:rFonts w:hint="eastAsia" w:eastAsia="仿宋_GB2312"/>
          <w:color w:val="000000"/>
          <w:sz w:val="32"/>
          <w:szCs w:val="32"/>
        </w:rPr>
        <w:t>区</w:t>
      </w:r>
      <w:r>
        <w:rPr>
          <w:rFonts w:eastAsia="仿宋_GB2312"/>
          <w:color w:val="000000"/>
          <w:sz w:val="32"/>
          <w:szCs w:val="32"/>
        </w:rPr>
        <w:t>侨务工作规划并组织协调、督促检查落实，调查研究侨情和侨务工作情况，管理侨务行政事务，统筹协调有关部门和社会团体涉侨工作，联系海外有关侨团和代表人士，负责海外侨胞代表人士在相关统战团体的安排，指导推动涉侨宣传、文化交流、华文教育工作等，保护华侨和归侨侨眷在</w:t>
      </w:r>
      <w:r>
        <w:rPr>
          <w:rFonts w:hint="eastAsia" w:eastAsia="仿宋_GB2312"/>
          <w:color w:val="000000"/>
          <w:sz w:val="32"/>
          <w:szCs w:val="32"/>
        </w:rPr>
        <w:t>区</w:t>
      </w:r>
      <w:r>
        <w:rPr>
          <w:rFonts w:eastAsia="仿宋_GB2312"/>
          <w:color w:val="000000"/>
          <w:sz w:val="32"/>
          <w:szCs w:val="32"/>
        </w:rPr>
        <w:t>内的合法权利和利益。</w:t>
      </w:r>
    </w:p>
    <w:p>
      <w:pPr>
        <w:spacing w:line="576" w:lineRule="exact"/>
        <w:ind w:firstLine="640" w:firstLineChars="200"/>
        <w:rPr>
          <w:rFonts w:eastAsia="仿宋_GB2312"/>
          <w:color w:val="000000"/>
          <w:sz w:val="32"/>
          <w:szCs w:val="32"/>
        </w:rPr>
      </w:pPr>
      <w:r>
        <w:rPr>
          <w:rFonts w:hint="eastAsia" w:eastAsia="仿宋_GB2312"/>
          <w:color w:val="000000"/>
          <w:sz w:val="32"/>
          <w:szCs w:val="32"/>
        </w:rPr>
        <w:t>（13）</w:t>
      </w:r>
      <w:r>
        <w:rPr>
          <w:rFonts w:eastAsia="仿宋_GB2312"/>
          <w:color w:val="000000"/>
          <w:sz w:val="32"/>
          <w:szCs w:val="32"/>
        </w:rPr>
        <w:t>受</w:t>
      </w:r>
      <w:r>
        <w:rPr>
          <w:rFonts w:hint="eastAsia" w:eastAsia="仿宋_GB2312"/>
          <w:color w:val="000000"/>
          <w:sz w:val="32"/>
          <w:szCs w:val="32"/>
        </w:rPr>
        <w:t>区委</w:t>
      </w:r>
      <w:r>
        <w:rPr>
          <w:rFonts w:eastAsia="仿宋_GB2312"/>
          <w:color w:val="000000"/>
          <w:sz w:val="32"/>
          <w:szCs w:val="32"/>
        </w:rPr>
        <w:t>委托，领导</w:t>
      </w:r>
      <w:r>
        <w:rPr>
          <w:rFonts w:hint="eastAsia" w:eastAsia="仿宋_GB2312"/>
          <w:color w:val="000000"/>
          <w:sz w:val="32"/>
          <w:szCs w:val="32"/>
        </w:rPr>
        <w:t>区</w:t>
      </w:r>
      <w:r>
        <w:rPr>
          <w:rFonts w:eastAsia="仿宋_GB2312"/>
          <w:color w:val="000000"/>
          <w:sz w:val="32"/>
          <w:szCs w:val="32"/>
        </w:rPr>
        <w:t>工商联党组，指导工商联工作。管理侨务、台湾事务工作。做好统一战线有关单位和团体及事业单位的管理工作。</w:t>
      </w:r>
    </w:p>
    <w:p>
      <w:pPr>
        <w:spacing w:line="576" w:lineRule="exact"/>
        <w:ind w:firstLine="640" w:firstLineChars="200"/>
        <w:rPr>
          <w:rFonts w:ascii="仿宋_GB2312" w:hAnsi="Calibri" w:eastAsia="仿宋_GB2312"/>
          <w:sz w:val="30"/>
          <w:szCs w:val="30"/>
        </w:rPr>
      </w:pPr>
      <w:r>
        <w:rPr>
          <w:rFonts w:hint="eastAsia" w:eastAsia="仿宋_GB2312"/>
          <w:color w:val="000000"/>
          <w:sz w:val="32"/>
          <w:szCs w:val="32"/>
        </w:rPr>
        <w:t>（14）</w:t>
      </w:r>
      <w:r>
        <w:rPr>
          <w:rFonts w:eastAsia="仿宋_GB2312"/>
          <w:color w:val="000000"/>
          <w:sz w:val="32"/>
          <w:szCs w:val="32"/>
        </w:rPr>
        <w:t>完成</w:t>
      </w:r>
      <w:r>
        <w:rPr>
          <w:rFonts w:hint="eastAsia" w:eastAsia="仿宋_GB2312"/>
          <w:color w:val="000000"/>
          <w:sz w:val="32"/>
          <w:szCs w:val="32"/>
        </w:rPr>
        <w:t>区委</w:t>
      </w:r>
      <w:r>
        <w:rPr>
          <w:rFonts w:eastAsia="仿宋_GB2312"/>
          <w:color w:val="000000"/>
          <w:sz w:val="32"/>
          <w:szCs w:val="32"/>
        </w:rPr>
        <w:t>交办的其他任务。</w:t>
      </w:r>
    </w:p>
    <w:p>
      <w:pPr>
        <w:spacing w:line="576" w:lineRule="exact"/>
        <w:ind w:firstLine="640" w:firstLineChars="200"/>
        <w:rPr>
          <w:rFonts w:eastAsia="仿宋_GB2312"/>
          <w:sz w:val="32"/>
          <w:szCs w:val="32"/>
        </w:rPr>
      </w:pPr>
      <w:r>
        <w:rPr>
          <w:rFonts w:hint="eastAsia" w:eastAsia="仿宋_GB2312"/>
          <w:sz w:val="32"/>
          <w:szCs w:val="32"/>
        </w:rPr>
        <w:t>（三）人员概况。</w:t>
      </w:r>
    </w:p>
    <w:p>
      <w:pPr>
        <w:spacing w:line="576" w:lineRule="exact"/>
        <w:ind w:firstLine="640" w:firstLineChars="200"/>
        <w:rPr>
          <w:rFonts w:eastAsia="仿宋_GB2312"/>
        </w:rPr>
      </w:pPr>
      <w:r>
        <w:rPr>
          <w:rFonts w:hint="eastAsia" w:eastAsia="仿宋_GB2312"/>
          <w:sz w:val="32"/>
          <w:szCs w:val="32"/>
        </w:rPr>
        <w:t>2022年末，我单位</w:t>
      </w:r>
      <w:r>
        <w:rPr>
          <w:rFonts w:eastAsia="仿宋_GB2312"/>
          <w:sz w:val="32"/>
          <w:szCs w:val="32"/>
        </w:rPr>
        <w:t>现有职工</w:t>
      </w:r>
      <w:r>
        <w:rPr>
          <w:rFonts w:hint="eastAsia" w:eastAsia="仿宋_GB2312"/>
          <w:sz w:val="32"/>
          <w:szCs w:val="32"/>
        </w:rPr>
        <w:t>17</w:t>
      </w:r>
      <w:r>
        <w:rPr>
          <w:rFonts w:eastAsia="仿宋_GB2312"/>
          <w:sz w:val="32"/>
          <w:szCs w:val="32"/>
        </w:rPr>
        <w:t>人，其中：公务员</w:t>
      </w:r>
      <w:r>
        <w:rPr>
          <w:rFonts w:hint="eastAsia" w:eastAsia="仿宋_GB2312"/>
          <w:sz w:val="32"/>
          <w:szCs w:val="32"/>
        </w:rPr>
        <w:t>7</w:t>
      </w:r>
      <w:r>
        <w:rPr>
          <w:rFonts w:eastAsia="仿宋_GB2312"/>
          <w:sz w:val="32"/>
          <w:szCs w:val="32"/>
        </w:rPr>
        <w:t>人，</w:t>
      </w:r>
      <w:r>
        <w:rPr>
          <w:rFonts w:hint="eastAsia" w:eastAsia="仿宋_GB2312"/>
          <w:sz w:val="32"/>
          <w:szCs w:val="32"/>
        </w:rPr>
        <w:t>参公1人，</w:t>
      </w:r>
      <w:r>
        <w:rPr>
          <w:rFonts w:eastAsia="仿宋_GB2312"/>
          <w:sz w:val="32"/>
          <w:szCs w:val="32"/>
        </w:rPr>
        <w:t>行政工勤</w:t>
      </w:r>
      <w:r>
        <w:rPr>
          <w:rFonts w:hint="eastAsia" w:eastAsia="仿宋_GB2312"/>
          <w:sz w:val="32"/>
          <w:szCs w:val="32"/>
        </w:rPr>
        <w:t>2</w:t>
      </w:r>
      <w:r>
        <w:rPr>
          <w:rFonts w:eastAsia="仿宋_GB2312"/>
          <w:sz w:val="32"/>
          <w:szCs w:val="32"/>
        </w:rPr>
        <w:t>人，事业人员</w:t>
      </w:r>
      <w:r>
        <w:rPr>
          <w:rFonts w:hint="eastAsia" w:eastAsia="仿宋_GB2312"/>
          <w:sz w:val="32"/>
          <w:szCs w:val="32"/>
        </w:rPr>
        <w:t>6</w:t>
      </w:r>
      <w:r>
        <w:rPr>
          <w:rFonts w:eastAsia="仿宋_GB2312"/>
          <w:sz w:val="32"/>
          <w:szCs w:val="32"/>
        </w:rPr>
        <w:t>人</w:t>
      </w:r>
      <w:r>
        <w:rPr>
          <w:rFonts w:hint="eastAsia" w:eastAsia="仿宋_GB2312"/>
          <w:sz w:val="32"/>
          <w:szCs w:val="32"/>
        </w:rPr>
        <w:t>，编外辅助性岗位1人</w:t>
      </w:r>
      <w:r>
        <w:rPr>
          <w:rFonts w:eastAsia="仿宋_GB2312"/>
          <w:sz w:val="32"/>
          <w:szCs w:val="32"/>
        </w:rPr>
        <w:t>。</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（三）年度主要工作任务。</w:t>
      </w:r>
    </w:p>
    <w:p>
      <w:pPr>
        <w:spacing w:line="560" w:lineRule="exact"/>
        <w:ind w:firstLine="640" w:firstLineChars="200"/>
        <w:rPr>
          <w:rFonts w:ascii="方正仿宋_GBK" w:hAnsi="方正仿宋_GBK" w:eastAsia="方正仿宋_GBK" w:cs="方正仿宋_GBK"/>
          <w:bCs/>
          <w:sz w:val="32"/>
          <w:szCs w:val="32"/>
        </w:rPr>
      </w:pPr>
      <w:r>
        <w:rPr>
          <w:rFonts w:hint="eastAsia" w:hAnsi="方正仿宋简体" w:eastAsia="方正仿宋简体"/>
          <w:bCs/>
          <w:sz w:val="32"/>
          <w:szCs w:val="32"/>
        </w:rPr>
        <w:t>2022年，</w:t>
      </w:r>
      <w:r>
        <w:rPr>
          <w:rFonts w:hint="eastAsia" w:eastAsia="方正仿宋_GBK"/>
          <w:bCs/>
          <w:sz w:val="32"/>
          <w:szCs w:val="32"/>
        </w:rPr>
        <w:t>在区委的坚强领导下，区委统战部深入学习贯彻习近平总书记关于做好新时代党的统一战线工作的重要思想，紧扣学习宣传贯彻党的二十大和省市区委全会精神，围绕省委统战部“4321”工作法，凝聚人心力量，推动创新实践，服务发展大局，为清爽奋进幸福巴州建设凝聚了统战智慧和力量</w:t>
      </w:r>
      <w:r>
        <w:rPr>
          <w:rFonts w:hint="eastAsia" w:hAnsi="方正仿宋简体" w:eastAsia="方正仿宋简体"/>
          <w:bCs/>
          <w:sz w:val="32"/>
          <w:szCs w:val="32"/>
        </w:rPr>
        <w:t>。</w:t>
      </w:r>
      <w:r>
        <w:rPr>
          <w:rFonts w:eastAsia="方正仿宋简体"/>
          <w:bCs/>
          <w:sz w:val="32"/>
          <w:szCs w:val="32"/>
        </w:rPr>
        <w:t>2022年，</w:t>
      </w:r>
      <w:r>
        <w:rPr>
          <w:rFonts w:eastAsia="方正仿宋_GBK"/>
          <w:bCs/>
          <w:sz w:val="32"/>
          <w:szCs w:val="32"/>
        </w:rPr>
        <w:t>承办了全省城市民族工作现场会，</w:t>
      </w:r>
      <w:r>
        <w:rPr>
          <w:rFonts w:eastAsia="方正仿宋简体"/>
          <w:bCs/>
          <w:sz w:val="32"/>
          <w:szCs w:val="32"/>
        </w:rPr>
        <w:t>民主党派工作得到</w:t>
      </w:r>
      <w:r>
        <w:rPr>
          <w:rFonts w:eastAsia="方正仿宋_GBK"/>
          <w:bCs/>
          <w:sz w:val="32"/>
          <w:szCs w:val="32"/>
        </w:rPr>
        <w:t>省人大常委会副主任何延政的</w:t>
      </w:r>
      <w:r>
        <w:rPr>
          <w:rFonts w:hint="eastAsia" w:eastAsia="方正仿宋_GBK"/>
          <w:bCs/>
          <w:sz w:val="32"/>
          <w:szCs w:val="32"/>
        </w:rPr>
        <w:t>肯定性签批，年度目标绩效考评位列全市第一</w:t>
      </w:r>
      <w:r>
        <w:rPr>
          <w:rFonts w:eastAsia="方正仿宋_GBK"/>
          <w:bCs/>
          <w:sz w:val="32"/>
          <w:szCs w:val="32"/>
        </w:rPr>
        <w:t>。</w:t>
      </w:r>
    </w:p>
    <w:p>
      <w:pPr>
        <w:pStyle w:val="5"/>
        <w:spacing w:beforeLines="0" w:line="560" w:lineRule="exact"/>
        <w:ind w:firstLine="640" w:firstLineChars="200"/>
        <w:rPr>
          <w:rFonts w:ascii="仿宋" w:hAnsi="仿宋" w:eastAsia="仿宋" w:cs="仿宋"/>
          <w:bCs/>
          <w:sz w:val="32"/>
          <w:szCs w:val="32"/>
        </w:rPr>
      </w:pPr>
      <w:r>
        <w:rPr>
          <w:rFonts w:hint="eastAsia" w:ascii="楷体" w:hAnsi="楷体" w:eastAsia="楷体" w:cs="楷体"/>
          <w:bCs/>
          <w:sz w:val="32"/>
          <w:szCs w:val="32"/>
        </w:rPr>
        <w:t>一是聚识聚力筑牢同心基础。</w:t>
      </w:r>
      <w:r>
        <w:rPr>
          <w:rFonts w:hint="eastAsia" w:ascii="仿宋" w:hAnsi="仿宋" w:eastAsia="仿宋" w:cs="仿宋"/>
          <w:bCs/>
          <w:kern w:val="2"/>
          <w:sz w:val="32"/>
          <w:szCs w:val="32"/>
        </w:rPr>
        <w:t>聚焦学习贯彻党的二十大凝心聚力，组织统战系统召开专题学习会、座谈会16次，开展“不忘合作初心，继续携手前进”“唱支山歌给党听·喜迎党的二十大”少数民族联谊以及非凡十年主题教育活动8次，深入学习习近平总书记系列重要讲话精神，进一步凝聚共同团结奋斗力量，推动全区统一战线更好服务发展大局。</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二是善作善成服务中心大局。</w:t>
      </w:r>
      <w:r>
        <w:rPr>
          <w:rFonts w:hint="eastAsia" w:ascii="仿宋" w:hAnsi="仿宋" w:eastAsia="仿宋" w:cs="仿宋"/>
          <w:bCs/>
          <w:sz w:val="32"/>
          <w:szCs w:val="32"/>
        </w:rPr>
        <w:t>认真落实区委投资促进工作部署，大力开展统战招商。2022年依托商会、新联会平台，对接企业54家，邀请意向企业来巴考察6次，签约落地项目3个，总投资1.25亿元，到位3000万元，已全部建成投产。积极向上争取资金，到位民族项目资金120万元，用于民族产业发展、民族团结进步示范点建设等。创新实施回引工程，回引返乡创业300余人，投资近3亿元创办各类企业，2022年民营经济增加值预计达116亿元。务实推进“万企兴万村”行动，新增30家企业与村签约结对，对接28家义乌企业结对帮扶15个村。成功创建市级“万企兴万村”示范点1个，设立区级示范点2个。</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三是用心用情引导发挥作用。</w:t>
      </w:r>
      <w:r>
        <w:rPr>
          <w:rFonts w:hint="eastAsia" w:ascii="仿宋" w:hAnsi="仿宋" w:eastAsia="仿宋" w:cs="仿宋"/>
          <w:bCs/>
          <w:sz w:val="32"/>
          <w:szCs w:val="32"/>
        </w:rPr>
        <w:t>引导统战成员积极建言资政，开展政党协商4次、专题调研3次，收集意见建议56条，形成调研报告5篇，提交议（提）案220件。动员统战系统助力疫情防控，500余名民主党派成员、无党派人士、新阶人士闻令而动，在医疗救治、志愿服务等方面积极作为，奋战抗疫一线。组织统战力量服务乡村振兴，开展“三送”等社会服务活动40余次，全区民营企业、统战成员累计捐赠款物折币210万元。农工党巴州区总支在朱垭村建立具有学习培训、联谊交友、建言献策、社会服务等功能的农工党之家，探索形成“1234”工作法助力乡村振兴，得到省人大常委会副主任何延政的肯定性签批。</w:t>
      </w:r>
    </w:p>
    <w:p>
      <w:pPr>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四是融心融情促进民族团结。</w:t>
      </w:r>
      <w:r>
        <w:rPr>
          <w:rFonts w:hint="eastAsia" w:ascii="仿宋" w:hAnsi="仿宋" w:eastAsia="仿宋" w:cs="仿宋"/>
          <w:bCs/>
          <w:sz w:val="32"/>
          <w:szCs w:val="32"/>
        </w:rPr>
        <w:t>围绕少数民族群众就学、就业创业、维权等方面精准服务，帮助解决学生入学5人、群众就业8人，实施民族项目3个，惠及群众500余人，协助兑现藏族群众法院执行款10万元。在全市率先推进少数民族散杂居社区治理，在鼓楼社区打造同心广场，创新建立“红石榴服务站”，实行“三联系、四必访、五服务”工作机制，推行“三个三”工作法，承办了全省城市民族工作现场会，受到省委统战工作领导小组肯定。</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五是高质高量加强队伍建设。</w:t>
      </w:r>
      <w:r>
        <w:rPr>
          <w:rFonts w:hint="eastAsia" w:ascii="仿宋" w:hAnsi="仿宋" w:eastAsia="仿宋" w:cs="仿宋"/>
          <w:bCs/>
          <w:sz w:val="32"/>
          <w:szCs w:val="32"/>
        </w:rPr>
        <w:t>全覆盖调摸统战资源，建立党外代表人士“区域+领域+个人”3套台账共3000余人。联合组织部门、直工委举办统战、民宗干部专题培训3期260人次，推荐6名党外干部参加省、市培训，党外代表人士素质能力进一步提升。加强民主党派班子建设，配备民主党派主委1人、副主委2人，调整副主委1人。加大党外干部推荐力度，向区委推荐优秀党外干部11人，6人被提拔重用，党外干部队伍分布更均衡、层次更合理、衔接更有序。</w:t>
      </w:r>
    </w:p>
    <w:p>
      <w:pPr>
        <w:pStyle w:val="5"/>
        <w:spacing w:beforeLines="0" w:line="560" w:lineRule="exact"/>
        <w:ind w:firstLine="640" w:firstLineChars="200"/>
        <w:rPr>
          <w:rFonts w:ascii="仿宋" w:hAnsi="仿宋" w:eastAsia="仿宋" w:cs="仿宋"/>
          <w:bCs/>
          <w:sz w:val="32"/>
          <w:szCs w:val="32"/>
        </w:rPr>
      </w:pPr>
      <w:r>
        <w:rPr>
          <w:rFonts w:hint="eastAsia" w:ascii="楷体" w:hAnsi="楷体" w:eastAsia="楷体" w:cs="楷体"/>
          <w:bCs/>
          <w:sz w:val="32"/>
          <w:szCs w:val="32"/>
        </w:rPr>
        <w:t>六是依法依规整治突出问题。</w:t>
      </w:r>
      <w:r>
        <w:rPr>
          <w:rFonts w:hint="eastAsia" w:ascii="仿宋" w:hAnsi="仿宋" w:eastAsia="仿宋" w:cs="仿宋"/>
          <w:bCs/>
          <w:sz w:val="32"/>
          <w:szCs w:val="32"/>
        </w:rPr>
        <w:t>全力推进宗教领域殡葬治理，全面完成普佛寺、光福寺殡葬问题后续治理任务，共拆除格位2001个，搬迁骨灰盒3个，空盒8个。扎实推进红梅阁寺殡葬治理，坚定落实区委决策部署，牵头组建4个工作专班，先后16次召开专题会议研究推动，针对</w:t>
      </w:r>
      <w:r>
        <w:rPr>
          <w:rFonts w:hint="eastAsia" w:ascii="仿宋" w:hAnsi="仿宋" w:eastAsia="仿宋" w:cs="仿宋"/>
          <w:bCs/>
          <w:color w:val="000000"/>
          <w:kern w:val="2"/>
          <w:sz w:val="32"/>
          <w:szCs w:val="32"/>
        </w:rPr>
        <w:t>“关键人员”，</w:t>
      </w:r>
      <w:r>
        <w:rPr>
          <w:rFonts w:hint="eastAsia" w:ascii="仿宋" w:hAnsi="仿宋" w:eastAsia="仿宋" w:cs="仿宋"/>
          <w:bCs/>
          <w:sz w:val="32"/>
          <w:szCs w:val="32"/>
        </w:rPr>
        <w:t>落实“四包一”措施，着力做好问题化解和稳控工作。截至目前，已完成搬迁775个，其中灰盒78个，成功劝阻253人次到市赴省进京上访，宗教领域持续和谐稳定。</w:t>
      </w:r>
    </w:p>
    <w:p>
      <w:pPr>
        <w:overflowPunct w:val="0"/>
        <w:spacing w:line="560" w:lineRule="exact"/>
        <w:ind w:firstLine="640" w:firstLineChars="200"/>
        <w:rPr>
          <w:rFonts w:ascii="仿宋" w:hAnsi="仿宋" w:eastAsia="仿宋" w:cs="仿宋"/>
          <w:bCs/>
          <w:sz w:val="32"/>
          <w:szCs w:val="32"/>
        </w:rPr>
      </w:pPr>
      <w:r>
        <w:rPr>
          <w:rFonts w:hint="eastAsia" w:ascii="楷体" w:hAnsi="楷体" w:eastAsia="楷体" w:cs="楷体"/>
          <w:bCs/>
          <w:kern w:val="0"/>
          <w:sz w:val="32"/>
          <w:szCs w:val="32"/>
        </w:rPr>
        <w:t>七是尽心尽力化解民企诉求。</w:t>
      </w:r>
      <w:r>
        <w:rPr>
          <w:rFonts w:hint="eastAsia" w:ascii="仿宋" w:hAnsi="仿宋" w:eastAsia="仿宋" w:cs="仿宋"/>
          <w:bCs/>
          <w:sz w:val="32"/>
          <w:szCs w:val="32"/>
        </w:rPr>
        <w:t>结合市民诉求大起底，开展统战部长与民企面对面、“进百企解千难”活动，全年走访企业36家，协调办理企业诉求建议55条，召开政银企座谈会1次，推动6家企业实现“政担合作”贷款融资，向31家企业提供对口法律服务，审结涉企案件548件。有效化解市委统战部长与民营企业家“面对面”沟通协商反映诉求，茶叶产业发展投资奖补协议已全部完成签约，协调资金70余万元建设文旅康养企业反映的景区道路。</w:t>
      </w:r>
    </w:p>
    <w:p>
      <w:pPr>
        <w:overflowPunct w:val="0"/>
        <w:spacing w:line="560" w:lineRule="exact"/>
        <w:ind w:firstLine="640" w:firstLineChars="200"/>
        <w:rPr>
          <w:lang w:val="zh-CN"/>
        </w:rPr>
      </w:pPr>
      <w:r>
        <w:rPr>
          <w:rFonts w:hint="eastAsia" w:ascii="楷体" w:hAnsi="楷体" w:eastAsia="楷体" w:cs="楷体"/>
          <w:bCs/>
          <w:kern w:val="0"/>
          <w:sz w:val="32"/>
          <w:szCs w:val="32"/>
        </w:rPr>
        <w:t>八是多维多样推进统战宣传。</w:t>
      </w:r>
      <w:r>
        <w:rPr>
          <w:rFonts w:hint="eastAsia" w:ascii="仿宋" w:hAnsi="仿宋" w:eastAsia="仿宋" w:cs="仿宋"/>
          <w:bCs/>
          <w:sz w:val="32"/>
          <w:szCs w:val="32"/>
        </w:rPr>
        <w:t>聚焦“喜迎二十大·携手新时代”主题，接力开展“统战宣传月”活动，坚持阵地、活动、网络“三位一体”，重点发挥线上宣传优势，全年开设统战微课堂20期，开展主题宣讲6场次，在“巴州发布”开展统战知识有奖问答，3万余名干群参与统战知识问答，组织参加全市统战知识竞赛，线上获全市第一，线下县区第二。切实抓统战信息宣传工作，全年在中央、省、市统战媒体采用367条536分，完成全年目标任务的268%。</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（四）部门整体支出绩效目标。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1.预算编制的科学性和合理性：202</w:t>
      </w:r>
      <w:r>
        <w:rPr>
          <w:rFonts w:hint="eastAsia" w:ascii="仿宋_GB2312" w:hAnsi="仿宋_GB2312" w:cs="仿宋_GB2312"/>
          <w:sz w:val="32"/>
          <w:szCs w:val="32"/>
        </w:rPr>
        <w:t>2</w:t>
      </w:r>
      <w:r>
        <w:rPr>
          <w:rFonts w:hint="eastAsia" w:ascii="仿宋_GB2312" w:hAnsi="仿宋_GB2312" w:eastAsia="仿宋_GB2312" w:cs="仿宋_GB2312"/>
          <w:sz w:val="32"/>
          <w:szCs w:val="32"/>
        </w:rPr>
        <w:t>年预算编制严格按照《预算法》进行编制。无预算科目运用错误，无人员漏报，确保预算编制工作的科学性和合理性，人员实际支出与预算支出相吻合。</w:t>
      </w:r>
    </w:p>
    <w:p>
      <w:pPr>
        <w:widowControl/>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lang w:val="zh-CN"/>
        </w:rPr>
        <w:t>2.绩效目标填报完整性和可行性：完整性方面，20</w:t>
      </w:r>
      <w:r>
        <w:rPr>
          <w:rFonts w:hint="eastAsia" w:ascii="仿宋_GB2312" w:hAnsi="仿宋_GB2312" w:eastAsia="仿宋_GB2312" w:cs="仿宋_GB2312"/>
          <w:color w:val="000000"/>
          <w:kern w:val="0"/>
          <w:sz w:val="32"/>
          <w:szCs w:val="32"/>
          <w:shd w:val="clear" w:color="auto" w:fill="FFFFFF"/>
        </w:rPr>
        <w:t>2</w:t>
      </w:r>
      <w:r>
        <w:rPr>
          <w:rFonts w:hint="eastAsia" w:ascii="仿宋_GB2312" w:hAnsi="仿宋_GB2312" w:cs="仿宋_GB2312"/>
          <w:color w:val="000000"/>
          <w:kern w:val="0"/>
          <w:sz w:val="32"/>
          <w:szCs w:val="32"/>
          <w:shd w:val="clear" w:color="auto" w:fill="FFFFFF"/>
        </w:rPr>
        <w:t>2</w:t>
      </w:r>
      <w:r>
        <w:rPr>
          <w:rFonts w:hint="eastAsia" w:ascii="仿宋_GB2312" w:hAnsi="仿宋_GB2312" w:eastAsia="仿宋_GB2312" w:cs="仿宋_GB2312"/>
          <w:color w:val="000000"/>
          <w:kern w:val="0"/>
          <w:sz w:val="32"/>
          <w:szCs w:val="32"/>
          <w:shd w:val="clear" w:color="auto" w:fill="FFFFFF"/>
          <w:lang w:val="zh-CN"/>
        </w:rPr>
        <w:t>年我单位</w:t>
      </w:r>
      <w:r>
        <w:rPr>
          <w:rFonts w:hint="eastAsia" w:ascii="仿宋_GB2312" w:hAnsi="仿宋_GB2312" w:eastAsia="仿宋_GB2312" w:cs="仿宋_GB2312"/>
          <w:sz w:val="32"/>
          <w:szCs w:val="32"/>
        </w:rPr>
        <w:t>按照区财政的要求，</w:t>
      </w:r>
      <w:r>
        <w:rPr>
          <w:rFonts w:hint="eastAsia" w:ascii="仿宋_GB2312" w:hAnsi="仿宋_GB2312" w:eastAsia="仿宋_GB2312" w:cs="仿宋_GB2312"/>
          <w:color w:val="000000"/>
          <w:kern w:val="0"/>
          <w:sz w:val="32"/>
          <w:szCs w:val="32"/>
          <w:shd w:val="clear" w:color="auto" w:fill="FFFFFF"/>
          <w:lang w:val="zh-CN"/>
        </w:rPr>
        <w:t>整体支出绩效目标的各项要素填报规范，内容清晰明确；可行性方面，绩效目标与预算资金规模匹配，绩效指标的指标值设置合理,较好的如期完成。</w:t>
      </w:r>
    </w:p>
    <w:p>
      <w:pPr>
        <w:widowControl/>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3.绩效目标过程监督的规范性和长效性：我单位根据区财政的有关要求，严格遵守单位的财政资金管理办法、内部财务管理制度，会计核算制度等管理制度，对绩效目标过程实施有效监控。</w:t>
      </w:r>
    </w:p>
    <w:p>
      <w:pPr>
        <w:widowControl/>
        <w:adjustRightInd w:val="0"/>
        <w:snapToGrid w:val="0"/>
        <w:spacing w:line="576" w:lineRule="exact"/>
        <w:ind w:firstLine="640" w:firstLineChars="200"/>
        <w:jc w:val="left"/>
        <w:rPr>
          <w:lang w:val="zh-CN"/>
        </w:rPr>
      </w:pPr>
      <w:r>
        <w:rPr>
          <w:rFonts w:hint="eastAsia" w:ascii="仿宋_GB2312" w:hAnsi="仿宋_GB2312" w:eastAsia="仿宋_GB2312" w:cs="仿宋_GB2312"/>
          <w:sz w:val="32"/>
          <w:szCs w:val="32"/>
        </w:rPr>
        <w:t>4.绩效评价的客观性和公正性：我单位按照有关工作要求，认真、负责、客观、公正地开展此次绩效评价工作，较好实现了绩效评价的客观性和公正性要求。</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pStyle w:val="14"/>
        <w:widowControl/>
        <w:shd w:val="clear" w:color="auto" w:fill="FFFFFF"/>
        <w:spacing w:before="0" w:beforeAutospacing="0" w:after="0" w:afterAutospacing="0" w:line="576" w:lineRule="exact"/>
        <w:ind w:firstLine="640" w:firstLineChars="200"/>
      </w:pP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zh-CN"/>
        </w:rPr>
        <w:t>年区委统战部收入决算总额为</w:t>
      </w:r>
      <w:r>
        <w:rPr>
          <w:rFonts w:hint="eastAsia" w:ascii="仿宋_GB2312" w:hAnsi="仿宋_GB2312" w:eastAsia="仿宋_GB2312" w:cs="仿宋_GB2312"/>
          <w:sz w:val="32"/>
          <w:szCs w:val="32"/>
        </w:rPr>
        <w:t>472.25</w:t>
      </w:r>
      <w:r>
        <w:rPr>
          <w:rFonts w:hint="eastAsia" w:ascii="仿宋_GB2312" w:hAnsi="仿宋_GB2312" w:eastAsia="仿宋_GB2312" w:cs="仿宋_GB2312"/>
          <w:sz w:val="32"/>
          <w:szCs w:val="32"/>
          <w:lang w:val="zh-CN"/>
        </w:rPr>
        <w:t>万元，其中：当年财政拨款收入</w:t>
      </w:r>
      <w:r>
        <w:rPr>
          <w:rFonts w:hint="eastAsia" w:ascii="仿宋_GB2312" w:hAnsi="仿宋_GB2312" w:eastAsia="仿宋_GB2312" w:cs="仿宋_GB2312"/>
          <w:sz w:val="32"/>
          <w:szCs w:val="32"/>
        </w:rPr>
        <w:t>472.25</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2.部门总体支出情况</w:t>
      </w:r>
    </w:p>
    <w:p>
      <w:pPr>
        <w:spacing w:line="576"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202</w:t>
      </w:r>
      <w:r>
        <w:rPr>
          <w:rFonts w:hint="eastAsia" w:ascii="仿宋_GB2312" w:hAnsi="仿宋_GB2312" w:cs="仿宋_GB2312"/>
          <w:kern w:val="0"/>
          <w:sz w:val="32"/>
          <w:szCs w:val="32"/>
        </w:rPr>
        <w:t>2</w:t>
      </w:r>
      <w:r>
        <w:rPr>
          <w:rFonts w:hint="eastAsia" w:ascii="仿宋_GB2312" w:hAnsi="仿宋_GB2312" w:eastAsia="仿宋_GB2312" w:cs="仿宋_GB2312"/>
          <w:kern w:val="0"/>
          <w:sz w:val="32"/>
          <w:szCs w:val="32"/>
        </w:rPr>
        <w:t>年区委统战部支出决算</w:t>
      </w:r>
      <w:r>
        <w:rPr>
          <w:rFonts w:hint="eastAsia" w:ascii="仿宋_GB2312" w:hAnsi="仿宋_GB2312" w:eastAsia="仿宋_GB2312" w:cs="仿宋_GB2312"/>
          <w:sz w:val="32"/>
          <w:szCs w:val="32"/>
        </w:rPr>
        <w:t>472.25</w:t>
      </w:r>
      <w:r>
        <w:rPr>
          <w:rFonts w:hint="eastAsia" w:ascii="仿宋_GB2312" w:hAnsi="仿宋_GB2312" w:eastAsia="仿宋_GB2312" w:cs="仿宋_GB2312"/>
          <w:kern w:val="0"/>
          <w:sz w:val="32"/>
          <w:szCs w:val="32"/>
        </w:rPr>
        <w:t>万元，其中：工资福利支出</w:t>
      </w:r>
      <w:r>
        <w:rPr>
          <w:rFonts w:hint="eastAsia" w:ascii="仿宋_GB2312" w:hAnsi="仿宋_GB2312" w:cs="仿宋_GB2312"/>
          <w:kern w:val="0"/>
          <w:sz w:val="32"/>
          <w:szCs w:val="32"/>
        </w:rPr>
        <w:t>217.76</w:t>
      </w:r>
      <w:r>
        <w:rPr>
          <w:rFonts w:hint="eastAsia" w:ascii="仿宋_GB2312" w:hAnsi="仿宋_GB2312" w:eastAsia="仿宋_GB2312" w:cs="仿宋_GB2312"/>
          <w:kern w:val="0"/>
          <w:sz w:val="32"/>
          <w:szCs w:val="32"/>
        </w:rPr>
        <w:t>万元，商品和服务支出</w:t>
      </w:r>
      <w:r>
        <w:rPr>
          <w:rFonts w:hint="eastAsia" w:ascii="仿宋_GB2312" w:hAnsi="仿宋_GB2312" w:cs="仿宋_GB2312"/>
          <w:kern w:val="0"/>
          <w:sz w:val="32"/>
          <w:szCs w:val="32"/>
        </w:rPr>
        <w:t>147.39</w:t>
      </w:r>
      <w:r>
        <w:rPr>
          <w:rFonts w:hint="eastAsia" w:ascii="仿宋_GB2312" w:hAnsi="仿宋_GB2312" w:eastAsia="仿宋_GB2312" w:cs="仿宋_GB2312"/>
          <w:kern w:val="0"/>
          <w:sz w:val="32"/>
          <w:szCs w:val="32"/>
        </w:rPr>
        <w:t>万元，对个人和家庭的补助</w:t>
      </w:r>
      <w:r>
        <w:rPr>
          <w:rFonts w:hint="eastAsia" w:ascii="仿宋_GB2312" w:hAnsi="仿宋_GB2312" w:cs="仿宋_GB2312"/>
          <w:kern w:val="0"/>
          <w:sz w:val="32"/>
          <w:szCs w:val="32"/>
        </w:rPr>
        <w:t>7.1</w:t>
      </w:r>
      <w:r>
        <w:rPr>
          <w:rFonts w:hint="eastAsia" w:ascii="仿宋_GB2312" w:hAnsi="仿宋_GB2312" w:eastAsia="仿宋_GB2312" w:cs="仿宋_GB2312"/>
          <w:kern w:val="0"/>
          <w:sz w:val="32"/>
          <w:szCs w:val="32"/>
        </w:rPr>
        <w:t>万元，资本性支出</w:t>
      </w:r>
      <w:r>
        <w:rPr>
          <w:rFonts w:hint="eastAsia" w:ascii="仿宋_GB2312" w:hAnsi="仿宋_GB2312" w:cs="仿宋_GB2312"/>
          <w:kern w:val="0"/>
          <w:sz w:val="32"/>
          <w:szCs w:val="32"/>
        </w:rPr>
        <w:t>100</w:t>
      </w:r>
      <w:r>
        <w:rPr>
          <w:rFonts w:hint="eastAsia" w:ascii="仿宋_GB2312" w:hAnsi="仿宋_GB2312" w:eastAsia="仿宋_GB2312" w:cs="仿宋_GB2312"/>
          <w:kern w:val="0"/>
          <w:sz w:val="32"/>
          <w:szCs w:val="32"/>
        </w:rPr>
        <w:t>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pStyle w:val="5"/>
        <w:spacing w:before="93"/>
      </w:pPr>
      <w:r>
        <w:rPr>
          <w:rFonts w:hint="eastAsia" w:hAnsi="仿宋_GB2312" w:cs="仿宋_GB2312"/>
          <w:sz w:val="32"/>
          <w:szCs w:val="32"/>
        </w:rPr>
        <w:t>2022年区委统战部结转结余0万元。</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zh-CN"/>
        </w:rPr>
        <w:t>年区委统战部财拨款收入决算总额为</w:t>
      </w:r>
      <w:r>
        <w:rPr>
          <w:rFonts w:hint="eastAsia" w:ascii="仿宋_GB2312" w:hAnsi="仿宋_GB2312" w:eastAsia="仿宋_GB2312" w:cs="仿宋_GB2312"/>
          <w:sz w:val="32"/>
          <w:szCs w:val="32"/>
        </w:rPr>
        <w:t>472.25</w:t>
      </w:r>
      <w:r>
        <w:rPr>
          <w:rFonts w:hint="eastAsia" w:ascii="仿宋_GB2312" w:hAnsi="仿宋_GB2312" w:eastAsia="仿宋_GB2312" w:cs="仿宋_GB2312"/>
          <w:sz w:val="32"/>
          <w:szCs w:val="32"/>
          <w:lang w:val="zh-CN"/>
        </w:rPr>
        <w:t>万元，</w:t>
      </w:r>
      <w:r>
        <w:rPr>
          <w:rFonts w:hint="eastAsia" w:ascii="仿宋_GB2312" w:hAnsi="宋体" w:eastAsia="仿宋_GB2312" w:cs="宋体"/>
          <w:color w:val="000000"/>
          <w:kern w:val="0"/>
          <w:sz w:val="32"/>
          <w:szCs w:val="32"/>
          <w:shd w:val="clear" w:color="auto" w:fill="FFFFFF"/>
          <w:lang w:val="zh-CN"/>
        </w:rPr>
        <w:t>其中：一般公共预算财政拨款收入</w:t>
      </w:r>
      <w:r>
        <w:rPr>
          <w:rFonts w:hint="eastAsia" w:ascii="仿宋_GB2312" w:hAnsi="宋体" w:eastAsia="仿宋_GB2312" w:cs="宋体"/>
          <w:color w:val="000000"/>
          <w:kern w:val="0"/>
          <w:sz w:val="32"/>
          <w:szCs w:val="32"/>
          <w:shd w:val="clear" w:color="auto" w:fill="FFFFFF"/>
        </w:rPr>
        <w:t>472.25</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2.部门财政拨款支出情况</w:t>
      </w:r>
    </w:p>
    <w:p>
      <w:pPr>
        <w:widowControl/>
        <w:adjustRightInd w:val="0"/>
        <w:snapToGrid w:val="0"/>
        <w:spacing w:line="560" w:lineRule="exact"/>
        <w:ind w:firstLine="640" w:firstLineChars="200"/>
        <w:contextualSpacing/>
        <w:jc w:val="left"/>
      </w:pPr>
      <w:r>
        <w:rPr>
          <w:rFonts w:hint="eastAsia" w:ascii="仿宋_GB2312" w:hAnsi="宋体" w:eastAsia="仿宋_GB2312" w:cs="宋体"/>
          <w:color w:val="000000"/>
          <w:kern w:val="0"/>
          <w:sz w:val="32"/>
          <w:szCs w:val="32"/>
          <w:shd w:val="clear" w:color="auto" w:fill="FFFFFF"/>
          <w:lang w:val="zh-CN"/>
        </w:rPr>
        <w:t>2022年</w:t>
      </w:r>
      <w:r>
        <w:rPr>
          <w:rFonts w:hint="eastAsia" w:ascii="仿宋_GB2312" w:hAnsi="仿宋_GB2312" w:eastAsia="仿宋_GB2312" w:cs="仿宋_GB2312"/>
          <w:sz w:val="32"/>
          <w:szCs w:val="32"/>
          <w:lang w:val="zh-CN"/>
        </w:rPr>
        <w:t>区委统战部</w:t>
      </w:r>
      <w:r>
        <w:rPr>
          <w:rFonts w:hint="eastAsia" w:ascii="仿宋_GB2312" w:hAnsi="宋体" w:eastAsia="仿宋_GB2312" w:cs="宋体"/>
          <w:color w:val="000000"/>
          <w:kern w:val="0"/>
          <w:sz w:val="32"/>
          <w:szCs w:val="32"/>
          <w:shd w:val="clear" w:color="auto" w:fill="FFFFFF"/>
          <w:lang w:val="zh-CN"/>
        </w:rPr>
        <w:t>财政拨款支出</w:t>
      </w:r>
      <w:r>
        <w:rPr>
          <w:rFonts w:hint="eastAsia" w:ascii="仿宋_GB2312" w:hAnsi="宋体" w:eastAsia="仿宋_GB2312" w:cs="宋体"/>
          <w:color w:val="000000"/>
          <w:kern w:val="0"/>
          <w:sz w:val="32"/>
          <w:szCs w:val="32"/>
          <w:shd w:val="clear" w:color="auto" w:fill="FFFFFF"/>
        </w:rPr>
        <w:t>472.25</w:t>
      </w:r>
      <w:r>
        <w:rPr>
          <w:rFonts w:hint="eastAsia" w:ascii="仿宋_GB2312" w:hAnsi="宋体" w:eastAsia="仿宋_GB2312" w:cs="宋体"/>
          <w:color w:val="000000"/>
          <w:kern w:val="0"/>
          <w:sz w:val="32"/>
          <w:szCs w:val="32"/>
          <w:shd w:val="clear" w:color="auto" w:fill="FFFFFF"/>
          <w:lang w:val="zh-CN"/>
        </w:rPr>
        <w:t>元。其中：基本支出</w:t>
      </w:r>
      <w:r>
        <w:rPr>
          <w:rFonts w:hint="eastAsia" w:ascii="仿宋_GB2312" w:hAnsi="宋体" w:eastAsia="仿宋_GB2312" w:cs="宋体"/>
          <w:color w:val="000000"/>
          <w:kern w:val="0"/>
          <w:sz w:val="32"/>
          <w:szCs w:val="32"/>
          <w:shd w:val="clear" w:color="auto" w:fill="FFFFFF"/>
        </w:rPr>
        <w:t>250.25</w:t>
      </w:r>
      <w:r>
        <w:rPr>
          <w:rFonts w:hint="eastAsia" w:ascii="仿宋_GB2312" w:hAnsi="宋体" w:eastAsia="仿宋_GB2312" w:cs="宋体"/>
          <w:color w:val="000000"/>
          <w:kern w:val="0"/>
          <w:sz w:val="32"/>
          <w:szCs w:val="32"/>
          <w:shd w:val="clear" w:color="auto" w:fill="FFFFFF"/>
          <w:lang w:val="zh-CN"/>
        </w:rPr>
        <w:t>万元，项目支出</w:t>
      </w:r>
      <w:r>
        <w:rPr>
          <w:rFonts w:hint="eastAsia" w:ascii="仿宋_GB2312" w:hAnsi="宋体" w:eastAsia="仿宋_GB2312" w:cs="宋体"/>
          <w:color w:val="000000"/>
          <w:kern w:val="0"/>
          <w:sz w:val="32"/>
          <w:szCs w:val="32"/>
          <w:shd w:val="clear" w:color="auto" w:fill="FFFFFF"/>
        </w:rPr>
        <w:t>222</w:t>
      </w:r>
      <w:r>
        <w:rPr>
          <w:rFonts w:hint="eastAsia" w:ascii="仿宋_GB2312" w:hAnsi="宋体" w:eastAsia="仿宋_GB2312" w:cs="宋体"/>
          <w:color w:val="000000"/>
          <w:kern w:val="0"/>
          <w:sz w:val="32"/>
          <w:szCs w:val="32"/>
          <w:shd w:val="clear" w:color="auto" w:fill="FFFFFF"/>
          <w:lang w:val="zh-CN"/>
        </w:rPr>
        <w:t>万元。按照支出经济分类：工资福利支出</w:t>
      </w:r>
      <w:r>
        <w:rPr>
          <w:rFonts w:hint="eastAsia" w:ascii="仿宋_GB2312" w:hAnsi="宋体" w:eastAsia="仿宋_GB2312" w:cs="宋体"/>
          <w:color w:val="000000"/>
          <w:kern w:val="0"/>
          <w:sz w:val="32"/>
          <w:szCs w:val="32"/>
          <w:shd w:val="clear" w:color="auto" w:fill="FFFFFF"/>
        </w:rPr>
        <w:t>214.55</w:t>
      </w:r>
      <w:r>
        <w:rPr>
          <w:rFonts w:hint="eastAsia" w:ascii="仿宋_GB2312" w:hAnsi="宋体" w:eastAsia="仿宋_GB2312" w:cs="宋体"/>
          <w:color w:val="000000"/>
          <w:kern w:val="0"/>
          <w:sz w:val="32"/>
          <w:szCs w:val="32"/>
          <w:shd w:val="clear" w:color="auto" w:fill="FFFFFF"/>
          <w:lang w:val="zh-CN"/>
        </w:rPr>
        <w:t>万元，商品和服务支出</w:t>
      </w:r>
      <w:r>
        <w:rPr>
          <w:rFonts w:hint="eastAsia" w:ascii="仿宋_GB2312" w:hAnsi="宋体" w:eastAsia="仿宋_GB2312" w:cs="宋体"/>
          <w:color w:val="000000"/>
          <w:kern w:val="0"/>
          <w:sz w:val="32"/>
          <w:szCs w:val="32"/>
          <w:shd w:val="clear" w:color="auto" w:fill="FFFFFF"/>
        </w:rPr>
        <w:t>150.59</w:t>
      </w:r>
      <w:r>
        <w:rPr>
          <w:rFonts w:hint="eastAsia" w:ascii="仿宋_GB2312" w:hAnsi="宋体" w:eastAsia="仿宋_GB2312" w:cs="宋体"/>
          <w:color w:val="000000"/>
          <w:kern w:val="0"/>
          <w:sz w:val="32"/>
          <w:szCs w:val="32"/>
          <w:shd w:val="clear" w:color="auto" w:fill="FFFFFF"/>
          <w:lang w:val="zh-CN"/>
        </w:rPr>
        <w:t>万元，对个人和家庭的补助支出</w:t>
      </w:r>
      <w:r>
        <w:rPr>
          <w:rFonts w:hint="eastAsia" w:ascii="仿宋_GB2312" w:hAnsi="宋体" w:eastAsia="仿宋_GB2312" w:cs="宋体"/>
          <w:color w:val="000000"/>
          <w:kern w:val="0"/>
          <w:sz w:val="32"/>
          <w:szCs w:val="32"/>
          <w:shd w:val="clear" w:color="auto" w:fill="FFFFFF"/>
        </w:rPr>
        <w:t>7.11万元，资格性支出100万元</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3.部门财政拨款结转结余情况</w:t>
      </w:r>
    </w:p>
    <w:p>
      <w:pPr>
        <w:adjustRightInd w:val="0"/>
        <w:snapToGrid w:val="0"/>
        <w:spacing w:line="540" w:lineRule="exact"/>
        <w:ind w:firstLine="640" w:firstLineChars="200"/>
        <w:rPr>
          <w:rFonts w:ascii="黑体" w:hAnsi="宋体" w:eastAsia="黑体" w:cs="宋体"/>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2022年末，部门财政拨款结转结余0万元。</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三、部门整体绩效分析（根据适用指标体系进行调整，涉及到有专项资金预算项目的部门，专项资金预算项目自评报告作为本报告附件一并公开）</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adjustRightInd w:val="0"/>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val="zh-CN"/>
        </w:rPr>
        <w:t>区委统战部</w:t>
      </w:r>
      <w:r>
        <w:rPr>
          <w:rFonts w:hint="eastAsia" w:ascii="仿宋_GB2312" w:hAnsi="宋体" w:eastAsia="仿宋_GB2312" w:cs="宋体"/>
          <w:color w:val="000000"/>
          <w:kern w:val="0"/>
          <w:sz w:val="32"/>
          <w:szCs w:val="32"/>
          <w:shd w:val="clear" w:color="auto" w:fill="FFFFFF"/>
          <w:lang w:val="zh-CN"/>
        </w:rPr>
        <w:t>2022年人员类项目预算绩效目标主要按照有关部门核定的数据，确保单位职工的工资、养老保险、职业年金、医疗保险、公积金等及时发放和缴纳，确保单位运转正常。包括了项目完成指标、效益指标和满意度指标。大部分项目绩效目标设有必要的数量指标和效益指标，目标设置较合理。</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adjustRightInd w:val="0"/>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val="zh-CN"/>
        </w:rPr>
        <w:t>区委统战部</w:t>
      </w:r>
      <w:r>
        <w:rPr>
          <w:rFonts w:hint="eastAsia" w:ascii="仿宋_GB2312" w:hAnsi="宋体" w:eastAsia="仿宋_GB2312" w:cs="宋体"/>
          <w:color w:val="000000"/>
          <w:kern w:val="0"/>
          <w:sz w:val="32"/>
          <w:szCs w:val="32"/>
          <w:shd w:val="clear" w:color="auto" w:fill="FFFFFF"/>
          <w:lang w:val="zh-CN"/>
        </w:rPr>
        <w:t>2022年运转类预算项目绩效目标主要按照有关部门核定的数据，确保单位正常办公运转顺利。包括了项目完成指标、效益指标和满意度指标。大部分项目绩效目标设有必要的数量指标和效益指标，目标设置较合理。</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adjustRightInd w:val="0"/>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val="zh-CN"/>
        </w:rPr>
        <w:t>区委统战部</w:t>
      </w:r>
      <w:r>
        <w:rPr>
          <w:rFonts w:hint="eastAsia" w:ascii="仿宋_GB2312" w:hAnsi="宋体" w:eastAsia="仿宋_GB2312" w:cs="宋体"/>
          <w:color w:val="000000"/>
          <w:kern w:val="0"/>
          <w:sz w:val="32"/>
          <w:szCs w:val="32"/>
          <w:shd w:val="clear" w:color="auto" w:fill="FFFFFF"/>
          <w:lang w:val="zh-CN"/>
        </w:rPr>
        <w:t>2022年</w:t>
      </w:r>
      <w:r>
        <w:rPr>
          <w:rFonts w:hint="eastAsia" w:ascii="仿宋_GB2312" w:hAnsi="仿宋_GB2312" w:eastAsia="仿宋_GB2312" w:cs="仿宋_GB2312"/>
          <w:kern w:val="0"/>
          <w:sz w:val="32"/>
          <w:szCs w:val="32"/>
          <w:shd w:val="clear" w:color="auto" w:fill="FFFFFF"/>
        </w:rPr>
        <w:t>特定目标类项目</w:t>
      </w:r>
      <w:r>
        <w:rPr>
          <w:rFonts w:hint="eastAsia" w:ascii="仿宋_GB2312" w:hAnsi="宋体" w:eastAsia="仿宋_GB2312" w:cs="宋体"/>
          <w:color w:val="000000"/>
          <w:kern w:val="0"/>
          <w:sz w:val="32"/>
          <w:szCs w:val="32"/>
          <w:shd w:val="clear" w:color="auto" w:fill="FFFFFF"/>
          <w:lang w:val="zh-CN"/>
        </w:rPr>
        <w:t>绩效目标主要按照有关部门核定的数据，确保单位开展各项职能工作，确保区委区政府交办的各项工作任务顺利完成。包括了项目完成指标、效益指标和满意度指标。大部分项目绩效目标设有必要的数量指标和效益指标，目标设置较合理。</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1.工作制度。</w:t>
      </w:r>
      <w:r>
        <w:rPr>
          <w:rFonts w:hint="eastAsia" w:ascii="仿宋_GB2312" w:hAnsi="仿宋_GB2312" w:eastAsia="仿宋_GB2312" w:cs="仿宋_GB2312"/>
          <w:color w:val="000000"/>
          <w:kern w:val="0"/>
          <w:sz w:val="32"/>
          <w:szCs w:val="32"/>
          <w:shd w:val="clear" w:color="auto" w:fill="FFFFFF"/>
        </w:rPr>
        <w:t>高度重视财政支出管理工作制度建设，精心组织，强化责任，切实做到思想认识到位、人员安排到位、工作措施到位，保障了财政各项工作的顺利开展。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2.纪律制度。区委统战部严肃财经纪律制度，确保了财政支出合规合法。</w:t>
      </w:r>
    </w:p>
    <w:p>
      <w:pPr>
        <w:spacing w:line="576"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3.财务制度。区委统战部自身全面负责财务工作，具体的财务工作定岗定员落实到具体的责任人，设有会计、出纳、审核等岗位，财务工作严格按照相关的</w:t>
      </w:r>
      <w:r>
        <w:rPr>
          <w:rFonts w:hint="eastAsia" w:ascii="仿宋_GB2312" w:hAnsi="仿宋_GB2312" w:eastAsia="仿宋_GB2312" w:cs="仿宋_GB2312"/>
          <w:color w:val="000000"/>
          <w:kern w:val="0"/>
          <w:sz w:val="32"/>
          <w:szCs w:val="32"/>
          <w:shd w:val="clear" w:color="auto" w:fill="FFFFFF"/>
          <w:lang w:val="zh-CN"/>
        </w:rPr>
        <w:t>财务管理规章制度执行，所有支出的原始单据必须经过经办人签字，会计初审，审核岗复核签字方能拨付资金，努力达到支出单据合法合规、真实有效、附件齐全、报帐及时。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4.内控制度管理情况：机关建立和健全了预算业务管理、收支业务管理、政府采购业务管理、资产管理、合同管理等内部控制制度。查找了风险点，完善了业务流程。使经济业务管理更规范，健康。</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adjustRightInd w:val="0"/>
        <w:snapToGrid w:val="0"/>
        <w:spacing w:line="54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1.内部应用</w:t>
      </w:r>
    </w:p>
    <w:p>
      <w:pPr>
        <w:adjustRightInd w:val="0"/>
        <w:snapToGrid w:val="0"/>
        <w:spacing w:line="54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建立了内设股室与考核绩效挂钩制度，将单位绩效评价情况反馈给内设股室，对单位的日常工作进行考核。</w:t>
      </w:r>
    </w:p>
    <w:p>
      <w:pPr>
        <w:adjustRightInd w:val="0"/>
        <w:snapToGrid w:val="0"/>
        <w:spacing w:line="54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2.自评公开</w:t>
      </w:r>
    </w:p>
    <w:p>
      <w:pPr>
        <w:adjustRightInd w:val="0"/>
        <w:snapToGrid w:val="0"/>
        <w:spacing w:line="54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按照财政规定的时间、门户网站及时公开部门整体绩效自评报告，做到准确、真实、完整、及时、详细，接收社会各界监督。</w:t>
      </w:r>
    </w:p>
    <w:p>
      <w:pPr>
        <w:adjustRightInd w:val="0"/>
        <w:snapToGrid w:val="0"/>
        <w:spacing w:line="54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3.问题整改</w:t>
      </w:r>
    </w:p>
    <w:p>
      <w:pPr>
        <w:adjustRightInd w:val="0"/>
        <w:snapToGrid w:val="0"/>
        <w:spacing w:line="54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无明显问题。在部门整体绩效目标制定的科学性、合理性、执行的必要性方面还存在不足，需要跟部门的内设股室加强沟通，了解他们的需求，多与财政等业务部门加强联系，及时处理发现的问题。</w:t>
      </w:r>
    </w:p>
    <w:p>
      <w:pPr>
        <w:adjustRightInd w:val="0"/>
        <w:snapToGrid w:val="0"/>
        <w:spacing w:line="54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4.应用反馈等情况。</w:t>
      </w:r>
    </w:p>
    <w:p>
      <w:pPr>
        <w:adjustRightInd w:val="0"/>
        <w:snapToGrid w:val="0"/>
        <w:spacing w:line="540" w:lineRule="exact"/>
        <w:ind w:firstLine="640" w:firstLineChars="200"/>
        <w:rPr>
          <w:rFonts w:ascii="方正楷体_GBK" w:eastAsia="方正楷体_GBK"/>
          <w:b/>
          <w:color w:val="000000"/>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把年初的预算目标、执行过程、年底的预算执行情况，及时的向单位领导、内设股室反馈，及时将发现的问题反馈给财政部门，找出问题和原因 ，制定措施，及时整改。</w:t>
      </w:r>
    </w:p>
    <w:p>
      <w:pPr>
        <w:widowControl/>
        <w:numPr>
          <w:ilvl w:val="0"/>
          <w:numId w:val="2"/>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val="zh-CN"/>
        </w:rPr>
        <w:t>区委统战部</w:t>
      </w:r>
      <w:r>
        <w:rPr>
          <w:rFonts w:hint="eastAsia" w:ascii="仿宋_GB2312" w:hAnsi="仿宋_GB2312" w:eastAsia="仿宋_GB2312" w:cs="仿宋_GB2312"/>
          <w:kern w:val="0"/>
          <w:sz w:val="32"/>
          <w:szCs w:val="32"/>
          <w:shd w:val="clear" w:color="auto" w:fill="FFFFFF"/>
        </w:rPr>
        <w:t>组织自评工作领导小组，认真开展部门整体支出绩效自评工作，从基础工作管理、绩效目标管理、评价结果应用、绩效管理创新、监督发现问题五个大指标共38个细指标着手，全面认真分析，查找原因，制定整改措施，确保自评工作高效高质。2022年度部门整体支出绩效自评等级为优秀，自评分93分。</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spacing w:line="576" w:lineRule="exact"/>
        <w:ind w:firstLine="640" w:firstLineChars="200"/>
        <w:rPr>
          <w:rFonts w:ascii="楷体_GB2312" w:hAnsi="楷体_GB2312" w:eastAsia="楷体_GB2312" w:cs="楷体_GB2312"/>
          <w:b/>
          <w:bCs/>
          <w:kern w:val="0"/>
          <w:sz w:val="32"/>
          <w:szCs w:val="32"/>
          <w:shd w:val="clear" w:color="auto" w:fill="FFFFFF"/>
          <w:lang w:val="zh-CN"/>
        </w:rPr>
      </w:pPr>
      <w:r>
        <w:rPr>
          <w:rFonts w:hint="eastAsia" w:ascii="仿宋_GB2312" w:hAnsi="仿宋_GB2312" w:eastAsia="仿宋_GB2312" w:cs="仿宋_GB2312"/>
          <w:sz w:val="32"/>
          <w:szCs w:val="32"/>
        </w:rPr>
        <w:t>202</w:t>
      </w:r>
      <w:r>
        <w:rPr>
          <w:rFonts w:hint="eastAsia" w:ascii="仿宋_GB2312" w:hAnsi="仿宋_GB2312" w:cs="仿宋_GB2312"/>
          <w:sz w:val="32"/>
          <w:szCs w:val="32"/>
        </w:rPr>
        <w:t>2</w:t>
      </w:r>
      <w:r>
        <w:rPr>
          <w:rFonts w:hint="eastAsia" w:ascii="仿宋_GB2312" w:hAnsi="仿宋_GB2312" w:eastAsia="仿宋_GB2312" w:cs="仿宋_GB2312"/>
          <w:sz w:val="32"/>
          <w:szCs w:val="32"/>
        </w:rPr>
        <w:t>年度部门支出绩效自评得分：9</w:t>
      </w:r>
      <w:r>
        <w:rPr>
          <w:rFonts w:hint="eastAsia" w:ascii="仿宋_GB2312" w:hAnsi="仿宋_GB2312" w:cs="仿宋_GB2312"/>
          <w:sz w:val="32"/>
          <w:szCs w:val="32"/>
        </w:rPr>
        <w:t>3</w:t>
      </w:r>
      <w:r>
        <w:rPr>
          <w:rFonts w:hint="eastAsia" w:ascii="仿宋_GB2312" w:hAnsi="仿宋_GB2312" w:eastAsia="仿宋_GB2312" w:cs="仿宋_GB2312"/>
          <w:sz w:val="32"/>
          <w:szCs w:val="32"/>
        </w:rPr>
        <w:t>分。评价等级：优秀。</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由于区委统战部机构改革，人员不断增加等原因，预算指标较往年相差较大，导致预算编制不够准确，调整预算数额较大，</w:t>
      </w:r>
      <w:r>
        <w:rPr>
          <w:rFonts w:hint="eastAsia" w:ascii="仿宋" w:hAnsi="仿宋" w:eastAsia="仿宋"/>
          <w:sz w:val="32"/>
          <w:szCs w:val="32"/>
        </w:rPr>
        <w:t>预算绩效管理的专业水平有待进一步提高。</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spacing w:line="576" w:lineRule="exact"/>
        <w:ind w:firstLine="640" w:firstLineChars="200"/>
        <w:rPr>
          <w:rFonts w:eastAsia="仿宋_GB2312"/>
        </w:rPr>
      </w:pPr>
      <w:r>
        <w:rPr>
          <w:rFonts w:hint="eastAsia" w:ascii="仿宋_GB2312" w:hAnsi="仿宋_GB2312" w:eastAsia="仿宋_GB2312" w:cs="仿宋_GB2312"/>
          <w:sz w:val="32"/>
          <w:szCs w:val="32"/>
          <w:lang w:val="zh-CN"/>
        </w:rPr>
        <w:t>建议区财政局年初加大项目资金预算安排，使预算编制更加及时、合理。</w:t>
      </w:r>
    </w:p>
    <w:p>
      <w:pPr>
        <w:pStyle w:val="15"/>
        <w:spacing w:line="560" w:lineRule="exact"/>
        <w:ind w:left="0" w:leftChars="0" w:firstLine="640"/>
        <w:rPr>
          <w:rFonts w:hAnsi="仿宋_GB2312" w:eastAsia="仿宋_GB2312" w:cs="仿宋_GB2312"/>
          <w:sz w:val="32"/>
        </w:rPr>
      </w:pPr>
      <w:r>
        <w:rPr>
          <w:rFonts w:hAnsi="仿宋_GB2312" w:eastAsia="仿宋_GB2312" w:cs="仿宋_GB2312"/>
          <w:sz w:val="32"/>
          <w:lang w:val="zh-CN"/>
        </w:rPr>
        <w:drawing>
          <wp:anchor distT="0" distB="0" distL="114300" distR="114300" simplePos="0" relativeHeight="251666432" behindDoc="0" locked="0" layoutInCell="1" allowOverlap="1">
            <wp:simplePos x="0" y="0"/>
            <wp:positionH relativeFrom="column">
              <wp:posOffset>-25400</wp:posOffset>
            </wp:positionH>
            <wp:positionV relativeFrom="paragraph">
              <wp:posOffset>256540</wp:posOffset>
            </wp:positionV>
            <wp:extent cx="5369560" cy="3874135"/>
            <wp:effectExtent l="0" t="0" r="10160" b="12065"/>
            <wp:wrapNone/>
            <wp:docPr id="5" name="图片 5" descr="特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特费"/>
                    <pic:cNvPicPr>
                      <a:picLocks noChangeAspect="1"/>
                    </pic:cNvPicPr>
                  </pic:nvPicPr>
                  <pic:blipFill>
                    <a:blip r:embed="rId13"/>
                    <a:stretch>
                      <a:fillRect/>
                    </a:stretch>
                  </pic:blipFill>
                  <pic:spPr>
                    <a:xfrm>
                      <a:off x="0" y="0"/>
                      <a:ext cx="5369560" cy="3874135"/>
                    </a:xfrm>
                    <a:prstGeom prst="rect">
                      <a:avLst/>
                    </a:prstGeom>
                  </pic:spPr>
                </pic:pic>
              </a:graphicData>
            </a:graphic>
          </wp:anchor>
        </w:drawing>
      </w: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15"/>
        <w:ind w:left="0" w:leftChars="0" w:firstLine="0" w:firstLineChars="0"/>
        <w:rPr>
          <w:rFonts w:hAnsi="仿宋_GB2312" w:eastAsia="仿宋_GB2312" w:cs="仿宋_GB2312"/>
          <w:sz w:val="32"/>
          <w:lang w:val="zh-CN"/>
        </w:rPr>
      </w:pPr>
    </w:p>
    <w:p>
      <w:pPr>
        <w:pStyle w:val="15"/>
        <w:spacing w:line="560" w:lineRule="exact"/>
        <w:ind w:left="0" w:leftChars="0" w:firstLine="0" w:firstLineChars="0"/>
        <w:rPr>
          <w:sz w:val="32"/>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r>
        <w:rPr>
          <w:rFonts w:hAnsi="宋体" w:cs="宋体"/>
          <w:sz w:val="32"/>
          <w:szCs w:val="32"/>
          <w:shd w:val="clear" w:color="auto" w:fill="FFFFFF"/>
          <w:lang w:val="zh-CN"/>
        </w:rPr>
        <w:drawing>
          <wp:anchor distT="0" distB="0" distL="114300" distR="114300" simplePos="0" relativeHeight="251667456" behindDoc="0" locked="0" layoutInCell="1" allowOverlap="1">
            <wp:simplePos x="0" y="0"/>
            <wp:positionH relativeFrom="column">
              <wp:posOffset>0</wp:posOffset>
            </wp:positionH>
            <wp:positionV relativeFrom="paragraph">
              <wp:posOffset>22860</wp:posOffset>
            </wp:positionV>
            <wp:extent cx="5266055" cy="4061460"/>
            <wp:effectExtent l="0" t="0" r="6985" b="7620"/>
            <wp:wrapNone/>
            <wp:docPr id="7" name="图片 7" descr="宗教工作经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宗教工作经费"/>
                    <pic:cNvPicPr>
                      <a:picLocks noChangeAspect="1"/>
                    </pic:cNvPicPr>
                  </pic:nvPicPr>
                  <pic:blipFill>
                    <a:blip r:embed="rId14"/>
                    <a:stretch>
                      <a:fillRect/>
                    </a:stretch>
                  </pic:blipFill>
                  <pic:spPr>
                    <a:xfrm>
                      <a:off x="0" y="0"/>
                      <a:ext cx="5266055" cy="4061460"/>
                    </a:xfrm>
                    <a:prstGeom prst="rect">
                      <a:avLst/>
                    </a:prstGeom>
                  </pic:spPr>
                </pic:pic>
              </a:graphicData>
            </a:graphic>
          </wp:anchor>
        </w:drawing>
      </w: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r>
        <w:rPr>
          <w:rFonts w:hAnsi="宋体" w:cs="宋体"/>
          <w:sz w:val="32"/>
          <w:szCs w:val="32"/>
          <w:shd w:val="clear" w:color="auto" w:fill="FFFFFF"/>
          <w:lang w:val="zh-CN"/>
        </w:rPr>
        <w:drawing>
          <wp:anchor distT="0" distB="0" distL="114300" distR="114300" simplePos="0" relativeHeight="251668480" behindDoc="0" locked="0" layoutInCell="1" allowOverlap="1">
            <wp:simplePos x="0" y="0"/>
            <wp:positionH relativeFrom="column">
              <wp:posOffset>0</wp:posOffset>
            </wp:positionH>
            <wp:positionV relativeFrom="paragraph">
              <wp:posOffset>240030</wp:posOffset>
            </wp:positionV>
            <wp:extent cx="5269230" cy="4507865"/>
            <wp:effectExtent l="0" t="0" r="3810" b="3175"/>
            <wp:wrapNone/>
            <wp:docPr id="8" name="图片 8" descr="宗教团体工作经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宗教团体工作经费"/>
                    <pic:cNvPicPr>
                      <a:picLocks noChangeAspect="1"/>
                    </pic:cNvPicPr>
                  </pic:nvPicPr>
                  <pic:blipFill>
                    <a:blip r:embed="rId15"/>
                    <a:stretch>
                      <a:fillRect/>
                    </a:stretch>
                  </pic:blipFill>
                  <pic:spPr>
                    <a:xfrm>
                      <a:off x="0" y="0"/>
                      <a:ext cx="5269230" cy="4507865"/>
                    </a:xfrm>
                    <a:prstGeom prst="rect">
                      <a:avLst/>
                    </a:prstGeom>
                  </pic:spPr>
                </pic:pic>
              </a:graphicData>
            </a:graphic>
          </wp:anchor>
        </w:drawing>
      </w: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r>
        <w:rPr>
          <w:rFonts w:hAnsi="宋体" w:cs="宋体"/>
          <w:sz w:val="32"/>
          <w:szCs w:val="32"/>
          <w:shd w:val="clear" w:color="auto" w:fill="FFFFFF"/>
          <w:lang w:val="zh-CN"/>
        </w:rPr>
        <w:drawing>
          <wp:inline distT="0" distB="0" distL="114300" distR="114300">
            <wp:extent cx="5271135" cy="4350385"/>
            <wp:effectExtent l="0" t="0" r="1905" b="8255"/>
            <wp:docPr id="9" name="图片 9" descr="三方审计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三方审计费"/>
                    <pic:cNvPicPr>
                      <a:picLocks noChangeAspect="1"/>
                    </pic:cNvPicPr>
                  </pic:nvPicPr>
                  <pic:blipFill>
                    <a:blip r:embed="rId16"/>
                    <a:stretch>
                      <a:fillRect/>
                    </a:stretch>
                  </pic:blipFill>
                  <pic:spPr>
                    <a:xfrm>
                      <a:off x="0" y="0"/>
                      <a:ext cx="5271135" cy="4350385"/>
                    </a:xfrm>
                    <a:prstGeom prst="rect">
                      <a:avLst/>
                    </a:prstGeom>
                  </pic:spPr>
                </pic:pic>
              </a:graphicData>
            </a:graphic>
          </wp:inline>
        </w:drawing>
      </w:r>
    </w:p>
    <w:p>
      <w:pPr>
        <w:pStyle w:val="5"/>
        <w:spacing w:before="93"/>
        <w:rPr>
          <w:rFonts w:hAnsi="宋体" w:cs="宋体"/>
          <w:sz w:val="32"/>
          <w:szCs w:val="32"/>
          <w:shd w:val="clear" w:color="auto" w:fill="FFFFFF"/>
          <w:lang w:val="zh-CN"/>
        </w:rPr>
      </w:pPr>
    </w:p>
    <w:p>
      <w:pPr>
        <w:spacing w:line="600" w:lineRule="exact"/>
        <w:outlineLvl w:val="0"/>
        <w:rPr>
          <w:rFonts w:ascii="黑体" w:hAnsi="黑体" w:eastAsia="黑体"/>
          <w:sz w:val="44"/>
          <w:szCs w:val="44"/>
        </w:rPr>
      </w:pPr>
      <w:bookmarkStart w:id="75" w:name="_Toc15396618"/>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p>
      <w:pPr>
        <w:pStyle w:val="2"/>
        <w:jc w:val="center"/>
      </w:pPr>
      <w:bookmarkStart w:id="76" w:name="_Toc150784347"/>
      <w:r>
        <w:rPr>
          <w:rFonts w:hint="eastAsia"/>
        </w:rPr>
        <w:t>第五部分 附表</w:t>
      </w:r>
      <w:bookmarkEnd w:id="71"/>
      <w:bookmarkEnd w:id="75"/>
      <w:bookmarkEnd w:id="76"/>
      <w:bookmarkStart w:id="77" w:name="_Toc15396619"/>
    </w:p>
    <w:p>
      <w:pPr>
        <w:spacing w:line="600" w:lineRule="exact"/>
        <w:jc w:val="center"/>
        <w:outlineLvl w:val="0"/>
        <w:rPr>
          <w:rStyle w:val="29"/>
          <w:rFonts w:ascii="黑体" w:hAnsi="黑体" w:eastAsia="黑体"/>
          <w:b w:val="0"/>
        </w:rPr>
      </w:pPr>
    </w:p>
    <w:p>
      <w:pPr>
        <w:pStyle w:val="3"/>
        <w:rPr>
          <w:rFonts w:ascii="仿宋" w:hAnsi="仿宋" w:eastAsia="仿宋"/>
        </w:rPr>
      </w:pPr>
      <w:bookmarkStart w:id="78" w:name="_Toc150784348"/>
      <w:r>
        <w:rPr>
          <w:rFonts w:hint="eastAsia" w:ascii="仿宋" w:hAnsi="仿宋" w:eastAsia="仿宋"/>
          <w:b w:val="0"/>
        </w:rPr>
        <w:t>一、收</w:t>
      </w:r>
      <w:r>
        <w:rPr>
          <w:rStyle w:val="30"/>
          <w:rFonts w:hint="eastAsia" w:ascii="仿宋" w:hAnsi="仿宋" w:eastAsia="仿宋"/>
          <w:b w:val="0"/>
          <w:bCs w:val="0"/>
        </w:rPr>
        <w:t>入支出决算总表</w:t>
      </w:r>
      <w:bookmarkEnd w:id="77"/>
      <w:bookmarkEnd w:id="78"/>
    </w:p>
    <w:p>
      <w:pPr>
        <w:pStyle w:val="3"/>
        <w:rPr>
          <w:rFonts w:ascii="仿宋" w:hAnsi="仿宋" w:eastAsia="仿宋"/>
        </w:rPr>
      </w:pPr>
      <w:bookmarkStart w:id="79" w:name="_Toc15396620"/>
      <w:bookmarkStart w:id="80" w:name="_Toc150784349"/>
      <w:r>
        <w:rPr>
          <w:rFonts w:hint="eastAsia" w:ascii="仿宋" w:hAnsi="仿宋" w:eastAsia="仿宋"/>
          <w:b w:val="0"/>
        </w:rPr>
        <w:t>二、收</w:t>
      </w:r>
      <w:r>
        <w:rPr>
          <w:rStyle w:val="30"/>
          <w:rFonts w:hint="eastAsia" w:ascii="仿宋" w:hAnsi="仿宋" w:eastAsia="仿宋"/>
          <w:b w:val="0"/>
          <w:bCs w:val="0"/>
        </w:rPr>
        <w:t>入决算表</w:t>
      </w:r>
      <w:bookmarkEnd w:id="79"/>
      <w:bookmarkEnd w:id="80"/>
    </w:p>
    <w:p>
      <w:pPr>
        <w:pStyle w:val="3"/>
        <w:rPr>
          <w:rFonts w:ascii="仿宋" w:hAnsi="仿宋" w:eastAsia="仿宋"/>
        </w:rPr>
      </w:pPr>
      <w:bookmarkStart w:id="81" w:name="_Toc15396621"/>
      <w:bookmarkStart w:id="82" w:name="_Toc150784350"/>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81"/>
      <w:bookmarkEnd w:id="82"/>
    </w:p>
    <w:p>
      <w:pPr>
        <w:pStyle w:val="3"/>
        <w:rPr>
          <w:rFonts w:ascii="仿宋" w:hAnsi="仿宋" w:eastAsia="仿宋"/>
          <w:b w:val="0"/>
        </w:rPr>
      </w:pPr>
      <w:bookmarkStart w:id="83" w:name="_Toc15396622"/>
      <w:bookmarkStart w:id="84" w:name="_Toc150784351"/>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83"/>
      <w:bookmarkEnd w:id="84"/>
    </w:p>
    <w:p>
      <w:pPr>
        <w:pStyle w:val="3"/>
        <w:rPr>
          <w:rStyle w:val="30"/>
          <w:rFonts w:ascii="仿宋" w:hAnsi="仿宋" w:eastAsia="仿宋"/>
          <w:b w:val="0"/>
          <w:bCs w:val="0"/>
        </w:rPr>
      </w:pPr>
      <w:bookmarkStart w:id="85" w:name="_Toc15396623"/>
      <w:bookmarkStart w:id="86" w:name="_Toc150784352"/>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85"/>
      <w:bookmarkEnd w:id="86"/>
      <w:bookmarkStart w:id="87" w:name="_Toc15396624"/>
    </w:p>
    <w:p>
      <w:pPr>
        <w:pStyle w:val="3"/>
        <w:rPr>
          <w:rFonts w:ascii="仿宋" w:hAnsi="仿宋" w:eastAsia="仿宋"/>
        </w:rPr>
      </w:pPr>
      <w:bookmarkStart w:id="88" w:name="_Toc150784353"/>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87"/>
      <w:bookmarkEnd w:id="88"/>
    </w:p>
    <w:p>
      <w:pPr>
        <w:pStyle w:val="3"/>
        <w:rPr>
          <w:rFonts w:ascii="仿宋" w:hAnsi="仿宋" w:eastAsia="仿宋"/>
        </w:rPr>
      </w:pPr>
      <w:bookmarkStart w:id="89" w:name="_Toc15396625"/>
      <w:bookmarkStart w:id="90" w:name="_Toc150784354"/>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89"/>
      <w:bookmarkEnd w:id="90"/>
    </w:p>
    <w:p>
      <w:pPr>
        <w:pStyle w:val="3"/>
        <w:rPr>
          <w:rFonts w:ascii="仿宋" w:hAnsi="仿宋" w:eastAsia="仿宋"/>
        </w:rPr>
      </w:pPr>
      <w:bookmarkStart w:id="91" w:name="_Toc15396626"/>
      <w:bookmarkStart w:id="92" w:name="_Toc150784355"/>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91"/>
      <w:bookmarkEnd w:id="92"/>
    </w:p>
    <w:p>
      <w:pPr>
        <w:pStyle w:val="3"/>
        <w:rPr>
          <w:rFonts w:ascii="仿宋" w:hAnsi="仿宋" w:eastAsia="仿宋"/>
        </w:rPr>
      </w:pPr>
      <w:bookmarkStart w:id="93" w:name="_Toc15396627"/>
      <w:bookmarkStart w:id="94" w:name="_Toc150784356"/>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93"/>
      <w:bookmarkEnd w:id="94"/>
    </w:p>
    <w:p>
      <w:pPr>
        <w:pStyle w:val="3"/>
        <w:rPr>
          <w:rFonts w:ascii="仿宋" w:hAnsi="仿宋" w:eastAsia="仿宋"/>
        </w:rPr>
      </w:pPr>
      <w:bookmarkStart w:id="95" w:name="_Toc15396628"/>
      <w:bookmarkStart w:id="96" w:name="_Toc150784357"/>
      <w:r>
        <w:rPr>
          <w:rStyle w:val="30"/>
          <w:rFonts w:hint="eastAsia" w:ascii="仿宋" w:hAnsi="仿宋" w:eastAsia="仿宋"/>
          <w:b w:val="0"/>
          <w:bCs w:val="0"/>
        </w:rPr>
        <w:t>十、</w:t>
      </w:r>
      <w:bookmarkEnd w:id="95"/>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96"/>
    </w:p>
    <w:p>
      <w:pPr>
        <w:pStyle w:val="3"/>
        <w:rPr>
          <w:rFonts w:ascii="仿宋" w:hAnsi="仿宋" w:eastAsia="仿宋"/>
        </w:rPr>
      </w:pPr>
      <w:bookmarkStart w:id="97" w:name="_Toc15396629"/>
      <w:bookmarkStart w:id="98" w:name="_Toc150784358"/>
      <w:r>
        <w:rPr>
          <w:rStyle w:val="30"/>
          <w:rFonts w:hint="eastAsia" w:ascii="仿宋" w:hAnsi="仿宋" w:eastAsia="仿宋"/>
          <w:b w:val="0"/>
          <w:bCs w:val="0"/>
        </w:rPr>
        <w:t>十一、</w:t>
      </w:r>
      <w:bookmarkEnd w:id="97"/>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98"/>
    </w:p>
    <w:p>
      <w:pPr>
        <w:pStyle w:val="3"/>
        <w:rPr>
          <w:rFonts w:ascii="仿宋" w:hAnsi="仿宋" w:eastAsia="仿宋"/>
        </w:rPr>
      </w:pPr>
      <w:bookmarkStart w:id="99" w:name="_Toc15396630"/>
      <w:bookmarkStart w:id="100" w:name="_Toc150784359"/>
      <w:r>
        <w:rPr>
          <w:rStyle w:val="30"/>
          <w:rFonts w:hint="eastAsia" w:ascii="仿宋" w:hAnsi="仿宋" w:eastAsia="仿宋"/>
          <w:b w:val="0"/>
          <w:bCs w:val="0"/>
        </w:rPr>
        <w:t>十二、</w:t>
      </w:r>
      <w:bookmarkEnd w:id="99"/>
      <w:r>
        <w:rPr>
          <w:rStyle w:val="30"/>
          <w:rFonts w:hint="eastAsia" w:ascii="仿宋" w:hAnsi="仿宋" w:eastAsia="仿宋"/>
          <w:b w:val="0"/>
          <w:bCs w:val="0"/>
        </w:rPr>
        <w:t>国有资本经营预算财政拨款支出决算表</w:t>
      </w:r>
      <w:bookmarkEnd w:id="100"/>
    </w:p>
    <w:p>
      <w:pPr>
        <w:pStyle w:val="3"/>
        <w:rPr>
          <w:rFonts w:eastAsia="仿宋"/>
        </w:rPr>
      </w:pPr>
      <w:bookmarkStart w:id="101" w:name="_Toc15396631"/>
      <w:bookmarkStart w:id="102" w:name="_Toc150784360"/>
      <w:r>
        <w:rPr>
          <w:rStyle w:val="30"/>
          <w:rFonts w:hint="eastAsia" w:ascii="仿宋" w:hAnsi="仿宋" w:eastAsia="仿宋"/>
          <w:b w:val="0"/>
          <w:bCs w:val="0"/>
        </w:rPr>
        <w:t>十三、</w:t>
      </w:r>
      <w:bookmarkEnd w:id="101"/>
      <w:r>
        <w:rPr>
          <w:rStyle w:val="30"/>
          <w:rFonts w:hint="eastAsia" w:ascii="仿宋" w:hAnsi="仿宋" w:eastAsia="仿宋"/>
          <w:b w:val="0"/>
          <w:bCs w:val="0"/>
        </w:rPr>
        <w:t>财政拨款“三公”经费支出决算表</w:t>
      </w:r>
      <w:bookmarkEnd w:id="10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EF323"/>
    <w:multiLevelType w:val="singleLevel"/>
    <w:tmpl w:val="DEBEF323"/>
    <w:lvl w:ilvl="0" w:tentative="0">
      <w:start w:val="4"/>
      <w:numFmt w:val="chineseCounting"/>
      <w:suff w:val="nothing"/>
      <w:lvlText w:val="（%1）"/>
      <w:lvlJc w:val="left"/>
      <w:rPr>
        <w:rFonts w:hint="eastAsia"/>
      </w:rPr>
    </w:lvl>
  </w:abstractNum>
  <w:abstractNum w:abstractNumId="1">
    <w:nsid w:val="FFF674BC"/>
    <w:multiLevelType w:val="singleLevel"/>
    <w:tmpl w:val="FFF674B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ZmYzcwN2VmZjliOTE1ZDAyNDkyMzkwN2EwMTY1MjEifQ=="/>
  </w:docVars>
  <w:rsids>
    <w:rsidRoot w:val="00F1361C"/>
    <w:rsid w:val="000222C6"/>
    <w:rsid w:val="0002549F"/>
    <w:rsid w:val="000468DB"/>
    <w:rsid w:val="0006487A"/>
    <w:rsid w:val="00065F8F"/>
    <w:rsid w:val="000667A2"/>
    <w:rsid w:val="00070A43"/>
    <w:rsid w:val="0007361F"/>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43EA"/>
    <w:rsid w:val="00235629"/>
    <w:rsid w:val="00254C07"/>
    <w:rsid w:val="00260C38"/>
    <w:rsid w:val="002616C0"/>
    <w:rsid w:val="00265372"/>
    <w:rsid w:val="002662AA"/>
    <w:rsid w:val="002733FA"/>
    <w:rsid w:val="00280496"/>
    <w:rsid w:val="00294DC9"/>
    <w:rsid w:val="00295495"/>
    <w:rsid w:val="002A31DE"/>
    <w:rsid w:val="002B2613"/>
    <w:rsid w:val="002B5BA5"/>
    <w:rsid w:val="002D6D05"/>
    <w:rsid w:val="002F1818"/>
    <w:rsid w:val="002F567B"/>
    <w:rsid w:val="003116B3"/>
    <w:rsid w:val="003216A9"/>
    <w:rsid w:val="00335A74"/>
    <w:rsid w:val="0036561B"/>
    <w:rsid w:val="0037013F"/>
    <w:rsid w:val="00380C92"/>
    <w:rsid w:val="003A30DA"/>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26D2"/>
    <w:rsid w:val="004B4690"/>
    <w:rsid w:val="004E0A2D"/>
    <w:rsid w:val="004E206B"/>
    <w:rsid w:val="004E6DF7"/>
    <w:rsid w:val="004F0FBD"/>
    <w:rsid w:val="00505A47"/>
    <w:rsid w:val="00512FDA"/>
    <w:rsid w:val="00520DA0"/>
    <w:rsid w:val="0055281E"/>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375E"/>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405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04C"/>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0776F"/>
    <w:rsid w:val="00B10517"/>
    <w:rsid w:val="00B14E76"/>
    <w:rsid w:val="00B161B8"/>
    <w:rsid w:val="00B2048C"/>
    <w:rsid w:val="00B310B9"/>
    <w:rsid w:val="00B35F3F"/>
    <w:rsid w:val="00B36CBB"/>
    <w:rsid w:val="00B425E0"/>
    <w:rsid w:val="00B440AA"/>
    <w:rsid w:val="00B44147"/>
    <w:rsid w:val="00B44B70"/>
    <w:rsid w:val="00B53C56"/>
    <w:rsid w:val="00B57DAF"/>
    <w:rsid w:val="00B77EA6"/>
    <w:rsid w:val="00B81598"/>
    <w:rsid w:val="00B841F1"/>
    <w:rsid w:val="00B944D6"/>
    <w:rsid w:val="00BB4DF0"/>
    <w:rsid w:val="00BC289F"/>
    <w:rsid w:val="00BC2D50"/>
    <w:rsid w:val="00BC4443"/>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37CC"/>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B4FBC"/>
    <w:rsid w:val="00DC410D"/>
    <w:rsid w:val="00DC5A81"/>
    <w:rsid w:val="00DC68CA"/>
    <w:rsid w:val="00DC7CBA"/>
    <w:rsid w:val="00DD072B"/>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015D"/>
    <w:rsid w:val="00F36D8F"/>
    <w:rsid w:val="00F417B1"/>
    <w:rsid w:val="00F45853"/>
    <w:rsid w:val="00F602DF"/>
    <w:rsid w:val="00F754A1"/>
    <w:rsid w:val="00F81FD9"/>
    <w:rsid w:val="00F841AA"/>
    <w:rsid w:val="00F84A94"/>
    <w:rsid w:val="00F87E96"/>
    <w:rsid w:val="00FA23E8"/>
    <w:rsid w:val="00FA6A56"/>
    <w:rsid w:val="00FD3CC1"/>
    <w:rsid w:val="00FF1E02"/>
    <w:rsid w:val="00FF30B4"/>
    <w:rsid w:val="015975B8"/>
    <w:rsid w:val="02143E91"/>
    <w:rsid w:val="02B7449E"/>
    <w:rsid w:val="03E868D9"/>
    <w:rsid w:val="054718D7"/>
    <w:rsid w:val="05AA02EA"/>
    <w:rsid w:val="05D15877"/>
    <w:rsid w:val="066E0107"/>
    <w:rsid w:val="073A744C"/>
    <w:rsid w:val="07996F6E"/>
    <w:rsid w:val="07C4182F"/>
    <w:rsid w:val="08ED6E6B"/>
    <w:rsid w:val="09613DE7"/>
    <w:rsid w:val="09A852C1"/>
    <w:rsid w:val="09D45935"/>
    <w:rsid w:val="0A2032A3"/>
    <w:rsid w:val="0BBE4AEF"/>
    <w:rsid w:val="0C547201"/>
    <w:rsid w:val="0D270472"/>
    <w:rsid w:val="0E172295"/>
    <w:rsid w:val="0F98263C"/>
    <w:rsid w:val="101860EC"/>
    <w:rsid w:val="10190546"/>
    <w:rsid w:val="10C055FF"/>
    <w:rsid w:val="11146F5F"/>
    <w:rsid w:val="118107EC"/>
    <w:rsid w:val="12EE3481"/>
    <w:rsid w:val="133D09EF"/>
    <w:rsid w:val="138C5193"/>
    <w:rsid w:val="13D50BC4"/>
    <w:rsid w:val="15512530"/>
    <w:rsid w:val="16BB723D"/>
    <w:rsid w:val="17984446"/>
    <w:rsid w:val="181057D4"/>
    <w:rsid w:val="1A0C2EC9"/>
    <w:rsid w:val="1AA749A0"/>
    <w:rsid w:val="1AD80FFE"/>
    <w:rsid w:val="1BE8440E"/>
    <w:rsid w:val="1C3A1F70"/>
    <w:rsid w:val="1C4050AC"/>
    <w:rsid w:val="1D155CEE"/>
    <w:rsid w:val="1D395B25"/>
    <w:rsid w:val="1D493000"/>
    <w:rsid w:val="1D6E6C94"/>
    <w:rsid w:val="1FF35744"/>
    <w:rsid w:val="20A071B5"/>
    <w:rsid w:val="21E87D78"/>
    <w:rsid w:val="23860B96"/>
    <w:rsid w:val="240371BF"/>
    <w:rsid w:val="26FE2B53"/>
    <w:rsid w:val="281B2218"/>
    <w:rsid w:val="28F6721F"/>
    <w:rsid w:val="29D357B2"/>
    <w:rsid w:val="29F15C38"/>
    <w:rsid w:val="29FD04D3"/>
    <w:rsid w:val="2A88659C"/>
    <w:rsid w:val="2BCE6231"/>
    <w:rsid w:val="2C8A61B5"/>
    <w:rsid w:val="2D6F34A1"/>
    <w:rsid w:val="2DF04E50"/>
    <w:rsid w:val="2E02173C"/>
    <w:rsid w:val="2F040D46"/>
    <w:rsid w:val="2F794705"/>
    <w:rsid w:val="30E107B4"/>
    <w:rsid w:val="319F7F4E"/>
    <w:rsid w:val="3304709D"/>
    <w:rsid w:val="356D0868"/>
    <w:rsid w:val="36687282"/>
    <w:rsid w:val="368F0CB2"/>
    <w:rsid w:val="369523FE"/>
    <w:rsid w:val="36AA5135"/>
    <w:rsid w:val="374D6BA3"/>
    <w:rsid w:val="376D39B2"/>
    <w:rsid w:val="37E16F03"/>
    <w:rsid w:val="389E09C9"/>
    <w:rsid w:val="38D469F0"/>
    <w:rsid w:val="38DA15B6"/>
    <w:rsid w:val="39BF6B41"/>
    <w:rsid w:val="3B954675"/>
    <w:rsid w:val="3C577B7C"/>
    <w:rsid w:val="3C706E90"/>
    <w:rsid w:val="3D962926"/>
    <w:rsid w:val="3D98207C"/>
    <w:rsid w:val="3E78745D"/>
    <w:rsid w:val="3E921340"/>
    <w:rsid w:val="3F4168C2"/>
    <w:rsid w:val="400C56C7"/>
    <w:rsid w:val="41D35EF7"/>
    <w:rsid w:val="445552E9"/>
    <w:rsid w:val="44E268DA"/>
    <w:rsid w:val="450A60D4"/>
    <w:rsid w:val="460F14C8"/>
    <w:rsid w:val="471800A4"/>
    <w:rsid w:val="47374F1D"/>
    <w:rsid w:val="48A44149"/>
    <w:rsid w:val="49043544"/>
    <w:rsid w:val="4A3A2589"/>
    <w:rsid w:val="4A627F82"/>
    <w:rsid w:val="4B09298A"/>
    <w:rsid w:val="4B0E749A"/>
    <w:rsid w:val="4B4F25DA"/>
    <w:rsid w:val="4BE068DB"/>
    <w:rsid w:val="4C431ECB"/>
    <w:rsid w:val="4D577224"/>
    <w:rsid w:val="4E2E3B99"/>
    <w:rsid w:val="4EAB630A"/>
    <w:rsid w:val="4ECE2238"/>
    <w:rsid w:val="50B9275C"/>
    <w:rsid w:val="51917E20"/>
    <w:rsid w:val="51E63A25"/>
    <w:rsid w:val="5237602E"/>
    <w:rsid w:val="53334A48"/>
    <w:rsid w:val="537E6D0A"/>
    <w:rsid w:val="543F741C"/>
    <w:rsid w:val="550817B7"/>
    <w:rsid w:val="576F0018"/>
    <w:rsid w:val="58BA3515"/>
    <w:rsid w:val="59CF2FF0"/>
    <w:rsid w:val="5A2E7D17"/>
    <w:rsid w:val="5AF92295"/>
    <w:rsid w:val="5CD34BA6"/>
    <w:rsid w:val="5CD71FC4"/>
    <w:rsid w:val="5FAA6092"/>
    <w:rsid w:val="6092721F"/>
    <w:rsid w:val="60E455D3"/>
    <w:rsid w:val="62143C96"/>
    <w:rsid w:val="63E61662"/>
    <w:rsid w:val="64E831B8"/>
    <w:rsid w:val="652106FC"/>
    <w:rsid w:val="65EC1381"/>
    <w:rsid w:val="66D71736"/>
    <w:rsid w:val="67D30150"/>
    <w:rsid w:val="68224C33"/>
    <w:rsid w:val="685748DD"/>
    <w:rsid w:val="6A1A2066"/>
    <w:rsid w:val="6AA038B9"/>
    <w:rsid w:val="6B106BE0"/>
    <w:rsid w:val="6C4A05C8"/>
    <w:rsid w:val="6E160D96"/>
    <w:rsid w:val="6E472BC3"/>
    <w:rsid w:val="6E7E3605"/>
    <w:rsid w:val="6F5002D8"/>
    <w:rsid w:val="6FF5CC65"/>
    <w:rsid w:val="715C0E4B"/>
    <w:rsid w:val="72734D90"/>
    <w:rsid w:val="73691968"/>
    <w:rsid w:val="73AD73D5"/>
    <w:rsid w:val="73B6EB34"/>
    <w:rsid w:val="744731E5"/>
    <w:rsid w:val="75B0387E"/>
    <w:rsid w:val="76E3355F"/>
    <w:rsid w:val="778769C8"/>
    <w:rsid w:val="78874D6A"/>
    <w:rsid w:val="796F5159"/>
    <w:rsid w:val="79EE5BA4"/>
    <w:rsid w:val="7A7E219D"/>
    <w:rsid w:val="7A894339"/>
    <w:rsid w:val="7EBB576E"/>
    <w:rsid w:val="7EEF11D3"/>
    <w:rsid w:val="7F967F89"/>
    <w:rsid w:val="7FA30C79"/>
    <w:rsid w:val="7FB7269E"/>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next w:val="10"/>
    <w:link w:val="24"/>
    <w:qFormat/>
    <w:uiPriority w:val="99"/>
    <w:pPr>
      <w:tabs>
        <w:tab w:val="center" w:pos="4153"/>
        <w:tab w:val="right" w:pos="8306"/>
      </w:tabs>
      <w:snapToGrid w:val="0"/>
      <w:jc w:val="left"/>
    </w:pPr>
    <w:rPr>
      <w:rFonts w:ascii="Calibri" w:hAnsi="Calibri"/>
      <w:kern w:val="0"/>
      <w:sz w:val="18"/>
      <w:szCs w:val="18"/>
    </w:rPr>
  </w:style>
  <w:style w:type="paragraph" w:styleId="10">
    <w:name w:val="Title"/>
    <w:basedOn w:val="1"/>
    <w:next w:val="1"/>
    <w:qFormat/>
    <w:uiPriority w:val="0"/>
    <w:pPr>
      <w:spacing w:before="240" w:after="240" w:line="360" w:lineRule="auto"/>
      <w:jc w:val="center"/>
      <w:outlineLvl w:val="0"/>
    </w:pPr>
    <w:rPr>
      <w:rFonts w:ascii="Arial" w:hAnsi="Arial"/>
      <w:b/>
      <w:sz w:val="32"/>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spacing w:before="100" w:beforeAutospacing="1" w:after="100" w:afterAutospacing="1"/>
      <w:jc w:val="left"/>
    </w:pPr>
    <w:rPr>
      <w:kern w:val="0"/>
      <w:sz w:val="24"/>
      <w:szCs w:val="20"/>
    </w:rPr>
  </w:style>
  <w:style w:type="paragraph" w:styleId="15">
    <w:name w:val="Body Text First Indent 2"/>
    <w:basedOn w:val="6"/>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9"/>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2"/>
    <w:qFormat/>
    <w:uiPriority w:val="9"/>
    <w:rPr>
      <w:rFonts w:ascii="Times New Roman" w:hAnsi="Times New Roman"/>
      <w:b/>
      <w:bCs/>
      <w:kern w:val="44"/>
      <w:sz w:val="44"/>
      <w:szCs w:val="44"/>
    </w:rPr>
  </w:style>
  <w:style w:type="character" w:customStyle="1" w:styleId="30">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17"/>
    <w:link w:val="8"/>
    <w:semiHidden/>
    <w:qFormat/>
    <w:uiPriority w:val="99"/>
    <w:rPr>
      <w:rFonts w:ascii="Times New Roman" w:hAnsi="Times New Roman"/>
      <w:kern w:val="2"/>
      <w:sz w:val="18"/>
      <w:szCs w:val="18"/>
    </w:rPr>
  </w:style>
  <w:style w:type="character" w:customStyle="1" w:styleId="33">
    <w:name w:val="标题 3 Char"/>
    <w:basedOn w:val="17"/>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收、支决算总计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389.74</c:v>
                </c:pt>
                <c:pt idx="1">
                  <c:v>472.25</c:v>
                </c:pt>
              </c:numCache>
            </c:numRef>
          </c:val>
        </c:ser>
        <c:dLbls>
          <c:showLegendKey val="0"/>
          <c:showVal val="1"/>
          <c:showCatName val="0"/>
          <c:showSerName val="0"/>
          <c:showPercent val="0"/>
          <c:showBubbleSize val="0"/>
        </c:dLbls>
        <c:gapWidth val="150"/>
        <c:axId val="99409920"/>
        <c:axId val="99411456"/>
      </c:barChart>
      <c:catAx>
        <c:axId val="99409920"/>
        <c:scaling>
          <c:orientation val="minMax"/>
        </c:scaling>
        <c:delete val="0"/>
        <c:axPos val="b"/>
        <c:numFmt formatCode="0.0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9411456"/>
        <c:crosses val="autoZero"/>
        <c:auto val="1"/>
        <c:lblAlgn val="ctr"/>
        <c:lblOffset val="100"/>
        <c:noMultiLvlLbl val="0"/>
      </c:catAx>
      <c:valAx>
        <c:axId val="994114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94099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644857881136951"/>
          <c:y val="0.271030303030303"/>
          <c:w val="0.528909560723514"/>
          <c:h val="0.53936231884058"/>
        </c:manualLayout>
      </c:layout>
      <c:pieChart>
        <c:varyColors val="1"/>
        <c:ser>
          <c:idx val="0"/>
          <c:order val="0"/>
          <c:tx>
            <c:strRef>
              <c:f>Sheet1!$B$1</c:f>
              <c:strCache>
                <c:ptCount val="1"/>
                <c:pt idx="0">
                  <c:v>金额</c:v>
                </c:pt>
              </c:strCache>
            </c:strRef>
          </c:tx>
          <c:explosion val="11"/>
          <c:dPt>
            <c:idx val="0"/>
            <c:bubble3D val="0"/>
            <c:explosion val="8"/>
          </c:dPt>
          <c:dPt>
            <c:idx val="1"/>
            <c:bubble3D val="0"/>
          </c:dPt>
          <c:dPt>
            <c:idx val="2"/>
            <c:bubble3D val="0"/>
          </c:dPt>
          <c:dPt>
            <c:idx val="3"/>
            <c:bubble3D val="0"/>
          </c:dPt>
          <c:dPt>
            <c:idx val="4"/>
            <c:bubble3D val="0"/>
          </c:dPt>
          <c:dPt>
            <c:idx val="5"/>
            <c:bubble3D val="0"/>
          </c:dPt>
          <c:dPt>
            <c:idx val="6"/>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sz="900"/>
                      <a:t>472.25</a:t>
                    </a:r>
                    <a:r>
                      <a:t>, 100%</a:t>
                    </a:r>
                  </a:p>
                </c:rich>
              </c:tx>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0.0774758213589062"/>
                  <c:y val="0.045826284098388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771933372141714"/>
                  <c:y val="0.0086745813120109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645056527467141"/>
                  <c:y val="0.0045466143357467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121616266838241"/>
                  <c:y val="0.058210185027181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107307209166948"/>
                  <c:y val="0.10774578874235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472.25</c:v>
                </c:pt>
                <c:pt idx="1">
                  <c:v>0</c:v>
                </c:pt>
                <c:pt idx="2">
                  <c:v>0</c:v>
                </c:pt>
                <c:pt idx="3">
                  <c:v>0</c:v>
                </c:pt>
                <c:pt idx="4">
                  <c:v>0</c:v>
                </c:pt>
                <c:pt idx="5">
                  <c:v>0</c:v>
                </c:pt>
                <c:pt idx="6">
                  <c:v>0</c:v>
                </c:pt>
              </c:numCache>
            </c:numRef>
          </c:val>
        </c:ser>
        <c:dLbls>
          <c:showLegendKey val="0"/>
          <c:showVal val="1"/>
          <c:showCatName val="0"/>
          <c:showSerName val="0"/>
          <c:showPercent val="1"/>
          <c:showBubbleSize val="0"/>
          <c:showLeaderLines val="1"/>
        </c:dLbls>
        <c:firstSliceAng val="0"/>
      </c:pieChart>
    </c:plotArea>
    <c:legend>
      <c:legendPos val="r"/>
      <c:layout>
        <c:manualLayout>
          <c:xMode val="edge"/>
          <c:yMode val="edge"/>
          <c:x val="0.58191214470284"/>
          <c:y val="0.204326408224459"/>
          <c:w val="0.41046511627907"/>
          <c:h val="0.74705504390661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05480572597137"/>
          <c:y val="0.138314781567923"/>
          <c:w val="0.557513292433539"/>
          <c:h val="0.76645840813884"/>
        </c:manualLayout>
      </c:layout>
      <c:pie3DChart>
        <c:varyColors val="1"/>
        <c:ser>
          <c:idx val="0"/>
          <c:order val="0"/>
          <c:tx>
            <c:strRef>
              <c:f>Sheet1!$B$1</c:f>
              <c:strCache>
                <c:ptCount val="1"/>
                <c:pt idx="0">
                  <c:v>支出决算</c:v>
                </c:pt>
              </c:strCache>
            </c:strRef>
          </c:tx>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250.25</a:t>
                    </a:r>
                    <a:r>
                      <a:t>, </a:t>
                    </a:r>
                    <a:r>
                      <a:rPr lang="en-US" altLang="zh-CN"/>
                      <a:t>53</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632923192293271"/>
                  <c:y val="-0.025879427610248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222</a:t>
                    </a:r>
                    <a:endParaRPr lang="en-US" altLang="en-US"/>
                  </a:p>
                  <a:p>
                    <a:pPr>
                      <a:defRPr lang="zh-CN" sz="1000" b="0" i="0" u="none" strike="noStrike" kern="1200" baseline="0">
                        <a:solidFill>
                          <a:schemeClr val="tx1"/>
                        </a:solidFill>
                        <a:latin typeface="+mn-lt"/>
                        <a:ea typeface="+mn-ea"/>
                        <a:cs typeface="+mn-cs"/>
                      </a:defRPr>
                    </a:pPr>
                    <a:r>
                      <a:rPr lang="en-US" altLang="en-US"/>
                      <a:t>47%</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250.25</c:v>
                </c:pt>
                <c:pt idx="1">
                  <c:v>222</c:v>
                </c:pt>
                <c:pt idx="2">
                  <c:v>0</c:v>
                </c:pt>
                <c:pt idx="3">
                  <c:v>0</c:v>
                </c:pt>
                <c:pt idx="4">
                  <c:v>0</c:v>
                </c:pt>
              </c:numCache>
            </c:numRef>
          </c:val>
        </c:ser>
        <c:ser>
          <c:idx val="1"/>
          <c:order val="1"/>
          <c:tx>
            <c:strRef>
              <c:f>Sheet1!$C$1</c:f>
              <c:strCache>
                <c:ptCount val="1"/>
                <c:pt idx="0">
                  <c:v>所占比例</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Sheet1!$C$2:$C$6</c:f>
              <c:numCache>
                <c:formatCode>0%</c:formatCode>
                <c:ptCount val="5"/>
                <c:pt idx="0">
                  <c:v>0.53</c:v>
                </c:pt>
                <c:pt idx="1">
                  <c:v>0.47</c:v>
                </c:pt>
                <c:pt idx="2" c:formatCode="General">
                  <c:v>0</c:v>
                </c:pt>
                <c:pt idx="3" c:formatCode="General">
                  <c:v>0</c:v>
                </c:pt>
                <c:pt idx="4" c:formatCode="General">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292589080815"/>
          <c:y val="0.0376350273514608"/>
          <c:w val="0.758515283842795"/>
          <c:h val="0.893419170243204"/>
        </c:manualLayout>
      </c:layout>
      <c:barChart>
        <c:barDir val="col"/>
        <c:grouping val="clustered"/>
        <c:varyColors val="0"/>
        <c:ser>
          <c:idx val="0"/>
          <c:order val="0"/>
          <c:tx>
            <c:strRef>
              <c:f>Sheet1!$B$1</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财政拨款收、支决算总计</c:v>
                </c:pt>
              </c:strCache>
            </c:strRef>
          </c:cat>
          <c:val>
            <c:numRef>
              <c:f>Sheet1!$B$2:$B$5</c:f>
              <c:numCache>
                <c:formatCode>General</c:formatCode>
                <c:ptCount val="4"/>
                <c:pt idx="0">
                  <c:v>389.74</c:v>
                </c:pt>
              </c:numCache>
            </c:numRef>
          </c:val>
        </c:ser>
        <c:ser>
          <c:idx val="1"/>
          <c:order val="1"/>
          <c:tx>
            <c:strRef>
              <c:f>Sheet1!$C$1</c:f>
              <c:strCache>
                <c:ptCount val="1"/>
                <c:pt idx="0">
                  <c:v>2022</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财政拨款收、支决算总计</c:v>
                </c:pt>
              </c:strCache>
            </c:strRef>
          </c:cat>
          <c:val>
            <c:numRef>
              <c:f>Sheet1!$C$2:$C$5</c:f>
              <c:numCache>
                <c:formatCode>General</c:formatCode>
                <c:ptCount val="4"/>
                <c:pt idx="0">
                  <c:v>472.25</c:v>
                </c:pt>
              </c:numCache>
            </c:numRef>
          </c:val>
        </c:ser>
        <c:dLbls>
          <c:showLegendKey val="0"/>
          <c:showVal val="1"/>
          <c:showCatName val="0"/>
          <c:showSerName val="0"/>
          <c:showPercent val="0"/>
          <c:showBubbleSize val="0"/>
        </c:dLbls>
        <c:gapWidth val="150"/>
        <c:axId val="167558528"/>
        <c:axId val="216364544"/>
      </c:barChart>
      <c:catAx>
        <c:axId val="1675585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364544"/>
        <c:crosses val="autoZero"/>
        <c:auto val="1"/>
        <c:lblAlgn val="ctr"/>
        <c:lblOffset val="100"/>
        <c:noMultiLvlLbl val="0"/>
      </c:catAx>
      <c:valAx>
        <c:axId val="216364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558528"/>
        <c:crosses val="autoZero"/>
        <c:crossBetween val="between"/>
      </c:valAx>
      <c:spPr>
        <a:ln>
          <a:solidFill>
            <a:srgbClr val="0000FF"/>
          </a:solid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673279922979"/>
          <c:y val="0.0260791439531597"/>
          <c:w val="0.758515283842795"/>
          <c:h val="0.893419170243204"/>
        </c:manualLayout>
      </c:layout>
      <c:barChart>
        <c:barDir val="col"/>
        <c:grouping val="clustered"/>
        <c:varyColors val="0"/>
        <c:ser>
          <c:idx val="0"/>
          <c:order val="0"/>
          <c:tx>
            <c:strRef>
              <c:f>Sheet1!$B$1</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1"/>
                <c:pt idx="0">
                  <c:v>一般公共预算财政拨款支出决算</c:v>
                </c:pt>
              </c:strCache>
            </c:strRef>
          </c:cat>
          <c:val>
            <c:numRef>
              <c:f>Sheet1!$B$2:$B$5</c:f>
              <c:numCache>
                <c:formatCode>General</c:formatCode>
                <c:ptCount val="4"/>
                <c:pt idx="0">
                  <c:v>389.74</c:v>
                </c:pt>
              </c:numCache>
            </c:numRef>
          </c:val>
        </c:ser>
        <c:ser>
          <c:idx val="1"/>
          <c:order val="1"/>
          <c:tx>
            <c:strRef>
              <c:f>Sheet1!$C$1</c:f>
              <c:strCache>
                <c:ptCount val="1"/>
                <c:pt idx="0">
                  <c:v>2022</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1"/>
                <c:pt idx="0">
                  <c:v>一般公共预算财政拨款支出决算</c:v>
                </c:pt>
              </c:strCache>
            </c:strRef>
          </c:cat>
          <c:val>
            <c:numRef>
              <c:f>Sheet1!$C$2:$C$5</c:f>
              <c:numCache>
                <c:formatCode>General</c:formatCode>
                <c:ptCount val="4"/>
                <c:pt idx="0">
                  <c:v>472.25</c:v>
                </c:pt>
              </c:numCache>
            </c:numRef>
          </c:val>
        </c:ser>
        <c:dLbls>
          <c:showLegendKey val="0"/>
          <c:showVal val="1"/>
          <c:showCatName val="0"/>
          <c:showSerName val="0"/>
          <c:showPercent val="0"/>
          <c:showBubbleSize val="0"/>
        </c:dLbls>
        <c:gapWidth val="150"/>
        <c:axId val="232389632"/>
        <c:axId val="232474496"/>
      </c:barChart>
      <c:catAx>
        <c:axId val="2323896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2474496"/>
        <c:crosses val="autoZero"/>
        <c:auto val="1"/>
        <c:lblAlgn val="ctr"/>
        <c:lblOffset val="100"/>
        <c:noMultiLvlLbl val="0"/>
      </c:catAx>
      <c:valAx>
        <c:axId val="2324744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2389632"/>
        <c:crosses val="autoZero"/>
        <c:crossBetween val="between"/>
      </c:valAx>
      <c:spPr>
        <a:ln>
          <a:solidFill>
            <a:srgbClr val="0000FF"/>
          </a:solid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05480572597137"/>
          <c:y val="0.138314781567923"/>
          <c:w val="0.557513292433539"/>
          <c:h val="0.76645840813884"/>
        </c:manualLayout>
      </c:layout>
      <c:pie3DChart>
        <c:varyColors val="1"/>
        <c:ser>
          <c:idx val="0"/>
          <c:order val="0"/>
          <c:tx>
            <c:strRef>
              <c:f>Sheet1!$B$1</c:f>
              <c:strCache>
                <c:ptCount val="1"/>
                <c:pt idx="0">
                  <c:v>支出决算</c:v>
                </c:pt>
              </c:strCache>
            </c:strRef>
          </c:tx>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250.25</a:t>
                    </a:r>
                    <a:r>
                      <a:t>, </a:t>
                    </a:r>
                    <a:r>
                      <a:rPr lang="en-US" altLang="zh-CN"/>
                      <a:t>53</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632923192293271"/>
                  <c:y val="-0.025879427610248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222</a:t>
                    </a:r>
                    <a:endParaRPr lang="en-US" altLang="en-US"/>
                  </a:p>
                  <a:p>
                    <a:pPr>
                      <a:defRPr lang="zh-CN" sz="1000" b="0" i="0" u="none" strike="noStrike" kern="1200" baseline="0">
                        <a:solidFill>
                          <a:schemeClr val="tx1"/>
                        </a:solidFill>
                        <a:latin typeface="+mn-lt"/>
                        <a:ea typeface="+mn-ea"/>
                        <a:cs typeface="+mn-cs"/>
                      </a:defRPr>
                    </a:pPr>
                    <a:r>
                      <a:rPr lang="en-US" altLang="en-US"/>
                      <a:t>47%</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一般公共服务支出</c:v>
                </c:pt>
                <c:pt idx="1">
                  <c:v>社会保险和就业支出</c:v>
                </c:pt>
                <c:pt idx="2">
                  <c:v>卫生健康支出</c:v>
                </c:pt>
                <c:pt idx="3">
                  <c:v>巩固脱贫衔接乡村振兴支出</c:v>
                </c:pt>
                <c:pt idx="4">
                  <c:v>住房保障支出</c:v>
                </c:pt>
              </c:strCache>
            </c:strRef>
          </c:cat>
          <c:val>
            <c:numRef>
              <c:f>Sheet1!$B$2:$B$6</c:f>
              <c:numCache>
                <c:formatCode>General</c:formatCode>
                <c:ptCount val="5"/>
                <c:pt idx="0">
                  <c:v>327.2</c:v>
                </c:pt>
                <c:pt idx="1">
                  <c:v>15.39</c:v>
                </c:pt>
                <c:pt idx="2">
                  <c:v>11.22</c:v>
                </c:pt>
                <c:pt idx="3">
                  <c:v>100</c:v>
                </c:pt>
                <c:pt idx="4">
                  <c:v>18.45</c:v>
                </c:pt>
              </c:numCache>
            </c:numRef>
          </c:val>
        </c:ser>
        <c:ser>
          <c:idx val="1"/>
          <c:order val="1"/>
          <c:tx>
            <c:strRef>
              <c:f>Sheet1!$C$1</c:f>
              <c:strCache>
                <c:ptCount val="1"/>
                <c:pt idx="0">
                  <c:v>所占比例</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一般公共服务支出</c:v>
                </c:pt>
                <c:pt idx="1">
                  <c:v>社会保险和就业支出</c:v>
                </c:pt>
                <c:pt idx="2">
                  <c:v>卫生健康支出</c:v>
                </c:pt>
                <c:pt idx="3">
                  <c:v>巩固脱贫衔接乡村振兴支出</c:v>
                </c:pt>
                <c:pt idx="4">
                  <c:v>住房保障支出</c:v>
                </c:pt>
              </c:strCache>
            </c:strRef>
          </c:cat>
          <c:val>
            <c:numRef>
              <c:f>Sheet1!$C$2:$C$6</c:f>
              <c:numCache>
                <c:formatCode>0%</c:formatCode>
                <c:ptCount val="5"/>
                <c:pt idx="0">
                  <c:v>0.690000000000001</c:v>
                </c:pt>
                <c:pt idx="1">
                  <c:v>0.03</c:v>
                </c:pt>
                <c:pt idx="2">
                  <c:v>0.02</c:v>
                </c:pt>
                <c:pt idx="3">
                  <c:v>0.22</c:v>
                </c:pt>
                <c:pt idx="4">
                  <c:v>0.04</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05480572597137"/>
          <c:y val="0.138314781567924"/>
          <c:w val="0.557513292433539"/>
          <c:h val="0.76645840813884"/>
        </c:manualLayout>
      </c:layout>
      <c:pie3DChart>
        <c:varyColors val="1"/>
        <c:ser>
          <c:idx val="0"/>
          <c:order val="0"/>
          <c:tx>
            <c:strRef>
              <c:f>Sheet1!$B$1</c:f>
              <c:strCache>
                <c:ptCount val="1"/>
                <c:pt idx="0">
                  <c:v>列1</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因公出国（境）支出</c:v>
                </c:pt>
                <c:pt idx="1">
                  <c:v>公务用车购置及运行维护费支出</c:v>
                </c:pt>
                <c:pt idx="2">
                  <c:v>公务接待费支出</c:v>
                </c:pt>
              </c:strCache>
            </c:strRef>
          </c:cat>
          <c:val>
            <c:numRef>
              <c:f>Sheet1!$B$2:$B$4</c:f>
              <c:numCache>
                <c:formatCode>General</c:formatCode>
                <c:ptCount val="3"/>
                <c:pt idx="0">
                  <c:v>0</c:v>
                </c:pt>
                <c:pt idx="1">
                  <c:v>0</c:v>
                </c:pt>
                <c:pt idx="2">
                  <c:v>0.68</c:v>
                </c:pt>
              </c:numCache>
            </c:numRef>
          </c:val>
        </c:ser>
        <c:ser>
          <c:idx val="1"/>
          <c:order val="1"/>
          <c:tx>
            <c:strRef>
              <c:f>Sheet1!$C$1</c:f>
              <c:strCache>
                <c:ptCount val="1"/>
                <c:pt idx="0">
                  <c:v>所占比例</c:v>
                </c:pt>
              </c:strCache>
            </c:strRef>
          </c:tx>
          <c:explosion val="0"/>
          <c:dPt>
            <c:idx val="0"/>
            <c:bubble3D val="0"/>
          </c:dPt>
          <c:dPt>
            <c:idx val="1"/>
            <c:bubble3D val="0"/>
          </c:dPt>
          <c:dPt>
            <c:idx val="2"/>
            <c:bubble3D val="0"/>
          </c:dPt>
          <c:dLbls>
            <c:delete val="1"/>
          </c:dLbls>
          <c:cat>
            <c:strRef>
              <c:f>Sheet1!$A$2:$A$4</c:f>
              <c:strCache>
                <c:ptCount val="3"/>
                <c:pt idx="0">
                  <c:v>因公出国（境）支出</c:v>
                </c:pt>
                <c:pt idx="1">
                  <c:v>公务用车购置及运行维护费支出</c:v>
                </c:pt>
                <c:pt idx="2">
                  <c:v>公务接待费支出</c:v>
                </c:pt>
              </c:strCache>
            </c:strRef>
          </c:cat>
          <c:val>
            <c:numRef>
              <c:f>Sheet1!$C$2:$C$4</c:f>
              <c:numCache>
                <c:formatCode>0%</c:formatCode>
                <c:ptCount val="3"/>
                <c:pt idx="0">
                  <c:v>0</c:v>
                </c:pt>
                <c:pt idx="1">
                  <c:v>0</c:v>
                </c:pt>
                <c:pt idx="2">
                  <c:v>1</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AEB9-9C13-4A74-A99F-E920764DE7C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2771</Words>
  <Characters>15797</Characters>
  <Lines>131</Lines>
  <Paragraphs>37</Paragraphs>
  <TotalTime>58</TotalTime>
  <ScaleCrop>false</ScaleCrop>
  <LinksUpToDate>false</LinksUpToDate>
  <CharactersWithSpaces>18531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2023-11-13T07:49:00Z</dcterms:created>
  <dc:creator>曹颖</dc:creator>
  <cp:lastModifiedBy>Administrator</cp:lastModifiedBy>
  <cp:lastPrinted>2023-11-08T08:29:00Z</cp:lastPrinted>
  <dcterms:modified xsi:type="dcterms:W3CDTF">2023-11-14T02:51:32Z</dcterms:modified>
  <dc:title>四川省***</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21E17C5451B145F9B761A905398BB127_12</vt:lpwstr>
  </property>
</Properties>
</file>