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auto"/>
          <w:sz w:val="72"/>
          <w:szCs w:val="72"/>
          <w:highlight w:val="none"/>
        </w:rPr>
      </w:pPr>
      <w:bookmarkStart w:id="0" w:name="_Toc15396475"/>
      <w:bookmarkStart w:id="1" w:name="_Toc15378441"/>
      <w:bookmarkStart w:id="2" w:name="_Toc15396597"/>
      <w:bookmarkStart w:id="3" w:name="_Toc15377425"/>
      <w:bookmarkStart w:id="4" w:name="_Toc15377193"/>
      <w:bookmarkStart w:id="5" w:name="_Toc15306267"/>
    </w:p>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auto"/>
          <w:sz w:val="72"/>
          <w:szCs w:val="72"/>
          <w:highlight w:val="none"/>
        </w:rPr>
      </w:pPr>
    </w:p>
    <w:p>
      <w:pPr>
        <w:keepNext w:val="0"/>
        <w:keepLines w:val="0"/>
        <w:pageBreakBefore w:val="0"/>
        <w:kinsoku/>
        <w:wordWrap/>
        <w:overflowPunct/>
        <w:topLinePunct w:val="0"/>
        <w:autoSpaceDE/>
        <w:autoSpaceDN/>
        <w:bidi w:val="0"/>
        <w:spacing w:line="600" w:lineRule="exact"/>
        <w:jc w:val="center"/>
        <w:textAlignment w:val="auto"/>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ascii="Times New Roman" w:hAnsi="Times New Roman" w:eastAsia="方正小标宋_GBK" w:cs="Times New Roman"/>
          <w:color w:val="auto"/>
          <w:sz w:val="72"/>
          <w:szCs w:val="72"/>
          <w:highlight w:val="none"/>
        </w:rPr>
      </w:pPr>
      <w:r>
        <w:rPr>
          <w:rFonts w:hint="default" w:ascii="Times New Roman" w:hAnsi="Times New Roman" w:eastAsia="方正小标宋_GBK" w:cs="Times New Roman"/>
          <w:color w:val="auto"/>
          <w:sz w:val="72"/>
          <w:szCs w:val="72"/>
          <w:highlight w:val="none"/>
        </w:rPr>
        <w:t>20</w:t>
      </w:r>
      <w:r>
        <w:rPr>
          <w:rFonts w:hint="default" w:ascii="Times New Roman" w:hAnsi="Times New Roman" w:eastAsia="方正小标宋_GBK" w:cs="Times New Roman"/>
          <w:color w:val="auto"/>
          <w:sz w:val="72"/>
          <w:szCs w:val="72"/>
          <w:highlight w:val="none"/>
          <w:lang w:val="en-US" w:eastAsia="zh-CN"/>
        </w:rPr>
        <w:t>22</w:t>
      </w:r>
      <w:r>
        <w:rPr>
          <w:rFonts w:hint="default" w:ascii="Times New Roman" w:hAnsi="Times New Roman" w:eastAsia="方正小标宋_GBK" w:cs="Times New Roman"/>
          <w:color w:val="auto"/>
          <w:sz w:val="72"/>
          <w:szCs w:val="72"/>
          <w:highlight w:val="none"/>
        </w:rPr>
        <w:t>年度</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72"/>
          <w:szCs w:val="72"/>
          <w:highlight w:val="none"/>
          <w:lang w:val="en-US" w:eastAsia="zh-CN"/>
        </w:rPr>
      </w:pPr>
      <w:bookmarkStart w:id="6" w:name="_Toc15396598"/>
      <w:bookmarkStart w:id="7" w:name="_Toc15378442"/>
      <w:bookmarkStart w:id="8" w:name="_Toc15396476"/>
      <w:bookmarkStart w:id="9" w:name="_Toc15377194"/>
      <w:bookmarkStart w:id="10" w:name="_Toc15377426"/>
      <w:r>
        <w:rPr>
          <w:rFonts w:hint="default" w:ascii="Times New Roman" w:hAnsi="Times New Roman" w:eastAsia="方正小标宋_GBK" w:cs="Times New Roman"/>
          <w:color w:val="auto"/>
          <w:sz w:val="72"/>
          <w:szCs w:val="72"/>
          <w:highlight w:val="none"/>
        </w:rPr>
        <w:t>四川省</w:t>
      </w:r>
      <w:bookmarkEnd w:id="5"/>
      <w:bookmarkStart w:id="11" w:name="_Toc15306268"/>
      <w:r>
        <w:rPr>
          <w:rFonts w:hint="default" w:ascii="Times New Roman" w:hAnsi="Times New Roman" w:eastAsia="方正小标宋_GBK" w:cs="Times New Roman"/>
          <w:color w:val="auto"/>
          <w:sz w:val="72"/>
          <w:szCs w:val="72"/>
          <w:highlight w:val="none"/>
          <w:lang w:eastAsia="zh-CN"/>
        </w:rPr>
        <w:t>巴中市巴州区商务局</w:t>
      </w:r>
      <w:r>
        <w:rPr>
          <w:rFonts w:hint="default" w:ascii="Times New Roman" w:hAnsi="Times New Roman" w:eastAsia="方正小标宋_GBK" w:cs="Times New Roman"/>
          <w:color w:val="auto"/>
          <w:sz w:val="72"/>
          <w:szCs w:val="72"/>
          <w:highlight w:val="none"/>
        </w:rPr>
        <w:t>部门决算</w:t>
      </w:r>
      <w:bookmarkEnd w:id="6"/>
      <w:bookmarkEnd w:id="7"/>
      <w:bookmarkEnd w:id="8"/>
      <w:bookmarkEnd w:id="9"/>
      <w:bookmarkEnd w:id="10"/>
      <w:bookmarkEnd w:id="11"/>
      <w:r>
        <w:rPr>
          <w:rFonts w:hint="default" w:ascii="Times New Roman" w:hAnsi="Times New Roman" w:eastAsia="方正小标宋_GBK" w:cs="Times New Roman"/>
          <w:color w:val="auto"/>
          <w:sz w:val="72"/>
          <w:szCs w:val="72"/>
          <w:highlight w:val="none"/>
          <w:lang w:eastAsia="zh-CN"/>
        </w:rPr>
        <w:t>公开</w:t>
      </w:r>
    </w:p>
    <w:p>
      <w:pPr>
        <w:keepNext w:val="0"/>
        <w:keepLines w:val="0"/>
        <w:pageBreakBefore w:val="0"/>
        <w:widowControl/>
        <w:kinsoku/>
        <w:wordWrap/>
        <w:overflowPunct/>
        <w:topLinePunct w:val="0"/>
        <w:autoSpaceDE/>
        <w:autoSpaceDN/>
        <w:bidi w:val="0"/>
        <w:jc w:val="center"/>
        <w:textAlignment w:val="auto"/>
        <w:outlineLvl w:val="9"/>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val="en-US" w:eastAsia="zh-CN"/>
        </w:rPr>
        <w:t xml:space="preserve">  </w:t>
      </w:r>
      <w:r>
        <w:rPr>
          <w:rFonts w:hint="eastAsia" w:ascii="黑体" w:hAnsi="黑体" w:eastAsia="黑体"/>
          <w:color w:val="auto"/>
          <w:sz w:val="48"/>
          <w:szCs w:val="48"/>
          <w:highlight w:val="none"/>
        </w:rPr>
        <w:t>录</w:t>
      </w:r>
    </w:p>
    <w:p>
      <w:pPr>
        <w:pStyle w:val="11"/>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公开时间：20</w:t>
      </w:r>
      <w:r>
        <w:rPr>
          <w:rFonts w:hint="default" w:ascii="Times New Roman" w:hAnsi="Times New Roman" w:eastAsia="方正楷体_GBK" w:cs="Times New Roman"/>
          <w:color w:val="auto"/>
          <w:sz w:val="32"/>
          <w:szCs w:val="32"/>
          <w:highlight w:val="none"/>
          <w:lang w:val="en-US" w:eastAsia="zh-CN"/>
        </w:rPr>
        <w:t>23</w:t>
      </w:r>
      <w:r>
        <w:rPr>
          <w:rFonts w:hint="default" w:ascii="Times New Roman" w:hAnsi="Times New Roman" w:eastAsia="方正楷体_GBK" w:cs="Times New Roman"/>
          <w:color w:val="auto"/>
          <w:sz w:val="32"/>
          <w:szCs w:val="32"/>
          <w:highlight w:val="none"/>
        </w:rPr>
        <w:t>年</w:t>
      </w:r>
      <w:r>
        <w:rPr>
          <w:rFonts w:hint="default" w:ascii="Times New Roman" w:hAnsi="Times New Roman" w:eastAsia="方正楷体_GBK" w:cs="Times New Roman"/>
          <w:color w:val="auto"/>
          <w:sz w:val="32"/>
          <w:szCs w:val="32"/>
          <w:highlight w:val="none"/>
          <w:lang w:val="en-US" w:eastAsia="zh-CN"/>
        </w:rPr>
        <w:t>11</w:t>
      </w:r>
      <w:r>
        <w:rPr>
          <w:rFonts w:hint="default" w:ascii="Times New Roman" w:hAnsi="Times New Roman" w:eastAsia="方正楷体_GBK" w:cs="Times New Roman"/>
          <w:color w:val="auto"/>
          <w:sz w:val="32"/>
          <w:szCs w:val="32"/>
          <w:highlight w:val="none"/>
        </w:rPr>
        <w:t>月</w:t>
      </w:r>
      <w:r>
        <w:rPr>
          <w:rFonts w:hint="default" w:ascii="Times New Roman" w:hAnsi="Times New Roman" w:eastAsia="方正楷体_GBK" w:cs="Times New Roman"/>
          <w:color w:val="auto"/>
          <w:sz w:val="32"/>
          <w:szCs w:val="32"/>
          <w:highlight w:val="none"/>
          <w:lang w:val="en-US" w:eastAsia="zh-CN"/>
        </w:rPr>
        <w:t>10</w:t>
      </w:r>
      <w:r>
        <w:rPr>
          <w:rFonts w:hint="default" w:ascii="Times New Roman" w:hAnsi="Times New Roman" w:eastAsia="方正楷体_GBK" w:cs="Times New Roman"/>
          <w:color w:val="auto"/>
          <w:sz w:val="32"/>
          <w:szCs w:val="32"/>
          <w:highlight w:val="none"/>
        </w:rPr>
        <w:t>日</w:t>
      </w:r>
    </w:p>
    <w:sdt>
      <w:sdtPr>
        <w:rPr>
          <w:rFonts w:ascii="宋体" w:hAnsi="宋体" w:eastAsia="宋体" w:cs="Times New Roman"/>
          <w:kern w:val="2"/>
          <w:sz w:val="21"/>
          <w:szCs w:val="24"/>
          <w:lang w:val="en-US" w:eastAsia="zh-CN" w:bidi="ar-SA"/>
        </w:rPr>
        <w:id w:val="147477982"/>
        <w15:color w:val="DBDBDB"/>
        <w:docPartObj>
          <w:docPartGallery w:val="Table of Contents"/>
          <w:docPartUnique/>
        </w:docPartObj>
      </w:sdtPr>
      <w:sdtEndPr>
        <w:rPr>
          <w:rFonts w:ascii="Times New Roman" w:hAnsi="Times New Roman"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60" w:lineRule="exact"/>
            <w:ind w:left="0" w:leftChars="0" w:firstLine="560" w:firstLineChars="200"/>
            <w:jc w:val="both"/>
            <w:textAlignment w:val="auto"/>
            <w:rPr>
              <w:rFonts w:hint="default" w:ascii="Times New Roman" w:hAnsi="Times New Roman" w:eastAsia="方正仿宋_GBK" w:cs="Times New Roman"/>
              <w:sz w:val="32"/>
              <w:szCs w:val="32"/>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rFonts w:hint="eastAsia" w:ascii="黑体" w:hAnsi="黑体" w:eastAsia="黑体" w:cs="黑体"/>
              <w:color w:val="auto"/>
              <w:sz w:val="32"/>
              <w:szCs w:val="32"/>
              <w:highlight w:val="none"/>
            </w:rPr>
            <w:fldChar w:fldCharType="begin"/>
          </w:r>
          <w:r>
            <w:rPr>
              <w:rFonts w:hint="eastAsia" w:ascii="黑体" w:hAnsi="黑体" w:eastAsia="黑体" w:cs="黑体"/>
              <w:sz w:val="32"/>
              <w:szCs w:val="32"/>
              <w:highlight w:val="none"/>
            </w:rPr>
            <w:instrText xml:space="preserve"> HYPERLINK \l _Toc17708 </w:instrText>
          </w:r>
          <w:r>
            <w:rPr>
              <w:rFonts w:hint="eastAsia" w:ascii="黑体" w:hAnsi="黑体" w:eastAsia="黑体" w:cs="黑体"/>
              <w:sz w:val="32"/>
              <w:szCs w:val="32"/>
              <w:highlight w:val="none"/>
            </w:rPr>
            <w:fldChar w:fldCharType="separate"/>
          </w: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部门概况</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_Toc17708 \h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_Toc26077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部门职责</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_Toc26077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_Toc10994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机构设置</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_Toc10994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_Toc23016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人员情况</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_Toc23016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color w:val="auto"/>
              <w:sz w:val="32"/>
              <w:szCs w:val="32"/>
              <w:highlight w:val="none"/>
            </w:rPr>
            <w:fldChar w:fldCharType="begin"/>
          </w:r>
          <w:r>
            <w:rPr>
              <w:rFonts w:hint="eastAsia" w:ascii="黑体" w:hAnsi="黑体" w:eastAsia="黑体" w:cs="黑体"/>
              <w:sz w:val="32"/>
              <w:szCs w:val="32"/>
              <w:highlight w:val="none"/>
            </w:rPr>
            <w:instrText xml:space="preserve"> HYPERLINK \l _Toc14167 </w:instrText>
          </w:r>
          <w:r>
            <w:rPr>
              <w:rFonts w:hint="eastAsia" w:ascii="黑体" w:hAnsi="黑体" w:eastAsia="黑体" w:cs="黑体"/>
              <w:sz w:val="32"/>
              <w:szCs w:val="32"/>
              <w:highlight w:val="none"/>
            </w:rPr>
            <w:fldChar w:fldCharType="separate"/>
          </w:r>
          <w:r>
            <w:rPr>
              <w:rFonts w:hint="eastAsia"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2022年度</w:t>
          </w:r>
          <w:r>
            <w:rPr>
              <w:rFonts w:hint="eastAsia" w:ascii="黑体" w:hAnsi="黑体" w:eastAsia="黑体" w:cs="黑体"/>
              <w:sz w:val="32"/>
              <w:szCs w:val="32"/>
            </w:rPr>
            <w:t>部门决算情况说明</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_Toc14167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_Toc28994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kern w:val="2"/>
              <w:sz w:val="32"/>
              <w:szCs w:val="32"/>
              <w:lang w:val="en-US" w:eastAsia="zh-CN" w:bidi="ar-SA"/>
            </w:rPr>
            <w:t>一、</w:t>
          </w:r>
          <w:r>
            <w:rPr>
              <w:rFonts w:hint="default" w:ascii="Times New Roman" w:hAnsi="Times New Roman" w:eastAsia="方正仿宋_GBK" w:cs="Times New Roman"/>
              <w:sz w:val="32"/>
              <w:szCs w:val="32"/>
              <w:highlight w:val="none"/>
            </w:rPr>
            <w:t>收入支出决算总体情况说明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_Toc28994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_Toc22856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kern w:val="2"/>
              <w:sz w:val="32"/>
              <w:szCs w:val="32"/>
              <w:lang w:val="en-US" w:eastAsia="zh-CN" w:bidi="ar-SA"/>
            </w:rPr>
            <w:t>二、</w:t>
          </w:r>
          <w:r>
            <w:rPr>
              <w:rFonts w:hint="default" w:ascii="Times New Roman" w:hAnsi="Times New Roman" w:eastAsia="方正仿宋_GBK" w:cs="Times New Roman"/>
              <w:sz w:val="32"/>
              <w:szCs w:val="32"/>
              <w:highlight w:val="none"/>
            </w:rPr>
            <w:t>收入决算情况说明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_Toc22856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_Toc31378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kern w:val="2"/>
              <w:sz w:val="32"/>
              <w:szCs w:val="32"/>
              <w:lang w:val="en-US" w:eastAsia="zh-CN" w:bidi="ar-SA"/>
            </w:rPr>
            <w:t>三、</w:t>
          </w:r>
          <w:r>
            <w:rPr>
              <w:rFonts w:hint="default" w:ascii="Times New Roman" w:hAnsi="Times New Roman" w:eastAsia="方正仿宋_GBK" w:cs="Times New Roman"/>
              <w:bCs/>
              <w:sz w:val="32"/>
              <w:szCs w:val="32"/>
              <w:highlight w:val="none"/>
            </w:rPr>
            <w:t>支出决算情况说明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_Toc31378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_Toc31379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sz w:val="32"/>
              <w:szCs w:val="32"/>
              <w:highlight w:val="none"/>
            </w:rPr>
            <w:t>四、财政拨款收入支出决算总体情况说明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_Toc31379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_Toc16166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sz w:val="32"/>
              <w:szCs w:val="32"/>
              <w:highlight w:val="none"/>
            </w:rPr>
            <w:t>五、一般公共预算财政拨款支出决算情况说明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_Toc16166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_Toc4892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sz w:val="32"/>
              <w:szCs w:val="32"/>
              <w:highlight w:val="none"/>
            </w:rPr>
            <w:t>六、一般公共预算财政拨款基本支出决算情况说明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_Toc4892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_Toc9176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sz w:val="32"/>
              <w:szCs w:val="32"/>
              <w:highlight w:val="none"/>
            </w:rPr>
            <w:t>七、财政拨款“三公”经费支出决算情况说明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_Toc9176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12</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_Toc14012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sz w:val="32"/>
              <w:szCs w:val="32"/>
              <w:highlight w:val="none"/>
            </w:rPr>
            <w:t>八、政府性基金预算支出决算情况说明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_Toc14012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_Toc11773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kern w:val="2"/>
              <w:sz w:val="32"/>
              <w:szCs w:val="32"/>
              <w:lang w:val="en-US" w:eastAsia="zh-CN" w:bidi="ar-SA"/>
            </w:rPr>
            <w:t>九、</w:t>
          </w:r>
          <w:r>
            <w:rPr>
              <w:rFonts w:hint="default" w:ascii="Times New Roman" w:hAnsi="Times New Roman" w:eastAsia="方正仿宋_GBK" w:cs="Times New Roman"/>
              <w:bCs/>
              <w:sz w:val="32"/>
              <w:szCs w:val="32"/>
              <w:highlight w:val="none"/>
            </w:rPr>
            <w:t>国有资本经营预算支出决算情况说明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_Toc11773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_Toc31455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bCs/>
              <w:kern w:val="2"/>
              <w:sz w:val="32"/>
              <w:szCs w:val="32"/>
              <w:lang w:val="en-US" w:eastAsia="zh-CN" w:bidi="ar-SA"/>
            </w:rPr>
            <w:t>十、</w:t>
          </w:r>
          <w:r>
            <w:rPr>
              <w:rFonts w:hint="default" w:ascii="Times New Roman" w:hAnsi="Times New Roman" w:eastAsia="方正仿宋_GBK" w:cs="Times New Roman"/>
              <w:bCs/>
              <w:sz w:val="32"/>
              <w:szCs w:val="32"/>
              <w:highlight w:val="none"/>
            </w:rPr>
            <w:t>其他重要事项的情况说明</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_Toc31455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auto"/>
              <w:sz w:val="32"/>
              <w:szCs w:val="32"/>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color w:val="auto"/>
              <w:sz w:val="32"/>
              <w:szCs w:val="32"/>
              <w:highlight w:val="none"/>
            </w:rPr>
            <w:fldChar w:fldCharType="begin"/>
          </w:r>
          <w:r>
            <w:rPr>
              <w:rFonts w:hint="eastAsia" w:ascii="黑体" w:hAnsi="黑体" w:eastAsia="黑体" w:cs="黑体"/>
              <w:sz w:val="32"/>
              <w:szCs w:val="32"/>
              <w:highlight w:val="none"/>
            </w:rPr>
            <w:instrText xml:space="preserve"> HYPERLINK \l _Toc29944 </w:instrText>
          </w:r>
          <w:r>
            <w:rPr>
              <w:rFonts w:hint="eastAsia" w:ascii="黑体" w:hAnsi="黑体" w:eastAsia="黑体" w:cs="黑体"/>
              <w:sz w:val="32"/>
              <w:szCs w:val="32"/>
              <w:highlight w:val="none"/>
            </w:rPr>
            <w:fldChar w:fldCharType="separate"/>
          </w:r>
          <w:r>
            <w:rPr>
              <w:rFonts w:hint="eastAsia" w:ascii="黑体" w:hAnsi="黑体" w:eastAsia="黑体" w:cs="黑体"/>
              <w:bCs/>
              <w:kern w:val="44"/>
              <w:sz w:val="32"/>
              <w:szCs w:val="32"/>
              <w:lang w:val="en-US" w:eastAsia="zh-CN" w:bidi="ar-SA"/>
            </w:rPr>
            <w:t xml:space="preserve">第三部分  </w:t>
          </w:r>
          <w:r>
            <w:rPr>
              <w:rFonts w:hint="eastAsia" w:ascii="黑体" w:hAnsi="黑体" w:eastAsia="黑体" w:cs="黑体"/>
              <w:sz w:val="32"/>
              <w:szCs w:val="32"/>
              <w:highlight w:val="none"/>
            </w:rPr>
            <w:t>名词解释</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_Toc29944 \h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color w:val="auto"/>
              <w:sz w:val="32"/>
              <w:szCs w:val="32"/>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6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eastAsia" w:ascii="黑体" w:hAnsi="黑体" w:eastAsia="黑体" w:cs="黑体"/>
              <w:color w:val="auto"/>
              <w:sz w:val="32"/>
              <w:szCs w:val="32"/>
              <w:highlight w:val="none"/>
            </w:rPr>
            <w:fldChar w:fldCharType="begin"/>
          </w:r>
          <w:r>
            <w:rPr>
              <w:rFonts w:hint="eastAsia" w:ascii="黑体" w:hAnsi="黑体" w:eastAsia="黑体" w:cs="黑体"/>
              <w:sz w:val="32"/>
              <w:szCs w:val="32"/>
              <w:highlight w:val="none"/>
            </w:rPr>
            <w:instrText xml:space="preserve"> HYPERLINK \l _Toc14950 </w:instrText>
          </w:r>
          <w:r>
            <w:rPr>
              <w:rFonts w:hint="eastAsia" w:ascii="黑体" w:hAnsi="黑体" w:eastAsia="黑体" w:cs="黑体"/>
              <w:sz w:val="32"/>
              <w:szCs w:val="32"/>
              <w:highlight w:val="none"/>
            </w:rPr>
            <w:fldChar w:fldCharType="separate"/>
          </w:r>
          <w:r>
            <w:rPr>
              <w:rFonts w:hint="eastAsia" w:ascii="黑体" w:hAnsi="黑体" w:eastAsia="黑体" w:cs="黑体"/>
              <w:sz w:val="32"/>
              <w:szCs w:val="32"/>
              <w:highlight w:val="none"/>
            </w:rPr>
            <w:t xml:space="preserve">第四部分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附件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_Toc14950 \h </w:instrText>
          </w:r>
          <w:r>
            <w:rPr>
              <w:rFonts w:hint="eastAsia" w:ascii="黑体" w:hAnsi="黑体" w:eastAsia="黑体" w:cs="黑体"/>
              <w:sz w:val="32"/>
              <w:szCs w:val="32"/>
            </w:rPr>
            <w:fldChar w:fldCharType="separate"/>
          </w:r>
          <w:r>
            <w:rPr>
              <w:rFonts w:hint="eastAsia" w:ascii="黑体" w:hAnsi="黑体" w:eastAsia="黑体" w:cs="黑体"/>
              <w:sz w:val="32"/>
              <w:szCs w:val="32"/>
            </w:rPr>
            <w:t>23</w:t>
          </w:r>
          <w:r>
            <w:rPr>
              <w:rFonts w:hint="eastAsia" w:ascii="黑体" w:hAnsi="黑体" w:eastAsia="黑体" w:cs="黑体"/>
              <w:sz w:val="32"/>
              <w:szCs w:val="32"/>
            </w:rPr>
            <w:fldChar w:fldCharType="end"/>
          </w:r>
          <w:r>
            <w:rPr>
              <w:rFonts w:hint="eastAsia" w:ascii="黑体" w:hAnsi="黑体" w:eastAsia="黑体" w:cs="黑体"/>
              <w:color w:val="auto"/>
              <w:sz w:val="32"/>
              <w:szCs w:val="32"/>
              <w:highlight w:val="none"/>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60" w:lineRule="exact"/>
            <w:ind w:left="0" w:leftChars="0" w:firstLine="640" w:firstLineChars="200"/>
            <w:jc w:val="both"/>
            <w:textAlignment w:val="auto"/>
          </w:pPr>
          <w:r>
            <w:rPr>
              <w:rFonts w:hint="eastAsia" w:ascii="黑体" w:hAnsi="黑体" w:eastAsia="黑体" w:cs="黑体"/>
              <w:color w:val="auto"/>
              <w:sz w:val="32"/>
              <w:szCs w:val="32"/>
              <w:highlight w:val="none"/>
            </w:rPr>
            <w:fldChar w:fldCharType="begin"/>
          </w:r>
          <w:r>
            <w:rPr>
              <w:rFonts w:hint="eastAsia" w:ascii="黑体" w:hAnsi="黑体" w:eastAsia="黑体" w:cs="黑体"/>
              <w:sz w:val="32"/>
              <w:szCs w:val="32"/>
              <w:highlight w:val="none"/>
            </w:rPr>
            <w:instrText xml:space="preserve"> HYPERLINK \l _Toc12639 </w:instrText>
          </w:r>
          <w:r>
            <w:rPr>
              <w:rFonts w:hint="eastAsia" w:ascii="黑体" w:hAnsi="黑体" w:eastAsia="黑体" w:cs="黑体"/>
              <w:sz w:val="32"/>
              <w:szCs w:val="32"/>
              <w:highlight w:val="none"/>
            </w:rPr>
            <w:fldChar w:fldCharType="separate"/>
          </w:r>
          <w:r>
            <w:rPr>
              <w:rFonts w:hint="eastAsia" w:ascii="黑体" w:hAnsi="黑体" w:eastAsia="黑体" w:cs="黑体"/>
              <w:sz w:val="32"/>
              <w:szCs w:val="32"/>
              <w:highlight w:val="none"/>
            </w:rPr>
            <w:t>第五部分</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 xml:space="preserve"> 附表</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_Toc12639 \h </w:instrText>
          </w:r>
          <w:r>
            <w:rPr>
              <w:rFonts w:hint="eastAsia" w:ascii="黑体" w:hAnsi="黑体" w:eastAsia="黑体" w:cs="黑体"/>
              <w:sz w:val="32"/>
              <w:szCs w:val="32"/>
            </w:rPr>
            <w:fldChar w:fldCharType="separate"/>
          </w:r>
          <w:r>
            <w:rPr>
              <w:rFonts w:hint="eastAsia" w:ascii="黑体" w:hAnsi="黑体" w:eastAsia="黑体" w:cs="黑体"/>
              <w:sz w:val="32"/>
              <w:szCs w:val="32"/>
            </w:rPr>
            <w:t>65</w:t>
          </w:r>
          <w:r>
            <w:rPr>
              <w:rFonts w:hint="eastAsia" w:ascii="黑体" w:hAnsi="黑体" w:eastAsia="黑体" w:cs="黑体"/>
              <w:sz w:val="32"/>
              <w:szCs w:val="32"/>
            </w:rPr>
            <w:fldChar w:fldCharType="end"/>
          </w:r>
          <w:r>
            <w:rPr>
              <w:rFonts w:hint="eastAsia" w:ascii="黑体" w:hAnsi="黑体" w:eastAsia="黑体" w:cs="黑体"/>
              <w:color w:val="auto"/>
              <w:sz w:val="32"/>
              <w:szCs w:val="32"/>
              <w:highlight w:val="none"/>
            </w:rPr>
            <w:fldChar w:fldCharType="end"/>
          </w:r>
        </w:p>
        <w:p>
          <w:pPr>
            <w:rPr>
              <w:rFonts w:ascii="Times New Roman" w:hAnsi="Times New Roman" w:eastAsia="宋体" w:cs="Times New Roman"/>
              <w:color w:val="auto"/>
              <w:kern w:val="2"/>
              <w:sz w:val="21"/>
              <w:szCs w:val="24"/>
              <w:highlight w:val="none"/>
              <w:lang w:val="en-US" w:eastAsia="zh-CN" w:bidi="ar-SA"/>
            </w:rPr>
            <w:sectPr>
              <w:footerReference r:id="rId5" w:type="first"/>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color w:val="auto"/>
              <w:highlight w:val="none"/>
            </w:rPr>
            <w:fldChar w:fldCharType="end"/>
          </w:r>
        </w:p>
      </w:sdtContent>
    </w:sdt>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color w:val="auto"/>
          <w:sz w:val="44"/>
          <w:szCs w:val="44"/>
        </w:rPr>
      </w:pPr>
      <w:bookmarkStart w:id="12" w:name="_Toc15396599"/>
      <w:bookmarkStart w:id="13" w:name="_Toc15377196"/>
      <w:bookmarkStart w:id="14" w:name="_Toc17708"/>
      <w:r>
        <w:rPr>
          <w:rFonts w:hint="eastAsia" w:ascii="方正小标宋_GBK" w:hAnsi="方正小标宋_GBK" w:eastAsia="方正小标宋_GBK" w:cs="方正小标宋_GBK"/>
          <w:color w:val="auto"/>
          <w:sz w:val="44"/>
          <w:szCs w:val="44"/>
        </w:rPr>
        <w:t>第一部分</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rPr>
        <w:t xml:space="preserve"> 部门概况</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lang w:eastAsia="zh-CN"/>
        </w:rPr>
      </w:pPr>
      <w:bookmarkStart w:id="15" w:name="_Toc26077"/>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部门职责</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贯彻落实国家、省、市有关商贸流通服务业、对外贸易的法律、法规，拟订推动全区商贸流通服务业、对外贸易发展政策措施，制定全区商务发展规划并组织实施。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承担全区服务业发展组织协调职责，贯彻落实国家、省、市、区促进服务业发展的方针政策，拟订服务业发展总体规划，掌握服务业发展动态和运行态势，负责服务业发展信息收集和统计分析，及时提出意见和建议；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研究提出引导国内资金投向市场体系建设的政策，编制大宗产品批发市场规划，指导城市商业网点规划和商业体系建设工作，推进农村市场体系建设，组织实施农村现代流通网络工程，促进城乡市场一体化发展。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承担牵头协调全区整顿和规范市场经济秩序工作的职责，拟订规范市场运行和流通秩序的政策，推动商务领域信用建设，指导商业信用销售，建立市场诚信公共服务平台，按有关规定对特殊流通行业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负责监测分析市场运行、商品供求状况，调查分析商品价格信息，进行预测预警和信息引导。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拟订促进外贸增长的政策措施，指导全区对外贸易企业执行国家进出口商品、加工贸易管理办法和进出口管理商品、技术目录，组织实施重要工业品、原材料和重要农产品进出口总量计划，指导贸易促进活动和外贸促进体系建设。依法监督技术引进、设备进口、国家限制出口技术的工作，推进进出口贸易标准化工作，牵头负责发展服务贸易的相关工作，推动服务外包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负责全区对外经济合作工作，拟订并执行对外经济合作政策，依法管理和监督对外承包工程、对外劳务合作和出境就业等，承担境外派驻机构和境外投资管理的责任，牵头负责外派劳务和赴境外就业人员的权益保护工作，管理多双边对我区的无偿援助和捐赠款项等发展合作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管理我区赴境外举办的各种商品交易和经贸推介活动，指导监督管理以巴中市巴州区名义在境内举办的各种商贸交易会、展览会、展销会等活动。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规划全区商务系统电子政务、公共商务信息服务体系建设并组织实施，推动电子商务发展。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负责职责范围内的安全生产、职业健康、生态环境保护、审批服务便民化等工作。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完成区委、区政府交办的其他任务。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有关职责分工。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并购安全审查。区发改局和区商务局、区投资促进局按照各自职责，分别配合市发改委和市商务局、市投资促进局开展外国投资者并购区内企业安全审查的相关工作。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rPr>
      </w:pPr>
      <w:bookmarkStart w:id="16" w:name="_Toc10994"/>
      <w:bookmarkStart w:id="17" w:name="_Toc15396601"/>
      <w:bookmarkStart w:id="18" w:name="_Toc15377200"/>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机构设置</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巴中市巴州区商务局</w:t>
      </w:r>
      <w:r>
        <w:rPr>
          <w:rFonts w:hint="default" w:ascii="Times New Roman" w:hAnsi="Times New Roman" w:eastAsia="方正仿宋_GBK" w:cs="Times New Roman"/>
          <w:color w:val="auto"/>
          <w:sz w:val="32"/>
          <w:szCs w:val="32"/>
        </w:rPr>
        <w:t>是一个独立</w:t>
      </w:r>
      <w:r>
        <w:rPr>
          <w:rFonts w:hint="default" w:ascii="Times New Roman" w:hAnsi="Times New Roman" w:eastAsia="方正仿宋_GBK" w:cs="Times New Roman"/>
          <w:color w:val="auto"/>
          <w:sz w:val="32"/>
          <w:szCs w:val="32"/>
          <w:lang w:eastAsia="zh-CN"/>
        </w:rPr>
        <w:t>的一级预算单位性质的</w:t>
      </w:r>
      <w:r>
        <w:rPr>
          <w:rFonts w:hint="default" w:ascii="Times New Roman" w:hAnsi="Times New Roman" w:eastAsia="方正仿宋_GBK" w:cs="Times New Roman"/>
          <w:color w:val="auto"/>
          <w:sz w:val="32"/>
          <w:szCs w:val="32"/>
        </w:rPr>
        <w:t>核算机构，纳入</w:t>
      </w:r>
      <w:r>
        <w:rPr>
          <w:rFonts w:hint="default" w:ascii="Times New Roman" w:hAnsi="Times New Roman" w:eastAsia="方正仿宋_GBK" w:cs="Times New Roman"/>
          <w:color w:val="auto"/>
          <w:sz w:val="32"/>
          <w:szCs w:val="32"/>
          <w:lang w:val="en-US" w:eastAsia="zh-CN"/>
        </w:rPr>
        <w:t>2022</w:t>
      </w:r>
      <w:r>
        <w:rPr>
          <w:rFonts w:hint="default" w:ascii="Times New Roman" w:hAnsi="Times New Roman" w:eastAsia="方正仿宋_GBK" w:cs="Times New Roman"/>
          <w:color w:val="auto"/>
          <w:sz w:val="32"/>
          <w:szCs w:val="32"/>
        </w:rPr>
        <w:t>年部门决算汇编的独立核算单位1个，其中独立报送单户报表的单位1个，比较上年无增减。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color w:val="auto"/>
          <w:sz w:val="32"/>
          <w:szCs w:val="32"/>
        </w:rPr>
      </w:pPr>
      <w:bookmarkStart w:id="19" w:name="_Toc23016"/>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人员情况</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w:t>
      </w:r>
      <w:r>
        <w:rPr>
          <w:rFonts w:hint="default" w:ascii="Times New Roman" w:hAnsi="Times New Roman" w:eastAsia="方正仿宋_GBK" w:cs="Times New Roman"/>
          <w:color w:val="auto"/>
          <w:sz w:val="32"/>
          <w:szCs w:val="32"/>
        </w:rPr>
        <w:t>年在职人员</w:t>
      </w:r>
      <w:r>
        <w:rPr>
          <w:rFonts w:hint="default"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人</w:t>
      </w:r>
      <w:r>
        <w:rPr>
          <w:rFonts w:hint="default" w:ascii="Times New Roman" w:hAnsi="Times New Roman" w:eastAsia="方正仿宋_GBK" w:cs="Times New Roman"/>
          <w:color w:val="auto"/>
          <w:sz w:val="32"/>
          <w:szCs w:val="32"/>
          <w:lang w:eastAsia="zh-CN"/>
        </w:rPr>
        <w:t>，其中</w:t>
      </w:r>
      <w:r>
        <w:rPr>
          <w:rFonts w:hint="default" w:ascii="Times New Roman" w:hAnsi="Times New Roman" w:eastAsia="方正仿宋_GBK" w:cs="Times New Roman"/>
          <w:color w:val="auto"/>
          <w:sz w:val="32"/>
          <w:szCs w:val="32"/>
          <w:lang w:val="en-US" w:eastAsia="zh-CN"/>
        </w:rPr>
        <w:t>行政人员9人，参公人员5人，事业人员6人,机关工勤1人,辅助性岗位2人。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p>
    <w:p>
      <w:pPr>
        <w:numPr>
          <w:ilvl w:val="0"/>
          <w:numId w:val="0"/>
        </w:numPr>
        <w:ind w:leftChars="0"/>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Style w:val="30"/>
          <w:rFonts w:hint="default" w:ascii="Times New Roman" w:hAnsi="Times New Roman" w:eastAsia="方正小标宋_GBK" w:cs="Times New Roman"/>
          <w:b w:val="0"/>
          <w:bCs/>
          <w:color w:val="auto"/>
          <w:sz w:val="44"/>
          <w:szCs w:val="44"/>
          <w:highlight w:val="none"/>
        </w:rPr>
      </w:pPr>
      <w:bookmarkStart w:id="20" w:name="_Toc14167"/>
      <w:bookmarkStart w:id="21" w:name="_Toc15396602"/>
      <w:bookmarkStart w:id="22" w:name="_Toc15377204"/>
      <w:r>
        <w:rPr>
          <w:rFonts w:hint="default" w:ascii="Times New Roman" w:hAnsi="Times New Roman" w:eastAsia="方正小标宋_GBK" w:cs="Times New Roman"/>
          <w:color w:val="auto"/>
          <w:sz w:val="44"/>
          <w:szCs w:val="44"/>
        </w:rPr>
        <w:t>第二部分</w:t>
      </w:r>
      <w:r>
        <w:rPr>
          <w:rFonts w:hint="eastAsia" w:ascii="Times New Roman" w:hAnsi="Times New Roman" w:eastAsia="方正小标宋_GBK" w:cs="Times New Roman"/>
          <w:color w:val="auto"/>
          <w:sz w:val="44"/>
          <w:szCs w:val="44"/>
          <w:lang w:val="en-US" w:eastAsia="zh-CN"/>
        </w:rPr>
        <w:t xml:space="preserve"> </w:t>
      </w:r>
      <w:r>
        <w:rPr>
          <w:rFonts w:hint="default" w:ascii="Times New Roman" w:hAnsi="Times New Roman" w:eastAsia="方正小标宋_GBK" w:cs="Times New Roman"/>
          <w:color w:val="auto"/>
          <w:sz w:val="44"/>
          <w:szCs w:val="44"/>
        </w:rPr>
        <w:t xml:space="preserve"> </w:t>
      </w:r>
      <w:r>
        <w:rPr>
          <w:rFonts w:hint="default" w:ascii="Times New Roman" w:hAnsi="Times New Roman" w:eastAsia="方正小标宋_GBK" w:cs="Times New Roman"/>
          <w:color w:val="auto"/>
          <w:sz w:val="44"/>
          <w:szCs w:val="44"/>
          <w:lang w:val="en-US" w:eastAsia="zh-CN"/>
        </w:rPr>
        <w:t>2022年度</w:t>
      </w:r>
      <w:r>
        <w:rPr>
          <w:rFonts w:hint="default" w:ascii="Times New Roman" w:hAnsi="Times New Roman" w:eastAsia="方正小标宋_GBK" w:cs="Times New Roman"/>
          <w:color w:val="auto"/>
          <w:sz w:val="44"/>
          <w:szCs w:val="44"/>
        </w:rPr>
        <w:t>部门决算情况说明</w:t>
      </w:r>
      <w:bookmarkEnd w:id="20"/>
      <w:bookmarkEnd w:id="21"/>
      <w:bookmarkEnd w:id="22"/>
    </w:p>
    <w:p>
      <w:pPr>
        <w:rPr>
          <w:color w:val="auto"/>
          <w:highlight w:val="none"/>
        </w:rPr>
      </w:pPr>
    </w:p>
    <w:p>
      <w:pPr>
        <w:pStyle w:val="2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Style w:val="31"/>
          <w:rFonts w:ascii="黑体" w:hAnsi="黑体" w:eastAsia="黑体"/>
          <w:b w:val="0"/>
          <w:color w:val="auto"/>
          <w:highlight w:val="none"/>
        </w:rPr>
      </w:pPr>
      <w:bookmarkStart w:id="23" w:name="_Toc15396603"/>
      <w:bookmarkStart w:id="24" w:name="_Toc28994"/>
      <w:bookmarkStart w:id="25" w:name="_Toc15377205"/>
      <w:r>
        <w:rPr>
          <w:rFonts w:hint="default" w:ascii="黑体" w:hAnsi="黑体" w:eastAsia="黑体" w:cstheme="majorBidi"/>
          <w:b w:val="0"/>
          <w:bCs/>
          <w:color w:val="auto"/>
          <w:kern w:val="2"/>
          <w:sz w:val="32"/>
          <w:szCs w:val="32"/>
          <w:lang w:val="en-US" w:eastAsia="zh-CN" w:bidi="ar-SA"/>
        </w:rPr>
        <w:t>一、</w:t>
      </w:r>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入支出决算总体情况说明</w:t>
      </w:r>
      <w:bookmarkEnd w:id="23"/>
      <w:bookmarkEnd w:id="24"/>
      <w:bookmarkEnd w:id="25"/>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outlineLvl w:val="9"/>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（一）收入支出预算安排情况</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w:t>
      </w:r>
      <w:r>
        <w:rPr>
          <w:rFonts w:hint="default" w:ascii="Times New Roman" w:hAnsi="Times New Roman" w:eastAsia="方正仿宋_GBK" w:cs="Times New Roman"/>
          <w:b w:val="0"/>
          <w:bCs w:val="0"/>
          <w:color w:val="auto"/>
          <w:sz w:val="32"/>
          <w:szCs w:val="32"/>
        </w:rPr>
        <w:t>年</w:t>
      </w:r>
      <w:r>
        <w:rPr>
          <w:rFonts w:hint="default" w:ascii="Times New Roman" w:hAnsi="Times New Roman" w:eastAsia="方正仿宋_GBK" w:cs="Times New Roman"/>
          <w:b w:val="0"/>
          <w:bCs w:val="0"/>
          <w:color w:val="auto"/>
          <w:sz w:val="32"/>
          <w:szCs w:val="32"/>
          <w:lang w:val="en-US" w:eastAsia="zh-CN"/>
        </w:rPr>
        <w:t>巴中市巴州区商务局</w:t>
      </w:r>
      <w:r>
        <w:rPr>
          <w:rFonts w:hint="default" w:ascii="Times New Roman" w:hAnsi="Times New Roman" w:eastAsia="方正仿宋_GBK" w:cs="Times New Roman"/>
          <w:b w:val="0"/>
          <w:bCs w:val="0"/>
          <w:color w:val="auto"/>
          <w:sz w:val="32"/>
          <w:szCs w:val="32"/>
        </w:rPr>
        <w:t>收入年初预算</w:t>
      </w:r>
      <w:r>
        <w:rPr>
          <w:rFonts w:hint="default" w:ascii="Times New Roman" w:hAnsi="Times New Roman" w:eastAsia="方正仿宋_GBK" w:cs="Times New Roman"/>
          <w:b w:val="0"/>
          <w:bCs w:val="0"/>
          <w:color w:val="auto"/>
          <w:sz w:val="32"/>
          <w:szCs w:val="32"/>
          <w:lang w:val="en-US" w:eastAsia="zh-CN"/>
        </w:rPr>
        <w:t>551.63万</w:t>
      </w:r>
      <w:r>
        <w:rPr>
          <w:rFonts w:hint="default" w:ascii="Times New Roman" w:hAnsi="Times New Roman" w:eastAsia="方正仿宋_GBK" w:cs="Times New Roman"/>
          <w:b w:val="0"/>
          <w:bCs w:val="0"/>
          <w:color w:val="auto"/>
          <w:sz w:val="32"/>
          <w:szCs w:val="32"/>
          <w:lang w:eastAsia="zh-CN"/>
        </w:rPr>
        <w:t>元</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2021年年初预算352.83万元，</w:t>
      </w:r>
      <w:r>
        <w:rPr>
          <w:rFonts w:hint="default" w:ascii="Times New Roman" w:hAnsi="Times New Roman" w:eastAsia="方正仿宋_GBK" w:cs="Times New Roman"/>
          <w:b w:val="0"/>
          <w:bCs w:val="0"/>
          <w:color w:val="auto"/>
          <w:sz w:val="32"/>
          <w:szCs w:val="32"/>
          <w:lang w:eastAsia="zh-CN"/>
        </w:rPr>
        <w:t>较上年增加</w:t>
      </w:r>
      <w:r>
        <w:rPr>
          <w:rFonts w:hint="default" w:ascii="Times New Roman" w:hAnsi="Times New Roman" w:eastAsia="方正仿宋_GBK" w:cs="Times New Roman"/>
          <w:b w:val="0"/>
          <w:bCs w:val="0"/>
          <w:color w:val="auto"/>
          <w:sz w:val="32"/>
          <w:szCs w:val="32"/>
          <w:lang w:val="en-US" w:eastAsia="zh-CN"/>
        </w:rPr>
        <w:t>198.8万元；</w:t>
      </w:r>
      <w:r>
        <w:rPr>
          <w:rFonts w:hint="default" w:ascii="Times New Roman" w:hAnsi="Times New Roman" w:eastAsia="方正仿宋_GBK" w:cs="Times New Roman"/>
          <w:b w:val="0"/>
          <w:bCs w:val="0"/>
          <w:color w:val="auto"/>
          <w:sz w:val="32"/>
          <w:szCs w:val="32"/>
        </w:rPr>
        <w:t>决算数总收入</w:t>
      </w:r>
      <w:r>
        <w:rPr>
          <w:rFonts w:hint="default" w:ascii="Times New Roman" w:hAnsi="Times New Roman" w:eastAsia="方正仿宋_GBK" w:cs="Times New Roman"/>
          <w:b w:val="0"/>
          <w:bCs w:val="0"/>
          <w:color w:val="auto"/>
          <w:sz w:val="32"/>
          <w:szCs w:val="32"/>
          <w:lang w:val="en-US" w:eastAsia="zh-CN"/>
        </w:rPr>
        <w:t>1598.30万</w:t>
      </w:r>
      <w:r>
        <w:rPr>
          <w:rFonts w:hint="default" w:ascii="Times New Roman" w:hAnsi="Times New Roman" w:eastAsia="方正仿宋_GBK" w:cs="Times New Roman"/>
          <w:b w:val="0"/>
          <w:bCs w:val="0"/>
          <w:color w:val="auto"/>
          <w:sz w:val="32"/>
          <w:szCs w:val="32"/>
          <w:lang w:eastAsia="zh-CN"/>
        </w:rPr>
        <w:t>元</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2021年决算总收入1378.67万元，</w:t>
      </w:r>
      <w:r>
        <w:rPr>
          <w:rFonts w:hint="default" w:ascii="Times New Roman" w:hAnsi="Times New Roman" w:eastAsia="方正仿宋_GBK" w:cs="Times New Roman"/>
          <w:b w:val="0"/>
          <w:bCs w:val="0"/>
          <w:color w:val="auto"/>
          <w:sz w:val="32"/>
          <w:szCs w:val="32"/>
          <w:lang w:eastAsia="zh-CN"/>
        </w:rPr>
        <w:t>较上年增加</w:t>
      </w:r>
      <w:r>
        <w:rPr>
          <w:rFonts w:hint="default" w:ascii="Times New Roman" w:hAnsi="Times New Roman" w:eastAsia="方正仿宋_GBK" w:cs="Times New Roman"/>
          <w:b w:val="0"/>
          <w:bCs w:val="0"/>
          <w:color w:val="auto"/>
          <w:sz w:val="32"/>
          <w:szCs w:val="32"/>
          <w:lang w:val="en-US" w:eastAsia="zh-CN"/>
        </w:rPr>
        <w:t>219.63万元。</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outlineLvl w:val="9"/>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（二）收入支出预算执行情况</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2022年预算总收入1598.30万元，2021年预算总收入1378.67万元，较上年增加219.63万元，主要原因是2022年新增服务业集聚区建设等项目；2022年决算总支出1598.30万元，2021年决算总支出1378.67万元，较上年增加219.63万元。</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2022年度收、支总计各为1598.30万元。与2021年相比，收、支总计各增加219.63万元，增长15.93</w:t>
      </w:r>
      <w:r>
        <w:rPr>
          <w:rFonts w:hint="default" w:ascii="Times New Roman" w:hAnsi="Times New Roman" w:eastAsia="方正仿宋_GBK" w:cs="Times New Roman"/>
          <w:b w:val="0"/>
          <w:bCs w:val="0"/>
          <w:color w:val="auto"/>
          <w:sz w:val="32"/>
          <w:szCs w:val="32"/>
          <w:lang w:val="en-US" w:eastAsia="zh-CN"/>
        </w:rPr>
        <w:t>%</w:t>
      </w:r>
      <w:r>
        <w:rPr>
          <w:rFonts w:hint="eastAsia" w:ascii="Times New Roman" w:hAnsi="Times New Roman" w:eastAsia="方正仿宋_GBK" w:cs="Times New Roman"/>
          <w:b w:val="0"/>
          <w:bCs w:val="0"/>
          <w:color w:val="auto"/>
          <w:sz w:val="32"/>
          <w:szCs w:val="32"/>
          <w:lang w:val="en-US" w:eastAsia="zh-CN"/>
        </w:rPr>
        <w:t>。主要变动原因是当年新增服务业集聚区项目等建设资金。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仿宋_GBK" w:cs="Times New Roman"/>
          <w:b w:val="0"/>
          <w:bCs w:val="0"/>
          <w:color w:val="auto"/>
          <w:sz w:val="32"/>
          <w:szCs w:val="32"/>
          <w:lang w:val="en-US" w:eastAsia="zh-CN"/>
        </w:rPr>
      </w:pPr>
      <w:r>
        <w:rPr>
          <w:color w:val="auto"/>
        </w:rPr>
        <w:drawing>
          <wp:inline distT="0" distB="0" distL="114300" distR="114300">
            <wp:extent cx="4826000" cy="2743200"/>
            <wp:effectExtent l="4445" t="4445" r="8255" b="14605"/>
            <wp:docPr id="3" name="图表 2" descr="7b0a202020202263686172745265734964223a202232303437353532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ascii="仿宋_GB2312" w:eastAsia="仿宋_GB2312"/>
          <w:color w:val="auto"/>
          <w:sz w:val="28"/>
          <w:szCs w:val="28"/>
          <w:highlight w:val="none"/>
        </w:rPr>
      </w:pPr>
      <w:r>
        <w:rPr>
          <w:rFonts w:hint="default" w:ascii="Times New Roman" w:hAnsi="Times New Roman" w:eastAsia="方正楷体_GBK" w:cs="Times New Roman"/>
          <w:color w:val="auto"/>
          <w:sz w:val="28"/>
          <w:szCs w:val="28"/>
          <w:highlight w:val="none"/>
        </w:rPr>
        <w:t>图1：收、支决算总计变动情况图</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Style w:val="31"/>
          <w:rFonts w:hint="default" w:ascii="Times New Roman" w:hAnsi="Times New Roman" w:eastAsia="黑体" w:cs="Times New Roman"/>
          <w:b w:val="0"/>
          <w:color w:val="auto"/>
          <w:highlight w:val="none"/>
        </w:rPr>
      </w:pPr>
      <w:bookmarkStart w:id="26" w:name="_Toc15377206"/>
      <w:bookmarkStart w:id="27" w:name="_Toc22856"/>
      <w:bookmarkStart w:id="28" w:name="_Toc15396604"/>
      <w:r>
        <w:rPr>
          <w:rFonts w:hint="default" w:ascii="Times New Roman" w:hAnsi="Times New Roman" w:eastAsia="黑体" w:cs="Times New Roman"/>
          <w:b w:val="0"/>
          <w:bCs/>
          <w:color w:val="auto"/>
          <w:kern w:val="2"/>
          <w:sz w:val="32"/>
          <w:szCs w:val="32"/>
          <w:lang w:val="en-US" w:eastAsia="zh-CN" w:bidi="ar-SA"/>
        </w:rPr>
        <w:t>二、</w:t>
      </w:r>
      <w:r>
        <w:rPr>
          <w:rFonts w:hint="default" w:ascii="Times New Roman" w:hAnsi="Times New Roman" w:eastAsia="黑体" w:cs="Times New Roman"/>
          <w:color w:val="auto"/>
          <w:sz w:val="32"/>
          <w:szCs w:val="32"/>
          <w:highlight w:val="none"/>
        </w:rPr>
        <w:t>收</w:t>
      </w:r>
      <w:r>
        <w:rPr>
          <w:rStyle w:val="31"/>
          <w:rFonts w:hint="default" w:ascii="Times New Roman" w:hAnsi="Times New Roman" w:eastAsia="黑体" w:cs="Times New Roman"/>
          <w:b w:val="0"/>
          <w:color w:val="auto"/>
          <w:highlight w:val="none"/>
        </w:rPr>
        <w:t>入决算情况说明</w:t>
      </w:r>
      <w:bookmarkEnd w:id="26"/>
      <w:bookmarkEnd w:id="27"/>
      <w:bookmarkEnd w:id="28"/>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2022年决算总收入1598.3万元，其中一般公共服务支出505.94万元，社会保障支出25.43万元，卫生健康支出18.33万元，住房保障支出28.60万元，城乡社区支出10万元，农林水支出262万元，商业服务业支出748万元。</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仿宋" w:cs="Times New Roman"/>
          <w:color w:val="auto"/>
          <w:sz w:val="32"/>
          <w:szCs w:val="32"/>
          <w:highlight w:val="none"/>
        </w:rPr>
      </w:pPr>
      <w:r>
        <w:rPr>
          <w:rFonts w:hint="eastAsia"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val="en-US" w:eastAsia="zh-CN"/>
        </w:rPr>
        <w:t>2022年本年收入合计1598.30万元，其中</w:t>
      </w:r>
      <w:r>
        <w:rPr>
          <w:rFonts w:hint="default" w:ascii="Times New Roman" w:hAnsi="Times New Roman" w:eastAsia="仿宋" w:cs="Times New Roman"/>
          <w:color w:val="auto"/>
          <w:sz w:val="32"/>
          <w:szCs w:val="32"/>
          <w:highlight w:val="none"/>
        </w:rPr>
        <w:t>：一般公共预算财政拨款收入</w:t>
      </w:r>
      <w:r>
        <w:rPr>
          <w:rFonts w:hint="default" w:ascii="Times New Roman" w:hAnsi="Times New Roman" w:eastAsia="仿宋" w:cs="Times New Roman"/>
          <w:color w:val="auto"/>
          <w:sz w:val="32"/>
          <w:szCs w:val="32"/>
          <w:highlight w:val="none"/>
          <w:lang w:val="en-US" w:eastAsia="zh-CN"/>
        </w:rPr>
        <w:t>1588.30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99.37</w:t>
      </w:r>
      <w:r>
        <w:rPr>
          <w:rFonts w:hint="default" w:ascii="Times New Roman" w:hAnsi="Times New Roman" w:eastAsia="仿宋" w:cs="Times New Roman"/>
          <w:color w:val="auto"/>
          <w:sz w:val="32"/>
          <w:szCs w:val="32"/>
          <w:highlight w:val="none"/>
        </w:rPr>
        <w:t>%；政府性基金预算财政拨款收入</w:t>
      </w:r>
      <w:r>
        <w:rPr>
          <w:rFonts w:hint="default" w:ascii="Times New Roman" w:hAnsi="Times New Roman" w:eastAsia="仿宋" w:cs="Times New Roman"/>
          <w:color w:val="auto"/>
          <w:sz w:val="32"/>
          <w:szCs w:val="32"/>
          <w:highlight w:val="none"/>
          <w:lang w:val="en-US" w:eastAsia="zh-CN"/>
        </w:rPr>
        <w:t>10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0.63</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国有资本经营预算财政拨款收入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%；上级补助收入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%；事业收入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%；经营收入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%；附属单位上缴收入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%；其他收入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outlineLvl w:val="9"/>
        <w:rPr>
          <w:rFonts w:hint="eastAsia" w:ascii="方正楷体_GBK" w:hAnsi="方正楷体_GBK" w:eastAsia="方正楷体_GBK" w:cs="方正楷体_GBK"/>
          <w:b w:val="0"/>
          <w:bCs/>
          <w:color w:val="auto"/>
          <w:sz w:val="28"/>
          <w:szCs w:val="28"/>
          <w:highlight w:val="none"/>
        </w:rPr>
      </w:pPr>
      <w:r>
        <w:rPr>
          <w:rFonts w:hint="eastAsia" w:ascii="方正楷体_GBK" w:hAnsi="方正楷体_GBK" w:eastAsia="方正楷体_GBK" w:cs="方正楷体_GBK"/>
          <w:b w:val="0"/>
          <w:bCs/>
          <w:color w:val="auto"/>
          <w:sz w:val="28"/>
          <w:szCs w:val="28"/>
          <w:highlight w:val="none"/>
        </w:rPr>
        <w:t>（注：数据来源于财决01表</w:t>
      </w:r>
      <w:r>
        <w:rPr>
          <w:rFonts w:hint="eastAsia" w:ascii="方正楷体_GBK" w:hAnsi="方正楷体_GBK" w:eastAsia="方正楷体_GBK" w:cs="方正楷体_GBK"/>
          <w:b w:val="0"/>
          <w:bCs/>
          <w:color w:val="auto"/>
          <w:sz w:val="28"/>
          <w:szCs w:val="28"/>
          <w:highlight w:val="none"/>
          <w:lang w:eastAsia="zh-CN"/>
        </w:rPr>
        <w:t>，仅罗列本部门涉及的收入。</w:t>
      </w:r>
      <w:r>
        <w:rPr>
          <w:rFonts w:hint="eastAsia" w:ascii="方正楷体_GBK" w:hAnsi="方正楷体_GBK" w:eastAsia="方正楷体_GBK" w:cs="方正楷体_GBK"/>
          <w:b w:val="0"/>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 w:hAnsi="仿宋" w:eastAsia="仿宋"/>
          <w:color w:val="auto"/>
          <w:sz w:val="32"/>
          <w:szCs w:val="32"/>
          <w:highlight w:val="none"/>
        </w:rPr>
      </w:pPr>
      <w:r>
        <w:rPr>
          <w:color w:val="auto"/>
        </w:rPr>
        <w:drawing>
          <wp:inline distT="0" distB="0" distL="114300" distR="114300">
            <wp:extent cx="4826000" cy="2743200"/>
            <wp:effectExtent l="4445" t="4445" r="8255" b="14605"/>
            <wp:docPr id="7" name="图表 6" descr="7b0a202020202263686172745265734964223a2022343434393336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_GB2312" w:eastAsia="仿宋_GB2312"/>
          <w:color w:val="auto"/>
          <w:sz w:val="32"/>
          <w:szCs w:val="32"/>
          <w:highlight w:val="none"/>
        </w:rPr>
      </w:pPr>
      <w:r>
        <w:rPr>
          <w:rFonts w:hint="default" w:ascii="Times New Roman" w:hAnsi="Times New Roman" w:eastAsia="方正楷体_GBK" w:cs="Times New Roman"/>
          <w:color w:val="auto"/>
          <w:sz w:val="28"/>
          <w:szCs w:val="28"/>
          <w:highlight w:val="none"/>
        </w:rPr>
        <w:t>图2：收入决算结构图</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Style w:val="31"/>
          <w:rFonts w:hint="default" w:ascii="Times New Roman" w:hAnsi="Times New Roman" w:eastAsia="黑体" w:cs="Times New Roman"/>
          <w:b w:val="0"/>
          <w:bCs/>
          <w:color w:val="auto"/>
          <w:highlight w:val="none"/>
        </w:rPr>
      </w:pPr>
      <w:bookmarkStart w:id="29" w:name="_Toc31378"/>
      <w:bookmarkStart w:id="30" w:name="_Toc15396605"/>
      <w:bookmarkStart w:id="31" w:name="_Toc15377207"/>
      <w:r>
        <w:rPr>
          <w:rFonts w:hint="default" w:ascii="Times New Roman" w:hAnsi="Times New Roman" w:eastAsia="黑体" w:cs="Times New Roman"/>
          <w:b w:val="0"/>
          <w:bCs/>
          <w:color w:val="auto"/>
          <w:kern w:val="2"/>
          <w:sz w:val="32"/>
          <w:szCs w:val="32"/>
          <w:lang w:val="en-US" w:eastAsia="zh-CN" w:bidi="ar-SA"/>
        </w:rPr>
        <w:t>三、</w:t>
      </w:r>
      <w:r>
        <w:rPr>
          <w:rFonts w:hint="default" w:ascii="Times New Roman" w:hAnsi="Times New Roman" w:eastAsia="黑体" w:cs="Times New Roman"/>
          <w:b w:val="0"/>
          <w:bCs/>
          <w:color w:val="auto"/>
          <w:sz w:val="32"/>
          <w:szCs w:val="32"/>
          <w:highlight w:val="none"/>
        </w:rPr>
        <w:t>支</w:t>
      </w:r>
      <w:r>
        <w:rPr>
          <w:rStyle w:val="31"/>
          <w:rFonts w:hint="default" w:ascii="Times New Roman" w:hAnsi="Times New Roman" w:eastAsia="黑体" w:cs="Times New Roman"/>
          <w:b w:val="0"/>
          <w:bCs/>
          <w:color w:val="auto"/>
          <w:highlight w:val="none"/>
        </w:rPr>
        <w:t>出决算情况说明</w:t>
      </w:r>
      <w:bookmarkEnd w:id="29"/>
      <w:bookmarkEnd w:id="30"/>
      <w:bookmarkEnd w:id="31"/>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2022年本年支出合计1598.30万元，其中：基本支出578.30万元，占36.18%；项目支出1020万元，占63.82%；上缴上级支出0万元，占0%；经营支出0万元，占0%；对附属单位补助支出0万元，占0%。</w:t>
      </w:r>
    </w:p>
    <w:p>
      <w:pPr>
        <w:keepNext w:val="0"/>
        <w:keepLines w:val="0"/>
        <w:pageBreakBefore w:val="0"/>
        <w:kinsoku/>
        <w:wordWrap/>
        <w:overflowPunct/>
        <w:topLinePunct w:val="0"/>
        <w:bidi w:val="0"/>
        <w:spacing w:line="560" w:lineRule="exact"/>
        <w:ind w:left="0" w:firstLine="560" w:firstLineChars="200"/>
        <w:jc w:val="both"/>
        <w:outlineLvl w:val="9"/>
        <w:rPr>
          <w:rFonts w:hint="eastAsia" w:ascii="方正楷体_GBK" w:hAnsi="方正楷体_GBK" w:eastAsia="方正楷体_GBK" w:cs="方正楷体_GBK"/>
          <w:b w:val="0"/>
          <w:bCs/>
          <w:color w:val="auto"/>
          <w:sz w:val="28"/>
          <w:szCs w:val="28"/>
          <w:highlight w:val="none"/>
        </w:rPr>
      </w:pPr>
      <w:r>
        <w:rPr>
          <w:rFonts w:hint="eastAsia" w:ascii="方正楷体_GBK" w:hAnsi="方正楷体_GBK" w:eastAsia="方正楷体_GBK" w:cs="方正楷体_GBK"/>
          <w:b w:val="0"/>
          <w:bCs/>
          <w:color w:val="auto"/>
          <w:sz w:val="28"/>
          <w:szCs w:val="28"/>
          <w:highlight w:val="none"/>
        </w:rPr>
        <w:t>（注：数据来源于财决04表</w:t>
      </w:r>
      <w:r>
        <w:rPr>
          <w:rFonts w:hint="eastAsia" w:ascii="方正楷体_GBK" w:hAnsi="方正楷体_GBK" w:eastAsia="方正楷体_GBK" w:cs="方正楷体_GBK"/>
          <w:b w:val="0"/>
          <w:bCs/>
          <w:color w:val="auto"/>
          <w:sz w:val="28"/>
          <w:szCs w:val="28"/>
          <w:highlight w:val="none"/>
          <w:lang w:eastAsia="zh-CN"/>
        </w:rPr>
        <w:t>，仅罗列本部门涉及的支出。</w:t>
      </w:r>
      <w:r>
        <w:rPr>
          <w:rFonts w:hint="eastAsia" w:ascii="方正楷体_GBK" w:hAnsi="方正楷体_GBK" w:eastAsia="方正楷体_GBK" w:cs="方正楷体_GBK"/>
          <w:b w:val="0"/>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仿宋" w:cs="Times New Roman"/>
          <w:b w:val="0"/>
          <w:bCs/>
          <w:color w:val="auto"/>
          <w:sz w:val="32"/>
          <w:szCs w:val="32"/>
          <w:highlight w:val="none"/>
          <w:shd w:val="pct10" w:color="auto" w:fill="FFFFFF"/>
        </w:rPr>
      </w:pPr>
      <w:r>
        <w:rPr>
          <w:color w:val="auto"/>
        </w:rPr>
        <w:drawing>
          <wp:inline distT="0" distB="0" distL="114300" distR="114300">
            <wp:extent cx="4826000" cy="2743200"/>
            <wp:effectExtent l="4445" t="4445" r="8255" b="14605"/>
            <wp:docPr id="9" name="图表 8" descr="7b0a202020202263686172745265734964223a2022343434393336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kinsoku/>
        <w:wordWrap/>
        <w:overflowPunct/>
        <w:topLinePunct w:val="0"/>
        <w:bidi w:val="0"/>
        <w:spacing w:line="560" w:lineRule="exact"/>
        <w:jc w:val="center"/>
        <w:outlineLvl w:val="9"/>
        <w:rPr>
          <w:rFonts w:hint="default" w:ascii="Times New Roman" w:hAnsi="Times New Roman" w:eastAsia="仿宋_GB2312" w:cs="Times New Roman"/>
          <w:b w:val="0"/>
          <w:bCs/>
          <w:color w:val="auto"/>
          <w:sz w:val="32"/>
          <w:szCs w:val="32"/>
          <w:highlight w:val="none"/>
        </w:rPr>
      </w:pPr>
      <w:r>
        <w:rPr>
          <w:rFonts w:hint="default" w:ascii="Times New Roman" w:hAnsi="Times New Roman" w:eastAsia="方正楷体_GBK" w:cs="Times New Roman"/>
          <w:b w:val="0"/>
          <w:bCs/>
          <w:color w:val="auto"/>
          <w:sz w:val="28"/>
          <w:szCs w:val="28"/>
          <w:highlight w:val="none"/>
        </w:rPr>
        <w:t>图3：支出决算结构图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1"/>
        <w:rPr>
          <w:rStyle w:val="31"/>
          <w:rFonts w:hint="default" w:ascii="Times New Roman" w:hAnsi="Times New Roman" w:eastAsia="黑体" w:cs="Times New Roman"/>
          <w:b w:val="0"/>
          <w:bCs/>
          <w:color w:val="auto"/>
          <w:highlight w:val="none"/>
        </w:rPr>
      </w:pPr>
      <w:bookmarkStart w:id="32" w:name="_Toc15377208"/>
      <w:bookmarkStart w:id="33" w:name="_Toc31379"/>
      <w:bookmarkStart w:id="34" w:name="_Toc15396606"/>
      <w:r>
        <w:rPr>
          <w:rFonts w:hint="default" w:ascii="Times New Roman" w:hAnsi="Times New Roman" w:eastAsia="黑体" w:cs="Times New Roman"/>
          <w:b w:val="0"/>
          <w:bCs/>
          <w:color w:val="auto"/>
          <w:sz w:val="32"/>
          <w:szCs w:val="32"/>
          <w:highlight w:val="none"/>
        </w:rPr>
        <w:t>四、财</w:t>
      </w:r>
      <w:r>
        <w:rPr>
          <w:rStyle w:val="31"/>
          <w:rFonts w:hint="default" w:ascii="Times New Roman" w:hAnsi="Times New Roman" w:eastAsia="黑体" w:cs="Times New Roman"/>
          <w:b w:val="0"/>
          <w:bCs/>
          <w:color w:val="auto"/>
          <w:highlight w:val="none"/>
        </w:rPr>
        <w:t>政拨款收入支出决算总体情况说明</w:t>
      </w:r>
      <w:bookmarkEnd w:id="32"/>
      <w:bookmarkEnd w:id="33"/>
      <w:bookmarkEnd w:id="34"/>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22022年度收、支总计1598.30万元。与2021年相比，收、支总计各增加219.63万元，增长15.93%。主要变动原因是当年新增服务业集聚区项目等建设资金。</w:t>
      </w:r>
    </w:p>
    <w:p>
      <w:pPr>
        <w:keepNext w:val="0"/>
        <w:keepLines w:val="0"/>
        <w:pageBreakBefore w:val="0"/>
        <w:kinsoku/>
        <w:wordWrap/>
        <w:overflowPunct/>
        <w:topLinePunct w:val="0"/>
        <w:bidi w:val="0"/>
        <w:spacing w:line="560" w:lineRule="exact"/>
        <w:ind w:left="0" w:firstLine="560" w:firstLineChars="200"/>
        <w:jc w:val="both"/>
        <w:outlineLvl w:val="9"/>
        <w:rPr>
          <w:rFonts w:hint="default" w:ascii="Times New Roman" w:hAnsi="Times New Roman" w:eastAsia="仿宋" w:cs="Times New Roman"/>
          <w:b w:val="0"/>
          <w:bCs/>
          <w:color w:val="auto"/>
          <w:sz w:val="32"/>
          <w:szCs w:val="32"/>
          <w:highlight w:val="none"/>
        </w:rPr>
      </w:pPr>
      <w:r>
        <w:rPr>
          <w:rFonts w:hint="eastAsia" w:ascii="方正楷体_GBK" w:hAnsi="方正楷体_GBK" w:eastAsia="方正楷体_GBK" w:cs="方正楷体_GBK"/>
          <w:b w:val="0"/>
          <w:bCs/>
          <w:color w:val="auto"/>
          <w:sz w:val="28"/>
          <w:szCs w:val="28"/>
          <w:highlight w:val="none"/>
        </w:rPr>
        <w:t>（注：数据来源于财决01-1表）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仿宋" w:cs="Times New Roman"/>
          <w:b w:val="0"/>
          <w:bCs/>
          <w:color w:val="auto"/>
          <w:sz w:val="32"/>
          <w:szCs w:val="32"/>
          <w:highlight w:val="none"/>
        </w:rPr>
      </w:pPr>
      <w:r>
        <w:rPr>
          <w:color w:val="auto"/>
        </w:rPr>
        <w:drawing>
          <wp:inline distT="0" distB="0" distL="114300" distR="114300">
            <wp:extent cx="4826000" cy="2743200"/>
            <wp:effectExtent l="0" t="0" r="12700" b="0"/>
            <wp:docPr id="11" name="图表 10" descr="7b0a202020202263686172745265734964223a2022343633343738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kinsoku/>
        <w:wordWrap/>
        <w:overflowPunct/>
        <w:topLinePunct w:val="0"/>
        <w:bidi w:val="0"/>
        <w:spacing w:line="560" w:lineRule="exact"/>
        <w:jc w:val="center"/>
        <w:outlineLvl w:val="9"/>
        <w:rPr>
          <w:rFonts w:hint="default" w:ascii="Times New Roman" w:hAnsi="Times New Roman" w:eastAsia="仿宋" w:cs="Times New Roman"/>
          <w:b w:val="0"/>
          <w:bCs/>
          <w:color w:val="auto"/>
          <w:sz w:val="32"/>
          <w:szCs w:val="32"/>
          <w:highlight w:val="none"/>
        </w:rPr>
      </w:pPr>
      <w:r>
        <w:rPr>
          <w:rFonts w:hint="eastAsia" w:ascii="方正楷体_GBK" w:hAnsi="方正楷体_GBK" w:eastAsia="方正楷体_GBK" w:cs="方正楷体_GBK"/>
          <w:b w:val="0"/>
          <w:bCs/>
          <w:color w:val="auto"/>
          <w:sz w:val="28"/>
          <w:szCs w:val="28"/>
          <w:highlight w:val="none"/>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1"/>
        <w:rPr>
          <w:rStyle w:val="31"/>
          <w:rFonts w:hint="default" w:ascii="Times New Roman" w:hAnsi="Times New Roman" w:eastAsia="黑体" w:cs="Times New Roman"/>
          <w:b w:val="0"/>
          <w:bCs/>
          <w:color w:val="auto"/>
          <w:highlight w:val="none"/>
        </w:rPr>
      </w:pPr>
      <w:bookmarkStart w:id="35" w:name="_Toc15377209"/>
      <w:bookmarkStart w:id="36" w:name="_Toc16166"/>
      <w:bookmarkStart w:id="37" w:name="_Toc15396607"/>
      <w:r>
        <w:rPr>
          <w:rFonts w:hint="default" w:ascii="Times New Roman" w:hAnsi="Times New Roman" w:eastAsia="黑体" w:cs="Times New Roman"/>
          <w:b w:val="0"/>
          <w:bCs/>
          <w:color w:val="auto"/>
          <w:sz w:val="32"/>
          <w:szCs w:val="32"/>
          <w:highlight w:val="none"/>
        </w:rPr>
        <w:t>五、一</w:t>
      </w:r>
      <w:r>
        <w:rPr>
          <w:rStyle w:val="31"/>
          <w:rFonts w:hint="default" w:ascii="Times New Roman" w:hAnsi="Times New Roman" w:eastAsia="黑体" w:cs="Times New Roman"/>
          <w:b w:val="0"/>
          <w:bCs/>
          <w:color w:val="auto"/>
          <w:highlight w:val="none"/>
        </w:rPr>
        <w:t>般公共预算财政拨款支出决算情况说明</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楷体_GBK" w:hAnsi="方正楷体_GBK" w:eastAsia="方正楷体_GBK" w:cs="方正楷体_GBK"/>
          <w:b w:val="0"/>
          <w:bCs/>
          <w:color w:val="auto"/>
          <w:sz w:val="32"/>
          <w:szCs w:val="32"/>
          <w:highlight w:val="none"/>
        </w:rPr>
      </w:pPr>
      <w:bookmarkStart w:id="38" w:name="_Toc15377210"/>
      <w:r>
        <w:rPr>
          <w:rFonts w:hint="eastAsia" w:ascii="方正楷体_GBK" w:hAnsi="方正楷体_GBK" w:eastAsia="方正楷体_GBK" w:cs="方正楷体_GBK"/>
          <w:b w:val="0"/>
          <w:bCs/>
          <w:color w:val="auto"/>
          <w:sz w:val="32"/>
          <w:szCs w:val="32"/>
          <w:highlight w:val="none"/>
        </w:rPr>
        <w:t>（一）一般公共预算财政拨款支出决算总体情况</w:t>
      </w:r>
      <w:bookmarkEnd w:id="38"/>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2022年一般公共预算财政拨款支出1598.30万元，占本年支出合计的100%。与2021年相比，一般公共预算财政拨款支出增加219.63万元，增长15.93%。主要变动原因是当年新增服务业集聚区项目等建设资金。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仿宋" w:cs="Times New Roman"/>
          <w:b w:val="0"/>
          <w:bCs/>
          <w:color w:val="auto"/>
          <w:sz w:val="32"/>
          <w:szCs w:val="32"/>
          <w:highlight w:val="none"/>
        </w:rPr>
      </w:pPr>
      <w:r>
        <w:rPr>
          <w:color w:val="auto"/>
        </w:rPr>
        <w:drawing>
          <wp:inline distT="0" distB="0" distL="114300" distR="114300">
            <wp:extent cx="4826000" cy="2743200"/>
            <wp:effectExtent l="0" t="0" r="12700" b="0"/>
            <wp:docPr id="1" name="图表 10" descr="7b0a202020202263686172745265734964223a2022343633343738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kinsoku/>
        <w:wordWrap/>
        <w:overflowPunct/>
        <w:topLinePunct w:val="0"/>
        <w:bidi w:val="0"/>
        <w:spacing w:line="560" w:lineRule="exact"/>
        <w:jc w:val="center"/>
        <w:outlineLvl w:val="9"/>
        <w:rPr>
          <w:rFonts w:hint="default" w:ascii="Times New Roman" w:hAnsi="Times New Roman" w:eastAsia="方正楷体_GBK" w:cs="Times New Roman"/>
          <w:b w:val="0"/>
          <w:bCs/>
          <w:color w:val="auto"/>
          <w:sz w:val="28"/>
          <w:szCs w:val="28"/>
          <w:highlight w:val="none"/>
        </w:rPr>
      </w:pPr>
      <w:r>
        <w:rPr>
          <w:rFonts w:hint="default" w:ascii="Times New Roman" w:hAnsi="Times New Roman" w:eastAsia="方正楷体_GBK" w:cs="Times New Roman"/>
          <w:b w:val="0"/>
          <w:bCs/>
          <w:color w:val="auto"/>
          <w:sz w:val="28"/>
          <w:szCs w:val="28"/>
          <w:highlight w:val="none"/>
        </w:rPr>
        <w:t>图5：一般公共预算财政拨款支出决算变动情况</w:t>
      </w:r>
      <w:bookmarkStart w:id="39" w:name="_Toc153772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楷体_GBK" w:hAnsi="方正楷体_GBK" w:eastAsia="方正楷体_GBK" w:cs="方正楷体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rPr>
        <w:t>（二）一般公共预算财政拨款支出决算结构情况</w:t>
      </w:r>
      <w:bookmarkEnd w:id="39"/>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 w:cs="Times New Roman"/>
          <w:b w:val="0"/>
          <w:bCs/>
          <w:color w:val="auto"/>
          <w:sz w:val="32"/>
          <w:szCs w:val="32"/>
          <w:highlight w:val="none"/>
        </w:rPr>
      </w:pPr>
      <w:r>
        <w:rPr>
          <w:rFonts w:hint="default" w:ascii="Times New Roman" w:hAnsi="Times New Roman" w:eastAsia="方正仿宋_GBK" w:cs="Times New Roman"/>
          <w:b w:val="0"/>
          <w:bCs w:val="0"/>
          <w:color w:val="auto"/>
          <w:sz w:val="32"/>
          <w:szCs w:val="32"/>
          <w:lang w:val="en-US" w:eastAsia="zh-CN"/>
        </w:rPr>
        <w:t>2022年一般公共预算财政拨款支出1588.30万元，主要用于以下方面:一般公共服务支出505.94万元，占31.85%；教育支出0万元，占</w:t>
      </w:r>
      <w:r>
        <w:rPr>
          <w:rFonts w:hint="eastAsia"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lang w:val="en-US" w:eastAsia="zh-CN"/>
        </w:rPr>
        <w:t>%；科学技术支出0万元，占</w:t>
      </w:r>
      <w:r>
        <w:rPr>
          <w:rFonts w:hint="eastAsia"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lang w:val="en-US" w:eastAsia="zh-CN"/>
        </w:rPr>
        <w:t>%；文化旅游体育与传媒支出0万元，占</w:t>
      </w:r>
      <w:r>
        <w:rPr>
          <w:rFonts w:hint="eastAsia"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lang w:val="en-US" w:eastAsia="zh-CN"/>
        </w:rPr>
        <w:t>%；社会保障和就业支出25.43万元，占1.6%；卫生健康支出18.33万元，占1.15%；住房保障支出28.60万元，占1.8%；农林水支出262万元，占16.50%；商业服务业等支出748万元，占47.10%。</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jc w:val="both"/>
        <w:textAlignment w:val="auto"/>
        <w:outlineLvl w:val="9"/>
        <w:rPr>
          <w:rFonts w:hint="eastAsia" w:ascii="方正楷体_GBK" w:hAnsi="方正楷体_GBK" w:eastAsia="方正楷体_GBK" w:cs="方正楷体_GBK"/>
          <w:b w:val="0"/>
          <w:bCs/>
          <w:color w:val="auto"/>
          <w:sz w:val="28"/>
          <w:szCs w:val="28"/>
          <w:highlight w:val="none"/>
        </w:rPr>
      </w:pPr>
      <w:r>
        <w:rPr>
          <w:rFonts w:hint="eastAsia" w:ascii="方正楷体_GBK" w:hAnsi="方正楷体_GBK" w:eastAsia="方正楷体_GBK" w:cs="方正楷体_GBK"/>
          <w:b w:val="0"/>
          <w:bCs/>
          <w:color w:val="auto"/>
          <w:sz w:val="28"/>
          <w:szCs w:val="28"/>
          <w:highlight w:val="none"/>
        </w:rPr>
        <w:t>（</w:t>
      </w:r>
      <w:r>
        <w:rPr>
          <w:rFonts w:hint="eastAsia" w:ascii="方正楷体_GBK" w:hAnsi="方正楷体_GBK" w:eastAsia="方正楷体_GBK" w:cs="方正楷体_GBK"/>
          <w:b w:val="0"/>
          <w:bCs/>
          <w:color w:val="auto"/>
          <w:sz w:val="28"/>
          <w:szCs w:val="28"/>
          <w:highlight w:val="none"/>
          <w:lang w:eastAsia="zh-CN"/>
        </w:rPr>
        <w:t>注：数据来源于财决</w:t>
      </w:r>
      <w:r>
        <w:rPr>
          <w:rFonts w:hint="eastAsia" w:ascii="方正楷体_GBK" w:hAnsi="方正楷体_GBK" w:eastAsia="方正楷体_GBK" w:cs="方正楷体_GBK"/>
          <w:b w:val="0"/>
          <w:bCs/>
          <w:color w:val="auto"/>
          <w:sz w:val="28"/>
          <w:szCs w:val="28"/>
          <w:highlight w:val="none"/>
          <w:lang w:val="en-US" w:eastAsia="zh-CN"/>
        </w:rPr>
        <w:t>01-1表，仅</w:t>
      </w:r>
      <w:r>
        <w:rPr>
          <w:rFonts w:hint="eastAsia" w:ascii="方正楷体_GBK" w:hAnsi="方正楷体_GBK" w:eastAsia="方正楷体_GBK" w:cs="方正楷体_GBK"/>
          <w:b w:val="0"/>
          <w:bCs/>
          <w:color w:val="auto"/>
          <w:sz w:val="28"/>
          <w:szCs w:val="28"/>
          <w:highlight w:val="none"/>
        </w:rPr>
        <w:t>罗列</w:t>
      </w:r>
      <w:r>
        <w:rPr>
          <w:rFonts w:hint="eastAsia" w:ascii="方正楷体_GBK" w:hAnsi="方正楷体_GBK" w:eastAsia="方正楷体_GBK" w:cs="方正楷体_GBK"/>
          <w:b w:val="0"/>
          <w:bCs/>
          <w:color w:val="auto"/>
          <w:sz w:val="28"/>
          <w:szCs w:val="28"/>
          <w:highlight w:val="none"/>
          <w:lang w:eastAsia="zh-CN"/>
        </w:rPr>
        <w:t>本部门涉及的全部</w:t>
      </w:r>
      <w:r>
        <w:rPr>
          <w:rFonts w:hint="eastAsia" w:ascii="方正楷体_GBK" w:hAnsi="方正楷体_GBK" w:eastAsia="方正楷体_GBK" w:cs="方正楷体_GBK"/>
          <w:b w:val="0"/>
          <w:bCs/>
          <w:color w:val="auto"/>
          <w:sz w:val="28"/>
          <w:szCs w:val="28"/>
          <w:highlight w:val="none"/>
        </w:rPr>
        <w:t>功能分类科目，至类级。）</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仿宋" w:cs="Times New Roman"/>
          <w:b w:val="0"/>
          <w:bCs/>
          <w:color w:val="auto"/>
          <w:sz w:val="32"/>
          <w:szCs w:val="32"/>
          <w:highlight w:val="none"/>
        </w:rPr>
      </w:pPr>
      <w:r>
        <w:rPr>
          <w:color w:val="auto"/>
        </w:rPr>
        <w:drawing>
          <wp:inline distT="0" distB="0" distL="114300" distR="114300">
            <wp:extent cx="4826000" cy="2743200"/>
            <wp:effectExtent l="4445" t="4445" r="8255" b="14605"/>
            <wp:docPr id="12" name="图表 11" descr="7b0a202020202263686172745265734964223a2022343434393336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kinsoku/>
        <w:wordWrap/>
        <w:overflowPunct/>
        <w:topLinePunct w:val="0"/>
        <w:bidi w:val="0"/>
        <w:spacing w:line="560" w:lineRule="exact"/>
        <w:jc w:val="center"/>
        <w:outlineLvl w:val="9"/>
        <w:rPr>
          <w:rFonts w:hint="default" w:ascii="Times New Roman" w:hAnsi="Times New Roman" w:eastAsia="方正楷体_GBK" w:cs="Times New Roman"/>
          <w:b w:val="0"/>
          <w:bCs/>
          <w:color w:val="auto"/>
          <w:sz w:val="28"/>
          <w:szCs w:val="28"/>
          <w:highlight w:val="none"/>
        </w:rPr>
      </w:pPr>
      <w:r>
        <w:rPr>
          <w:rFonts w:hint="default" w:ascii="Times New Roman" w:hAnsi="Times New Roman" w:eastAsia="方正楷体_GBK" w:cs="Times New Roman"/>
          <w:b w:val="0"/>
          <w:bCs/>
          <w:color w:val="auto"/>
          <w:sz w:val="28"/>
          <w:szCs w:val="28"/>
          <w:highlight w:val="none"/>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方正楷体_GBK" w:hAnsi="方正楷体_GBK" w:eastAsia="方正楷体_GBK" w:cs="方正楷体_GBK"/>
          <w:b w:val="0"/>
          <w:bCs/>
          <w:color w:val="auto"/>
          <w:sz w:val="32"/>
          <w:szCs w:val="32"/>
          <w:highlight w:val="none"/>
        </w:rPr>
      </w:pPr>
      <w:bookmarkStart w:id="40" w:name="_Toc15377212"/>
      <w:r>
        <w:rPr>
          <w:rFonts w:hint="eastAsia" w:ascii="方正楷体_GBK" w:hAnsi="方正楷体_GBK" w:eastAsia="方正楷体_GBK" w:cs="方正楷体_GBK"/>
          <w:b w:val="0"/>
          <w:bCs/>
          <w:color w:val="auto"/>
          <w:sz w:val="32"/>
          <w:szCs w:val="32"/>
          <w:highlight w:val="none"/>
        </w:rPr>
        <w:t>（三）一般公共预算财政拨款支出决算具体情况</w:t>
      </w:r>
      <w:bookmarkEnd w:id="40"/>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bookmarkStart w:id="41" w:name="_Toc15378460"/>
      <w:bookmarkStart w:id="42" w:name="_Toc15377213"/>
      <w:bookmarkStart w:id="43" w:name="_Toc15377444"/>
      <w:r>
        <w:rPr>
          <w:rFonts w:hint="default" w:ascii="Times New Roman" w:hAnsi="Times New Roman" w:eastAsia="方正仿宋_GBK" w:cs="Times New Roman"/>
          <w:b w:val="0"/>
          <w:bCs w:val="0"/>
          <w:color w:val="auto"/>
          <w:sz w:val="32"/>
          <w:szCs w:val="32"/>
          <w:lang w:val="en-US" w:eastAsia="zh-CN"/>
        </w:rPr>
        <w:t>2022年一般公共预算支出决算数为1588.30，完成预算100%。其中：</w:t>
      </w:r>
      <w:bookmarkEnd w:id="41"/>
      <w:bookmarkEnd w:id="42"/>
      <w:bookmarkEnd w:id="43"/>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1.一般公共服务支出（类）商贸事务（款）行政运行（项）</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支出决算为380.34万元，完成预算100%。</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2.一般公共服务支出（类）商贸事务（款）一般行政管理事务（项）：支出决算数为122万元，完成预算100%。</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3.一般公共服务支出（类）商贸事务（款）其他商贸事务支出（项）：支出决算数为3.6万元，完成预算100%。</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4.社会保障和就业（类）行政事业单位养老支出（款）机关事业单位基本养老保险缴费支出（项）</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支出决算为25.43万元，完成预算100%。</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5.卫生健康（类）行政事业单位医疗（款）行政单位医疗（项）</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支出决算为18.33万元，完成预算100%。</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6.农林水支出（类）巩固脱贫衔接乡村振兴）（款）其他巩固脱贫衔接乡村振兴支出）（项）：支出决算数262万元，完成预算100%。</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7.商业服务业等支出（类）商业流通事务（款）一般行政管理事务（项）</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支出决算为10万元，完成预算100%</w:t>
      </w:r>
      <w:r>
        <w:rPr>
          <w:rFonts w:hint="eastAsia"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8.商业服务业等支出（类）商业流通事务（款）其他商业流通事务支出（项）</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支出决算为5万元，完成预算100%.</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9.商业服务业等支出（类）涉外发展服务支出（款）其他涉外发展服务支出（项）</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支出决算为119万元，完成预算100%</w:t>
      </w:r>
      <w:r>
        <w:rPr>
          <w:rFonts w:hint="eastAsia"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10.商业服务业等支出（类）其他商业服务业等支出（款）其他商业服务业等支出（项）</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支出决算为614万元，完成预算100%。</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11.住房保障支出（类）住房改革支出（款）住房公积金（项）</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支出决算为28.60万元，完成预算100%</w:t>
      </w:r>
      <w:r>
        <w:rPr>
          <w:rFonts w:hint="eastAsia" w:eastAsia="方正仿宋_GBK" w:cs="Times New Roman"/>
          <w:b w:val="0"/>
          <w:bCs w:val="0"/>
          <w:color w:val="auto"/>
          <w:sz w:val="32"/>
          <w:szCs w:val="32"/>
          <w:lang w:val="en-US" w:eastAsia="zh-CN"/>
        </w:rPr>
        <w:t>。</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left="0" w:firstLine="640" w:firstLineChars="200"/>
        <w:jc w:val="both"/>
        <w:textAlignment w:val="auto"/>
        <w:outlineLvl w:val="1"/>
        <w:rPr>
          <w:rStyle w:val="31"/>
          <w:rFonts w:hint="default" w:ascii="Times New Roman" w:hAnsi="Times New Roman" w:eastAsia="黑体" w:cs="Times New Roman"/>
          <w:b w:val="0"/>
          <w:bCs/>
          <w:color w:val="auto"/>
          <w:highlight w:val="none"/>
        </w:rPr>
      </w:pPr>
      <w:bookmarkStart w:id="44" w:name="_Toc4892"/>
      <w:bookmarkStart w:id="45" w:name="_Toc15396608"/>
      <w:bookmarkStart w:id="46" w:name="_Toc15377214"/>
      <w:r>
        <w:rPr>
          <w:rFonts w:hint="default" w:ascii="Times New Roman" w:hAnsi="Times New Roman" w:eastAsia="黑体" w:cs="Times New Roman"/>
          <w:b w:val="0"/>
          <w:bCs/>
          <w:color w:val="auto"/>
          <w:sz w:val="32"/>
          <w:szCs w:val="32"/>
          <w:highlight w:val="none"/>
        </w:rPr>
        <w:t>六、一</w:t>
      </w:r>
      <w:r>
        <w:rPr>
          <w:rStyle w:val="31"/>
          <w:rFonts w:hint="default" w:ascii="Times New Roman" w:hAnsi="Times New Roman" w:eastAsia="黑体" w:cs="Times New Roman"/>
          <w:b w:val="0"/>
          <w:bCs/>
          <w:color w:val="auto"/>
          <w:highlight w:val="none"/>
        </w:rPr>
        <w:t>般公共预算财政拨款基本支出决算情况说明</w:t>
      </w:r>
      <w:bookmarkEnd w:id="44"/>
      <w:bookmarkEnd w:id="45"/>
      <w:bookmarkEnd w:id="46"/>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2022年一般公共预算财政拨款基本支出426.14万元，其中：</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人员经费412.98万元，主要包括：基本工资83.73万元、津贴补贴57.15万元、奖金94.80万元、机关事业单位基本养老保险缴费25.43万元、职业年金缴费10.28万元、其他社会保障缴费0.48万元、其他工资福利支出14万元、抚恤金18.62万元、职工基本医疗保险缴费16.19万元、医疗费补助2.14万元、奖励金36.07万元、住房公积金28.61万元、生活补助21.42万元、其他对个人和家庭的补助支出4.05万元等。</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公用经费43.33万元，主要包括：办公费9.70万元、咨询费1.00万元、水费0.2万元、电费1.75万元、邮电费6.50万元、差旅费8.00万元、维修（护）费0.25万元、公务接待费0.25万元、工会经费2.86万元、福利费、其他交通费10.82万元、其他商品和服务支出2.00万元。</w:t>
      </w:r>
    </w:p>
    <w:p>
      <w:pPr>
        <w:keepNext w:val="0"/>
        <w:keepLines w:val="0"/>
        <w:pageBreakBefore w:val="0"/>
        <w:kinsoku/>
        <w:wordWrap/>
        <w:overflowPunct/>
        <w:topLinePunct w:val="0"/>
        <w:bidi w:val="0"/>
        <w:spacing w:line="560" w:lineRule="exact"/>
        <w:ind w:left="0" w:firstLine="560" w:firstLineChars="200"/>
        <w:jc w:val="both"/>
        <w:outlineLvl w:val="9"/>
        <w:rPr>
          <w:rFonts w:hint="default" w:ascii="Times New Roman" w:hAnsi="Times New Roman" w:eastAsia="方正楷体_GBK" w:cs="Times New Roman"/>
          <w:b w:val="0"/>
          <w:bCs/>
          <w:color w:val="auto"/>
          <w:sz w:val="28"/>
          <w:szCs w:val="28"/>
          <w:highlight w:val="none"/>
        </w:rPr>
      </w:pPr>
      <w:r>
        <w:rPr>
          <w:rFonts w:hint="default" w:ascii="Times New Roman" w:hAnsi="Times New Roman" w:eastAsia="方正楷体_GBK" w:cs="Times New Roman"/>
          <w:b w:val="0"/>
          <w:bCs/>
          <w:color w:val="auto"/>
          <w:sz w:val="28"/>
          <w:szCs w:val="28"/>
          <w:highlight w:val="none"/>
        </w:rPr>
        <w:t>（注：数据来源于财决07表</w:t>
      </w:r>
      <w:r>
        <w:rPr>
          <w:rFonts w:hint="default" w:ascii="Times New Roman" w:hAnsi="Times New Roman" w:eastAsia="方正楷体_GBK" w:cs="Times New Roman"/>
          <w:b w:val="0"/>
          <w:bCs/>
          <w:color w:val="auto"/>
          <w:sz w:val="28"/>
          <w:szCs w:val="28"/>
          <w:highlight w:val="none"/>
          <w:lang w:eastAsia="zh-CN"/>
        </w:rPr>
        <w:t>和财决</w:t>
      </w:r>
      <w:r>
        <w:rPr>
          <w:rFonts w:hint="default" w:ascii="Times New Roman" w:hAnsi="Times New Roman" w:eastAsia="方正楷体_GBK" w:cs="Times New Roman"/>
          <w:b w:val="0"/>
          <w:bCs/>
          <w:color w:val="auto"/>
          <w:sz w:val="28"/>
          <w:szCs w:val="28"/>
          <w:highlight w:val="none"/>
          <w:lang w:val="en-US" w:eastAsia="zh-CN"/>
        </w:rPr>
        <w:t>08-1表</w:t>
      </w:r>
      <w:r>
        <w:rPr>
          <w:rFonts w:hint="default" w:ascii="Times New Roman" w:hAnsi="Times New Roman" w:eastAsia="方正楷体_GBK" w:cs="Times New Roman"/>
          <w:b w:val="0"/>
          <w:bCs/>
          <w:color w:val="auto"/>
          <w:sz w:val="28"/>
          <w:szCs w:val="28"/>
          <w:highlight w:val="none"/>
        </w:rPr>
        <w:t>，</w:t>
      </w:r>
      <w:r>
        <w:rPr>
          <w:rFonts w:hint="default" w:ascii="Times New Roman" w:hAnsi="Times New Roman" w:eastAsia="方正楷体_GBK" w:cs="Times New Roman"/>
          <w:b w:val="0"/>
          <w:bCs/>
          <w:color w:val="auto"/>
          <w:sz w:val="28"/>
          <w:szCs w:val="28"/>
          <w:highlight w:val="none"/>
          <w:lang w:eastAsia="zh-CN"/>
        </w:rPr>
        <w:t>仅罗列</w:t>
      </w:r>
      <w:r>
        <w:rPr>
          <w:rFonts w:hint="default" w:ascii="Times New Roman" w:hAnsi="Times New Roman" w:eastAsia="方正楷体_GBK" w:cs="Times New Roman"/>
          <w:b w:val="0"/>
          <w:bCs/>
          <w:color w:val="auto"/>
          <w:sz w:val="28"/>
          <w:szCs w:val="28"/>
          <w:highlight w:val="none"/>
        </w:rPr>
        <w:t>本部门实际支出</w:t>
      </w:r>
      <w:r>
        <w:rPr>
          <w:rFonts w:hint="default" w:ascii="Times New Roman" w:hAnsi="Times New Roman" w:eastAsia="方正楷体_GBK" w:cs="Times New Roman"/>
          <w:b w:val="0"/>
          <w:bCs/>
          <w:color w:val="auto"/>
          <w:sz w:val="28"/>
          <w:szCs w:val="28"/>
          <w:highlight w:val="none"/>
          <w:lang w:eastAsia="zh-CN"/>
        </w:rPr>
        <w:t>涉及的</w:t>
      </w:r>
      <w:r>
        <w:rPr>
          <w:rFonts w:hint="default" w:ascii="Times New Roman" w:hAnsi="Times New Roman" w:eastAsia="方正楷体_GBK" w:cs="Times New Roman"/>
          <w:b w:val="0"/>
          <w:bCs/>
          <w:color w:val="auto"/>
          <w:sz w:val="28"/>
          <w:szCs w:val="28"/>
          <w:highlight w:val="none"/>
        </w:rPr>
        <w:t>经济分类科目。）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1"/>
        <w:rPr>
          <w:rStyle w:val="31"/>
          <w:rFonts w:hint="default" w:ascii="Times New Roman" w:hAnsi="Times New Roman" w:eastAsia="黑体" w:cs="Times New Roman"/>
          <w:b w:val="0"/>
          <w:bCs/>
          <w:color w:val="auto"/>
          <w:highlight w:val="none"/>
        </w:rPr>
      </w:pPr>
      <w:bookmarkStart w:id="47" w:name="_Toc15377215"/>
      <w:bookmarkStart w:id="48" w:name="_Toc15396609"/>
      <w:bookmarkStart w:id="49" w:name="_Toc9176"/>
      <w:r>
        <w:rPr>
          <w:rFonts w:hint="default" w:ascii="Times New Roman" w:hAnsi="Times New Roman" w:eastAsia="黑体" w:cs="Times New Roman"/>
          <w:b w:val="0"/>
          <w:bCs/>
          <w:color w:val="auto"/>
          <w:sz w:val="32"/>
          <w:szCs w:val="32"/>
          <w:highlight w:val="none"/>
        </w:rPr>
        <w:t>七、</w:t>
      </w:r>
      <w:r>
        <w:rPr>
          <w:rStyle w:val="31"/>
          <w:rFonts w:hint="default" w:ascii="Times New Roman" w:hAnsi="Times New Roman" w:eastAsia="黑体" w:cs="Times New Roman"/>
          <w:b w:val="0"/>
          <w:bCs/>
          <w:color w:val="auto"/>
          <w:highlight w:val="none"/>
        </w:rPr>
        <w:t>财政</w:t>
      </w:r>
      <w:r>
        <w:rPr>
          <w:rStyle w:val="31"/>
          <w:rFonts w:hint="eastAsia" w:ascii="黑体" w:hAnsi="黑体" w:eastAsia="黑体" w:cs="黑体"/>
          <w:b w:val="0"/>
          <w:bCs/>
          <w:color w:val="auto"/>
          <w:highlight w:val="none"/>
        </w:rPr>
        <w:t>拨款“三公”经费</w:t>
      </w:r>
      <w:r>
        <w:rPr>
          <w:rStyle w:val="31"/>
          <w:rFonts w:hint="default" w:ascii="Times New Roman" w:hAnsi="Times New Roman" w:eastAsia="黑体" w:cs="Times New Roman"/>
          <w:b w:val="0"/>
          <w:bCs/>
          <w:color w:val="auto"/>
          <w:highlight w:val="none"/>
        </w:rPr>
        <w:t>支出决算情况说明</w:t>
      </w:r>
      <w:bookmarkEnd w:id="47"/>
      <w:bookmarkEnd w:id="48"/>
      <w:bookmarkEnd w:id="49"/>
    </w:p>
    <w:p>
      <w:pPr>
        <w:keepNext w:val="0"/>
        <w:keepLines w:val="0"/>
        <w:pageBreakBefore w:val="0"/>
        <w:kinsoku/>
        <w:wordWrap/>
        <w:overflowPunct/>
        <w:topLinePunct w:val="0"/>
        <w:bidi w:val="0"/>
        <w:spacing w:line="560" w:lineRule="exact"/>
        <w:ind w:left="0" w:firstLine="640" w:firstLineChars="200"/>
        <w:jc w:val="both"/>
        <w:outlineLvl w:val="9"/>
        <w:rPr>
          <w:rFonts w:hint="eastAsia" w:ascii="方正楷体_GBK" w:hAnsi="方正楷体_GBK" w:eastAsia="方正楷体_GBK" w:cs="方正楷体_GBK"/>
          <w:b w:val="0"/>
          <w:bCs/>
          <w:color w:val="auto"/>
          <w:sz w:val="32"/>
          <w:szCs w:val="32"/>
          <w:highlight w:val="none"/>
        </w:rPr>
      </w:pPr>
      <w:bookmarkStart w:id="50" w:name="_Toc15377216"/>
      <w:r>
        <w:rPr>
          <w:rFonts w:hint="eastAsia" w:ascii="方正楷体_GBK" w:hAnsi="方正楷体_GBK" w:eastAsia="方正楷体_GBK" w:cs="方正楷体_GBK"/>
          <w:b w:val="0"/>
          <w:bCs/>
          <w:color w:val="auto"/>
          <w:sz w:val="32"/>
          <w:szCs w:val="32"/>
          <w:highlight w:val="none"/>
        </w:rPr>
        <w:t>（一）“三公”经费财政拨款支出决算总体情况说明</w:t>
      </w:r>
      <w:bookmarkEnd w:id="50"/>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2022年“三公”经费财政拨款支出决算为0.25万元，完成预算100%，与预算数持平。</w:t>
      </w:r>
    </w:p>
    <w:p>
      <w:pPr>
        <w:keepNext w:val="0"/>
        <w:keepLines w:val="0"/>
        <w:pageBreakBefore w:val="0"/>
        <w:kinsoku/>
        <w:wordWrap/>
        <w:overflowPunct/>
        <w:topLinePunct w:val="0"/>
        <w:bidi w:val="0"/>
        <w:spacing w:line="560" w:lineRule="exact"/>
        <w:ind w:left="0" w:firstLine="560" w:firstLineChars="200"/>
        <w:jc w:val="both"/>
        <w:outlineLvl w:val="9"/>
        <w:rPr>
          <w:rFonts w:hint="default" w:ascii="Times New Roman" w:hAnsi="Times New Roman" w:eastAsia="仿宋" w:cs="Times New Roman"/>
          <w:b w:val="0"/>
          <w:bCs/>
          <w:color w:val="auto"/>
          <w:sz w:val="32"/>
          <w:szCs w:val="32"/>
          <w:highlight w:val="none"/>
        </w:rPr>
      </w:pPr>
      <w:r>
        <w:rPr>
          <w:rFonts w:hint="default" w:ascii="Times New Roman" w:hAnsi="Times New Roman" w:eastAsia="方正楷体_GBK" w:cs="Times New Roman"/>
          <w:b w:val="0"/>
          <w:bCs/>
          <w:color w:val="auto"/>
          <w:sz w:val="28"/>
          <w:szCs w:val="28"/>
          <w:highlight w:val="none"/>
        </w:rPr>
        <w:t>（注：上述“预算”口径为</w:t>
      </w:r>
      <w:r>
        <w:rPr>
          <w:rFonts w:hint="default" w:ascii="Times New Roman" w:hAnsi="Times New Roman" w:eastAsia="方正楷体_GBK" w:cs="Times New Roman"/>
          <w:b w:val="0"/>
          <w:bCs/>
          <w:color w:val="auto"/>
          <w:sz w:val="28"/>
          <w:szCs w:val="28"/>
          <w:highlight w:val="none"/>
          <w:lang w:eastAsia="zh-CN"/>
        </w:rPr>
        <w:t>全年预算</w:t>
      </w:r>
      <w:r>
        <w:rPr>
          <w:rFonts w:hint="default" w:ascii="Times New Roman" w:hAnsi="Times New Roman" w:eastAsia="方正楷体_GBK" w:cs="Times New Roman"/>
          <w:b w:val="0"/>
          <w:bCs/>
          <w:color w:val="auto"/>
          <w:sz w:val="28"/>
          <w:szCs w:val="28"/>
          <w:highlight w:val="none"/>
        </w:rPr>
        <w:t>数，包括</w:t>
      </w:r>
      <w:r>
        <w:rPr>
          <w:rFonts w:hint="default" w:ascii="Times New Roman" w:hAnsi="Times New Roman" w:eastAsia="方正楷体_GBK" w:cs="Times New Roman"/>
          <w:b w:val="0"/>
          <w:bCs/>
          <w:color w:val="auto"/>
          <w:sz w:val="28"/>
          <w:szCs w:val="28"/>
          <w:highlight w:val="none"/>
          <w:lang w:eastAsia="zh-CN"/>
        </w:rPr>
        <w:t>一般公共预算和</w:t>
      </w:r>
      <w:r>
        <w:rPr>
          <w:rFonts w:hint="default" w:ascii="Times New Roman" w:hAnsi="Times New Roman" w:eastAsia="方正楷体_GBK" w:cs="Times New Roman"/>
          <w:b w:val="0"/>
          <w:bCs/>
          <w:color w:val="auto"/>
          <w:sz w:val="28"/>
          <w:szCs w:val="28"/>
          <w:highlight w:val="none"/>
        </w:rPr>
        <w:t>政府性基金</w:t>
      </w:r>
      <w:r>
        <w:rPr>
          <w:rFonts w:hint="default" w:ascii="Times New Roman" w:hAnsi="Times New Roman" w:eastAsia="方正楷体_GBK" w:cs="Times New Roman"/>
          <w:b w:val="0"/>
          <w:bCs/>
          <w:color w:val="auto"/>
          <w:sz w:val="28"/>
          <w:szCs w:val="28"/>
          <w:highlight w:val="none"/>
          <w:lang w:eastAsia="zh-CN"/>
        </w:rPr>
        <w:t>预算财政拨款</w:t>
      </w:r>
      <w:r>
        <w:rPr>
          <w:rFonts w:hint="default" w:ascii="Times New Roman" w:hAnsi="Times New Roman" w:eastAsia="方正楷体_GBK" w:cs="Times New Roman"/>
          <w:b w:val="0"/>
          <w:bCs/>
          <w:color w:val="auto"/>
          <w:sz w:val="28"/>
          <w:szCs w:val="28"/>
          <w:highlight w:val="none"/>
        </w:rPr>
        <w:t>支出决算情况。）</w:t>
      </w:r>
    </w:p>
    <w:p>
      <w:pPr>
        <w:keepNext w:val="0"/>
        <w:keepLines w:val="0"/>
        <w:pageBreakBefore w:val="0"/>
        <w:kinsoku/>
        <w:wordWrap/>
        <w:overflowPunct/>
        <w:topLinePunct w:val="0"/>
        <w:bidi w:val="0"/>
        <w:spacing w:line="560" w:lineRule="exact"/>
        <w:ind w:left="0" w:firstLine="640" w:firstLineChars="200"/>
        <w:jc w:val="both"/>
        <w:outlineLvl w:val="9"/>
        <w:rPr>
          <w:rFonts w:hint="eastAsia" w:ascii="方正楷体_GBK" w:hAnsi="方正楷体_GBK" w:eastAsia="方正楷体_GBK" w:cs="方正楷体_GBK"/>
          <w:b w:val="0"/>
          <w:bCs/>
          <w:color w:val="auto"/>
          <w:sz w:val="32"/>
          <w:szCs w:val="32"/>
          <w:highlight w:val="none"/>
        </w:rPr>
      </w:pPr>
      <w:bookmarkStart w:id="51" w:name="_Toc15377217"/>
      <w:r>
        <w:rPr>
          <w:rFonts w:hint="eastAsia" w:ascii="方正楷体_GBK" w:hAnsi="方正楷体_GBK" w:eastAsia="方正楷体_GBK" w:cs="方正楷体_GBK"/>
          <w:b w:val="0"/>
          <w:bCs/>
          <w:color w:val="auto"/>
          <w:sz w:val="32"/>
          <w:szCs w:val="32"/>
          <w:highlight w:val="none"/>
        </w:rPr>
        <w:t>（二）“三公”经费财政拨款支出决算具体情况说明</w:t>
      </w:r>
      <w:bookmarkEnd w:id="51"/>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2022年“三公”经费财政拨款支出决算中，因公出国（境）费支出决算0万元，占0%；公务用车购置及运行维护费支出决算0万元，占0%；公务接待费支出决算0.25万元，占100%。具体情况如下：</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仿宋" w:cs="Times New Roman"/>
          <w:b w:val="0"/>
          <w:bCs/>
          <w:color w:val="auto"/>
          <w:sz w:val="32"/>
          <w:szCs w:val="32"/>
          <w:highlight w:val="none"/>
        </w:rPr>
      </w:pPr>
      <w:r>
        <w:rPr>
          <w:color w:val="auto"/>
        </w:rPr>
        <w:drawing>
          <wp:inline distT="0" distB="0" distL="114300" distR="114300">
            <wp:extent cx="4826000" cy="2743200"/>
            <wp:effectExtent l="4445" t="4445" r="8255" b="14605"/>
            <wp:docPr id="13" name="图表 12" descr="7b0a202020202263686172745265734964223a2022343434393336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kinsoku/>
        <w:wordWrap/>
        <w:overflowPunct/>
        <w:topLinePunct w:val="0"/>
        <w:bidi w:val="0"/>
        <w:spacing w:line="560" w:lineRule="exact"/>
        <w:jc w:val="center"/>
        <w:outlineLvl w:val="9"/>
        <w:rPr>
          <w:rFonts w:hint="default" w:ascii="Times New Roman" w:hAnsi="Times New Roman" w:eastAsia="仿宋" w:cs="Times New Roman"/>
          <w:b w:val="0"/>
          <w:bCs/>
          <w:color w:val="auto"/>
          <w:sz w:val="32"/>
          <w:szCs w:val="32"/>
          <w:highlight w:val="none"/>
        </w:rPr>
      </w:pPr>
      <w:r>
        <w:rPr>
          <w:rFonts w:hint="eastAsia" w:ascii="方正楷体_GBK" w:hAnsi="方正楷体_GBK" w:eastAsia="方正楷体_GBK" w:cs="方正楷体_GBK"/>
          <w:b w:val="0"/>
          <w:bCs/>
          <w:color w:val="auto"/>
          <w:sz w:val="28"/>
          <w:szCs w:val="28"/>
          <w:highlight w:val="none"/>
        </w:rPr>
        <w:t>图7：“三公”经费财政拨款支出结构</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1.因公出国（境）经费支出0万元，完成预算0%。全年安排因公出国（境）团组0次，出国（境）0人。因公出国（境）支出决算比2021年持平。</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开支内容包括：2022年无因公出国（境）支出。</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2.公务用车购置及运行维护费支出0万元,完成预算0%。公务用车购置及运行维护费支出决算与2021年持平。</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其中：公务用车购置支出0万元。全年按规定更新购置公务用车0辆，其中：轿车0辆、金额0万元，越野车0辆、金额0万元，载客汽车0辆、金额0万元。截至2022年12月底，单位共有公务用车0辆，其中：轿车0辆、越野车0辆、载客汽车0辆。</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公务用车运行维护费支出0万元</w:t>
      </w:r>
      <w:r>
        <w:rPr>
          <w:rFonts w:hint="eastAsia"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3.公务接待费支出0.25万元，完成预算100%。公务接待费支出决算比2021年减少0.14万元。</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其中：</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国内公务接待支出0.25万元，主要用于执行公务开展业务活动开支的用餐费。国内公务接待4批次，35人次（不包括陪同人员），共计支出0.25万元，具体内容包括：接待浙江义乌来客到巴中考察等公务活动支出。</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外事接待支出0万元，主要用于接待。</w:t>
      </w:r>
      <w:bookmarkStart w:id="52" w:name="_Toc15377218"/>
      <w:bookmarkStart w:id="53" w:name="_Toc1539661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1"/>
        <w:rPr>
          <w:rStyle w:val="31"/>
          <w:rFonts w:hint="default" w:ascii="Times New Roman" w:hAnsi="Times New Roman" w:eastAsia="黑体" w:cs="Times New Roman"/>
          <w:b w:val="0"/>
          <w:bCs/>
          <w:color w:val="auto"/>
          <w:highlight w:val="none"/>
        </w:rPr>
      </w:pPr>
      <w:bookmarkStart w:id="54" w:name="_Toc14012"/>
      <w:r>
        <w:rPr>
          <w:rFonts w:hint="default" w:ascii="Times New Roman" w:hAnsi="Times New Roman" w:eastAsia="黑体" w:cs="Times New Roman"/>
          <w:b w:val="0"/>
          <w:bCs/>
          <w:color w:val="auto"/>
          <w:sz w:val="32"/>
          <w:szCs w:val="32"/>
          <w:highlight w:val="none"/>
        </w:rPr>
        <w:t>八、</w:t>
      </w:r>
      <w:r>
        <w:rPr>
          <w:rStyle w:val="31"/>
          <w:rFonts w:hint="default" w:ascii="Times New Roman" w:hAnsi="Times New Roman" w:eastAsia="黑体" w:cs="Times New Roman"/>
          <w:b w:val="0"/>
          <w:bCs/>
          <w:color w:val="auto"/>
          <w:highlight w:val="none"/>
        </w:rPr>
        <w:t>政府性基金预算支出决算情况说明</w:t>
      </w:r>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2022年政府性基金预算财政拨款支出10万元。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Style w:val="31"/>
          <w:rFonts w:hint="default" w:ascii="Times New Roman" w:hAnsi="Times New Roman" w:eastAsia="黑体" w:cs="Times New Roman"/>
          <w:b w:val="0"/>
          <w:bCs/>
          <w:color w:val="auto"/>
          <w:highlight w:val="none"/>
        </w:rPr>
      </w:pPr>
      <w:bookmarkStart w:id="55" w:name="_Toc15377219"/>
      <w:bookmarkStart w:id="56" w:name="_Toc15396611"/>
      <w:bookmarkStart w:id="57" w:name="_Toc11773"/>
      <w:r>
        <w:rPr>
          <w:rFonts w:hint="eastAsia" w:ascii="Times New Roman" w:hAnsi="Times New Roman" w:eastAsia="黑体" w:cs="Times New Roman"/>
          <w:b w:val="0"/>
          <w:bCs/>
          <w:color w:val="auto"/>
          <w:kern w:val="2"/>
          <w:sz w:val="32"/>
          <w:szCs w:val="32"/>
          <w:lang w:val="en-US" w:eastAsia="zh-CN" w:bidi="ar-SA"/>
        </w:rPr>
        <w:t>九、</w:t>
      </w:r>
      <w:r>
        <w:rPr>
          <w:rStyle w:val="31"/>
          <w:rFonts w:hint="default" w:ascii="Times New Roman" w:hAnsi="Times New Roman" w:eastAsia="黑体" w:cs="Times New Roman"/>
          <w:b w:val="0"/>
          <w:bCs/>
          <w:color w:val="auto"/>
          <w:highlight w:val="none"/>
        </w:rPr>
        <w:t>国有资本经营预算支出决算情况说明</w:t>
      </w:r>
      <w:bookmarkEnd w:id="55"/>
      <w:bookmarkEnd w:id="56"/>
      <w:bookmarkEnd w:id="57"/>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2022年国有资本经营预算财政拨款支出0万元。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1"/>
        <w:rPr>
          <w:rStyle w:val="31"/>
          <w:rFonts w:hint="default" w:ascii="Times New Roman" w:hAnsi="Times New Roman" w:eastAsia="黑体" w:cs="Times New Roman"/>
          <w:b w:val="0"/>
          <w:bCs/>
          <w:color w:val="auto"/>
          <w:highlight w:val="none"/>
        </w:rPr>
      </w:pPr>
      <w:bookmarkStart w:id="58" w:name="_Toc31455"/>
      <w:bookmarkStart w:id="59" w:name="_Toc15377221"/>
      <w:bookmarkStart w:id="60" w:name="_Toc15396612"/>
      <w:r>
        <w:rPr>
          <w:rFonts w:hint="eastAsia" w:ascii="Times New Roman" w:hAnsi="Times New Roman" w:eastAsia="黑体" w:cs="Times New Roman"/>
          <w:b w:val="0"/>
          <w:bCs/>
          <w:color w:val="auto"/>
          <w:kern w:val="2"/>
          <w:sz w:val="32"/>
          <w:szCs w:val="32"/>
          <w:lang w:val="en-US" w:eastAsia="zh-CN" w:bidi="ar-SA"/>
        </w:rPr>
        <w:t>十、</w:t>
      </w:r>
      <w:r>
        <w:rPr>
          <w:rStyle w:val="31"/>
          <w:rFonts w:hint="default" w:ascii="Times New Roman" w:hAnsi="Times New Roman" w:eastAsia="黑体" w:cs="Times New Roman"/>
          <w:b w:val="0"/>
          <w:bCs/>
          <w:color w:val="auto"/>
          <w:highlight w:val="none"/>
        </w:rPr>
        <w:t>其他重要事项的情况说明</w:t>
      </w:r>
      <w:bookmarkEnd w:id="58"/>
      <w:bookmarkEnd w:id="59"/>
      <w:bookmarkEnd w:id="6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 w:cs="Times New Roman"/>
          <w:b w:val="0"/>
          <w:bCs/>
          <w:color w:val="auto"/>
          <w:sz w:val="32"/>
          <w:szCs w:val="32"/>
          <w:highlight w:val="none"/>
        </w:rPr>
      </w:pPr>
      <w:bookmarkStart w:id="61" w:name="_Toc15377222"/>
      <w:r>
        <w:rPr>
          <w:rFonts w:hint="eastAsia" w:ascii="方正楷体_GBK" w:hAnsi="方正楷体_GBK" w:eastAsia="方正楷体_GBK" w:cs="方正楷体_GBK"/>
          <w:b w:val="0"/>
          <w:bCs/>
          <w:color w:val="auto"/>
          <w:sz w:val="32"/>
          <w:szCs w:val="32"/>
          <w:highlight w:val="none"/>
        </w:rPr>
        <w:t>（一）机关运行经费支出情况</w:t>
      </w:r>
      <w:bookmarkEnd w:id="61"/>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2022年，巴州区商务局机关运行经费支出43.33万元，比2021年减少4.14万元。</w:t>
      </w:r>
    </w:p>
    <w:p>
      <w:pPr>
        <w:keepNext w:val="0"/>
        <w:keepLines w:val="0"/>
        <w:pageBreakBefore w:val="0"/>
        <w:kinsoku/>
        <w:wordWrap/>
        <w:overflowPunct/>
        <w:topLinePunct w:val="0"/>
        <w:bidi w:val="0"/>
        <w:spacing w:line="560" w:lineRule="exact"/>
        <w:ind w:left="0" w:firstLine="560" w:firstLineChars="200"/>
        <w:jc w:val="both"/>
        <w:outlineLvl w:val="9"/>
        <w:rPr>
          <w:rFonts w:hint="default" w:ascii="Times New Roman" w:hAnsi="Times New Roman" w:eastAsia="仿宋" w:cs="Times New Roman"/>
          <w:b w:val="0"/>
          <w:bCs/>
          <w:color w:val="auto"/>
          <w:sz w:val="32"/>
          <w:szCs w:val="32"/>
          <w:highlight w:val="none"/>
        </w:rPr>
      </w:pPr>
      <w:r>
        <w:rPr>
          <w:rFonts w:hint="default" w:ascii="方正楷体_GBK" w:hAnsi="方正楷体_GBK" w:eastAsia="方正楷体_GBK" w:cs="方正楷体_GBK"/>
          <w:b w:val="0"/>
          <w:bCs/>
          <w:color w:val="auto"/>
          <w:sz w:val="28"/>
          <w:szCs w:val="28"/>
          <w:highlight w:val="none"/>
        </w:rPr>
        <w:t>（注：数</w:t>
      </w:r>
      <w:r>
        <w:rPr>
          <w:rFonts w:hint="default" w:ascii="Times New Roman" w:hAnsi="Times New Roman" w:eastAsia="方正楷体_GBK" w:cs="Times New Roman"/>
          <w:b w:val="0"/>
          <w:bCs/>
          <w:color w:val="auto"/>
          <w:sz w:val="28"/>
          <w:szCs w:val="28"/>
          <w:highlight w:val="none"/>
        </w:rPr>
        <w:t>据来源于财决附03表</w:t>
      </w:r>
      <w:r>
        <w:rPr>
          <w:rFonts w:hint="default" w:ascii="方正楷体_GBK" w:hAnsi="方正楷体_GBK" w:eastAsia="方正楷体_GBK" w:cs="方正楷体_GBK"/>
          <w:b w:val="0"/>
          <w:bCs/>
          <w:color w:val="auto"/>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outlineLvl w:val="9"/>
        <w:rPr>
          <w:rFonts w:hint="default" w:ascii="Times New Roman" w:hAnsi="Times New Roman" w:eastAsia="仿宋" w:cs="Times New Roman"/>
          <w:b w:val="0"/>
          <w:bCs/>
          <w:color w:val="auto"/>
          <w:sz w:val="32"/>
          <w:szCs w:val="32"/>
          <w:highlight w:val="none"/>
        </w:rPr>
      </w:pPr>
      <w:bookmarkStart w:id="62" w:name="_Toc15377223"/>
      <w:r>
        <w:rPr>
          <w:rFonts w:hint="eastAsia" w:ascii="方正楷体_GBK" w:hAnsi="方正楷体_GBK" w:eastAsia="方正楷体_GBK" w:cs="方正楷体_GBK"/>
          <w:b w:val="0"/>
          <w:bCs/>
          <w:color w:val="auto"/>
          <w:sz w:val="32"/>
          <w:szCs w:val="32"/>
          <w:highlight w:val="none"/>
        </w:rPr>
        <w:t>（二）政府采购支出情况</w:t>
      </w:r>
      <w:bookmarkEnd w:id="62"/>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2022年，巴州区商务局政府采购支出总额0万元，其中：政府采购货物支出0万元、政府采购工程支出0万元、政府采购服务支出0万元。</w:t>
      </w:r>
    </w:p>
    <w:p>
      <w:pPr>
        <w:keepNext w:val="0"/>
        <w:keepLines w:val="0"/>
        <w:pageBreakBefore w:val="0"/>
        <w:kinsoku/>
        <w:wordWrap/>
        <w:overflowPunct/>
        <w:topLinePunct w:val="0"/>
        <w:bidi w:val="0"/>
        <w:spacing w:line="560" w:lineRule="exact"/>
        <w:ind w:left="0" w:firstLine="560" w:firstLineChars="200"/>
        <w:jc w:val="both"/>
        <w:outlineLvl w:val="9"/>
        <w:rPr>
          <w:rFonts w:hint="default" w:ascii="方正楷体_GBK" w:hAnsi="方正楷体_GBK" w:eastAsia="方正楷体_GBK" w:cs="方正楷体_GBK"/>
          <w:b w:val="0"/>
          <w:bCs/>
          <w:color w:val="auto"/>
          <w:sz w:val="28"/>
          <w:szCs w:val="28"/>
          <w:highlight w:val="none"/>
        </w:rPr>
      </w:pPr>
      <w:r>
        <w:rPr>
          <w:rFonts w:hint="default" w:ascii="方正楷体_GBK" w:hAnsi="方正楷体_GBK" w:eastAsia="方正楷体_GBK" w:cs="方正楷体_GBK"/>
          <w:b w:val="0"/>
          <w:bCs/>
          <w:color w:val="auto"/>
          <w:sz w:val="28"/>
          <w:szCs w:val="28"/>
          <w:highlight w:val="none"/>
        </w:rPr>
        <w:t>（注：数据来源于财决附03表）</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outlineLvl w:val="9"/>
        <w:rPr>
          <w:rFonts w:hint="eastAsia" w:ascii="方正楷体_GBK" w:hAnsi="方正楷体_GBK" w:eastAsia="方正楷体_GBK" w:cs="方正楷体_GBK"/>
          <w:b w:val="0"/>
          <w:bCs/>
          <w:color w:val="auto"/>
          <w:sz w:val="32"/>
          <w:szCs w:val="32"/>
          <w:highlight w:val="none"/>
        </w:rPr>
      </w:pPr>
      <w:bookmarkStart w:id="63" w:name="_Toc15377224"/>
      <w:r>
        <w:rPr>
          <w:rFonts w:hint="eastAsia" w:ascii="方正楷体_GBK" w:hAnsi="方正楷体_GBK" w:eastAsia="方正楷体_GBK" w:cs="方正楷体_GBK"/>
          <w:b w:val="0"/>
          <w:bCs/>
          <w:color w:val="auto"/>
          <w:sz w:val="32"/>
          <w:szCs w:val="32"/>
          <w:highlight w:val="none"/>
        </w:rPr>
        <w:t>（三）国有资产占有使用情况</w:t>
      </w:r>
      <w:bookmarkEnd w:id="63"/>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截至2022年12月31日，巴州区商务局共有车辆0辆，其中：主要领导干部用车0辆、机要通信用车0辆、应急保障用车0辆、其他用车0辆。单价100万元以上专用设备0台（套）。</w:t>
      </w:r>
    </w:p>
    <w:p>
      <w:pPr>
        <w:keepNext w:val="0"/>
        <w:keepLines w:val="0"/>
        <w:pageBreakBefore w:val="0"/>
        <w:kinsoku/>
        <w:wordWrap/>
        <w:overflowPunct/>
        <w:topLinePunct w:val="0"/>
        <w:bidi w:val="0"/>
        <w:spacing w:line="560" w:lineRule="exact"/>
        <w:ind w:left="0" w:firstLine="560" w:firstLineChars="200"/>
        <w:jc w:val="both"/>
        <w:outlineLvl w:val="9"/>
        <w:rPr>
          <w:rFonts w:hint="default" w:ascii="Times New Roman" w:hAnsi="Times New Roman" w:eastAsia="方正楷体_GBK" w:cs="Times New Roman"/>
          <w:b w:val="0"/>
          <w:bCs/>
          <w:color w:val="auto"/>
          <w:sz w:val="28"/>
          <w:szCs w:val="28"/>
          <w:highlight w:val="none"/>
        </w:rPr>
      </w:pPr>
      <w:r>
        <w:rPr>
          <w:rFonts w:hint="default" w:ascii="Times New Roman" w:hAnsi="Times New Roman" w:eastAsia="方正楷体_GBK" w:cs="Times New Roman"/>
          <w:b w:val="0"/>
          <w:bCs/>
          <w:color w:val="auto"/>
          <w:sz w:val="28"/>
          <w:szCs w:val="28"/>
          <w:highlight w:val="none"/>
        </w:rPr>
        <w:t>（注：数据来源</w:t>
      </w:r>
      <w:r>
        <w:rPr>
          <w:rFonts w:hint="default" w:ascii="Times New Roman" w:hAnsi="Times New Roman" w:eastAsia="方正楷体_GBK" w:cs="Times New Roman"/>
          <w:b w:val="0"/>
          <w:bCs/>
          <w:color w:val="auto"/>
          <w:sz w:val="28"/>
          <w:szCs w:val="28"/>
          <w:highlight w:val="none"/>
          <w:lang w:eastAsia="zh-CN"/>
        </w:rPr>
        <w:t>于</w:t>
      </w:r>
      <w:r>
        <w:rPr>
          <w:rFonts w:hint="default" w:ascii="Times New Roman" w:hAnsi="Times New Roman" w:eastAsia="方正楷体_GBK" w:cs="Times New Roman"/>
          <w:b w:val="0"/>
          <w:bCs/>
          <w:color w:val="auto"/>
          <w:sz w:val="28"/>
          <w:szCs w:val="28"/>
          <w:highlight w:val="none"/>
        </w:rPr>
        <w:t>财决附03表，按部门决算报表填报数据罗列车辆情况。）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outlineLvl w:val="9"/>
        <w:rPr>
          <w:rFonts w:hint="eastAsia" w:ascii="方正楷体_GBK" w:hAnsi="方正楷体_GBK" w:eastAsia="方正楷体_GBK" w:cs="方正楷体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rPr>
        <w:t>（四）预算绩效管理情况</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我局深入学习领会全面实施绩效预算管理，高度重视绩效预算管理在目标绩效管理工作中的重大意义，把开展和加强预算绩效管理纳入常规工作计划，扎实做好相关工作，本年度全面实施绩效预算管理进程我局深入学习领会全面实施绩效预算管理，高度重视绩效预算管理在目标绩效管理工作中的重大意义，把开展和加强预算绩效管理纳入常规工作计划，扎实做好相关工作，本年度全面实施绩效预算管理进程。</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根据预算绩效管理要求，本部门在2022年度预算编制阶段，组织对限规企业奖励扶持资金1个项目开展了预算事前绩效评估，对项目编制了绩效目标，预算执行过程中，选取该项目开展绩效监控。</w:t>
      </w:r>
    </w:p>
    <w:p>
      <w:pPr>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组织对2022年度一般公共预算、政府性基金预算、国有资本经营预算、社会保险基金预算以及资本资产、债券资金等全面开展绩效自评，形成巴中市巴州区商务局部门整体绩效自评报告、限规企业奖励扶持资金等专项预算项目绩效自评报告，其中，巴中市巴州区商务局部门整体（含部门预算项目）绩效自评得分为88分，绩效自评综述：2022年我局全面实施了预算绩效目标管理，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按要求在巴州区政府网站及时公开本单位预算绩效管理工作，全年预算管理执行到位。</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kinsoku/>
        <w:wordWrap/>
        <w:overflowPunct/>
        <w:topLinePunct w:val="0"/>
        <w:bidi w:val="0"/>
        <w:spacing w:line="560" w:lineRule="exact"/>
        <w:jc w:val="both"/>
        <w:outlineLvl w:val="9"/>
        <w:rPr>
          <w:rFonts w:hint="default" w:ascii="Times New Roman" w:hAnsi="Times New Roman" w:eastAsia="方正仿宋_GBK" w:cs="Times New Roman"/>
          <w:b w:val="0"/>
          <w:bCs/>
          <w:color w:val="auto"/>
          <w:kern w:val="2"/>
          <w:sz w:val="32"/>
          <w:szCs w:val="32"/>
          <w:lang w:val="en-US" w:eastAsia="zh-CN" w:bidi="ar-SA"/>
        </w:rPr>
      </w:pPr>
    </w:p>
    <w:p>
      <w:pPr>
        <w:pStyle w:val="36"/>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hAnsi="方正小标宋_GBK" w:eastAsia="方正小标宋_GBK" w:cs="方正小标宋_GBK"/>
          <w:b w:val="0"/>
          <w:bCs/>
          <w:color w:val="auto"/>
          <w:kern w:val="2"/>
          <w:sz w:val="44"/>
          <w:szCs w:val="44"/>
          <w:lang w:val="en-US" w:eastAsia="zh-CN" w:bidi="ar-SA"/>
        </w:rPr>
      </w:pPr>
      <w:r>
        <w:rPr>
          <w:rFonts w:hint="eastAsia" w:ascii="方正小标宋_GBK" w:hAnsi="方正小标宋_GBK" w:eastAsia="方正小标宋_GBK" w:cs="方正小标宋_GBK"/>
          <w:b w:val="0"/>
          <w:bCs/>
          <w:color w:val="auto"/>
          <w:kern w:val="2"/>
          <w:sz w:val="44"/>
          <w:szCs w:val="44"/>
          <w:lang w:val="en-US" w:eastAsia="zh-CN" w:bidi="ar-SA"/>
        </w:rPr>
        <w:t>巴中市巴州区商务局2022年区级限规企业奖励扶持资金绩效自评报告</w:t>
      </w:r>
    </w:p>
    <w:p>
      <w:pPr>
        <w:keepNext w:val="0"/>
        <w:keepLines w:val="0"/>
        <w:pageBreakBefore w:val="0"/>
        <w:kinsoku/>
        <w:wordWrap/>
        <w:overflowPunct/>
        <w:topLinePunct w:val="0"/>
        <w:bidi w:val="0"/>
        <w:adjustRightInd w:val="0"/>
        <w:snapToGrid w:val="0"/>
        <w:spacing w:line="560" w:lineRule="exact"/>
        <w:ind w:left="0" w:firstLine="640" w:firstLineChars="200"/>
        <w:jc w:val="both"/>
        <w:outlineLvl w:val="9"/>
        <w:rPr>
          <w:rFonts w:hint="default" w:ascii="Times New Roman" w:hAnsi="Times New Roman" w:eastAsia="方正仿宋_GBK" w:cs="Times New Roman"/>
          <w:b w:val="0"/>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eastAsia" w:ascii="黑体" w:hAnsi="黑体" w:eastAsia="黑体" w:cs="黑体"/>
          <w:b w:val="0"/>
          <w:bCs/>
          <w:color w:val="auto"/>
          <w:kern w:val="2"/>
          <w:sz w:val="32"/>
          <w:szCs w:val="32"/>
          <w:lang w:val="zh-CN" w:eastAsia="zh-CN" w:bidi="ar-SA"/>
        </w:rPr>
      </w:pPr>
      <w:r>
        <w:rPr>
          <w:rFonts w:hint="eastAsia" w:ascii="黑体" w:hAnsi="黑体" w:eastAsia="黑体" w:cs="黑体"/>
          <w:b w:val="0"/>
          <w:bCs/>
          <w:color w:val="auto"/>
          <w:kern w:val="2"/>
          <w:sz w:val="32"/>
          <w:szCs w:val="32"/>
          <w:lang w:val="en-US" w:eastAsia="zh-CN" w:bidi="ar-SA"/>
        </w:rPr>
        <w:t>一、</w:t>
      </w:r>
      <w:r>
        <w:rPr>
          <w:rFonts w:hint="eastAsia" w:ascii="黑体" w:hAnsi="黑体" w:eastAsia="黑体" w:cs="黑体"/>
          <w:b w:val="0"/>
          <w:bCs/>
          <w:color w:val="auto"/>
          <w:kern w:val="2"/>
          <w:sz w:val="32"/>
          <w:szCs w:val="32"/>
          <w:lang w:val="zh-CN" w:eastAsia="zh-CN" w:bidi="ar-SA"/>
        </w:rPr>
        <w:t>项目概况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zh-CN" w:eastAsia="zh-CN" w:bidi="ar-SA"/>
        </w:rPr>
      </w:pPr>
      <w:r>
        <w:rPr>
          <w:rFonts w:hint="default" w:ascii="方正楷体_GBK" w:hAnsi="方正楷体_GBK" w:eastAsia="方正楷体_GBK" w:cs="方正楷体_GBK"/>
          <w:b w:val="0"/>
          <w:bCs/>
          <w:color w:val="auto"/>
          <w:kern w:val="2"/>
          <w:sz w:val="32"/>
          <w:szCs w:val="32"/>
          <w:lang w:val="zh-CN" w:eastAsia="zh-CN" w:bidi="ar-SA"/>
        </w:rPr>
        <w:t>（一）项目资金申报及批复情况。</w:t>
      </w:r>
      <w:r>
        <w:rPr>
          <w:rFonts w:hint="default" w:ascii="Times New Roman" w:hAnsi="Times New Roman" w:eastAsia="方正仿宋_GBK" w:cs="Times New Roman"/>
          <w:b w:val="0"/>
          <w:bCs/>
          <w:color w:val="auto"/>
          <w:kern w:val="2"/>
          <w:sz w:val="32"/>
          <w:szCs w:val="32"/>
          <w:lang w:val="zh-CN" w:eastAsia="zh-CN" w:bidi="ar-SA"/>
        </w:rPr>
        <w:t>根据</w:t>
      </w:r>
      <w:r>
        <w:rPr>
          <w:rFonts w:hint="default" w:ascii="Times New Roman" w:hAnsi="Times New Roman" w:eastAsia="方正仿宋_GBK" w:cs="Times New Roman"/>
          <w:b w:val="0"/>
          <w:bCs/>
          <w:color w:val="auto"/>
          <w:kern w:val="2"/>
          <w:sz w:val="32"/>
          <w:szCs w:val="32"/>
          <w:lang w:val="en-US" w:eastAsia="zh-CN" w:bidi="ar-SA"/>
        </w:rPr>
        <w:t>中共巴中市巴州区区委 巴中市巴州区人民政府</w:t>
      </w:r>
      <w:r>
        <w:rPr>
          <w:rFonts w:hint="default" w:ascii="Times New Roman" w:hAnsi="Times New Roman" w:eastAsia="方正仿宋_GBK" w:cs="Times New Roman"/>
          <w:b w:val="0"/>
          <w:bCs/>
          <w:color w:val="auto"/>
          <w:kern w:val="2"/>
          <w:sz w:val="32"/>
          <w:szCs w:val="32"/>
          <w:lang w:val="zh-CN" w:eastAsia="zh-CN" w:bidi="ar-SA"/>
        </w:rPr>
        <w:t>《</w:t>
      </w:r>
      <w:r>
        <w:rPr>
          <w:rFonts w:hint="default" w:ascii="Times New Roman" w:hAnsi="Times New Roman" w:eastAsia="方正仿宋_GBK" w:cs="Times New Roman"/>
          <w:b w:val="0"/>
          <w:bCs/>
          <w:color w:val="auto"/>
          <w:kern w:val="2"/>
          <w:sz w:val="32"/>
          <w:szCs w:val="32"/>
          <w:lang w:val="en-US" w:eastAsia="zh-CN" w:bidi="ar-SA"/>
        </w:rPr>
        <w:t>关于推动服务业高质量发展建设服务业强区的意见》（巴区委发〔2020〕9号）</w:t>
      </w:r>
      <w:r>
        <w:rPr>
          <w:rFonts w:hint="default" w:ascii="Times New Roman" w:hAnsi="Times New Roman" w:eastAsia="方正仿宋_GBK" w:cs="Times New Roman"/>
          <w:b w:val="0"/>
          <w:bCs/>
          <w:color w:val="auto"/>
          <w:kern w:val="2"/>
          <w:sz w:val="32"/>
          <w:szCs w:val="32"/>
          <w:lang w:val="zh-CN" w:eastAsia="zh-CN" w:bidi="ar-SA"/>
        </w:rPr>
        <w:t>,结合我区商贸企业发展实际申报。</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en-US" w:eastAsia="zh-CN" w:bidi="ar-SA"/>
        </w:rPr>
      </w:pPr>
      <w:r>
        <w:rPr>
          <w:rFonts w:hint="default" w:ascii="方正楷体_GBK" w:hAnsi="方正楷体_GBK" w:eastAsia="方正楷体_GBK" w:cs="方正楷体_GBK"/>
          <w:b w:val="0"/>
          <w:bCs/>
          <w:color w:val="auto"/>
          <w:kern w:val="2"/>
          <w:sz w:val="32"/>
          <w:szCs w:val="32"/>
          <w:lang w:val="zh-CN" w:eastAsia="zh-CN" w:bidi="ar-SA"/>
        </w:rPr>
        <w:t>（二）项目绩效目标。</w:t>
      </w:r>
      <w:r>
        <w:rPr>
          <w:rFonts w:hint="default" w:ascii="Times New Roman" w:hAnsi="Times New Roman" w:eastAsia="方正仿宋_GBK" w:cs="Times New Roman"/>
          <w:b w:val="0"/>
          <w:bCs/>
          <w:color w:val="auto"/>
          <w:kern w:val="2"/>
          <w:sz w:val="32"/>
          <w:szCs w:val="32"/>
          <w:lang w:val="en-US" w:eastAsia="zh-CN" w:bidi="ar-SA"/>
        </w:rPr>
        <w:t>支付2019年入库的限规企业和2020年入库的限上商贸企业。</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zh-CN" w:eastAsia="zh-CN" w:bidi="ar-SA"/>
        </w:rPr>
      </w:pPr>
      <w:r>
        <w:rPr>
          <w:rFonts w:hint="default" w:ascii="方正楷体_GBK" w:hAnsi="方正楷体_GBK" w:eastAsia="方正楷体_GBK" w:cs="方正楷体_GBK"/>
          <w:b w:val="0"/>
          <w:bCs/>
          <w:color w:val="auto"/>
          <w:kern w:val="2"/>
          <w:sz w:val="32"/>
          <w:szCs w:val="32"/>
          <w:lang w:val="zh-CN" w:eastAsia="zh-CN" w:bidi="ar-SA"/>
        </w:rPr>
        <w:t>（三）项目资金申报相符性。</w:t>
      </w:r>
      <w:r>
        <w:rPr>
          <w:rFonts w:hint="default" w:ascii="Times New Roman" w:hAnsi="Times New Roman" w:eastAsia="方正仿宋_GBK" w:cs="Times New Roman"/>
          <w:b w:val="0"/>
          <w:bCs/>
          <w:color w:val="auto"/>
          <w:kern w:val="2"/>
          <w:sz w:val="32"/>
          <w:szCs w:val="32"/>
          <w:lang w:val="zh-CN" w:eastAsia="zh-CN" w:bidi="ar-SA"/>
        </w:rPr>
        <w:t>项目申报内容与项目实际实施内容相符、申报目标合理可行。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黑体" w:hAnsi="黑体" w:eastAsia="黑体" w:cs="黑体"/>
          <w:b w:val="0"/>
          <w:bCs/>
          <w:color w:val="auto"/>
          <w:kern w:val="2"/>
          <w:sz w:val="32"/>
          <w:szCs w:val="32"/>
          <w:lang w:val="en-US" w:eastAsia="zh-CN" w:bidi="ar-SA"/>
        </w:rPr>
      </w:pPr>
      <w:r>
        <w:rPr>
          <w:rFonts w:hint="default" w:ascii="黑体" w:hAnsi="黑体" w:eastAsia="黑体" w:cs="黑体"/>
          <w:b w:val="0"/>
          <w:bCs/>
          <w:color w:val="auto"/>
          <w:kern w:val="2"/>
          <w:sz w:val="32"/>
          <w:szCs w:val="32"/>
          <w:lang w:val="en-US" w:eastAsia="zh-CN" w:bidi="ar-SA"/>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eastAsia" w:ascii="方正楷体_GBK" w:hAnsi="方正楷体_GBK" w:eastAsia="方正楷体_GBK" w:cs="方正楷体_GBK"/>
          <w:b w:val="0"/>
          <w:bCs/>
          <w:color w:val="auto"/>
          <w:kern w:val="2"/>
          <w:sz w:val="32"/>
          <w:szCs w:val="32"/>
          <w:lang w:val="zh-CN" w:eastAsia="zh-CN" w:bidi="ar-SA"/>
        </w:rPr>
      </w:pPr>
      <w:r>
        <w:rPr>
          <w:rFonts w:hint="eastAsia" w:ascii="方正楷体_GBK" w:hAnsi="方正楷体_GBK" w:eastAsia="方正楷体_GBK" w:cs="方正楷体_GBK"/>
          <w:b w:val="0"/>
          <w:bCs/>
          <w:color w:val="auto"/>
          <w:kern w:val="2"/>
          <w:sz w:val="32"/>
          <w:szCs w:val="32"/>
          <w:lang w:val="zh-CN" w:eastAsia="zh-CN" w:bidi="ar-SA"/>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zh-CN" w:eastAsia="zh-CN" w:bidi="ar-SA"/>
        </w:rPr>
      </w:pPr>
      <w:r>
        <w:rPr>
          <w:rFonts w:hint="eastAsia" w:ascii="Times New Roman" w:hAnsi="Times New Roman" w:eastAsia="方正仿宋_GBK" w:cs="Times New Roman"/>
          <w:b w:val="0"/>
          <w:bCs/>
          <w:color w:val="auto"/>
          <w:kern w:val="2"/>
          <w:sz w:val="32"/>
          <w:szCs w:val="32"/>
          <w:lang w:val="en-US" w:eastAsia="zh-CN" w:bidi="ar-SA"/>
        </w:rPr>
        <w:t>1.</w:t>
      </w:r>
      <w:r>
        <w:rPr>
          <w:rFonts w:hint="default" w:ascii="Times New Roman" w:hAnsi="Times New Roman" w:eastAsia="方正仿宋_GBK" w:cs="Times New Roman"/>
          <w:b w:val="0"/>
          <w:bCs/>
          <w:color w:val="auto"/>
          <w:kern w:val="2"/>
          <w:sz w:val="32"/>
          <w:szCs w:val="32"/>
          <w:lang w:val="zh-CN" w:eastAsia="zh-CN" w:bidi="ar-SA"/>
        </w:rPr>
        <w:t>资金计划及到位。该项目资金为</w:t>
      </w:r>
      <w:r>
        <w:rPr>
          <w:rFonts w:hint="default" w:ascii="Times New Roman" w:hAnsi="Times New Roman" w:eastAsia="方正仿宋_GBK" w:cs="Times New Roman"/>
          <w:b w:val="0"/>
          <w:bCs/>
          <w:color w:val="auto"/>
          <w:kern w:val="2"/>
          <w:sz w:val="32"/>
          <w:szCs w:val="32"/>
          <w:lang w:val="en-US" w:eastAsia="zh-CN" w:bidi="ar-SA"/>
        </w:rPr>
        <w:t>区</w:t>
      </w:r>
      <w:r>
        <w:rPr>
          <w:rFonts w:hint="default" w:ascii="Times New Roman" w:hAnsi="Times New Roman" w:eastAsia="方正仿宋_GBK" w:cs="Times New Roman"/>
          <w:b w:val="0"/>
          <w:bCs/>
          <w:color w:val="auto"/>
          <w:kern w:val="2"/>
          <w:sz w:val="32"/>
          <w:szCs w:val="32"/>
          <w:lang w:val="zh-CN" w:eastAsia="zh-CN" w:bidi="ar-SA"/>
        </w:rPr>
        <w:t>级</w:t>
      </w:r>
      <w:r>
        <w:rPr>
          <w:rFonts w:hint="default" w:ascii="Times New Roman" w:hAnsi="Times New Roman" w:eastAsia="方正仿宋_GBK" w:cs="Times New Roman"/>
          <w:b w:val="0"/>
          <w:bCs/>
          <w:color w:val="auto"/>
          <w:kern w:val="2"/>
          <w:sz w:val="32"/>
          <w:szCs w:val="32"/>
          <w:lang w:val="en-US" w:eastAsia="zh-CN" w:bidi="ar-SA"/>
        </w:rPr>
        <w:t>限规企业奖励扶持资金</w:t>
      </w:r>
      <w:r>
        <w:rPr>
          <w:rFonts w:hint="default" w:ascii="Times New Roman" w:hAnsi="Times New Roman" w:eastAsia="方正仿宋_GBK" w:cs="Times New Roman"/>
          <w:b w:val="0"/>
          <w:bCs/>
          <w:color w:val="auto"/>
          <w:kern w:val="2"/>
          <w:sz w:val="32"/>
          <w:szCs w:val="32"/>
          <w:lang w:val="zh-CN" w:eastAsia="zh-CN" w:bidi="ar-SA"/>
        </w:rPr>
        <w:t>，已到位。</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zh-CN" w:eastAsia="zh-CN" w:bidi="ar-SA"/>
        </w:rPr>
      </w:pPr>
      <w:r>
        <w:rPr>
          <w:rFonts w:hint="eastAsia" w:ascii="Times New Roman" w:hAnsi="Times New Roman" w:eastAsia="方正仿宋_GBK" w:cs="Times New Roman"/>
          <w:b w:val="0"/>
          <w:bCs/>
          <w:color w:val="auto"/>
          <w:kern w:val="2"/>
          <w:sz w:val="32"/>
          <w:szCs w:val="32"/>
          <w:lang w:val="en-US" w:eastAsia="zh-CN" w:bidi="ar-SA"/>
        </w:rPr>
        <w:t>2.</w:t>
      </w:r>
      <w:r>
        <w:rPr>
          <w:rFonts w:hint="default" w:ascii="Times New Roman" w:hAnsi="Times New Roman" w:eastAsia="方正仿宋_GBK" w:cs="Times New Roman"/>
          <w:b w:val="0"/>
          <w:bCs/>
          <w:color w:val="auto"/>
          <w:kern w:val="2"/>
          <w:sz w:val="32"/>
          <w:szCs w:val="32"/>
          <w:lang w:val="zh-CN" w:eastAsia="zh-CN" w:bidi="ar-SA"/>
        </w:rPr>
        <w:t>资金使用。截至目前该项目支付资金</w:t>
      </w:r>
      <w:r>
        <w:rPr>
          <w:rFonts w:hint="default" w:ascii="Times New Roman" w:hAnsi="Times New Roman" w:eastAsia="方正仿宋_GBK" w:cs="Times New Roman"/>
          <w:b w:val="0"/>
          <w:bCs/>
          <w:color w:val="auto"/>
          <w:kern w:val="2"/>
          <w:sz w:val="32"/>
          <w:szCs w:val="32"/>
          <w:lang w:val="en-US" w:eastAsia="zh-CN" w:bidi="ar-SA"/>
        </w:rPr>
        <w:t>100万元</w:t>
      </w:r>
      <w:r>
        <w:rPr>
          <w:rFonts w:hint="default" w:ascii="Times New Roman" w:hAnsi="Times New Roman" w:eastAsia="方正仿宋_GBK" w:cs="Times New Roman"/>
          <w:b w:val="0"/>
          <w:bCs/>
          <w:color w:val="auto"/>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方正楷体_GBK" w:hAnsi="方正楷体_GBK" w:eastAsia="方正楷体_GBK" w:cs="方正楷体_GBK"/>
          <w:b w:val="0"/>
          <w:bCs/>
          <w:color w:val="auto"/>
          <w:kern w:val="2"/>
          <w:sz w:val="32"/>
          <w:szCs w:val="32"/>
          <w:lang w:val="zh-CN" w:eastAsia="zh-CN" w:bidi="ar-SA"/>
        </w:rPr>
      </w:pPr>
      <w:r>
        <w:rPr>
          <w:rFonts w:hint="default" w:ascii="方正楷体_GBK" w:hAnsi="方正楷体_GBK" w:eastAsia="方正楷体_GBK" w:cs="方正楷体_GBK"/>
          <w:b w:val="0"/>
          <w:bCs/>
          <w:color w:val="auto"/>
          <w:kern w:val="2"/>
          <w:sz w:val="32"/>
          <w:szCs w:val="32"/>
          <w:lang w:val="zh-CN" w:eastAsia="zh-CN" w:bidi="ar-SA"/>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zh-CN" w:eastAsia="zh-CN" w:bidi="ar-SA"/>
        </w:rPr>
      </w:pPr>
      <w:r>
        <w:rPr>
          <w:rFonts w:hint="default" w:ascii="Times New Roman" w:hAnsi="Times New Roman" w:eastAsia="方正仿宋_GBK" w:cs="Times New Roman"/>
          <w:b w:val="0"/>
          <w:bCs/>
          <w:color w:val="auto"/>
          <w:kern w:val="2"/>
          <w:sz w:val="32"/>
          <w:szCs w:val="32"/>
          <w:lang w:val="zh-CN" w:eastAsia="zh-CN" w:bidi="ar-SA"/>
        </w:rPr>
        <w:t>该项目实施初期就建立了完善的财务管理制度，由局财务股进行会计核算及账务处理。项目严格执行财务管理制度、财务处理及时、会计核算规范。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zh-CN" w:eastAsia="zh-CN" w:bidi="ar-SA"/>
        </w:rPr>
      </w:pPr>
      <w:r>
        <w:rPr>
          <w:rFonts w:hint="default" w:ascii="方正楷体_GBK" w:hAnsi="方正楷体_GBK" w:eastAsia="方正楷体_GBK" w:cs="方正楷体_GBK"/>
          <w:b w:val="0"/>
          <w:bCs/>
          <w:color w:val="auto"/>
          <w:kern w:val="2"/>
          <w:sz w:val="32"/>
          <w:szCs w:val="32"/>
          <w:lang w:val="zh-CN" w:eastAsia="zh-CN" w:bidi="ar-SA"/>
        </w:rPr>
        <w:t>（三）项目组织实施情况。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en-US" w:eastAsia="zh-CN" w:bidi="ar-SA"/>
        </w:rPr>
      </w:pPr>
      <w:r>
        <w:rPr>
          <w:rFonts w:hint="default" w:ascii="Times New Roman" w:hAnsi="Times New Roman" w:eastAsia="方正仿宋_GBK" w:cs="Times New Roman"/>
          <w:b w:val="0"/>
          <w:bCs/>
          <w:color w:val="auto"/>
          <w:kern w:val="2"/>
          <w:sz w:val="32"/>
          <w:szCs w:val="32"/>
          <w:lang w:val="zh-CN" w:eastAsia="zh-CN" w:bidi="ar-SA"/>
        </w:rPr>
        <w:t>为加强项目及资金使用的质量、安全。区商务局领导统筹总揽，市运股及财务股负责，保障</w:t>
      </w:r>
      <w:r>
        <w:rPr>
          <w:rFonts w:hint="default" w:ascii="Times New Roman" w:hAnsi="Times New Roman" w:eastAsia="方正仿宋_GBK" w:cs="Times New Roman"/>
          <w:b w:val="0"/>
          <w:bCs/>
          <w:color w:val="auto"/>
          <w:kern w:val="2"/>
          <w:sz w:val="32"/>
          <w:szCs w:val="32"/>
          <w:lang w:val="en-US" w:eastAsia="zh-CN" w:bidi="ar-SA"/>
        </w:rPr>
        <w:t>奖励扶持资金起到效果。</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黑体" w:hAnsi="黑体" w:eastAsia="黑体" w:cs="黑体"/>
          <w:b w:val="0"/>
          <w:bCs/>
          <w:color w:val="auto"/>
          <w:kern w:val="2"/>
          <w:sz w:val="32"/>
          <w:szCs w:val="32"/>
          <w:lang w:val="zh-CN" w:eastAsia="zh-CN" w:bidi="ar-SA"/>
        </w:rPr>
      </w:pPr>
      <w:r>
        <w:rPr>
          <w:rFonts w:hint="default" w:ascii="黑体" w:hAnsi="黑体" w:eastAsia="黑体" w:cs="黑体"/>
          <w:b w:val="0"/>
          <w:bCs/>
          <w:color w:val="auto"/>
          <w:kern w:val="2"/>
          <w:sz w:val="32"/>
          <w:szCs w:val="32"/>
          <w:lang w:val="en-US" w:eastAsia="zh-CN" w:bidi="ar-SA"/>
        </w:rPr>
        <w:t>三、项目完成情况</w:t>
      </w:r>
      <w:r>
        <w:rPr>
          <w:rFonts w:hint="default" w:ascii="黑体" w:hAnsi="黑体" w:eastAsia="黑体" w:cs="黑体"/>
          <w:b w:val="0"/>
          <w:bCs/>
          <w:color w:val="auto"/>
          <w:kern w:val="2"/>
          <w:sz w:val="32"/>
          <w:szCs w:val="32"/>
          <w:lang w:val="zh-CN" w:eastAsia="zh-CN" w:bidi="ar-SA"/>
        </w:rPr>
        <w:tab/>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方正楷体_GBK" w:hAnsi="方正楷体_GBK" w:eastAsia="方正楷体_GBK" w:cs="方正楷体_GBK"/>
          <w:b w:val="0"/>
          <w:bCs/>
          <w:color w:val="auto"/>
          <w:kern w:val="2"/>
          <w:sz w:val="32"/>
          <w:szCs w:val="32"/>
          <w:lang w:val="zh-CN" w:eastAsia="zh-CN" w:bidi="ar-SA"/>
        </w:rPr>
      </w:pPr>
      <w:r>
        <w:rPr>
          <w:rFonts w:hint="default" w:ascii="方正楷体_GBK" w:hAnsi="方正楷体_GBK" w:eastAsia="方正楷体_GBK" w:cs="方正楷体_GBK"/>
          <w:b w:val="0"/>
          <w:bCs/>
          <w:color w:val="auto"/>
          <w:kern w:val="2"/>
          <w:sz w:val="32"/>
          <w:szCs w:val="32"/>
          <w:lang w:val="zh-CN" w:eastAsia="zh-CN" w:bidi="ar-SA"/>
        </w:rPr>
        <w:t>（一）项目完成任务量。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en-US" w:eastAsia="zh-CN" w:bidi="ar-SA"/>
        </w:rPr>
      </w:pPr>
      <w:r>
        <w:rPr>
          <w:rFonts w:hint="default" w:ascii="Times New Roman" w:hAnsi="Times New Roman" w:eastAsia="方正仿宋_GBK" w:cs="Times New Roman"/>
          <w:b w:val="0"/>
          <w:bCs/>
          <w:color w:val="auto"/>
          <w:kern w:val="2"/>
          <w:sz w:val="32"/>
          <w:szCs w:val="32"/>
          <w:lang w:val="en-US" w:eastAsia="zh-CN" w:bidi="ar-SA"/>
        </w:rPr>
        <w:t>支付2019年入库的限规企业和2020年入库的限上商贸企业。</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方正楷体_GBK" w:hAnsi="方正楷体_GBK" w:eastAsia="方正楷体_GBK" w:cs="方正楷体_GBK"/>
          <w:b w:val="0"/>
          <w:bCs/>
          <w:color w:val="auto"/>
          <w:kern w:val="2"/>
          <w:sz w:val="32"/>
          <w:szCs w:val="32"/>
          <w:lang w:val="zh-CN" w:eastAsia="zh-CN" w:bidi="ar-SA"/>
        </w:rPr>
      </w:pPr>
      <w:r>
        <w:rPr>
          <w:rFonts w:hint="default" w:ascii="方正楷体_GBK" w:hAnsi="方正楷体_GBK" w:eastAsia="方正楷体_GBK" w:cs="方正楷体_GBK"/>
          <w:b w:val="0"/>
          <w:bCs/>
          <w:color w:val="auto"/>
          <w:kern w:val="2"/>
          <w:sz w:val="32"/>
          <w:szCs w:val="32"/>
          <w:lang w:val="zh-CN" w:eastAsia="zh-CN" w:bidi="ar-SA"/>
        </w:rPr>
        <w:t>（二）项目完成质量。</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zh-CN" w:eastAsia="zh-CN" w:bidi="ar-SA"/>
        </w:rPr>
      </w:pPr>
      <w:r>
        <w:rPr>
          <w:rFonts w:hint="default" w:ascii="Times New Roman" w:hAnsi="Times New Roman" w:eastAsia="方正仿宋_GBK" w:cs="Times New Roman"/>
          <w:b w:val="0"/>
          <w:bCs/>
          <w:color w:val="auto"/>
          <w:kern w:val="2"/>
          <w:sz w:val="32"/>
          <w:szCs w:val="32"/>
          <w:lang w:val="zh-CN" w:eastAsia="zh-CN" w:bidi="ar-SA"/>
        </w:rPr>
        <w:t>根据区统计局反馈。</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方正楷体_GBK" w:hAnsi="方正楷体_GBK" w:eastAsia="方正楷体_GBK" w:cs="方正楷体_GBK"/>
          <w:b w:val="0"/>
          <w:bCs/>
          <w:color w:val="auto"/>
          <w:kern w:val="2"/>
          <w:sz w:val="32"/>
          <w:szCs w:val="32"/>
          <w:lang w:val="zh-CN" w:eastAsia="zh-CN" w:bidi="ar-SA"/>
        </w:rPr>
      </w:pPr>
      <w:r>
        <w:rPr>
          <w:rFonts w:hint="default" w:ascii="方正楷体_GBK" w:hAnsi="方正楷体_GBK" w:eastAsia="方正楷体_GBK" w:cs="方正楷体_GBK"/>
          <w:b w:val="0"/>
          <w:bCs/>
          <w:color w:val="auto"/>
          <w:kern w:val="2"/>
          <w:sz w:val="32"/>
          <w:szCs w:val="32"/>
          <w:lang w:val="zh-CN" w:eastAsia="zh-CN" w:bidi="ar-SA"/>
        </w:rPr>
        <w:t>（三）项目完成进度。</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zh-CN" w:eastAsia="zh-CN" w:bidi="ar-SA"/>
        </w:rPr>
      </w:pPr>
      <w:r>
        <w:rPr>
          <w:rFonts w:hint="default" w:ascii="Times New Roman" w:hAnsi="Times New Roman" w:eastAsia="方正仿宋_GBK" w:cs="Times New Roman"/>
          <w:b w:val="0"/>
          <w:bCs/>
          <w:color w:val="auto"/>
          <w:kern w:val="2"/>
          <w:sz w:val="32"/>
          <w:szCs w:val="32"/>
          <w:lang w:val="zh-CN" w:eastAsia="zh-CN" w:bidi="ar-SA"/>
        </w:rPr>
        <w:t>根据区统计局反馈。</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黑体" w:hAnsi="黑体" w:eastAsia="黑体" w:cs="黑体"/>
          <w:b w:val="0"/>
          <w:bCs/>
          <w:color w:val="auto"/>
          <w:kern w:val="2"/>
          <w:sz w:val="32"/>
          <w:szCs w:val="32"/>
          <w:lang w:val="en-US" w:eastAsia="zh-CN" w:bidi="ar-SA"/>
        </w:rPr>
      </w:pPr>
      <w:r>
        <w:rPr>
          <w:rFonts w:hint="default" w:ascii="黑体" w:hAnsi="黑体" w:eastAsia="黑体" w:cs="黑体"/>
          <w:b w:val="0"/>
          <w:bCs/>
          <w:color w:val="auto"/>
          <w:kern w:val="2"/>
          <w:sz w:val="32"/>
          <w:szCs w:val="32"/>
          <w:lang w:val="en-US" w:eastAsia="zh-CN" w:bidi="ar-SA"/>
        </w:rPr>
        <w:t>四、项目效益情况</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Times New Roman" w:hAnsi="Times New Roman" w:eastAsia="方正仿宋_GBK" w:cs="Times New Roman"/>
          <w:b w:val="0"/>
          <w:bCs/>
          <w:color w:val="auto"/>
          <w:kern w:val="2"/>
          <w:sz w:val="32"/>
          <w:szCs w:val="32"/>
          <w:lang w:val="en-US" w:eastAsia="zh-CN" w:bidi="ar-SA"/>
        </w:rPr>
      </w:pPr>
      <w:r>
        <w:rPr>
          <w:rFonts w:hint="default" w:ascii="Times New Roman" w:hAnsi="Times New Roman" w:eastAsia="方正仿宋_GBK" w:cs="Times New Roman"/>
          <w:b w:val="0"/>
          <w:bCs/>
          <w:color w:val="auto"/>
          <w:kern w:val="2"/>
          <w:sz w:val="32"/>
          <w:szCs w:val="32"/>
          <w:lang w:val="en-US" w:eastAsia="zh-CN" w:bidi="ar-SA"/>
        </w:rPr>
        <w:t>该资金扶持企业做大做强，促进商贸企业高质量发展。</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hint="default"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五、</w:t>
      </w:r>
      <w:r>
        <w:rPr>
          <w:rFonts w:hint="default" w:ascii="黑体" w:hAnsi="黑体" w:eastAsia="黑体" w:cs="黑体"/>
          <w:b w:val="0"/>
          <w:bCs/>
          <w:color w:val="auto"/>
          <w:kern w:val="2"/>
          <w:sz w:val="32"/>
          <w:szCs w:val="32"/>
          <w:lang w:val="en-US" w:eastAsia="zh-CN" w:bidi="ar-SA"/>
        </w:rPr>
        <w:t>问题及建议</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outlineLvl w:val="9"/>
        <w:rPr>
          <w:rFonts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无</w:t>
      </w:r>
    </w:p>
    <w:tbl>
      <w:tblPr>
        <w:tblStyle w:val="1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1"/>
        <w:gridCol w:w="704"/>
        <w:gridCol w:w="927"/>
        <w:gridCol w:w="2205"/>
        <w:gridCol w:w="1548"/>
        <w:gridCol w:w="1096"/>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auto"/>
                <w:sz w:val="31"/>
                <w:szCs w:val="31"/>
                <w:u w:val="none"/>
              </w:rPr>
            </w:pPr>
            <w:r>
              <w:rPr>
                <w:rFonts w:hint="eastAsia" w:ascii="方正小标宋简体" w:hAnsi="方正小标宋简体" w:eastAsia="方正小标宋简体" w:cs="方正小标宋简体"/>
                <w:b/>
                <w:bCs/>
                <w:i w:val="0"/>
                <w:iCs w:val="0"/>
                <w:color w:val="auto"/>
                <w:kern w:val="0"/>
                <w:sz w:val="31"/>
                <w:szCs w:val="31"/>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限规企业奖励扶持资金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预算单位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实施单位      及责任人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项目属性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□新增项目　　√延续项目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项目期限</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√一次性   □经常性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立项依据（文件）</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巴区委发〔2020〕9号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项目概述</w:t>
            </w:r>
          </w:p>
        </w:tc>
        <w:tc>
          <w:tcPr>
            <w:tcW w:w="0" w:type="auto"/>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0" w:type="auto"/>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0" w:type="auto"/>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总体目标</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一级    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指标值（含数字及文字描述）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权重（所有加起来不超过100%）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产出      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限上入库企业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23家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规上企业入库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效益     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经济效益</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社会效益</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满意度   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bl>
    <w:p>
      <w:pPr>
        <w:widowControl/>
        <w:ind w:firstLine="643" w:firstLineChars="200"/>
        <w:jc w:val="left"/>
        <w:rPr>
          <w:rFonts w:ascii="仿宋_GB2312" w:eastAsia="仿宋_GB2312"/>
          <w:b/>
          <w:color w:val="auto"/>
          <w:sz w:val="32"/>
          <w:szCs w:val="32"/>
          <w:highlight w:val="yellow"/>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jc w:val="center"/>
        <w:textAlignment w:val="auto"/>
        <w:outlineLvl w:val="9"/>
        <w:rPr>
          <w:rFonts w:hint="eastAsia" w:ascii="黑体" w:hAnsi="黑体" w:eastAsia="黑体" w:cs="Times New Roman"/>
          <w:b w:val="0"/>
          <w:bCs/>
          <w:color w:val="auto"/>
          <w:kern w:val="44"/>
          <w:sz w:val="44"/>
          <w:szCs w:val="44"/>
          <w:lang w:val="en-US" w:eastAsia="zh-CN" w:bidi="ar-SA"/>
        </w:rPr>
      </w:pPr>
      <w:bookmarkStart w:id="64" w:name="_Toc15396613"/>
      <w:bookmarkStart w:id="65" w:name="_Toc1537722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jc w:val="center"/>
        <w:textAlignment w:val="auto"/>
        <w:outlineLvl w:val="9"/>
        <w:rPr>
          <w:rFonts w:hint="eastAsia" w:ascii="黑体" w:hAnsi="黑体" w:eastAsia="黑体" w:cs="Times New Roman"/>
          <w:b w:val="0"/>
          <w:bCs/>
          <w:color w:val="auto"/>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jc w:val="center"/>
        <w:textAlignment w:val="auto"/>
        <w:outlineLvl w:val="9"/>
        <w:rPr>
          <w:rFonts w:hint="eastAsia" w:ascii="黑体" w:hAnsi="黑体" w:eastAsia="黑体" w:cs="Times New Roman"/>
          <w:b w:val="0"/>
          <w:bCs/>
          <w:color w:val="auto"/>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jc w:val="center"/>
        <w:textAlignment w:val="auto"/>
        <w:outlineLvl w:val="9"/>
        <w:rPr>
          <w:rFonts w:hint="eastAsia" w:ascii="黑体" w:hAnsi="黑体" w:eastAsia="黑体" w:cs="Times New Roman"/>
          <w:b w:val="0"/>
          <w:bCs/>
          <w:color w:val="auto"/>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jc w:val="center"/>
        <w:textAlignment w:val="auto"/>
        <w:outlineLvl w:val="9"/>
        <w:rPr>
          <w:rFonts w:hint="eastAsia" w:ascii="黑体" w:hAnsi="黑体" w:eastAsia="黑体" w:cs="Times New Roman"/>
          <w:b w:val="0"/>
          <w:bCs/>
          <w:color w:val="auto"/>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jc w:val="both"/>
        <w:textAlignment w:val="auto"/>
        <w:outlineLvl w:val="9"/>
        <w:rPr>
          <w:rFonts w:hint="eastAsia" w:ascii="黑体" w:hAnsi="黑体" w:eastAsia="黑体" w:cs="Times New Roman"/>
          <w:b w:val="0"/>
          <w:bCs/>
          <w:color w:val="auto"/>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jc w:val="center"/>
        <w:textAlignment w:val="auto"/>
        <w:outlineLvl w:val="0"/>
        <w:rPr>
          <w:rStyle w:val="30"/>
          <w:rFonts w:hint="eastAsia" w:ascii="方正小标宋_GBK" w:hAnsi="方正小标宋_GBK" w:eastAsia="方正小标宋_GBK" w:cs="方正小标宋_GBK"/>
          <w:b w:val="0"/>
          <w:color w:val="auto"/>
          <w:highlight w:val="none"/>
        </w:rPr>
      </w:pPr>
      <w:bookmarkStart w:id="66" w:name="_Toc29944"/>
      <w:r>
        <w:rPr>
          <w:rFonts w:hint="eastAsia" w:ascii="方正小标宋_GBK" w:hAnsi="方正小标宋_GBK" w:eastAsia="方正小标宋_GBK" w:cs="方正小标宋_GBK"/>
          <w:b w:val="0"/>
          <w:bCs/>
          <w:color w:val="auto"/>
          <w:kern w:val="44"/>
          <w:sz w:val="44"/>
          <w:szCs w:val="44"/>
          <w:lang w:val="en-US" w:eastAsia="zh-CN" w:bidi="ar-SA"/>
        </w:rPr>
        <w:t xml:space="preserve">第三部分  </w:t>
      </w:r>
      <w:r>
        <w:rPr>
          <w:rFonts w:hint="eastAsia" w:ascii="方正小标宋_GBK" w:hAnsi="方正小标宋_GBK" w:eastAsia="方正小标宋_GBK" w:cs="方正小标宋_GBK"/>
          <w:color w:val="auto"/>
          <w:sz w:val="44"/>
          <w:szCs w:val="44"/>
          <w:highlight w:val="none"/>
        </w:rPr>
        <w:t>名</w:t>
      </w:r>
      <w:r>
        <w:rPr>
          <w:rStyle w:val="30"/>
          <w:rFonts w:hint="eastAsia" w:ascii="方正小标宋_GBK" w:hAnsi="方正小标宋_GBK" w:eastAsia="方正小标宋_GBK" w:cs="方正小标宋_GBK"/>
          <w:b w:val="0"/>
          <w:color w:val="auto"/>
          <w:highlight w:val="none"/>
        </w:rPr>
        <w:t>词解释</w:t>
      </w:r>
      <w:bookmarkEnd w:id="64"/>
      <w:bookmarkEnd w:id="65"/>
      <w:bookmarkEnd w:id="66"/>
    </w:p>
    <w:p>
      <w:pPr>
        <w:spacing w:line="600" w:lineRule="exact"/>
        <w:jc w:val="left"/>
        <w:rPr>
          <w:rFonts w:ascii="宋体"/>
          <w:b/>
          <w:color w:val="auto"/>
          <w:sz w:val="44"/>
          <w:szCs w:val="44"/>
          <w:highlight w:val="none"/>
        </w:rPr>
      </w:pP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1.财政拨款收入：指单位从同级财政部门取得的财政预算资金。</w:t>
      </w: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2.事业收入：指事业单位开展专业业务活动及辅助活动取得的收入。</w:t>
      </w: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3.经营收入：指事业单位在专业业务活动及其辅助活动之外开展非独立核算经营活动取得的收入。</w:t>
      </w: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4.其他收入：指单位取得的除上述收入以外的各项收入。</w:t>
      </w: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w:t>
      </w:r>
      <w:r>
        <w:rPr>
          <w:rFonts w:hint="default" w:ascii="Times New Roman" w:hAnsi="Times New Roman" w:eastAsia="方正仿宋_GBK" w:cs="Times New Roman"/>
          <w:color w:val="auto"/>
          <w:sz w:val="32"/>
          <w:szCs w:val="32"/>
          <w:highlight w:val="none"/>
          <w:lang w:eastAsia="zh-CN"/>
        </w:rPr>
        <w:t>使用非财政拨款结余</w:t>
      </w:r>
      <w:r>
        <w:rPr>
          <w:rFonts w:hint="default" w:ascii="Times New Roman" w:hAnsi="Times New Roman" w:eastAsia="方正仿宋_GBK" w:cs="Times New Roman"/>
          <w:color w:val="auto"/>
          <w:sz w:val="32"/>
          <w:szCs w:val="32"/>
          <w:highlight w:val="none"/>
        </w:rPr>
        <w:t>：指事业单位</w:t>
      </w:r>
      <w:r>
        <w:rPr>
          <w:rFonts w:hint="default" w:ascii="Times New Roman" w:hAnsi="Times New Roman" w:eastAsia="方正仿宋_GBK" w:cs="Times New Roman"/>
          <w:color w:val="auto"/>
          <w:sz w:val="32"/>
          <w:szCs w:val="32"/>
          <w:highlight w:val="none"/>
          <w:lang w:eastAsia="zh-CN"/>
        </w:rPr>
        <w:t>使用以前年度积累的非财政拨款结余弥补当年收支差额的金额。</w:t>
      </w:r>
      <w:r>
        <w:rPr>
          <w:rFonts w:hint="default" w:ascii="Times New Roman" w:hAnsi="Times New Roman" w:eastAsia="方正仿宋_GBK" w:cs="Times New Roman"/>
          <w:color w:val="auto"/>
          <w:sz w:val="32"/>
          <w:szCs w:val="32"/>
          <w:highlight w:val="none"/>
        </w:rPr>
        <w:t xml:space="preserve"> </w:t>
      </w: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 xml:space="preserve">6.年初结转和结余：指以前年度尚未完成、结转到本年按有关规定继续使用的资金。 </w:t>
      </w: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7.结余分配：指事业单位按照会计制度规定</w:t>
      </w:r>
      <w:r>
        <w:rPr>
          <w:rFonts w:hint="default" w:ascii="Times New Roman" w:hAnsi="Times New Roman" w:eastAsia="方正仿宋_GBK" w:cs="Times New Roman"/>
          <w:color w:val="auto"/>
          <w:sz w:val="32"/>
          <w:szCs w:val="32"/>
          <w:highlight w:val="none"/>
          <w:lang w:eastAsia="zh-CN"/>
        </w:rPr>
        <w:t>缴纳的所得税、提取的专用结余以及转入非财政拨款结余的金额</w:t>
      </w:r>
      <w:r>
        <w:rPr>
          <w:rFonts w:hint="default" w:ascii="Times New Roman" w:hAnsi="Times New Roman" w:eastAsia="方正仿宋_GBK" w:cs="Times New Roman"/>
          <w:color w:val="auto"/>
          <w:sz w:val="32"/>
          <w:szCs w:val="32"/>
          <w:highlight w:val="none"/>
        </w:rPr>
        <w:t>等。</w:t>
      </w: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8</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9.一般公共服务（类）</w:t>
      </w:r>
      <w:r>
        <w:rPr>
          <w:rFonts w:hint="default" w:ascii="Times New Roman" w:hAnsi="Times New Roman" w:eastAsia="方正仿宋_GBK" w:cs="Times New Roman"/>
          <w:color w:val="auto"/>
          <w:sz w:val="32"/>
          <w:szCs w:val="32"/>
          <w:highlight w:val="none"/>
          <w:lang w:eastAsia="zh-CN"/>
        </w:rPr>
        <w:t>商贸事务</w:t>
      </w:r>
      <w:r>
        <w:rPr>
          <w:rFonts w:hint="default" w:ascii="Times New Roman" w:hAnsi="Times New Roman" w:eastAsia="方正仿宋_GBK" w:cs="Times New Roman"/>
          <w:color w:val="auto"/>
          <w:sz w:val="32"/>
          <w:szCs w:val="32"/>
          <w:highlight w:val="none"/>
        </w:rPr>
        <w:t>（款）</w:t>
      </w:r>
      <w:r>
        <w:rPr>
          <w:rFonts w:hint="default" w:ascii="Times New Roman" w:hAnsi="Times New Roman" w:eastAsia="方正仿宋_GBK" w:cs="Times New Roman"/>
          <w:color w:val="auto"/>
          <w:sz w:val="32"/>
          <w:szCs w:val="32"/>
          <w:highlight w:val="none"/>
          <w:lang w:eastAsia="zh-CN"/>
        </w:rPr>
        <w:t>行政运行</w:t>
      </w:r>
      <w:r>
        <w:rPr>
          <w:rFonts w:hint="default" w:ascii="Times New Roman" w:hAnsi="Times New Roman" w:eastAsia="方正仿宋_GBK" w:cs="Times New Roman"/>
          <w:color w:val="auto"/>
          <w:sz w:val="32"/>
          <w:szCs w:val="32"/>
          <w:highlight w:val="none"/>
        </w:rPr>
        <w:t>（项）：</w:t>
      </w:r>
      <w:r>
        <w:rPr>
          <w:rFonts w:hint="default" w:ascii="Times New Roman" w:hAnsi="Times New Roman" w:eastAsia="方正仿宋_GBK" w:cs="Times New Roman"/>
          <w:color w:val="auto"/>
          <w:sz w:val="32"/>
          <w:szCs w:val="32"/>
        </w:rPr>
        <w:t>指反映行政单位（包括实行公务员管理的事业单位）的基本支出</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highlight w:val="none"/>
        </w:rPr>
        <w:t>10.</w:t>
      </w:r>
      <w:r>
        <w:rPr>
          <w:rFonts w:hint="default" w:ascii="Times New Roman" w:hAnsi="Times New Roman" w:eastAsia="方正仿宋_GBK" w:cs="Times New Roman"/>
          <w:color w:val="auto"/>
          <w:sz w:val="32"/>
          <w:szCs w:val="32"/>
        </w:rPr>
        <w:t>一般公共服务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商贸事务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一般行政管理事务（项）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指:反映单位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包括实行公务员管理的事业单位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未单独设置其他项级科目的其他项目支出。</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highlight w:val="none"/>
          <w:lang w:val="en-US" w:eastAsia="zh-CN"/>
        </w:rPr>
        <w:t>11</w:t>
      </w:r>
      <w:r>
        <w:rPr>
          <w:rFonts w:hint="default" w:ascii="Times New Roman" w:hAnsi="Times New Roman" w:eastAsia="方正仿宋_GBK" w:cs="Times New Roman"/>
          <w:color w:val="auto"/>
          <w:sz w:val="32"/>
          <w:szCs w:val="32"/>
        </w:rPr>
        <w:t>.一般公共服务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商贸事务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国内贸易管理（项）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反映我局国内贸易管理方面的支出。</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.一般公共服务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商贸事务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其他商贸事务支出（项）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反映其他用于商贸事务方面的支出。</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.社会保障和就业</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行政事业单位养老支出</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机关事业单位基本养老保险缴费支出（项）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指反映机关事业单位实施养老保险制度由单位缴纳的基本养老保险支出。</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.卫生健康</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行政事业单位医疗</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行政单位医疗（项）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.农林水支出</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扶贫</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其他扶贫支出（项）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反映我局其他用于扶贫方面的支出，</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.商业服务业等支出</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商业流通事务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一般行政管理事务（项）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反映单位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包括实行公务员管理的事业单位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未单独设置其他项级科目的其他项目支出。</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.商业服务业等支出</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商业流通事务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其他商业流通事务支出（项）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指我局用于其他商贸流通事务的支出。</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.商业服务业等支出</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其他商业服务业等支出</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其他商业服务业等支出（项）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指我局其他用于涉外发展方面的支出.</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19</w:t>
      </w:r>
      <w:r>
        <w:rPr>
          <w:rFonts w:hint="default" w:ascii="Times New Roman" w:hAnsi="Times New Roman" w:eastAsia="方正仿宋_GBK" w:cs="Times New Roman"/>
          <w:color w:val="auto"/>
          <w:sz w:val="32"/>
          <w:szCs w:val="32"/>
        </w:rPr>
        <w:t>.住房保障支</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住房改革支出</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住房公积金（项）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b/>
          <w:color w:val="auto"/>
          <w:sz w:val="32"/>
          <w:szCs w:val="32"/>
          <w:highlight w:val="none"/>
        </w:rPr>
      </w:pPr>
      <w:r>
        <w:rPr>
          <w:rFonts w:hint="default" w:ascii="Times New Roman" w:hAnsi="Times New Roman" w:eastAsia="方正仿宋_GBK" w:cs="Times New Roman"/>
          <w:b/>
          <w:color w:val="auto"/>
          <w:sz w:val="32"/>
          <w:szCs w:val="32"/>
          <w:highlight w:val="none"/>
        </w:rPr>
        <w:t>（解释本部门决算报表中</w:t>
      </w:r>
      <w:r>
        <w:rPr>
          <w:rFonts w:hint="default" w:ascii="Times New Roman" w:hAnsi="Times New Roman" w:eastAsia="方正仿宋_GBK" w:cs="Times New Roman"/>
          <w:b/>
          <w:color w:val="auto"/>
          <w:sz w:val="32"/>
          <w:szCs w:val="32"/>
          <w:highlight w:val="none"/>
          <w:lang w:eastAsia="zh-CN"/>
        </w:rPr>
        <w:t>涉及的</w:t>
      </w:r>
      <w:r>
        <w:rPr>
          <w:rFonts w:hint="default" w:ascii="Times New Roman" w:hAnsi="Times New Roman" w:eastAsia="方正仿宋_GBK" w:cs="Times New Roman"/>
          <w:b/>
          <w:color w:val="auto"/>
          <w:sz w:val="32"/>
          <w:szCs w:val="32"/>
          <w:highlight w:val="none"/>
        </w:rPr>
        <w:t>全部功能分类科目至项级，</w:t>
      </w:r>
      <w:r>
        <w:rPr>
          <w:rFonts w:hint="default" w:ascii="Times New Roman" w:hAnsi="Times New Roman" w:eastAsia="方正仿宋_GBK" w:cs="Times New Roman"/>
          <w:b/>
          <w:color w:val="auto"/>
          <w:sz w:val="32"/>
          <w:szCs w:val="32"/>
          <w:highlight w:val="none"/>
          <w:lang w:eastAsia="zh-CN"/>
        </w:rPr>
        <w:t>不涉及的科目请自行删除。</w:t>
      </w:r>
      <w:r>
        <w:rPr>
          <w:rFonts w:hint="default" w:ascii="Times New Roman" w:hAnsi="Times New Roman" w:eastAsia="方正仿宋_GBK" w:cs="Times New Roman"/>
          <w:b/>
          <w:color w:val="auto"/>
          <w:sz w:val="32"/>
          <w:szCs w:val="32"/>
          <w:highlight w:val="none"/>
        </w:rPr>
        <w:t>请参照《20</w:t>
      </w:r>
      <w:r>
        <w:rPr>
          <w:rFonts w:hint="default" w:ascii="Times New Roman" w:hAnsi="Times New Roman" w:eastAsia="方正仿宋_GBK" w:cs="Times New Roman"/>
          <w:b/>
          <w:color w:val="auto"/>
          <w:sz w:val="32"/>
          <w:szCs w:val="32"/>
          <w:highlight w:val="none"/>
          <w:lang w:val="en-US" w:eastAsia="zh-CN"/>
        </w:rPr>
        <w:t>22</w:t>
      </w:r>
      <w:r>
        <w:rPr>
          <w:rFonts w:hint="default" w:ascii="Times New Roman" w:hAnsi="Times New Roman" w:eastAsia="方正仿宋_GBK" w:cs="Times New Roman"/>
          <w:b/>
          <w:color w:val="auto"/>
          <w:sz w:val="32"/>
          <w:szCs w:val="32"/>
          <w:highlight w:val="none"/>
        </w:rPr>
        <w:t>年政府收支分类科目》增减内容。）</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0</w:t>
      </w:r>
      <w:r>
        <w:rPr>
          <w:rFonts w:hint="default" w:ascii="Times New Roman" w:hAnsi="Times New Roman" w:eastAsia="方正仿宋_GBK" w:cs="Times New Roman"/>
          <w:color w:val="auto"/>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 xml:space="preserve">.项目支出：指在基本支出之外为完成特定行政任务和事业发展目标所发生的支出。 </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.经营支出：指事业单位在专业业务活动及其辅助活动之外开展非独立核算经营活动发生的支出。</w:t>
      </w: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23</w:t>
      </w:r>
      <w:r>
        <w:rPr>
          <w:rFonts w:hint="default" w:ascii="Times New Roman" w:hAnsi="Times New Roman" w:eastAsia="方正仿宋_GBK" w:cs="Times New Roman"/>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24</w:t>
      </w:r>
      <w:r>
        <w:rPr>
          <w:rFonts w:hint="default" w:ascii="Times New Roman" w:hAnsi="Times New Roman" w:eastAsia="方正仿宋_GBK"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40" w:lineRule="exact"/>
        <w:ind w:firstLine="640" w:firstLineChars="200"/>
        <w:jc w:val="both"/>
        <w:textAlignment w:val="auto"/>
        <w:rPr>
          <w:rFonts w:ascii="仿宋" w:hAnsi="仿宋" w:eastAsia="仿宋"/>
          <w:b/>
          <w:color w:val="auto"/>
          <w:sz w:val="32"/>
          <w:szCs w:val="32"/>
          <w:highlight w:val="none"/>
        </w:rPr>
      </w:pPr>
      <w:r>
        <w:rPr>
          <w:rFonts w:hint="default" w:ascii="Times New Roman" w:hAnsi="Times New Roman" w:eastAsia="方正仿宋_GBK" w:cs="Times New Roman"/>
          <w:b/>
          <w:color w:val="auto"/>
          <w:sz w:val="32"/>
          <w:szCs w:val="32"/>
          <w:highlight w:val="none"/>
        </w:rPr>
        <w:t>（名词解释部分请根据各部门实际列支情况罗列，并根据本部门职责职能增减名词解释内容。）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Style w:val="30"/>
          <w:rFonts w:hint="eastAsia" w:ascii="方正小标宋_GBK" w:hAnsi="方正小标宋_GBK" w:eastAsia="方正小标宋_GBK" w:cs="方正小标宋_GBK"/>
          <w:b w:val="0"/>
          <w:color w:val="auto"/>
          <w:highlight w:val="none"/>
        </w:rPr>
      </w:pPr>
      <w:bookmarkStart w:id="67" w:name="_Toc15377226"/>
      <w:r>
        <w:rPr>
          <w:rFonts w:ascii="宋体"/>
          <w:b/>
          <w:color w:val="auto"/>
          <w:sz w:val="44"/>
          <w:szCs w:val="44"/>
          <w:highlight w:val="none"/>
        </w:rPr>
        <w:br w:type="page"/>
      </w:r>
      <w:bookmarkStart w:id="68" w:name="_Toc15396614"/>
      <w:bookmarkStart w:id="69" w:name="_Toc14950"/>
      <w:r>
        <w:rPr>
          <w:rFonts w:hint="eastAsia" w:ascii="方正小标宋_GBK" w:hAnsi="方正小标宋_GBK" w:eastAsia="方正小标宋_GBK" w:cs="方正小标宋_GBK"/>
          <w:color w:val="auto"/>
          <w:sz w:val="44"/>
          <w:szCs w:val="44"/>
          <w:highlight w:val="none"/>
        </w:rPr>
        <w:t>第</w:t>
      </w:r>
      <w:r>
        <w:rPr>
          <w:rStyle w:val="30"/>
          <w:rFonts w:hint="eastAsia" w:ascii="方正小标宋_GBK" w:hAnsi="方正小标宋_GBK" w:eastAsia="方正小标宋_GBK" w:cs="方正小标宋_GBK"/>
          <w:b w:val="0"/>
          <w:color w:val="auto"/>
          <w:highlight w:val="none"/>
        </w:rPr>
        <w:t xml:space="preserve">四部分 </w:t>
      </w:r>
      <w:r>
        <w:rPr>
          <w:rStyle w:val="30"/>
          <w:rFonts w:hint="eastAsia" w:ascii="方正小标宋_GBK" w:hAnsi="方正小标宋_GBK" w:eastAsia="方正小标宋_GBK" w:cs="方正小标宋_GBK"/>
          <w:b w:val="0"/>
          <w:color w:val="auto"/>
          <w:highlight w:val="none"/>
          <w:lang w:val="en-US" w:eastAsia="zh-CN"/>
        </w:rPr>
        <w:t xml:space="preserve"> </w:t>
      </w:r>
      <w:r>
        <w:rPr>
          <w:rStyle w:val="30"/>
          <w:rFonts w:hint="eastAsia" w:ascii="方正小标宋_GBK" w:hAnsi="方正小标宋_GBK" w:eastAsia="方正小标宋_GBK" w:cs="方正小标宋_GBK"/>
          <w:b w:val="0"/>
          <w:color w:val="auto"/>
          <w:highlight w:val="none"/>
        </w:rPr>
        <w:t>附件</w:t>
      </w:r>
      <w:bookmarkEnd w:id="68"/>
      <w:bookmarkEnd w:id="69"/>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Style w:val="30"/>
          <w:rFonts w:hint="eastAsia" w:ascii="方正小标宋_GBK" w:hAnsi="方正小标宋_GBK" w:eastAsia="方正小标宋_GBK" w:cs="方正小标宋_GBK"/>
          <w:b w:val="0"/>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Style w:val="30"/>
          <w:rFonts w:hint="eastAsia" w:ascii="黑体" w:hAnsi="黑体" w:eastAsia="黑体" w:cs="黑体"/>
          <w:b w:val="0"/>
          <w:color w:val="auto"/>
          <w:sz w:val="32"/>
          <w:szCs w:val="32"/>
          <w:highlight w:val="none"/>
          <w:lang w:val="en-US" w:eastAsia="zh-CN"/>
        </w:rPr>
      </w:pPr>
      <w:bookmarkStart w:id="70" w:name="_Toc3358"/>
      <w:r>
        <w:rPr>
          <w:rStyle w:val="30"/>
          <w:rFonts w:hint="eastAsia" w:ascii="黑体" w:hAnsi="黑体" w:eastAsia="黑体" w:cs="黑体"/>
          <w:b w:val="0"/>
          <w:color w:val="auto"/>
          <w:sz w:val="32"/>
          <w:szCs w:val="32"/>
          <w:highlight w:val="none"/>
          <w:lang w:val="en-US" w:eastAsia="zh-CN"/>
        </w:rPr>
        <w:t>附件1</w:t>
      </w:r>
    </w:p>
    <w:bookmarkEnd w:id="70"/>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eastAsia="方正小标宋简体"/>
          <w:color w:val="auto"/>
          <w:spacing w:val="-20"/>
          <w:sz w:val="44"/>
          <w:szCs w:val="44"/>
          <w:shd w:val="clear" w:color="auto" w:fill="FFFFFF"/>
        </w:rPr>
      </w:pPr>
      <w:r>
        <w:rPr>
          <w:rFonts w:hint="eastAsia" w:eastAsia="方正小标宋简体"/>
          <w:color w:val="auto"/>
          <w:spacing w:val="-20"/>
          <w:sz w:val="44"/>
          <w:szCs w:val="44"/>
          <w:shd w:val="clear" w:color="auto" w:fill="FFFFFF"/>
          <w:lang w:val="en-US" w:eastAsia="zh-CN"/>
        </w:rPr>
        <w:t>2022年</w:t>
      </w:r>
      <w:r>
        <w:rPr>
          <w:rFonts w:eastAsia="方正小标宋简体"/>
          <w:color w:val="auto"/>
          <w:spacing w:val="-20"/>
          <w:sz w:val="44"/>
          <w:szCs w:val="44"/>
          <w:shd w:val="clear" w:color="auto" w:fill="FFFFFF"/>
        </w:rPr>
        <w:t>巴州区商务局整体支出绩效评价报告</w:t>
      </w:r>
    </w:p>
    <w:p>
      <w:pPr>
        <w:spacing w:line="560" w:lineRule="exact"/>
        <w:ind w:firstLine="525" w:firstLineChars="250"/>
        <w:rPr>
          <w:rFonts w:eastAsia="黑体"/>
          <w:color w:val="auto"/>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outlineLvl w:val="9"/>
        <w:rPr>
          <w:rFonts w:hint="eastAsia" w:ascii="仿宋_GB2312" w:hAnsi="Calibri" w:eastAsia="仿宋_GB2312" w:cs="仿宋"/>
          <w:b/>
          <w:bCs/>
          <w:color w:val="auto"/>
          <w:kern w:val="0"/>
          <w:sz w:val="32"/>
          <w:szCs w:val="32"/>
          <w:highlight w:val="none"/>
          <w:lang w:val="zh-CN" w:eastAsia="zh-CN" w:bidi="ar-SA"/>
        </w:rPr>
      </w:pPr>
      <w:r>
        <w:rPr>
          <w:rFonts w:hint="eastAsia" w:ascii="黑体" w:hAnsi="黑体" w:eastAsia="黑体" w:cs="黑体"/>
          <w:b w:val="0"/>
          <w:bCs w:val="0"/>
          <w:color w:val="auto"/>
          <w:kern w:val="0"/>
          <w:sz w:val="32"/>
          <w:szCs w:val="32"/>
          <w:highlight w:val="none"/>
          <w:lang w:val="en-US" w:eastAsia="zh-CN" w:bidi="ar-SA"/>
        </w:rPr>
        <w:t>一、</w:t>
      </w:r>
      <w:r>
        <w:rPr>
          <w:rFonts w:hint="eastAsia" w:ascii="黑体" w:hAnsi="黑体" w:eastAsia="黑体" w:cs="黑体"/>
          <w:b w:val="0"/>
          <w:bCs w:val="0"/>
          <w:color w:val="auto"/>
          <w:kern w:val="0"/>
          <w:sz w:val="32"/>
          <w:szCs w:val="32"/>
          <w:highlight w:val="none"/>
          <w:lang w:val="zh-CN" w:eastAsia="zh-CN" w:bidi="ar-SA"/>
        </w:rPr>
        <w:t>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zh-CN" w:eastAsia="zh-CN" w:bidi="ar-SA"/>
        </w:rPr>
      </w:pPr>
      <w:r>
        <w:rPr>
          <w:rFonts w:hint="eastAsia" w:ascii="方正楷体_GBK" w:hAnsi="方正楷体_GBK" w:eastAsia="方正楷体_GBK" w:cs="方正楷体_GBK"/>
          <w:color w:val="auto"/>
          <w:kern w:val="0"/>
          <w:sz w:val="32"/>
          <w:szCs w:val="32"/>
          <w:highlight w:val="none"/>
          <w:lang w:val="zh-CN" w:eastAsia="zh-CN" w:bidi="ar-SA"/>
        </w:rPr>
        <w:t>（一）机构组成</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en-US" w:eastAsia="zh-CN" w:bidi="ar-SA"/>
        </w:rPr>
        <w:t>巴中市巴州区商务局是2007年12月由巴中市巴州区商业贸易管理办公室、巴中市巴州区物资行业管理办公室、巴中市巴州区外贸总公司组建，下设区商务执法大队（参公）和区商务发展事务中心（直属事业），内设有办公室、财务股、外经外贸股、市场建设股、市场运行股、服务业发展股六个职能股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w:t>
      </w:r>
      <w:r>
        <w:rPr>
          <w:rFonts w:hint="default" w:ascii="方正楷体_GBK" w:hAnsi="方正楷体_GBK" w:eastAsia="方正楷体_GBK" w:cs="方正楷体_GBK"/>
          <w:color w:val="auto"/>
          <w:kern w:val="0"/>
          <w:sz w:val="32"/>
          <w:szCs w:val="32"/>
          <w:highlight w:val="none"/>
          <w:lang w:val="en-US" w:eastAsia="zh-CN" w:bidi="ar-SA"/>
        </w:rPr>
        <w:t>二</w:t>
      </w:r>
      <w:r>
        <w:rPr>
          <w:rFonts w:hint="default" w:ascii="方正楷体_GBK" w:hAnsi="方正楷体_GBK" w:eastAsia="方正楷体_GBK" w:cs="方正楷体_GBK"/>
          <w:color w:val="auto"/>
          <w:kern w:val="0"/>
          <w:sz w:val="32"/>
          <w:szCs w:val="32"/>
          <w:highlight w:val="none"/>
          <w:lang w:val="zh-CN" w:eastAsia="zh-CN" w:bidi="ar-SA"/>
        </w:rPr>
        <w:t>）机构职能</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1.贯彻落实国家、省、市有关商贸流通服务业、对外贸易的法律、法规，拟订推动全区商贸流通服务业、对外贸易发展政策措施，制订全区商务发展规划并组织实施。</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2.承担全区服务业发展组织协调职责，贯彻落实国家、省、市、区促进服务业发展的方针政策，拟定服务业发展总体规划，掌握服务业务发展动态和运行态势，搞好服务业发展信息收集和统计分析，及时提出意见和建议；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3.研究提出引导国内资金投向市场体系建设的政策，编制大宗产品批发市场规划，指导城市商业网点规划和商业体系建设工作，推进农村市场体系建设，组织实施农村现代流通网络工程，促进城乡市场一体化发展。</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4.承担牵头协调全区整顿和规范市场经济秩序工作的职责，拟订规范市场运行和流通秩序的政策，推动商务领域信用建设，指导商业信用销售，建立市场诚信公共服务平台，按有关规定对特殊流通行业进行监督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5.负责监测分析市场运行、商品供求状况，调查分析商品价格信息，进行预测预警和信息引导。</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6.拟订促进外贸增长的政策措施，指导全区对外贸易企业执行国家进出口商品、加工贸易管理办法和进出口管理商品、技术目录，组织实施重要工业品、原材料和重要农产品进出口总量计划，指导贸易促进活动和外贸促进体系建设。依法监督技术引进、设备进口、国家限制出口技术的工作，推进进出口贸易标准化工作，牵头负责发展服务贸易的相关工作，推动服务外包平台建设。</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7.负责全区对外经济合作工作，拟订并执行对外经济合作政策，依法管理和监督对外承包工程、对外劳务合作和出境就业等，承担境外派驻机构和境外投资管理的责任，牵头负责外派劳务和赴境外就业人员的权益保护工作，管理多双边对我区的无偿援助和捐赠款项等发展合作业务。</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8.管理我区赴境外举办的各种商品交易和经贸推介活动，指导监督管理以巴中市巴州区名义在境内举办的各种商贸交易会、展览会、展销会等活动。</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9.规划全区商务系统电子政务、公共商务信息服务体系建设并组织实施，推动电子商务发展。</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10.负责职责范围内的安全生产、职业健康、生态环境保护、审批服务便民化等工作。</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11.完成区委、区政府交办的其他事项。</w:t>
      </w:r>
    </w:p>
    <w:p>
      <w:pPr>
        <w:pStyle w:val="5"/>
        <w:keepNext w:val="0"/>
        <w:keepLines w:val="0"/>
        <w:pageBreakBefore w:val="0"/>
        <w:kinsoku/>
        <w:wordWrap/>
        <w:overflowPunct/>
        <w:topLinePunct w:val="0"/>
        <w:autoSpaceDE/>
        <w:autoSpaceDN/>
        <w:bidi w:val="0"/>
        <w:spacing w:beforeLines="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12.有关职责分工。</w:t>
      </w:r>
    </w:p>
    <w:p>
      <w:pPr>
        <w:pStyle w:val="5"/>
        <w:keepNext w:val="0"/>
        <w:keepLines w:val="0"/>
        <w:pageBreakBefore w:val="0"/>
        <w:kinsoku/>
        <w:wordWrap/>
        <w:overflowPunct/>
        <w:topLinePunct w:val="0"/>
        <w:autoSpaceDE/>
        <w:autoSpaceDN/>
        <w:bidi w:val="0"/>
        <w:spacing w:beforeLines="0" w:beforeAutospacing="0" w:after="0" w:afterAutospacing="0"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并购安全审查。区发改局和区商务局、区投资促进局按照各自职责，分别配合市发改委和市商务局、市投资促进局开展外国投资者并购区内企业安全审查的相关工作</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zh-CN" w:eastAsia="zh-CN" w:bidi="ar-SA"/>
        </w:rPr>
      </w:pPr>
      <w:r>
        <w:rPr>
          <w:rFonts w:hint="eastAsia" w:ascii="方正楷体_GBK" w:hAnsi="方正楷体_GBK" w:eastAsia="方正楷体_GBK" w:cs="方正楷体_GBK"/>
          <w:color w:val="auto"/>
          <w:kern w:val="0"/>
          <w:sz w:val="32"/>
          <w:szCs w:val="32"/>
          <w:highlight w:val="none"/>
          <w:lang w:val="zh-CN" w:eastAsia="zh-CN" w:bidi="ar-SA"/>
        </w:rPr>
        <w:t>（</w:t>
      </w:r>
      <w:r>
        <w:rPr>
          <w:rFonts w:hint="eastAsia" w:ascii="方正楷体_GBK" w:hAnsi="方正楷体_GBK" w:eastAsia="方正楷体_GBK" w:cs="方正楷体_GBK"/>
          <w:color w:val="auto"/>
          <w:kern w:val="0"/>
          <w:sz w:val="32"/>
          <w:szCs w:val="32"/>
          <w:highlight w:val="none"/>
          <w:lang w:val="en-US" w:eastAsia="zh-CN" w:bidi="ar-SA"/>
        </w:rPr>
        <w:t>三</w:t>
      </w:r>
      <w:r>
        <w:rPr>
          <w:rFonts w:hint="eastAsia" w:ascii="方正楷体_GBK" w:hAnsi="方正楷体_GBK" w:eastAsia="方正楷体_GBK" w:cs="方正楷体_GBK"/>
          <w:color w:val="auto"/>
          <w:kern w:val="0"/>
          <w:sz w:val="32"/>
          <w:szCs w:val="32"/>
          <w:highlight w:val="none"/>
          <w:lang w:val="zh-CN" w:eastAsia="zh-CN" w:bidi="ar-SA"/>
        </w:rPr>
        <w:t>）</w:t>
      </w:r>
      <w:r>
        <w:rPr>
          <w:rFonts w:hint="default" w:ascii="方正楷体_GBK" w:hAnsi="方正楷体_GBK" w:eastAsia="方正楷体_GBK" w:cs="方正楷体_GBK"/>
          <w:color w:val="auto"/>
          <w:kern w:val="0"/>
          <w:sz w:val="32"/>
          <w:szCs w:val="32"/>
          <w:highlight w:val="none"/>
          <w:lang w:val="zh-CN" w:eastAsia="zh-CN" w:bidi="ar-SA"/>
        </w:rPr>
        <w:t>人员概况</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2022年在职人员23人，其中行政人员9人，参公人员5人，事业人员6人,机关工勤1人,辅助性岗位2人。</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eastAsia" w:ascii="黑体" w:hAnsi="黑体" w:eastAsia="黑体" w:cs="黑体"/>
          <w:b w:val="0"/>
          <w:bCs w:val="0"/>
          <w:color w:val="auto"/>
          <w:kern w:val="0"/>
          <w:sz w:val="32"/>
          <w:szCs w:val="32"/>
          <w:highlight w:val="none"/>
          <w:shd w:val="clear" w:color="auto" w:fill="FFFFFF"/>
          <w:lang w:val="zh-CN"/>
        </w:rPr>
      </w:pPr>
      <w:r>
        <w:rPr>
          <w:rFonts w:hint="eastAsia" w:ascii="黑体" w:hAnsi="黑体" w:eastAsia="黑体" w:cs="黑体"/>
          <w:b w:val="0"/>
          <w:bCs w:val="0"/>
          <w:color w:val="auto"/>
          <w:kern w:val="0"/>
          <w:sz w:val="32"/>
          <w:szCs w:val="32"/>
          <w:highlight w:val="none"/>
          <w:shd w:val="clear" w:color="auto" w:fill="FFFFFF"/>
          <w:lang w:val="en-US" w:eastAsia="zh-CN"/>
        </w:rPr>
        <w:t>二、</w:t>
      </w:r>
      <w:r>
        <w:rPr>
          <w:rFonts w:hint="eastAsia" w:ascii="黑体" w:hAnsi="黑体" w:eastAsia="黑体" w:cs="黑体"/>
          <w:b w:val="0"/>
          <w:bCs w:val="0"/>
          <w:color w:val="auto"/>
          <w:kern w:val="0"/>
          <w:sz w:val="32"/>
          <w:szCs w:val="32"/>
          <w:highlight w:val="none"/>
          <w:shd w:val="clear" w:color="auto" w:fill="FFFFFF"/>
          <w:lang w:val="zh-CN"/>
        </w:rPr>
        <w:t>年度主要工作任务</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区商务局在区委区政府坚强领导下，认真落实统筹疫情防控和稳定经济增长相关要求，围绕建设川陕渝结合部现代商贸物流集聚区，坚持“商贸活、流通旺、百业兴、消费强”的工作思路，努力推动商贸服务业加快发展。</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rPr>
        <w:t>（一）聚力重点项目，做强商贸发展载体。</w:t>
      </w:r>
      <w:r>
        <w:rPr>
          <w:rFonts w:hint="default" w:ascii="Times New Roman" w:hAnsi="Times New Roman" w:eastAsia="方正仿宋_GBK" w:cs="Times New Roman"/>
          <w:color w:val="auto"/>
          <w:sz w:val="32"/>
          <w:szCs w:val="32"/>
        </w:rPr>
        <w:t>坚持以项目为抓手，不断改善和提升商贸基础。一是立足行业规范上项目。按照区委统筹部署，规划巴中现代商贸物流港，引进蜀道物流集团公司，即将启动一期物流集散中心、新能源汽车交易市场建设。二是立足市场补短推项目。持续推进农副产品交易中心（二期）建设，布局重点社区生鲜店5家，超市级下达目标2家，新建改造化成、鼎山等乡镇农贸市场2家，推进超市与批发市场、生产基地、专合组织有效对接；建设报废机动车和再生资源回收利用中心，补齐机动车标准化拆解市场短板。三是立足招商延链引项目。围绕服务业“3+1”产业定位，以“五类500强”、国企和行业龙头企业为主攻方向，开展小分队招商8次，策划包装重点项目6个，总投资24.2亿元，落地商贸项目5个，投入资金5.46亿元。四是立足上争支持抓项目。王府井-黄家沟片区获批省级商贸服务业集聚区，巴州区成为市内唯一获此殊荣的区县；草坝街入列第三批省级步行街改造提升试点，进入全省三年行动计划；成功申报省级农产品供应链体系建设项目，资金支持和项目个数全市占比最多。</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rPr>
        <w:t>（二）聚力对口协作，做特商贸流通品牌。</w:t>
      </w:r>
      <w:r>
        <w:rPr>
          <w:rFonts w:hint="default" w:ascii="Times New Roman" w:hAnsi="Times New Roman" w:eastAsia="方正仿宋_GBK" w:cs="Times New Roman"/>
          <w:color w:val="auto"/>
          <w:sz w:val="32"/>
          <w:szCs w:val="32"/>
        </w:rPr>
        <w:t>抓住义乌巴州对口协作机遇，按照“市场+物流、线上+线下、集聚+辐射”的思路，打造双向循环的商贸流通“巴州”品牌。一是打造实体市场品牌。建成投运义巴国际商品城，引进义乌商城集团公司旗下“爱喜猫”“义乌好货”两个直营品牌，单品1.2万个，建成全市规模最大的进口商品批零中心和跨境商品体验区，商品零售成本降低15%以上，省委晓晖书记在视察义巴国际商品城时，对建设运营模式给予了充分肯定。二是打造物流专线品牌。引进4A级物流企业落户巴州，开通义巴直达物流专线，物流运输时间从5天缩短到2天以内，物流运输成本降低10%以上。三是打造电商协作品牌。开展义巴电商联合直播、培训孵化、双向互访6场次，开通京东线上商城特产店，进一步疏通巴州产品上行、入市流通渠道，带动25家企业销售同比增长10%以上。</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rPr>
        <w:t>（三）聚力促销挖潜，做实消费恢复增长。</w:t>
      </w:r>
      <w:r>
        <w:rPr>
          <w:rFonts w:hint="default" w:ascii="Times New Roman" w:hAnsi="Times New Roman" w:eastAsia="方正仿宋_GBK" w:cs="Times New Roman"/>
          <w:color w:val="auto"/>
          <w:sz w:val="32"/>
          <w:szCs w:val="32"/>
        </w:rPr>
        <w:t>坚持疫情防控和稳定增长“两手抓、两手硬、两手赢”。一是参与会展消费。依托全省市场拓展三大活动，组织18家企业参加西洽会、进博会、东博会等展销15场次，助力企业广结客商，扩大“朋友圈”、提升“曝光率”。二是活跃热点消费。先后举办汽车博览会、直播带货大赛、线上“双11”好物节、农特产品展销会13场次，组织481家企业参加“乐购巴中”消费券发放，核销金额 411万元，占全市核销总额的48.5%。三是集聚新兴消费。围绕区委“商贸多圈”发展战略，突出发展容邦万达、王府井购物中心、南池广场3个核心商圈，引导发展次级商圈，转型发展传统商圈，创新发展共享经济、同城配送、数字娱乐等新模式新业态，新引进元祖食品等国际国内一线品牌11个，进一步完善和繁荣了消费市场。</w:t>
      </w:r>
      <w:r>
        <w:rPr>
          <w:rFonts w:hint="default" w:ascii="Times New Roman" w:hAnsi="Times New Roman" w:eastAsia="方正仿宋_GBK" w:cs="Times New Roman"/>
          <w:color w:val="auto"/>
          <w:sz w:val="32"/>
          <w:szCs w:val="32"/>
          <w:lang w:val="en-US" w:eastAsia="zh-CN"/>
        </w:rPr>
        <w:t>全年</w:t>
      </w:r>
      <w:r>
        <w:rPr>
          <w:rFonts w:hint="default" w:ascii="Times New Roman" w:hAnsi="Times New Roman" w:eastAsia="方正仿宋_GBK" w:cs="Times New Roman"/>
          <w:color w:val="auto"/>
          <w:sz w:val="32"/>
          <w:szCs w:val="32"/>
        </w:rPr>
        <w:t>社消零完成134.1亿元，同比增长1.4%；重点服务业营业收入完成5.9亿元，同比增长26.2%，位居全市第一；服务业增加值实现120.85亿元，同比增长2.3%，对GDP贡献率93%，在各县区中贡献度最高。</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eastAsia"/>
          <w:color w:val="auto"/>
          <w:lang w:val="zh-CN"/>
        </w:rPr>
        <w:sectPr>
          <w:pgSz w:w="11906" w:h="16838"/>
          <w:pgMar w:top="1440" w:right="1800" w:bottom="1440" w:left="1800" w:header="851" w:footer="992" w:gutter="0"/>
          <w:pgNumType w:fmt="numberInDash"/>
          <w:cols w:space="425" w:num="1"/>
          <w:docGrid w:type="lines" w:linePitch="312" w:charSpace="0"/>
        </w:sectPr>
      </w:pPr>
      <w:r>
        <w:rPr>
          <w:rFonts w:hint="default" w:ascii="方正楷体_GBK" w:hAnsi="方正楷体_GBK" w:eastAsia="方正楷体_GBK" w:cs="方正楷体_GBK"/>
          <w:color w:val="auto"/>
          <w:sz w:val="32"/>
          <w:szCs w:val="32"/>
        </w:rPr>
        <w:t>（四）聚力主体培育，做大商务经济支撑。</w:t>
      </w:r>
      <w:r>
        <w:rPr>
          <w:rFonts w:hint="default" w:ascii="Times New Roman" w:hAnsi="Times New Roman" w:eastAsia="方正仿宋_GBK" w:cs="Times New Roman"/>
          <w:color w:val="auto"/>
          <w:sz w:val="32"/>
          <w:szCs w:val="32"/>
        </w:rPr>
        <w:t>加快培育壮大商贸流通领域市场主体，商务经济总量大幅增长、占比得到提升、贡献明显增强。一是狠抓转企升规。分类建立“个转企”“小升规”“产销分离”企业储备资源库，加强协同联动，全程跟踪服务，入库限上商贸企业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家、规上服务业企业</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家。二是实施扶优育强。积极开展企业诉求动态清零行动，在产业扶持、融资支持、市场开拓等方面给予协调和倾斜，支持世纪隆超市、昂橙母婴、富群通讯等企业走规模化、品牌化、连锁化路子，引导开设旗舰店、品牌店、专卖店，发展巴州“总部”经济。在库限规企业年营业收入1000万元以上59家，3000万元以上17家，5000万元以上15家，1亿元以上10家，占比分别提升7%、9%、12%、10%。三是促进外贸提质。老廖家、思广益、天睿纺织、琳宸生物能源等4家企业纳入全省首批外贸“千户企业”培育计划，新增外贸备案企业3家，入围企业数量位居全市第一，外贸进出口额完成1.</w:t>
      </w:r>
      <w:r>
        <w:rPr>
          <w:rFonts w:hint="default" w:ascii="Times New Roman" w:hAnsi="Times New Roman" w:eastAsia="方正仿宋_GBK" w:cs="Times New Roman"/>
          <w:color w:val="auto"/>
          <w:sz w:val="32"/>
          <w:szCs w:val="32"/>
          <w:lang w:val="en-US" w:eastAsia="zh-CN"/>
        </w:rPr>
        <w:t>51</w:t>
      </w:r>
      <w:r>
        <w:rPr>
          <w:rFonts w:hint="default" w:ascii="Times New Roman" w:hAnsi="Times New Roman" w:eastAsia="方正仿宋_GBK" w:cs="Times New Roman"/>
          <w:color w:val="auto"/>
          <w:sz w:val="32"/>
          <w:szCs w:val="32"/>
        </w:rPr>
        <w:t>亿元，</w:t>
      </w:r>
      <w:r>
        <w:rPr>
          <w:rFonts w:hint="default" w:ascii="Times New Roman" w:hAnsi="Times New Roman" w:eastAsia="方正仿宋_GBK" w:cs="Times New Roman"/>
          <w:color w:val="auto"/>
          <w:sz w:val="32"/>
          <w:szCs w:val="32"/>
          <w:lang w:val="en-US" w:eastAsia="zh-CN"/>
        </w:rPr>
        <w:t>同比增长75%</w:t>
      </w:r>
      <w:r>
        <w:rPr>
          <w:rFonts w:hint="default" w:ascii="Times New Roman" w:hAnsi="Times New Roman" w:eastAsia="方正仿宋_GBK" w:cs="Times New Roman"/>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9"/>
        <w:rPr>
          <w:rFonts w:hint="eastAsia" w:ascii="楷体_GB2312" w:hAnsi="楷体_GB2312" w:eastAsia="楷体_GB2312" w:cs="楷体_GB2312"/>
          <w:b w:val="0"/>
          <w:bCs w:val="0"/>
          <w:color w:val="auto"/>
          <w:kern w:val="0"/>
          <w:sz w:val="32"/>
          <w:szCs w:val="32"/>
          <w:highlight w:val="none"/>
          <w:shd w:val="clear" w:color="auto" w:fill="FFFFFF"/>
          <w:lang w:val="zh-CN"/>
        </w:rPr>
      </w:pPr>
      <w:r>
        <w:rPr>
          <w:rFonts w:hint="eastAsia" w:ascii="黑体" w:hAnsi="黑体" w:eastAsia="黑体" w:cs="黑体"/>
          <w:b w:val="0"/>
          <w:bCs w:val="0"/>
          <w:color w:val="auto"/>
          <w:kern w:val="0"/>
          <w:sz w:val="32"/>
          <w:szCs w:val="32"/>
          <w:highlight w:val="none"/>
          <w:shd w:val="clear" w:color="auto" w:fill="FFFFFF"/>
          <w:lang w:val="en-US" w:eastAsia="zh-CN"/>
        </w:rPr>
        <w:t>三、</w:t>
      </w:r>
      <w:r>
        <w:rPr>
          <w:rFonts w:hint="eastAsia" w:ascii="黑体" w:hAnsi="黑体" w:eastAsia="黑体" w:cs="黑体"/>
          <w:b w:val="0"/>
          <w:bCs w:val="0"/>
          <w:color w:val="auto"/>
          <w:kern w:val="0"/>
          <w:sz w:val="32"/>
          <w:szCs w:val="32"/>
          <w:highlight w:val="none"/>
          <w:shd w:val="clear" w:color="auto" w:fill="FFFFFF"/>
          <w:lang w:val="zh-CN"/>
        </w:rPr>
        <w:t>部门整体支出绩效目标</w:t>
      </w:r>
    </w:p>
    <w:tbl>
      <w:tblPr>
        <w:tblStyle w:val="15"/>
        <w:tblW w:w="141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4"/>
        <w:gridCol w:w="1515"/>
        <w:gridCol w:w="1050"/>
        <w:gridCol w:w="1200"/>
        <w:gridCol w:w="1425"/>
        <w:gridCol w:w="1230"/>
        <w:gridCol w:w="1530"/>
        <w:gridCol w:w="930"/>
        <w:gridCol w:w="1455"/>
        <w:gridCol w:w="915"/>
        <w:gridCol w:w="90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194" w:type="dxa"/>
            <w:gridSpan w:val="12"/>
            <w:tcBorders>
              <w:top w:val="nil"/>
              <w:left w:val="nil"/>
              <w:bottom w:val="nil"/>
              <w:right w:val="nil"/>
            </w:tcBorders>
            <w:shd w:val="clear" w:color="auto" w:fill="FFFFFF"/>
            <w:vAlign w:val="center"/>
          </w:tcPr>
          <w:p>
            <w:pPr>
              <w:jc w:val="center"/>
              <w:rPr>
                <w:rFonts w:hint="eastAsia" w:ascii="方正小标宋_GBK" w:hAnsi="方正小标宋_GBK" w:eastAsia="方正小标宋_GBK" w:cs="方正小标宋_GBK"/>
                <w:b w:val="0"/>
                <w:bCs w:val="0"/>
                <w:i w:val="0"/>
                <w:iCs w:val="0"/>
                <w:color w:val="auto"/>
                <w:sz w:val="21"/>
                <w:szCs w:val="21"/>
                <w:u w:val="none"/>
              </w:rPr>
            </w:pPr>
            <w:r>
              <w:rPr>
                <w:rFonts w:hint="eastAsia" w:ascii="方正小标宋_GBK" w:hAnsi="方正小标宋_GBK" w:eastAsia="方正小标宋_GBK" w:cs="方正小标宋_GBK"/>
                <w:b w:val="0"/>
                <w:bCs w:val="0"/>
                <w:i w:val="0"/>
                <w:iCs w:val="0"/>
                <w:color w:val="auto"/>
                <w:kern w:val="0"/>
                <w:sz w:val="21"/>
                <w:szCs w:val="21"/>
                <w:u w:val="none"/>
                <w:lang w:val="en-US" w:eastAsia="zh-CN" w:bidi="ar"/>
              </w:rPr>
              <w:t>巴州区商务局单位整体绩效支出目标表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4" w:type="dxa"/>
            <w:tcBorders>
              <w:top w:val="nil"/>
              <w:left w:val="nil"/>
              <w:bottom w:val="nil"/>
              <w:right w:val="nil"/>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1515" w:type="dxa"/>
            <w:tcBorders>
              <w:top w:val="nil"/>
              <w:left w:val="nil"/>
              <w:bottom w:val="nil"/>
              <w:right w:val="nil"/>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1050" w:type="dxa"/>
            <w:tcBorders>
              <w:top w:val="nil"/>
              <w:left w:val="nil"/>
              <w:bottom w:val="nil"/>
              <w:right w:val="nil"/>
            </w:tcBorders>
            <w:shd w:val="clear" w:color="auto" w:fill="FFFFFF"/>
            <w:vAlign w:val="top"/>
          </w:tcPr>
          <w:p>
            <w:pPr>
              <w:jc w:val="center"/>
              <w:rPr>
                <w:rFonts w:hint="default" w:ascii="Times New Roman" w:hAnsi="Times New Roman" w:eastAsia="方正仿宋_GBK" w:cs="Times New Roman"/>
                <w:b w:val="0"/>
                <w:bCs w:val="0"/>
                <w:i w:val="0"/>
                <w:iCs w:val="0"/>
                <w:color w:val="auto"/>
                <w:sz w:val="21"/>
                <w:szCs w:val="21"/>
                <w:u w:val="none"/>
              </w:rPr>
            </w:pPr>
          </w:p>
        </w:tc>
        <w:tc>
          <w:tcPr>
            <w:tcW w:w="1200" w:type="dxa"/>
            <w:tcBorders>
              <w:top w:val="nil"/>
              <w:left w:val="nil"/>
              <w:bottom w:val="nil"/>
              <w:right w:val="nil"/>
            </w:tcBorders>
            <w:shd w:val="clear" w:color="auto" w:fill="FFFFFF"/>
            <w:vAlign w:val="top"/>
          </w:tcPr>
          <w:p>
            <w:pPr>
              <w:jc w:val="center"/>
              <w:rPr>
                <w:rFonts w:hint="default" w:ascii="Times New Roman" w:hAnsi="Times New Roman" w:eastAsia="方正仿宋_GBK" w:cs="Times New Roman"/>
                <w:b w:val="0"/>
                <w:bCs w:val="0"/>
                <w:i w:val="0"/>
                <w:iCs w:val="0"/>
                <w:color w:val="auto"/>
                <w:sz w:val="21"/>
                <w:szCs w:val="21"/>
                <w:u w:val="none"/>
              </w:rPr>
            </w:pPr>
          </w:p>
        </w:tc>
        <w:tc>
          <w:tcPr>
            <w:tcW w:w="1425" w:type="dxa"/>
            <w:tcBorders>
              <w:top w:val="nil"/>
              <w:left w:val="nil"/>
              <w:bottom w:val="nil"/>
              <w:right w:val="nil"/>
            </w:tcBorders>
            <w:shd w:val="clear" w:color="auto" w:fill="FFFFFF"/>
            <w:vAlign w:val="center"/>
          </w:tcPr>
          <w:p>
            <w:pPr>
              <w:jc w:val="left"/>
              <w:rPr>
                <w:rFonts w:hint="default" w:ascii="Times New Roman" w:hAnsi="Times New Roman" w:eastAsia="方正仿宋_GBK" w:cs="Times New Roman"/>
                <w:b w:val="0"/>
                <w:bCs w:val="0"/>
                <w:i w:val="0"/>
                <w:iCs w:val="0"/>
                <w:color w:val="auto"/>
                <w:sz w:val="21"/>
                <w:szCs w:val="21"/>
                <w:u w:val="none"/>
              </w:rPr>
            </w:pPr>
          </w:p>
        </w:tc>
        <w:tc>
          <w:tcPr>
            <w:tcW w:w="1230" w:type="dxa"/>
            <w:tcBorders>
              <w:top w:val="nil"/>
              <w:left w:val="nil"/>
              <w:bottom w:val="nil"/>
              <w:right w:val="nil"/>
            </w:tcBorders>
            <w:shd w:val="clear" w:color="auto" w:fill="FFFFFF"/>
            <w:vAlign w:val="center"/>
          </w:tcPr>
          <w:p>
            <w:pPr>
              <w:jc w:val="left"/>
              <w:rPr>
                <w:rFonts w:hint="default" w:ascii="Times New Roman" w:hAnsi="Times New Roman" w:eastAsia="方正仿宋_GBK" w:cs="Times New Roman"/>
                <w:b w:val="0"/>
                <w:bCs w:val="0"/>
                <w:i w:val="0"/>
                <w:iCs w:val="0"/>
                <w:color w:val="auto"/>
                <w:sz w:val="21"/>
                <w:szCs w:val="21"/>
                <w:u w:val="none"/>
              </w:rPr>
            </w:pPr>
          </w:p>
        </w:tc>
        <w:tc>
          <w:tcPr>
            <w:tcW w:w="1530" w:type="dxa"/>
            <w:tcBorders>
              <w:top w:val="nil"/>
              <w:left w:val="nil"/>
              <w:bottom w:val="nil"/>
              <w:right w:val="nil"/>
            </w:tcBorders>
            <w:shd w:val="clear" w:color="auto" w:fill="FFFFFF"/>
            <w:vAlign w:val="center"/>
          </w:tcPr>
          <w:p>
            <w:pPr>
              <w:jc w:val="left"/>
              <w:rPr>
                <w:rFonts w:hint="default" w:ascii="Times New Roman" w:hAnsi="Times New Roman" w:eastAsia="方正仿宋_GBK" w:cs="Times New Roman"/>
                <w:b w:val="0"/>
                <w:bCs w:val="0"/>
                <w:i w:val="0"/>
                <w:iCs w:val="0"/>
                <w:color w:val="auto"/>
                <w:sz w:val="21"/>
                <w:szCs w:val="21"/>
                <w:u w:val="none"/>
              </w:rPr>
            </w:pPr>
          </w:p>
        </w:tc>
        <w:tc>
          <w:tcPr>
            <w:tcW w:w="930" w:type="dxa"/>
            <w:tcBorders>
              <w:top w:val="nil"/>
              <w:left w:val="nil"/>
              <w:bottom w:val="nil"/>
              <w:right w:val="nil"/>
            </w:tcBorders>
            <w:shd w:val="clear" w:color="auto" w:fill="FFFFFF"/>
            <w:vAlign w:val="top"/>
          </w:tcPr>
          <w:p>
            <w:pPr>
              <w:jc w:val="center"/>
              <w:rPr>
                <w:rFonts w:hint="default" w:ascii="Times New Roman" w:hAnsi="Times New Roman" w:eastAsia="方正仿宋_GBK" w:cs="Times New Roman"/>
                <w:b w:val="0"/>
                <w:bCs w:val="0"/>
                <w:i w:val="0"/>
                <w:iCs w:val="0"/>
                <w:color w:val="auto"/>
                <w:sz w:val="21"/>
                <w:szCs w:val="21"/>
                <w:u w:val="none"/>
              </w:rPr>
            </w:pPr>
          </w:p>
        </w:tc>
        <w:tc>
          <w:tcPr>
            <w:tcW w:w="1455" w:type="dxa"/>
            <w:tcBorders>
              <w:top w:val="nil"/>
              <w:left w:val="nil"/>
              <w:bottom w:val="nil"/>
              <w:right w:val="nil"/>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915" w:type="dxa"/>
            <w:tcBorders>
              <w:top w:val="nil"/>
              <w:left w:val="nil"/>
              <w:bottom w:val="nil"/>
              <w:right w:val="nil"/>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1890" w:type="dxa"/>
            <w:gridSpan w:val="2"/>
            <w:tcBorders>
              <w:top w:val="nil"/>
              <w:left w:val="nil"/>
              <w:bottom w:val="nil"/>
              <w:right w:val="nil"/>
            </w:tcBorders>
            <w:shd w:val="clear" w:color="auto" w:fill="FFFFFF"/>
            <w:vAlign w:val="top"/>
          </w:tcPr>
          <w:p>
            <w:pPr>
              <w:keepNext w:val="0"/>
              <w:keepLines w:val="0"/>
              <w:widowControl/>
              <w:suppressLineNumbers w:val="0"/>
              <w:jc w:val="center"/>
              <w:textAlignment w:val="top"/>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1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年度主要任务</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年度总体目标</w:t>
            </w:r>
          </w:p>
        </w:tc>
        <w:tc>
          <w:tcPr>
            <w:tcW w:w="795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年度绩效指标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任务名称</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主要内容</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预算金额（万元）</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b w:val="0"/>
                <w:bCs w:val="0"/>
                <w:i w:val="0"/>
                <w:iCs w:val="0"/>
                <w:color w:val="auto"/>
                <w:sz w:val="21"/>
                <w:szCs w:val="21"/>
                <w:u w:val="none"/>
              </w:rPr>
            </w:pPr>
          </w:p>
        </w:tc>
        <w:tc>
          <w:tcPr>
            <w:tcW w:w="369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完成指标</w:t>
            </w:r>
          </w:p>
        </w:tc>
        <w:tc>
          <w:tcPr>
            <w:tcW w:w="327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效益指标</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b w:val="0"/>
                <w:bCs w:val="0"/>
                <w:i w:val="0"/>
                <w:iCs w:val="0"/>
                <w:color w:val="auto"/>
                <w:sz w:val="21"/>
                <w:szCs w:val="21"/>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b w:val="0"/>
                <w:bCs w:val="0"/>
                <w:i w:val="0"/>
                <w:iCs w:val="0"/>
                <w:color w:val="auto"/>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财政拨款</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方正仿宋_GBK" w:cs="Times New Roman"/>
                <w:b w:val="0"/>
                <w:bCs w:val="0"/>
                <w:i w:val="0"/>
                <w:iCs w:val="0"/>
                <w:color w:val="auto"/>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数量指标（三级指标及指标值）</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质量指标（三级指标及指标值）</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成本指标（三级指标及指标值）</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经济效益指标（三级指标及指标值）</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社会效益指标（三级指标及指标值）</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可持续性影响（三级指标及指标值）</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满意度指标（三级指标及指标值）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eastAsia" w:ascii="黑体" w:hAnsi="黑体" w:eastAsia="黑体" w:cs="黑体"/>
                <w:b w:val="0"/>
                <w:bCs w:val="0"/>
                <w:i w:val="0"/>
                <w:iCs w:val="0"/>
                <w:color w:val="auto"/>
                <w:kern w:val="0"/>
                <w:sz w:val="21"/>
                <w:szCs w:val="21"/>
                <w:u w:val="none"/>
                <w:lang w:val="en-US" w:eastAsia="zh-CN" w:bidi="ar"/>
              </w:rPr>
              <w:t>总计</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1598.30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1598.30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imes New Roman" w:hAnsi="Times New Roman" w:eastAsia="方正仿宋_GBK" w:cs="Times New Roman"/>
                <w:b w:val="0"/>
                <w:bCs w:val="0"/>
                <w:i w:val="0"/>
                <w:iCs w:val="0"/>
                <w:color w:val="auto"/>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imes New Roman" w:hAnsi="Times New Roman" w:eastAsia="方正仿宋_GBK" w:cs="Times New Roman"/>
                <w:b w:val="0"/>
                <w:bCs w:val="0"/>
                <w:i w:val="0"/>
                <w:iCs w:val="0"/>
                <w:color w:val="auto"/>
                <w:sz w:val="21"/>
                <w:szCs w:val="21"/>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Times New Roman" w:hAnsi="Times New Roman" w:eastAsia="方正仿宋_GBK" w:cs="Times New Roman"/>
                <w:b w:val="0"/>
                <w:bCs w:val="0"/>
                <w:i w:val="0"/>
                <w:iCs w:val="0"/>
                <w:color w:val="auto"/>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default" w:ascii="Times New Roman" w:hAnsi="Times New Roman" w:eastAsia="方正仿宋_GBK" w:cs="Times New Roman"/>
                <w:b w:val="0"/>
                <w:bCs w:val="0"/>
                <w:i w:val="0"/>
                <w:iCs w:val="0"/>
                <w:color w:val="auto"/>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人员支出</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单位职工工资、公积金、医疗保险、养老保险等</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452.37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452.37</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严格执行相关政策，保障工资及时发放、足额发放，预算编制科学合理</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w:t>
            </w:r>
            <w:r>
              <w:rPr>
                <w:rFonts w:hint="eastAsia" w:eastAsia="方正仿宋_GBK" w:cs="Times New Roman"/>
                <w:b w:val="0"/>
                <w:bCs w:val="0"/>
                <w:i w:val="0"/>
                <w:iCs w:val="0"/>
                <w:color w:val="auto"/>
                <w:kern w:val="0"/>
                <w:sz w:val="21"/>
                <w:szCs w:val="21"/>
                <w:u w:val="none"/>
                <w:lang w:val="en-US" w:eastAsia="zh-CN" w:bidi="ar"/>
              </w:rPr>
              <w:t>2</w:t>
            </w:r>
            <w:r>
              <w:rPr>
                <w:rFonts w:hint="default" w:ascii="Times New Roman" w:hAnsi="Times New Roman" w:eastAsia="方正仿宋_GBK" w:cs="Times New Roman"/>
                <w:b w:val="0"/>
                <w:bCs w:val="0"/>
                <w:i w:val="0"/>
                <w:iCs w:val="0"/>
                <w:color w:val="auto"/>
                <w:kern w:val="0"/>
                <w:sz w:val="21"/>
                <w:szCs w:val="21"/>
                <w:u w:val="none"/>
                <w:lang w:val="en-US" w:eastAsia="zh-CN" w:bidi="ar"/>
              </w:rPr>
              <w:t>年工作及公积金养老保险，医疗保险按政策发放。</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w:t>
            </w:r>
            <w:r>
              <w:rPr>
                <w:rFonts w:hint="eastAsia" w:eastAsia="方正仿宋_GBK" w:cs="Times New Roman"/>
                <w:b w:val="0"/>
                <w:bCs w:val="0"/>
                <w:i w:val="0"/>
                <w:iCs w:val="0"/>
                <w:color w:val="auto"/>
                <w:kern w:val="0"/>
                <w:sz w:val="21"/>
                <w:szCs w:val="21"/>
                <w:u w:val="none"/>
                <w:lang w:val="en-US" w:eastAsia="zh-CN" w:bidi="ar"/>
              </w:rPr>
              <w:t>2</w:t>
            </w:r>
            <w:r>
              <w:rPr>
                <w:rFonts w:hint="default" w:ascii="Times New Roman" w:hAnsi="Times New Roman" w:eastAsia="方正仿宋_GBK" w:cs="Times New Roman"/>
                <w:b w:val="0"/>
                <w:bCs w:val="0"/>
                <w:i w:val="0"/>
                <w:iCs w:val="0"/>
                <w:color w:val="auto"/>
                <w:kern w:val="0"/>
                <w:sz w:val="21"/>
                <w:szCs w:val="21"/>
                <w:u w:val="none"/>
                <w:lang w:val="en-US" w:eastAsia="zh-CN" w:bidi="ar"/>
              </w:rPr>
              <w:t>年工作及公积金养老保险，医疗保险按政策发放。</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年度经费452.37万元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方正仿宋_GBK" w:cs="Times New Roman"/>
                <w:b w:val="0"/>
                <w:bCs w:val="0"/>
                <w:i w:val="0"/>
                <w:iCs w:val="0"/>
                <w:color w:val="auto"/>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default" w:ascii="Times New Roman" w:hAnsi="Times New Roman" w:eastAsia="方正仿宋_GBK" w:cs="Times New Roman"/>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公用经费支出</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单位日常办公开支以及工会经费、公务员车补等</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46.93</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46.93</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保障单位正常运行办公</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保障单位正常运行</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保障单位正常运行办公</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年度经费46.93万元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方正仿宋_GBK" w:cs="Times New Roman"/>
                <w:b w:val="0"/>
                <w:bCs w:val="0"/>
                <w:i w:val="0"/>
                <w:iCs w:val="0"/>
                <w:color w:val="auto"/>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方正仿宋_GBK" w:cs="Times New Roman"/>
                <w:b w:val="0"/>
                <w:bCs w:val="0"/>
                <w:i w:val="0"/>
                <w:iCs w:val="0"/>
                <w:color w:val="auto"/>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方正仿宋_GBK" w:cs="Times New Roman"/>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外贸出口创汇工作经费</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完成本年度外贸出口创汇目标任务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完成202</w:t>
            </w:r>
            <w:r>
              <w:rPr>
                <w:rFonts w:hint="eastAsia" w:eastAsia="方正仿宋_GBK" w:cs="Times New Roman"/>
                <w:b w:val="0"/>
                <w:bCs w:val="0"/>
                <w:i w:val="0"/>
                <w:iCs w:val="0"/>
                <w:color w:val="auto"/>
                <w:kern w:val="0"/>
                <w:sz w:val="21"/>
                <w:szCs w:val="21"/>
                <w:u w:val="none"/>
                <w:lang w:val="en-US" w:eastAsia="zh-CN" w:bidi="ar"/>
              </w:rPr>
              <w:t>2</w:t>
            </w:r>
            <w:r>
              <w:rPr>
                <w:rFonts w:hint="default" w:ascii="Times New Roman" w:hAnsi="Times New Roman" w:eastAsia="方正仿宋_GBK" w:cs="Times New Roman"/>
                <w:b w:val="0"/>
                <w:bCs w:val="0"/>
                <w:i w:val="0"/>
                <w:iCs w:val="0"/>
                <w:color w:val="auto"/>
                <w:kern w:val="0"/>
                <w:sz w:val="21"/>
                <w:szCs w:val="21"/>
                <w:u w:val="none"/>
                <w:lang w:val="en-US" w:eastAsia="zh-CN" w:bidi="ar"/>
              </w:rPr>
              <w:t>年外贸出口创汇800万美元目标任务</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力争完成本年度外贸出口创汇目标任务800万美元</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力争完成本年度外贸出口创汇目标任务800万美元</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年度经费2万元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推进巴州经济发展</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长期可持续</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社消零联网直报工作经费</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2022年，全区服务业增加值达到79亿元，服务业增加值増浮达到8%，服务业增加值GDP比重达到46.5%</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完成12家限规企业入库</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完成限、规上企业入库10家以上</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完成限、规上企业入库10家以上</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年度经费5万元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推进巴州经济发展</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长期可持续</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 xml:space="preserve"> 东西部协作项目工作经费</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新建义乌巴中物流专线，投资560万元新建川东北商贸物流中心。</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建成百县万品巴州馆，新建义乌巴中物流专线，新建川东北商贸物流中心</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加强东西部协作交流，带动当地就业人数。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default" w:ascii="Times New Roman" w:hAnsi="Times New Roman" w:eastAsia="方正仿宋_GBK" w:cs="Times New Roman"/>
                <w:b w:val="0"/>
                <w:bCs w:val="0"/>
                <w:i w:val="0"/>
                <w:iCs w:val="0"/>
                <w:color w:val="auto"/>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重要生活消费品市场监测工作经费</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2022年保证在疫情防控下重要生活</w:t>
            </w:r>
            <w:r>
              <w:rPr>
                <w:rFonts w:hint="eastAsia" w:eastAsia="方正仿宋_GBK" w:cs="Times New Roman"/>
                <w:b w:val="0"/>
                <w:bCs w:val="0"/>
                <w:i w:val="0"/>
                <w:iCs w:val="0"/>
                <w:color w:val="auto"/>
                <w:kern w:val="0"/>
                <w:sz w:val="21"/>
                <w:szCs w:val="21"/>
                <w:u w:val="none"/>
                <w:lang w:val="en-US" w:eastAsia="zh-CN" w:bidi="ar"/>
              </w:rPr>
              <w:t>必需品</w:t>
            </w:r>
            <w:r>
              <w:rPr>
                <w:rFonts w:hint="default" w:ascii="Times New Roman" w:hAnsi="Times New Roman" w:eastAsia="方正仿宋_GBK" w:cs="Times New Roman"/>
                <w:b w:val="0"/>
                <w:bCs w:val="0"/>
                <w:i w:val="0"/>
                <w:iCs w:val="0"/>
                <w:color w:val="auto"/>
                <w:kern w:val="0"/>
                <w:sz w:val="21"/>
                <w:szCs w:val="21"/>
                <w:u w:val="none"/>
                <w:lang w:val="en-US" w:eastAsia="zh-CN" w:bidi="ar"/>
              </w:rPr>
              <w:t>市场供给</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保障市场稳定，监测市场需求</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推进巴州经济发展</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城区便民菜市店及乡镇农贸市场建设工作经</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新建和升级改造3个乡镇农贸市场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新建和升级改造3个乡镇农贸市场</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5万元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新建和升级改造乡镇农贸市场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王府井-黄家沟服务业集聚区项目</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 xml:space="preserve"> 实施王府井购物中心智慧商业综合体、巴城农副产品交易中心、万达广场时尚品质生活中心、洲际智选假日酒店、国盛一品商业特色街等5个子项目，推动商贸资源要素集聚。</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640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640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 xml:space="preserve"> 实施王府井购物中心智慧商业综合体、巴城农副产品交易中心、万达广场时尚品质生活中心、洲际智选假日酒店、国盛一品商业特色街等5个子项目，推动商贸资源要素集聚。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加快推进王府井-黄家沟服务业集聚区商贸流通项目建设，推动全区服务业高质量发展</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1000万元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8.15亿元</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服务业新增城镇就业占当地新增城镇就业比重</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集聚区内，商贸物流要素更加集聚，对全区经济发展支撑作用更加显著</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2022年限规企业奖励扶持资金</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对符合入库的限上企业、规上企业给与奖补。</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对符合入库的限上企业、规上企业给与奖补。</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15家</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限上企业营业额500万元、规上企业营业额2000万元</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100万元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扶持企业做大做强，促进商贸企业高质量发展。</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方正仿宋_GBK" w:cs="Times New Roman"/>
                <w:b w:val="0"/>
                <w:bCs w:val="0"/>
                <w:i w:val="0"/>
                <w:iCs w:val="0"/>
                <w:color w:val="auto"/>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2022年省级外经贸发展资金</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2022年新增对外贸易经营者备案企业3家；预计全年完成外贸进出口1.1亿元；组织企业参加西洽会、东博会、广交会、进博会等活动不少于10家次。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75</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119</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2022年新增对外贸易经营者备案企业3家；预计全年完成外贸进出口1.1亿元；组织企业参加西洽会、东博会、广交会、进博会等活动不少于10家次。</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2022年新增对外贸易经营者备案企业3家</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75万元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方正仿宋_GBK" w:cs="Times New Roman"/>
                <w:b w:val="0"/>
                <w:bCs w:val="0"/>
                <w:i w:val="0"/>
                <w:iCs w:val="0"/>
                <w:color w:val="auto"/>
                <w:sz w:val="21"/>
                <w:szCs w:val="21"/>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外经贸企业营商环境</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2022年川东北商贸物流中心项目</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依托东西部协作政策，借助义乌商贸物流发展经验、平台、主体优势，推动巴州区商贸物流高质量发展。</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持续推进义巴国际商品城运营，开通义巴物流专线、培育提升电商产业</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优化进口商品馆（义巴国际商品城一楼）业态布局，建成并投运义乌好货批零中心（义巴国际商品城二楼）</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促进运输、仓储、配送、流通加工、信息共享等供应链各环节一体化运作，降低物流运输成本，加快传统物流业向现代物流业转型，构建高效、生态、节能的现代化物流服务体系</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200万元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促进零售转型升级，商品城部分商品价格比本地市场低20%左右，物流成本同比降低15%左右</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促进快递物流、电子商务等商贸服务业的集聚发展，降低巴州区快递物流运营成本</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方正仿宋_GBK" w:cs="Times New Roman"/>
                <w:b w:val="0"/>
                <w:bCs w:val="0"/>
                <w:i w:val="0"/>
                <w:iCs w:val="0"/>
                <w:color w:val="auto"/>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2022年促进农特产品消费项目</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借助义乌国际化市场，帮助巴州本地企业转型升级，拓宽巴州产品销售渠道，从而促进本地产业发展。</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62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62</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全年实现本地农特产品向东部省份销售金额不低于3000万元，全年组织本地企业参加各类会展活动不少于5场次，新改建化成镇、鼎山镇、枣林镇阴灵山场镇农贸市场。</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支持农特产品、扶贫产品通过“832”平台、网店、直播等进行线上销售，全年实现本地农特产品向东部省份销售金额不低于3000万元。</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方正仿宋_GBK" w:cs="Times New Roman"/>
                <w:b w:val="0"/>
                <w:bCs w:val="0"/>
                <w:i w:val="0"/>
                <w:iCs w:val="0"/>
                <w:color w:val="auto"/>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62万元</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帮助企业拓展销售渠道，实现年销售额增长10%左右</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提升“巴州产 巴州造”产品知名度和影响力，进一步宣传推介巴州。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拓展企业销售渠道，培育企业做大做强。同时向外推介宣传巴州</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方正仿宋_GBK" w:cs="Times New Roman"/>
                <w:b w:val="0"/>
                <w:bCs w:val="0"/>
                <w:i w:val="0"/>
                <w:iCs w:val="0"/>
                <w:color w:val="auto"/>
                <w:sz w:val="21"/>
                <w:szCs w:val="21"/>
                <w:u w:val="none"/>
              </w:rPr>
            </w:pPr>
            <w:r>
              <w:rPr>
                <w:rFonts w:hint="default" w:ascii="Times New Roman" w:hAnsi="Times New Roman" w:eastAsia="方正仿宋_GBK" w:cs="Times New Roman"/>
                <w:b w:val="0"/>
                <w:bCs w:val="0"/>
                <w:i w:val="0"/>
                <w:iCs w:val="0"/>
                <w:color w:val="auto"/>
                <w:kern w:val="0"/>
                <w:sz w:val="21"/>
                <w:szCs w:val="21"/>
                <w:u w:val="none"/>
                <w:lang w:val="en-US" w:eastAsia="zh-CN" w:bidi="ar"/>
              </w:rPr>
              <w:t>服务对象满意度95%</w:t>
            </w:r>
          </w:p>
        </w:tc>
      </w:tr>
    </w:tbl>
    <w:p>
      <w:pPr>
        <w:snapToGrid w:val="0"/>
        <w:spacing w:line="520" w:lineRule="exact"/>
        <w:ind w:firstLine="640" w:firstLineChars="200"/>
        <w:rPr>
          <w:rFonts w:hint="default" w:ascii="仿宋_GB2312" w:hAnsi="Calibri" w:eastAsia="仿宋_GB2312" w:cs="仿宋"/>
          <w:b w:val="0"/>
          <w:bCs w:val="0"/>
          <w:color w:val="auto"/>
          <w:kern w:val="0"/>
          <w:sz w:val="32"/>
          <w:szCs w:val="32"/>
          <w:highlight w:val="none"/>
          <w:lang w:val="en-US" w:eastAsia="zh-CN" w:bidi="ar-SA"/>
        </w:rPr>
        <w:sectPr>
          <w:pgSz w:w="16838" w:h="11906" w:orient="landscape"/>
          <w:pgMar w:top="1800" w:right="1440" w:bottom="1800" w:left="1440" w:header="851" w:footer="992" w:gutter="0"/>
          <w:pgNumType w:fmt="numberInDash"/>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四、部门财政资金收支情况</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en-US" w:eastAsia="zh-CN" w:bidi="ar-SA"/>
        </w:rPr>
        <w:t>1.</w:t>
      </w:r>
      <w:r>
        <w:rPr>
          <w:rFonts w:hint="default" w:ascii="Times New Roman" w:hAnsi="Times New Roman" w:eastAsia="方正仿宋_GBK" w:cs="Times New Roman"/>
          <w:color w:val="auto"/>
          <w:kern w:val="0"/>
          <w:sz w:val="32"/>
          <w:szCs w:val="32"/>
          <w:highlight w:val="none"/>
          <w:lang w:val="zh-CN" w:eastAsia="zh-CN" w:bidi="ar-SA"/>
        </w:rPr>
        <w:t>部门财政资金收入情况</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2022年决算总收入1598.30万元，2021年决算总收入1378.67万元，较上年增加219.63万元，主要原因是2022年新增服务业集聚区建设等项目；</w:t>
      </w:r>
      <w:r>
        <w:rPr>
          <w:rFonts w:hint="default" w:ascii="Times New Roman" w:hAnsi="Times New Roman" w:eastAsia="方正仿宋_GBK" w:cs="Times New Roman"/>
          <w:color w:val="auto"/>
          <w:sz w:val="32"/>
          <w:szCs w:val="32"/>
          <w:highlight w:val="none"/>
        </w:rPr>
        <w:t>其中：一般公共预算财政拨款收入</w:t>
      </w:r>
      <w:r>
        <w:rPr>
          <w:rFonts w:hint="default" w:ascii="Times New Roman" w:hAnsi="Times New Roman" w:eastAsia="方正仿宋_GBK" w:cs="Times New Roman"/>
          <w:color w:val="auto"/>
          <w:sz w:val="32"/>
          <w:szCs w:val="32"/>
          <w:highlight w:val="none"/>
          <w:lang w:val="en-US" w:eastAsia="zh-CN"/>
        </w:rPr>
        <w:t>1588.30</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99.37</w:t>
      </w:r>
      <w:r>
        <w:rPr>
          <w:rFonts w:hint="default" w:ascii="Times New Roman" w:hAnsi="Times New Roman" w:eastAsia="方正仿宋_GBK" w:cs="Times New Roman"/>
          <w:color w:val="auto"/>
          <w:sz w:val="32"/>
          <w:szCs w:val="32"/>
          <w:highlight w:val="none"/>
        </w:rPr>
        <w:t>%；政府性基金预算财政拨款收入</w:t>
      </w:r>
      <w:r>
        <w:rPr>
          <w:rFonts w:hint="default" w:ascii="Times New Roman" w:hAnsi="Times New Roman"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0.63</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en-US" w:eastAsia="zh-CN" w:bidi="ar-SA"/>
        </w:rPr>
        <w:t>2.</w:t>
      </w:r>
      <w:r>
        <w:rPr>
          <w:rFonts w:hint="default" w:ascii="Times New Roman" w:hAnsi="Times New Roman" w:eastAsia="方正仿宋_GBK" w:cs="Times New Roman"/>
          <w:color w:val="auto"/>
          <w:kern w:val="0"/>
          <w:sz w:val="32"/>
          <w:szCs w:val="32"/>
          <w:highlight w:val="none"/>
          <w:lang w:val="zh-CN" w:eastAsia="zh-CN" w:bidi="ar-SA"/>
        </w:rPr>
        <w:t>部门财政资金支出情况</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lang w:val="en-US" w:eastAsia="zh-CN" w:bidi="ar-SA"/>
        </w:rPr>
        <w:t>2022年决算总支出1598.30万元，2021年决算总支出1378.67万元，较上年增加219.63万元。</w:t>
      </w:r>
      <w:r>
        <w:rPr>
          <w:rFonts w:hint="default" w:ascii="Times New Roman" w:hAnsi="Times New Roman" w:eastAsia="方正仿宋_GBK" w:cs="Times New Roman"/>
          <w:color w:val="auto"/>
          <w:sz w:val="32"/>
          <w:szCs w:val="32"/>
          <w:highlight w:val="none"/>
        </w:rPr>
        <w:t>主要用于以下方面:</w:t>
      </w:r>
      <w:r>
        <w:rPr>
          <w:rFonts w:hint="default" w:ascii="Times New Roman" w:hAnsi="Times New Roman" w:eastAsia="方正仿宋_GBK" w:cs="Times New Roman"/>
          <w:b/>
          <w:color w:val="auto"/>
          <w:sz w:val="32"/>
          <w:szCs w:val="32"/>
          <w:highlight w:val="none"/>
        </w:rPr>
        <w:t>一般公共服务</w:t>
      </w:r>
      <w:r>
        <w:rPr>
          <w:rFonts w:hint="default" w:ascii="Times New Roman" w:hAnsi="Times New Roman" w:eastAsia="方正仿宋_GBK" w:cs="Times New Roman"/>
          <w:b/>
          <w:bCs/>
          <w:color w:val="auto"/>
          <w:sz w:val="32"/>
          <w:szCs w:val="32"/>
          <w:highlight w:val="none"/>
        </w:rPr>
        <w:t>支出</w:t>
      </w:r>
      <w:r>
        <w:rPr>
          <w:rFonts w:hint="default" w:ascii="Times New Roman" w:hAnsi="Times New Roman" w:eastAsia="方正仿宋_GBK" w:cs="Times New Roman"/>
          <w:b/>
          <w:bCs/>
          <w:color w:val="auto"/>
          <w:sz w:val="32"/>
          <w:szCs w:val="32"/>
          <w:highlight w:val="none"/>
          <w:lang w:val="en-US" w:eastAsia="zh-CN"/>
        </w:rPr>
        <w:t>505.94</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31.85</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b/>
          <w:color w:val="auto"/>
          <w:sz w:val="32"/>
          <w:szCs w:val="32"/>
          <w:highlight w:val="none"/>
        </w:rPr>
        <w:t>社会保障和就业</w:t>
      </w:r>
      <w:r>
        <w:rPr>
          <w:rFonts w:hint="default" w:ascii="Times New Roman" w:hAnsi="Times New Roman" w:eastAsia="方正仿宋_GBK" w:cs="Times New Roman"/>
          <w:b/>
          <w:bCs/>
          <w:color w:val="auto"/>
          <w:sz w:val="32"/>
          <w:szCs w:val="32"/>
          <w:highlight w:val="none"/>
        </w:rPr>
        <w:t>支出</w:t>
      </w:r>
      <w:r>
        <w:rPr>
          <w:rFonts w:hint="default" w:ascii="Times New Roman" w:hAnsi="Times New Roman" w:eastAsia="方正仿宋_GBK" w:cs="Times New Roman"/>
          <w:b/>
          <w:bCs/>
          <w:color w:val="auto"/>
          <w:sz w:val="32"/>
          <w:szCs w:val="32"/>
          <w:highlight w:val="none"/>
          <w:lang w:val="en-US" w:eastAsia="zh-CN"/>
        </w:rPr>
        <w:t>25.43</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1.6</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b/>
          <w:bCs/>
          <w:color w:val="auto"/>
          <w:sz w:val="32"/>
          <w:szCs w:val="32"/>
          <w:highlight w:val="none"/>
        </w:rPr>
        <w:t>卫生健康支出</w:t>
      </w:r>
      <w:r>
        <w:rPr>
          <w:rFonts w:hint="default" w:ascii="Times New Roman" w:hAnsi="Times New Roman" w:eastAsia="方正仿宋_GBK" w:cs="Times New Roman"/>
          <w:b/>
          <w:bCs/>
          <w:color w:val="auto"/>
          <w:sz w:val="32"/>
          <w:szCs w:val="32"/>
          <w:highlight w:val="none"/>
          <w:lang w:val="en-US" w:eastAsia="zh-CN"/>
        </w:rPr>
        <w:t>18.33</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1.15</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b/>
          <w:bCs/>
          <w:color w:val="auto"/>
          <w:sz w:val="32"/>
          <w:szCs w:val="32"/>
          <w:highlight w:val="none"/>
        </w:rPr>
        <w:t>住房保障支出</w:t>
      </w:r>
      <w:r>
        <w:rPr>
          <w:rFonts w:hint="default" w:ascii="Times New Roman" w:hAnsi="Times New Roman" w:eastAsia="方正仿宋_GBK" w:cs="Times New Roman"/>
          <w:b/>
          <w:bCs/>
          <w:color w:val="auto"/>
          <w:sz w:val="32"/>
          <w:szCs w:val="32"/>
          <w:highlight w:val="none"/>
          <w:lang w:val="en-US" w:eastAsia="zh-CN"/>
        </w:rPr>
        <w:t>28.60</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1.8</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农林水支出</w:t>
      </w:r>
      <w:r>
        <w:rPr>
          <w:rFonts w:hint="default" w:ascii="Times New Roman" w:hAnsi="Times New Roman" w:eastAsia="方正仿宋_GBK" w:cs="Times New Roman"/>
          <w:color w:val="auto"/>
          <w:sz w:val="32"/>
          <w:szCs w:val="32"/>
          <w:highlight w:val="none"/>
          <w:lang w:val="en-US" w:eastAsia="zh-CN"/>
        </w:rPr>
        <w:t>262万元，占16.50%；商业服务业等支出748万元，占47.10%</w:t>
      </w:r>
      <w:r>
        <w:rPr>
          <w:rFonts w:hint="default" w:ascii="Times New Roman" w:hAnsi="Times New Roman" w:eastAsia="方正仿宋_GBK" w:cs="Times New Roman"/>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contextualSpacing/>
        <w:jc w:val="both"/>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3.部门总体结转结余情况</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当年无结转结余资金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b w:val="0"/>
          <w:color w:val="auto"/>
          <w:kern w:val="0"/>
          <w:sz w:val="32"/>
          <w:szCs w:val="32"/>
          <w:lang w:val="en-US" w:eastAsia="zh-CN" w:bidi="ar-SA"/>
        </w:rPr>
        <w:t>五、</w:t>
      </w:r>
      <w:r>
        <w:rPr>
          <w:rFonts w:hint="eastAsia" w:ascii="黑体" w:hAnsi="黑体" w:eastAsia="黑体" w:cs="黑体"/>
          <w:color w:val="auto"/>
          <w:kern w:val="0"/>
          <w:sz w:val="32"/>
          <w:szCs w:val="32"/>
          <w:highlight w:val="none"/>
          <w:lang w:val="en-US" w:eastAsia="zh-CN" w:bidi="ar-SA"/>
        </w:rPr>
        <w:t>部门财政支出管理情况</w:t>
      </w:r>
    </w:p>
    <w:p>
      <w:pPr>
        <w:keepNext w:val="0"/>
        <w:keepLines w:val="0"/>
        <w:pageBreakBefore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pPr>
      <w:r>
        <w:rPr>
          <w:rFonts w:hint="eastAsia" w:ascii="Times New Roman" w:hAnsi="Times New Roman" w:eastAsia="方正仿宋_GBK" w:cs="Times New Roman"/>
          <w:b w:val="0"/>
          <w:bCs w:val="0"/>
          <w:color w:val="auto"/>
          <w:kern w:val="0"/>
          <w:sz w:val="32"/>
          <w:szCs w:val="32"/>
          <w:highlight w:val="none"/>
          <w:shd w:val="clear" w:color="auto" w:fill="FFFFFF"/>
          <w:lang w:val="en-US" w:eastAsia="zh-CN"/>
        </w:rPr>
        <w:t>1.</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部门财政拨款收入情况</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kern w:val="0"/>
          <w:sz w:val="32"/>
          <w:szCs w:val="32"/>
          <w:highlight w:val="none"/>
          <w:lang w:val="en-US" w:eastAsia="zh-CN" w:bidi="ar-SA"/>
        </w:rPr>
        <w:t>2022年财政拨款总收入1598.30万元，2021年财政拨款总收入1378.67万元，较上年增加219.63万元，主要原因是2022年新增服务业集聚区建设等项目；</w:t>
      </w:r>
      <w:r>
        <w:rPr>
          <w:rFonts w:hint="default" w:ascii="Times New Roman" w:hAnsi="Times New Roman" w:eastAsia="方正仿宋_GBK" w:cs="Times New Roman"/>
          <w:color w:val="auto"/>
          <w:sz w:val="32"/>
          <w:szCs w:val="32"/>
          <w:highlight w:val="none"/>
        </w:rPr>
        <w:t>其中：一般公共预算财政拨款收入</w:t>
      </w:r>
      <w:r>
        <w:rPr>
          <w:rFonts w:hint="default" w:ascii="Times New Roman" w:hAnsi="Times New Roman" w:eastAsia="方正仿宋_GBK" w:cs="Times New Roman"/>
          <w:color w:val="auto"/>
          <w:sz w:val="32"/>
          <w:szCs w:val="32"/>
          <w:highlight w:val="none"/>
          <w:lang w:val="en-US" w:eastAsia="zh-CN"/>
        </w:rPr>
        <w:t>1588.30</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99.37</w:t>
      </w:r>
      <w:r>
        <w:rPr>
          <w:rFonts w:hint="default" w:ascii="Times New Roman" w:hAnsi="Times New Roman" w:eastAsia="方正仿宋_GBK" w:cs="Times New Roman"/>
          <w:color w:val="auto"/>
          <w:sz w:val="32"/>
          <w:szCs w:val="32"/>
          <w:highlight w:val="none"/>
        </w:rPr>
        <w:t>%；政府性基金预算财政拨款收入</w:t>
      </w:r>
      <w:r>
        <w:rPr>
          <w:rFonts w:hint="default" w:ascii="Times New Roman" w:hAnsi="Times New Roman"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0.63</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pP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部门财政拨款支出情况</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lang w:val="en-US" w:eastAsia="zh-CN" w:bidi="ar-SA"/>
        </w:rPr>
        <w:t>2022年财政拨款总支出1598.30万元，2021年财政拨款总支出1378.67万元，较上年增加219.63万元。</w:t>
      </w:r>
      <w:r>
        <w:rPr>
          <w:rFonts w:hint="default" w:ascii="Times New Roman" w:hAnsi="Times New Roman" w:eastAsia="方正仿宋_GBK" w:cs="Times New Roman"/>
          <w:color w:val="auto"/>
          <w:sz w:val="32"/>
          <w:szCs w:val="32"/>
          <w:highlight w:val="none"/>
        </w:rPr>
        <w:t>主要用于以下方面:</w:t>
      </w:r>
      <w:r>
        <w:rPr>
          <w:rFonts w:hint="default" w:ascii="Times New Roman" w:hAnsi="Times New Roman" w:eastAsia="方正仿宋_GBK" w:cs="Times New Roman"/>
          <w:b/>
          <w:color w:val="auto"/>
          <w:sz w:val="32"/>
          <w:szCs w:val="32"/>
          <w:highlight w:val="none"/>
        </w:rPr>
        <w:t>一般公共服务</w:t>
      </w:r>
      <w:r>
        <w:rPr>
          <w:rFonts w:hint="default" w:ascii="Times New Roman" w:hAnsi="Times New Roman" w:eastAsia="方正仿宋_GBK" w:cs="Times New Roman"/>
          <w:b/>
          <w:bCs/>
          <w:color w:val="auto"/>
          <w:sz w:val="32"/>
          <w:szCs w:val="32"/>
          <w:highlight w:val="none"/>
        </w:rPr>
        <w:t>支出</w:t>
      </w:r>
      <w:r>
        <w:rPr>
          <w:rFonts w:hint="default" w:ascii="Times New Roman" w:hAnsi="Times New Roman" w:eastAsia="方正仿宋_GBK" w:cs="Times New Roman"/>
          <w:b/>
          <w:bCs/>
          <w:color w:val="auto"/>
          <w:sz w:val="32"/>
          <w:szCs w:val="32"/>
          <w:highlight w:val="none"/>
          <w:lang w:val="en-US" w:eastAsia="zh-CN"/>
        </w:rPr>
        <w:t>505.94</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31.85</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b/>
          <w:color w:val="auto"/>
          <w:sz w:val="32"/>
          <w:szCs w:val="32"/>
          <w:highlight w:val="none"/>
        </w:rPr>
        <w:t>社会保障和就业</w:t>
      </w:r>
      <w:r>
        <w:rPr>
          <w:rFonts w:hint="default" w:ascii="Times New Roman" w:hAnsi="Times New Roman" w:eastAsia="方正仿宋_GBK" w:cs="Times New Roman"/>
          <w:b/>
          <w:bCs/>
          <w:color w:val="auto"/>
          <w:sz w:val="32"/>
          <w:szCs w:val="32"/>
          <w:highlight w:val="none"/>
        </w:rPr>
        <w:t>支出</w:t>
      </w:r>
      <w:r>
        <w:rPr>
          <w:rFonts w:hint="default" w:ascii="Times New Roman" w:hAnsi="Times New Roman" w:eastAsia="方正仿宋_GBK" w:cs="Times New Roman"/>
          <w:b/>
          <w:bCs/>
          <w:color w:val="auto"/>
          <w:sz w:val="32"/>
          <w:szCs w:val="32"/>
          <w:highlight w:val="none"/>
          <w:lang w:val="en-US" w:eastAsia="zh-CN"/>
        </w:rPr>
        <w:t>25.43</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1.6</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b/>
          <w:bCs/>
          <w:color w:val="auto"/>
          <w:sz w:val="32"/>
          <w:szCs w:val="32"/>
          <w:highlight w:val="none"/>
        </w:rPr>
        <w:t>卫生健康支出</w:t>
      </w:r>
      <w:r>
        <w:rPr>
          <w:rFonts w:hint="default" w:ascii="Times New Roman" w:hAnsi="Times New Roman" w:eastAsia="方正仿宋_GBK" w:cs="Times New Roman"/>
          <w:b/>
          <w:bCs/>
          <w:color w:val="auto"/>
          <w:sz w:val="32"/>
          <w:szCs w:val="32"/>
          <w:highlight w:val="none"/>
          <w:lang w:val="en-US" w:eastAsia="zh-CN"/>
        </w:rPr>
        <w:t>18.33</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1.15</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b/>
          <w:bCs/>
          <w:color w:val="auto"/>
          <w:sz w:val="32"/>
          <w:szCs w:val="32"/>
          <w:highlight w:val="none"/>
        </w:rPr>
        <w:t>住房保障支出</w:t>
      </w:r>
      <w:r>
        <w:rPr>
          <w:rFonts w:hint="default" w:ascii="Times New Roman" w:hAnsi="Times New Roman" w:eastAsia="方正仿宋_GBK" w:cs="Times New Roman"/>
          <w:b/>
          <w:bCs/>
          <w:color w:val="auto"/>
          <w:sz w:val="32"/>
          <w:szCs w:val="32"/>
          <w:highlight w:val="none"/>
          <w:lang w:val="en-US" w:eastAsia="zh-CN"/>
        </w:rPr>
        <w:t>28.60</w:t>
      </w:r>
      <w:r>
        <w:rPr>
          <w:rFonts w:hint="default" w:ascii="Times New Roman" w:hAnsi="Times New Roman" w:eastAsia="方正仿宋_GBK" w:cs="Times New Roman"/>
          <w:color w:val="auto"/>
          <w:sz w:val="32"/>
          <w:szCs w:val="32"/>
          <w:highlight w:val="none"/>
        </w:rPr>
        <w:t>万元，占</w:t>
      </w:r>
      <w:r>
        <w:rPr>
          <w:rFonts w:hint="default" w:ascii="Times New Roman" w:hAnsi="Times New Roman" w:eastAsia="方正仿宋_GBK" w:cs="Times New Roman"/>
          <w:color w:val="auto"/>
          <w:sz w:val="32"/>
          <w:szCs w:val="32"/>
          <w:highlight w:val="none"/>
          <w:lang w:val="en-US" w:eastAsia="zh-CN"/>
        </w:rPr>
        <w:t>1.8</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农林水支出</w:t>
      </w:r>
      <w:r>
        <w:rPr>
          <w:rFonts w:hint="default" w:ascii="Times New Roman" w:hAnsi="Times New Roman" w:eastAsia="方正仿宋_GBK" w:cs="Times New Roman"/>
          <w:color w:val="auto"/>
          <w:sz w:val="32"/>
          <w:szCs w:val="32"/>
          <w:highlight w:val="none"/>
          <w:lang w:val="en-US" w:eastAsia="zh-CN"/>
        </w:rPr>
        <w:t>262万元，占16.50%；商业服务业等支出748万元，占47.10%</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部门财政拨款结转结余情况</w:t>
      </w:r>
    </w:p>
    <w:p>
      <w:pPr>
        <w:pStyle w:val="5"/>
        <w:keepNext w:val="0"/>
        <w:keepLines w:val="0"/>
        <w:pageBreakBefore w:val="0"/>
        <w:numPr>
          <w:ilvl w:val="0"/>
          <w:numId w:val="0"/>
        </w:numPr>
        <w:kinsoku/>
        <w:wordWrap/>
        <w:overflowPunct/>
        <w:topLinePunct w:val="0"/>
        <w:autoSpaceDE/>
        <w:autoSpaceDN/>
        <w:bidi w:val="0"/>
        <w:spacing w:beforeLines="0" w:line="560"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highlight w:val="none"/>
          <w:lang w:val="en-US" w:eastAsia="zh-CN" w:bidi="ar-SA"/>
        </w:rPr>
        <w:t>财政拨款当年无结转结余资金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line="560" w:lineRule="exact"/>
        <w:ind w:left="0" w:lef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黑体" w:hAnsi="黑体" w:eastAsia="黑体" w:cs="黑体"/>
          <w:color w:val="auto"/>
          <w:kern w:val="0"/>
          <w:sz w:val="32"/>
          <w:szCs w:val="32"/>
          <w:highlight w:val="none"/>
          <w:shd w:val="clear" w:color="auto" w:fill="FFFFFF"/>
          <w:lang w:val="en-US" w:eastAsia="zh-CN"/>
        </w:rPr>
        <w:t>六</w:t>
      </w:r>
      <w:r>
        <w:rPr>
          <w:rFonts w:hint="eastAsia" w:ascii="黑体" w:hAnsi="黑体" w:eastAsia="黑体" w:cs="黑体"/>
          <w:color w:val="auto"/>
          <w:kern w:val="0"/>
          <w:sz w:val="32"/>
          <w:szCs w:val="32"/>
          <w:highlight w:val="none"/>
          <w:shd w:val="clear" w:color="auto" w:fill="FFFFFF"/>
        </w:rPr>
        <w:t>、</w:t>
      </w:r>
      <w:r>
        <w:rPr>
          <w:rFonts w:hint="eastAsia" w:ascii="黑体" w:hAnsi="黑体" w:eastAsia="黑体" w:cs="黑体"/>
          <w:color w:val="auto"/>
          <w:kern w:val="0"/>
          <w:sz w:val="32"/>
          <w:szCs w:val="32"/>
          <w:highlight w:val="none"/>
          <w:u w:val="none"/>
          <w:shd w:val="clear" w:color="auto" w:fill="FFFFFF"/>
        </w:rPr>
        <w:t>部门整体绩效</w:t>
      </w:r>
      <w:r>
        <w:rPr>
          <w:rFonts w:hint="eastAsia" w:ascii="黑体" w:hAnsi="黑体" w:eastAsia="黑体" w:cs="黑体"/>
          <w:color w:val="auto"/>
          <w:kern w:val="0"/>
          <w:sz w:val="32"/>
          <w:szCs w:val="32"/>
          <w:highlight w:val="none"/>
          <w:u w:val="none"/>
          <w:shd w:val="clear" w:color="auto" w:fill="FFFFFF"/>
          <w:lang w:eastAsia="zh-CN"/>
        </w:rPr>
        <w:t>分析</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方正楷体_GBK" w:hAnsi="方正楷体_GBK" w:eastAsia="方正楷体_GBK" w:cs="方正楷体_GBK"/>
          <w:b w:val="0"/>
          <w:bCs w:val="0"/>
          <w:color w:val="auto"/>
          <w:kern w:val="0"/>
          <w:sz w:val="32"/>
          <w:szCs w:val="32"/>
          <w:highlight w:val="none"/>
          <w:shd w:val="clear" w:color="auto" w:fill="FFFFFF"/>
          <w:lang w:val="zh-CN"/>
        </w:rPr>
      </w:pPr>
      <w:r>
        <w:rPr>
          <w:rFonts w:hint="eastAsia" w:ascii="方正楷体_GBK" w:hAnsi="方正楷体_GBK" w:eastAsia="方正楷体_GBK" w:cs="方正楷体_GBK"/>
          <w:b w:val="0"/>
          <w:bCs w:val="0"/>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contextualSpacing/>
        <w:jc w:val="both"/>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1.人员类项目绩效分析</w:t>
      </w:r>
    </w:p>
    <w:p>
      <w:pPr>
        <w:pStyle w:val="5"/>
        <w:keepNext w:val="0"/>
        <w:keepLines w:val="0"/>
        <w:pageBreakBefore w:val="0"/>
        <w:kinsoku/>
        <w:wordWrap/>
        <w:overflowPunct/>
        <w:topLinePunct w:val="0"/>
        <w:autoSpaceDE/>
        <w:autoSpaceDN/>
        <w:bidi w:val="0"/>
        <w:spacing w:beforeLines="0" w:line="560" w:lineRule="exact"/>
        <w:ind w:left="0" w:leftChars="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人员经费</w:t>
      </w:r>
      <w:r>
        <w:rPr>
          <w:rFonts w:hint="default" w:ascii="Times New Roman" w:hAnsi="Times New Roman" w:eastAsia="方正仿宋_GBK" w:cs="Times New Roman"/>
          <w:color w:val="auto"/>
          <w:sz w:val="32"/>
          <w:szCs w:val="32"/>
          <w:highlight w:val="none"/>
          <w:lang w:val="en-US" w:eastAsia="zh-CN"/>
        </w:rPr>
        <w:t>412.98</w:t>
      </w:r>
      <w:r>
        <w:rPr>
          <w:rFonts w:hint="default" w:ascii="Times New Roman" w:hAnsi="Times New Roman" w:eastAsia="方正仿宋_GBK" w:cs="Times New Roman"/>
          <w:color w:val="auto"/>
          <w:sz w:val="32"/>
          <w:szCs w:val="32"/>
          <w:highlight w:val="none"/>
        </w:rPr>
        <w:t>万元，主要包括：基本工资</w:t>
      </w:r>
      <w:r>
        <w:rPr>
          <w:rFonts w:hint="default" w:ascii="Times New Roman" w:hAnsi="Times New Roman" w:eastAsia="方正仿宋_GBK" w:cs="Times New Roman"/>
          <w:color w:val="auto"/>
          <w:sz w:val="32"/>
          <w:szCs w:val="32"/>
          <w:highlight w:val="none"/>
          <w:lang w:val="en-US" w:eastAsia="zh-CN"/>
        </w:rPr>
        <w:t>83.73万元</w:t>
      </w:r>
      <w:r>
        <w:rPr>
          <w:rFonts w:hint="default" w:ascii="Times New Roman" w:hAnsi="Times New Roman" w:eastAsia="方正仿宋_GBK" w:cs="Times New Roman"/>
          <w:color w:val="auto"/>
          <w:sz w:val="32"/>
          <w:szCs w:val="32"/>
          <w:highlight w:val="none"/>
        </w:rPr>
        <w:t>、津贴补贴</w:t>
      </w:r>
      <w:r>
        <w:rPr>
          <w:rFonts w:hint="default" w:ascii="Times New Roman" w:hAnsi="Times New Roman" w:eastAsia="方正仿宋_GBK" w:cs="Times New Roman"/>
          <w:color w:val="auto"/>
          <w:sz w:val="32"/>
          <w:szCs w:val="32"/>
          <w:highlight w:val="none"/>
          <w:lang w:val="en-US" w:eastAsia="zh-CN"/>
        </w:rPr>
        <w:t>57.15万元</w:t>
      </w:r>
      <w:r>
        <w:rPr>
          <w:rFonts w:hint="default" w:ascii="Times New Roman" w:hAnsi="Times New Roman" w:eastAsia="方正仿宋_GBK" w:cs="Times New Roman"/>
          <w:color w:val="auto"/>
          <w:sz w:val="32"/>
          <w:szCs w:val="32"/>
          <w:highlight w:val="none"/>
        </w:rPr>
        <w:t>、奖金</w:t>
      </w:r>
      <w:r>
        <w:rPr>
          <w:rFonts w:hint="default" w:ascii="Times New Roman" w:hAnsi="Times New Roman" w:eastAsia="方正仿宋_GBK" w:cs="Times New Roman"/>
          <w:color w:val="auto"/>
          <w:sz w:val="32"/>
          <w:szCs w:val="32"/>
          <w:highlight w:val="none"/>
          <w:lang w:val="en-US" w:eastAsia="zh-CN"/>
        </w:rPr>
        <w:t>94.80万元</w:t>
      </w:r>
      <w:r>
        <w:rPr>
          <w:rFonts w:hint="default" w:ascii="Times New Roman" w:hAnsi="Times New Roman" w:eastAsia="方正仿宋_GBK" w:cs="Times New Roman"/>
          <w:color w:val="auto"/>
          <w:sz w:val="32"/>
          <w:szCs w:val="32"/>
          <w:highlight w:val="none"/>
        </w:rPr>
        <w:t>、机关事业单位基本养老保险缴费</w:t>
      </w:r>
      <w:r>
        <w:rPr>
          <w:rFonts w:hint="default" w:ascii="Times New Roman" w:hAnsi="Times New Roman" w:eastAsia="方正仿宋_GBK" w:cs="Times New Roman"/>
          <w:color w:val="auto"/>
          <w:sz w:val="32"/>
          <w:szCs w:val="32"/>
          <w:highlight w:val="none"/>
          <w:lang w:val="en-US" w:eastAsia="zh-CN"/>
        </w:rPr>
        <w:t>25.43万元</w:t>
      </w:r>
      <w:r>
        <w:rPr>
          <w:rFonts w:hint="default" w:ascii="Times New Roman" w:hAnsi="Times New Roman" w:eastAsia="方正仿宋_GBK" w:cs="Times New Roman"/>
          <w:color w:val="auto"/>
          <w:sz w:val="32"/>
          <w:szCs w:val="32"/>
          <w:highlight w:val="none"/>
        </w:rPr>
        <w:t>、职业年金缴费</w:t>
      </w:r>
      <w:r>
        <w:rPr>
          <w:rFonts w:hint="default" w:ascii="Times New Roman" w:hAnsi="Times New Roman" w:eastAsia="方正仿宋_GBK" w:cs="Times New Roman"/>
          <w:color w:val="auto"/>
          <w:sz w:val="32"/>
          <w:szCs w:val="32"/>
          <w:highlight w:val="none"/>
          <w:lang w:val="en-US" w:eastAsia="zh-CN"/>
        </w:rPr>
        <w:t>10.28万元</w:t>
      </w:r>
      <w:r>
        <w:rPr>
          <w:rFonts w:hint="default" w:ascii="Times New Roman" w:hAnsi="Times New Roman" w:eastAsia="方正仿宋_GBK" w:cs="Times New Roman"/>
          <w:color w:val="auto"/>
          <w:sz w:val="32"/>
          <w:szCs w:val="32"/>
          <w:highlight w:val="none"/>
        </w:rPr>
        <w:t>、其他社会保障缴费</w:t>
      </w:r>
      <w:r>
        <w:rPr>
          <w:rFonts w:hint="default" w:ascii="Times New Roman" w:hAnsi="Times New Roman" w:eastAsia="方正仿宋_GBK" w:cs="Times New Roman"/>
          <w:color w:val="auto"/>
          <w:sz w:val="32"/>
          <w:szCs w:val="32"/>
          <w:highlight w:val="none"/>
          <w:lang w:val="en-US" w:eastAsia="zh-CN"/>
        </w:rPr>
        <w:t>0.48万元</w:t>
      </w:r>
      <w:r>
        <w:rPr>
          <w:rFonts w:hint="default" w:ascii="Times New Roman" w:hAnsi="Times New Roman" w:eastAsia="方正仿宋_GBK" w:cs="Times New Roman"/>
          <w:color w:val="auto"/>
          <w:sz w:val="32"/>
          <w:szCs w:val="32"/>
          <w:highlight w:val="none"/>
        </w:rPr>
        <w:t>、其他工资福利支出</w:t>
      </w:r>
      <w:r>
        <w:rPr>
          <w:rFonts w:hint="default" w:ascii="Times New Roman" w:hAnsi="Times New Roman" w:eastAsia="方正仿宋_GBK" w:cs="Times New Roman"/>
          <w:color w:val="auto"/>
          <w:sz w:val="32"/>
          <w:szCs w:val="32"/>
          <w:highlight w:val="none"/>
          <w:lang w:val="en-US" w:eastAsia="zh-CN"/>
        </w:rPr>
        <w:t>14万元</w:t>
      </w:r>
      <w:r>
        <w:rPr>
          <w:rFonts w:hint="default" w:ascii="Times New Roman" w:hAnsi="Times New Roman" w:eastAsia="方正仿宋_GBK" w:cs="Times New Roman"/>
          <w:color w:val="auto"/>
          <w:sz w:val="32"/>
          <w:szCs w:val="32"/>
          <w:highlight w:val="none"/>
        </w:rPr>
        <w:t>、抚恤金</w:t>
      </w:r>
      <w:r>
        <w:rPr>
          <w:rFonts w:hint="default" w:ascii="Times New Roman" w:hAnsi="Times New Roman" w:eastAsia="方正仿宋_GBK" w:cs="Times New Roman"/>
          <w:color w:val="auto"/>
          <w:sz w:val="32"/>
          <w:szCs w:val="32"/>
          <w:highlight w:val="none"/>
          <w:lang w:val="en-US" w:eastAsia="zh-CN"/>
        </w:rPr>
        <w:t>18.62万元</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职工基本医疗保险缴费</w:t>
      </w:r>
      <w:r>
        <w:rPr>
          <w:rFonts w:hint="default" w:ascii="Times New Roman" w:hAnsi="Times New Roman" w:eastAsia="方正仿宋_GBK" w:cs="Times New Roman"/>
          <w:color w:val="auto"/>
          <w:sz w:val="32"/>
          <w:szCs w:val="32"/>
          <w:highlight w:val="none"/>
          <w:lang w:val="en-US" w:eastAsia="zh-CN"/>
        </w:rPr>
        <w:t>16.19万元</w:t>
      </w:r>
      <w:r>
        <w:rPr>
          <w:rFonts w:hint="default" w:ascii="Times New Roman" w:hAnsi="Times New Roman" w:eastAsia="方正仿宋_GBK" w:cs="Times New Roman"/>
          <w:color w:val="auto"/>
          <w:sz w:val="32"/>
          <w:szCs w:val="32"/>
          <w:highlight w:val="none"/>
        </w:rPr>
        <w:t>、医疗费补助</w:t>
      </w:r>
      <w:r>
        <w:rPr>
          <w:rFonts w:hint="default" w:ascii="Times New Roman" w:hAnsi="Times New Roman" w:eastAsia="方正仿宋_GBK" w:cs="Times New Roman"/>
          <w:color w:val="auto"/>
          <w:sz w:val="32"/>
          <w:szCs w:val="32"/>
          <w:highlight w:val="none"/>
          <w:lang w:val="en-US" w:eastAsia="zh-CN"/>
        </w:rPr>
        <w:t>2.14万元</w:t>
      </w:r>
      <w:r>
        <w:rPr>
          <w:rFonts w:hint="default" w:ascii="Times New Roman" w:hAnsi="Times New Roman" w:eastAsia="方正仿宋_GBK" w:cs="Times New Roman"/>
          <w:color w:val="auto"/>
          <w:sz w:val="32"/>
          <w:szCs w:val="32"/>
          <w:highlight w:val="none"/>
        </w:rPr>
        <w:t>、奖励金</w:t>
      </w:r>
      <w:r>
        <w:rPr>
          <w:rFonts w:hint="default" w:ascii="Times New Roman" w:hAnsi="Times New Roman" w:eastAsia="方正仿宋_GBK" w:cs="Times New Roman"/>
          <w:color w:val="auto"/>
          <w:sz w:val="32"/>
          <w:szCs w:val="32"/>
          <w:highlight w:val="none"/>
          <w:lang w:val="en-US" w:eastAsia="zh-CN"/>
        </w:rPr>
        <w:t>36.07万元</w:t>
      </w:r>
      <w:r>
        <w:rPr>
          <w:rFonts w:hint="default" w:ascii="Times New Roman" w:hAnsi="Times New Roman" w:eastAsia="方正仿宋_GBK" w:cs="Times New Roman"/>
          <w:color w:val="auto"/>
          <w:sz w:val="32"/>
          <w:szCs w:val="32"/>
          <w:highlight w:val="none"/>
        </w:rPr>
        <w:t>、住房公积金</w:t>
      </w:r>
      <w:r>
        <w:rPr>
          <w:rFonts w:hint="default" w:ascii="Times New Roman" w:hAnsi="Times New Roman" w:eastAsia="方正仿宋_GBK" w:cs="Times New Roman"/>
          <w:color w:val="auto"/>
          <w:sz w:val="32"/>
          <w:szCs w:val="32"/>
          <w:highlight w:val="none"/>
          <w:lang w:val="en-US" w:eastAsia="zh-CN"/>
        </w:rPr>
        <w:t>28.61万元</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生活补助</w:t>
      </w:r>
      <w:r>
        <w:rPr>
          <w:rFonts w:hint="default" w:ascii="Times New Roman" w:hAnsi="Times New Roman" w:eastAsia="方正仿宋_GBK" w:cs="Times New Roman"/>
          <w:color w:val="auto"/>
          <w:sz w:val="32"/>
          <w:szCs w:val="32"/>
          <w:highlight w:val="none"/>
          <w:lang w:val="en-US" w:eastAsia="zh-CN"/>
        </w:rPr>
        <w:t>21.42万元、</w:t>
      </w:r>
      <w:r>
        <w:rPr>
          <w:rFonts w:hint="default" w:ascii="Times New Roman" w:hAnsi="Times New Roman" w:eastAsia="方正仿宋_GBK" w:cs="Times New Roman"/>
          <w:color w:val="auto"/>
          <w:sz w:val="32"/>
          <w:szCs w:val="32"/>
          <w:highlight w:val="none"/>
        </w:rPr>
        <w:t>其他对个人和家庭的补助支出</w:t>
      </w:r>
      <w:r>
        <w:rPr>
          <w:rFonts w:hint="default" w:ascii="Times New Roman" w:hAnsi="Times New Roman" w:eastAsia="方正仿宋_GBK" w:cs="Times New Roman"/>
          <w:color w:val="auto"/>
          <w:sz w:val="32"/>
          <w:szCs w:val="32"/>
          <w:highlight w:val="none"/>
          <w:lang w:val="en-US" w:eastAsia="zh-CN"/>
        </w:rPr>
        <w:t>4.05万元</w:t>
      </w:r>
      <w:r>
        <w:rPr>
          <w:rFonts w:hint="default" w:ascii="Times New Roman" w:hAnsi="Times New Roman" w:eastAsia="方正仿宋_GBK" w:cs="Times New Roman"/>
          <w:color w:val="auto"/>
          <w:sz w:val="32"/>
          <w:szCs w:val="32"/>
          <w:highlight w:val="none"/>
        </w:rPr>
        <w:t>等。</w:t>
      </w:r>
    </w:p>
    <w:p>
      <w:pPr>
        <w:pStyle w:val="5"/>
        <w:keepNext w:val="0"/>
        <w:keepLines w:val="0"/>
        <w:pageBreakBefore w:val="0"/>
        <w:kinsoku/>
        <w:wordWrap/>
        <w:overflowPunct/>
        <w:topLinePunct w:val="0"/>
        <w:autoSpaceDE/>
        <w:autoSpaceDN/>
        <w:bidi w:val="0"/>
        <w:spacing w:beforeLines="0" w:line="560" w:lineRule="exact"/>
        <w:ind w:left="0" w:leftChars="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运转类项目绩效分析</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公用经费</w:t>
      </w:r>
      <w:r>
        <w:rPr>
          <w:rFonts w:hint="default" w:ascii="Times New Roman" w:hAnsi="Times New Roman" w:eastAsia="方正仿宋_GBK" w:cs="Times New Roman"/>
          <w:color w:val="auto"/>
          <w:sz w:val="32"/>
          <w:szCs w:val="32"/>
          <w:highlight w:val="none"/>
          <w:lang w:val="en-US" w:eastAsia="zh-CN"/>
        </w:rPr>
        <w:t>43.33</w:t>
      </w:r>
      <w:r>
        <w:rPr>
          <w:rFonts w:hint="default" w:ascii="Times New Roman" w:hAnsi="Times New Roman" w:eastAsia="方正仿宋_GBK" w:cs="Times New Roman"/>
          <w:color w:val="auto"/>
          <w:sz w:val="32"/>
          <w:szCs w:val="32"/>
          <w:highlight w:val="none"/>
        </w:rPr>
        <w:t>万元，主要包括：办公费</w:t>
      </w:r>
      <w:r>
        <w:rPr>
          <w:rFonts w:hint="default" w:ascii="Times New Roman" w:hAnsi="Times New Roman" w:eastAsia="方正仿宋_GBK" w:cs="Times New Roman"/>
          <w:color w:val="auto"/>
          <w:sz w:val="32"/>
          <w:szCs w:val="32"/>
          <w:highlight w:val="none"/>
          <w:lang w:val="en-US" w:eastAsia="zh-CN"/>
        </w:rPr>
        <w:t>9.70万元</w:t>
      </w:r>
      <w:r>
        <w:rPr>
          <w:rFonts w:hint="default" w:ascii="Times New Roman" w:hAnsi="Times New Roman" w:eastAsia="方正仿宋_GBK" w:cs="Times New Roman"/>
          <w:color w:val="auto"/>
          <w:sz w:val="32"/>
          <w:szCs w:val="32"/>
          <w:highlight w:val="none"/>
        </w:rPr>
        <w:t>、咨询费</w:t>
      </w:r>
      <w:r>
        <w:rPr>
          <w:rFonts w:hint="default" w:ascii="Times New Roman" w:hAnsi="Times New Roman" w:eastAsia="方正仿宋_GBK" w:cs="Times New Roman"/>
          <w:color w:val="auto"/>
          <w:sz w:val="32"/>
          <w:szCs w:val="32"/>
          <w:highlight w:val="none"/>
          <w:lang w:val="en-US" w:eastAsia="zh-CN"/>
        </w:rPr>
        <w:t>1.00万元</w:t>
      </w:r>
      <w:r>
        <w:rPr>
          <w:rFonts w:hint="default" w:ascii="Times New Roman" w:hAnsi="Times New Roman" w:eastAsia="方正仿宋_GBK" w:cs="Times New Roman"/>
          <w:color w:val="auto"/>
          <w:sz w:val="32"/>
          <w:szCs w:val="32"/>
          <w:highlight w:val="none"/>
        </w:rPr>
        <w:t>、水费</w:t>
      </w:r>
      <w:r>
        <w:rPr>
          <w:rFonts w:hint="default" w:ascii="Times New Roman" w:hAnsi="Times New Roman" w:eastAsia="方正仿宋_GBK" w:cs="Times New Roman"/>
          <w:color w:val="auto"/>
          <w:sz w:val="32"/>
          <w:szCs w:val="32"/>
          <w:highlight w:val="none"/>
          <w:lang w:val="en-US" w:eastAsia="zh-CN"/>
        </w:rPr>
        <w:t>0.2万元</w:t>
      </w:r>
      <w:r>
        <w:rPr>
          <w:rFonts w:hint="default" w:ascii="Times New Roman" w:hAnsi="Times New Roman" w:eastAsia="方正仿宋_GBK" w:cs="Times New Roman"/>
          <w:color w:val="auto"/>
          <w:sz w:val="32"/>
          <w:szCs w:val="32"/>
          <w:highlight w:val="none"/>
        </w:rPr>
        <w:t>、电费</w:t>
      </w:r>
      <w:r>
        <w:rPr>
          <w:rFonts w:hint="default" w:ascii="Times New Roman" w:hAnsi="Times New Roman" w:eastAsia="方正仿宋_GBK" w:cs="Times New Roman"/>
          <w:color w:val="auto"/>
          <w:sz w:val="32"/>
          <w:szCs w:val="32"/>
          <w:highlight w:val="none"/>
          <w:lang w:val="en-US" w:eastAsia="zh-CN"/>
        </w:rPr>
        <w:t>1.75万元</w:t>
      </w:r>
      <w:r>
        <w:rPr>
          <w:rFonts w:hint="default" w:ascii="Times New Roman" w:hAnsi="Times New Roman" w:eastAsia="方正仿宋_GBK" w:cs="Times New Roman"/>
          <w:color w:val="auto"/>
          <w:sz w:val="32"/>
          <w:szCs w:val="32"/>
          <w:highlight w:val="none"/>
        </w:rPr>
        <w:t>、邮电费</w:t>
      </w:r>
      <w:r>
        <w:rPr>
          <w:rFonts w:hint="default" w:ascii="Times New Roman" w:hAnsi="Times New Roman" w:eastAsia="方正仿宋_GBK" w:cs="Times New Roman"/>
          <w:color w:val="auto"/>
          <w:sz w:val="32"/>
          <w:szCs w:val="32"/>
          <w:highlight w:val="none"/>
          <w:lang w:val="en-US" w:eastAsia="zh-CN"/>
        </w:rPr>
        <w:t>6.50万元</w:t>
      </w:r>
      <w:r>
        <w:rPr>
          <w:rFonts w:hint="default" w:ascii="Times New Roman" w:hAnsi="Times New Roman" w:eastAsia="方正仿宋_GBK" w:cs="Times New Roman"/>
          <w:color w:val="auto"/>
          <w:sz w:val="32"/>
          <w:szCs w:val="32"/>
          <w:highlight w:val="none"/>
        </w:rPr>
        <w:t>、差旅费</w:t>
      </w:r>
      <w:r>
        <w:rPr>
          <w:rFonts w:hint="default" w:ascii="Times New Roman" w:hAnsi="Times New Roman" w:eastAsia="方正仿宋_GBK" w:cs="Times New Roman"/>
          <w:color w:val="auto"/>
          <w:sz w:val="32"/>
          <w:szCs w:val="32"/>
          <w:highlight w:val="none"/>
          <w:lang w:val="en-US" w:eastAsia="zh-CN"/>
        </w:rPr>
        <w:t>8.00万元</w:t>
      </w:r>
      <w:r>
        <w:rPr>
          <w:rFonts w:hint="default" w:ascii="Times New Roman" w:hAnsi="Times New Roman" w:eastAsia="方正仿宋_GBK" w:cs="Times New Roman"/>
          <w:color w:val="auto"/>
          <w:sz w:val="32"/>
          <w:szCs w:val="32"/>
          <w:highlight w:val="none"/>
        </w:rPr>
        <w:t>、维修（护）费</w:t>
      </w:r>
      <w:r>
        <w:rPr>
          <w:rFonts w:hint="default" w:ascii="Times New Roman" w:hAnsi="Times New Roman" w:eastAsia="方正仿宋_GBK" w:cs="Times New Roman"/>
          <w:color w:val="auto"/>
          <w:sz w:val="32"/>
          <w:szCs w:val="32"/>
          <w:highlight w:val="none"/>
          <w:lang w:val="en-US" w:eastAsia="zh-CN"/>
        </w:rPr>
        <w:t>0.25万元</w:t>
      </w:r>
      <w:r>
        <w:rPr>
          <w:rFonts w:hint="default" w:ascii="Times New Roman" w:hAnsi="Times New Roman" w:eastAsia="方正仿宋_GBK" w:cs="Times New Roman"/>
          <w:color w:val="auto"/>
          <w:sz w:val="32"/>
          <w:szCs w:val="32"/>
          <w:highlight w:val="none"/>
        </w:rPr>
        <w:t>、公务接待费</w:t>
      </w:r>
      <w:r>
        <w:rPr>
          <w:rFonts w:hint="default" w:ascii="Times New Roman" w:hAnsi="Times New Roman" w:eastAsia="方正仿宋_GBK" w:cs="Times New Roman"/>
          <w:color w:val="auto"/>
          <w:sz w:val="32"/>
          <w:szCs w:val="32"/>
          <w:highlight w:val="none"/>
          <w:lang w:val="en-US" w:eastAsia="zh-CN"/>
        </w:rPr>
        <w:t>0.25万元</w:t>
      </w:r>
      <w:r>
        <w:rPr>
          <w:rFonts w:hint="default" w:ascii="Times New Roman" w:hAnsi="Times New Roman" w:eastAsia="方正仿宋_GBK" w:cs="Times New Roman"/>
          <w:color w:val="auto"/>
          <w:sz w:val="32"/>
          <w:szCs w:val="32"/>
          <w:highlight w:val="none"/>
        </w:rPr>
        <w:t>、工会经费</w:t>
      </w:r>
      <w:r>
        <w:rPr>
          <w:rFonts w:hint="default" w:ascii="Times New Roman" w:hAnsi="Times New Roman" w:eastAsia="方正仿宋_GBK" w:cs="Times New Roman"/>
          <w:color w:val="auto"/>
          <w:sz w:val="32"/>
          <w:szCs w:val="32"/>
          <w:highlight w:val="none"/>
          <w:lang w:val="en-US" w:eastAsia="zh-CN"/>
        </w:rPr>
        <w:t>2.86万元</w:t>
      </w:r>
      <w:r>
        <w:rPr>
          <w:rFonts w:hint="default" w:ascii="Times New Roman" w:hAnsi="Times New Roman" w:eastAsia="方正仿宋_GBK" w:cs="Times New Roman"/>
          <w:color w:val="auto"/>
          <w:sz w:val="32"/>
          <w:szCs w:val="32"/>
          <w:highlight w:val="none"/>
        </w:rPr>
        <w:t>、福利费、其他交通费</w:t>
      </w:r>
      <w:r>
        <w:rPr>
          <w:rFonts w:hint="default" w:ascii="Times New Roman" w:hAnsi="Times New Roman" w:eastAsia="方正仿宋_GBK" w:cs="Times New Roman"/>
          <w:color w:val="auto"/>
          <w:sz w:val="32"/>
          <w:szCs w:val="32"/>
          <w:highlight w:val="none"/>
          <w:lang w:val="en-US" w:eastAsia="zh-CN"/>
        </w:rPr>
        <w:t>10.82万元</w:t>
      </w:r>
      <w:r>
        <w:rPr>
          <w:rFonts w:hint="default" w:ascii="Times New Roman" w:hAnsi="Times New Roman" w:eastAsia="方正仿宋_GBK" w:cs="Times New Roman"/>
          <w:color w:val="auto"/>
          <w:sz w:val="32"/>
          <w:szCs w:val="32"/>
          <w:highlight w:val="none"/>
        </w:rPr>
        <w:t>、其他商品和服务支出</w:t>
      </w:r>
      <w:r>
        <w:rPr>
          <w:rFonts w:hint="default" w:ascii="Times New Roman" w:hAnsi="Times New Roman" w:eastAsia="方正仿宋_GBK" w:cs="Times New Roman"/>
          <w:color w:val="auto"/>
          <w:sz w:val="32"/>
          <w:szCs w:val="32"/>
          <w:highlight w:val="none"/>
          <w:lang w:val="en-US" w:eastAsia="zh-CN"/>
        </w:rPr>
        <w:t>2.00万元</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pPr>
      <w:r>
        <w:rPr>
          <w:rFonts w:hint="eastAsia"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特定目标类项目绩效分析</w:t>
      </w:r>
    </w:p>
    <w:p>
      <w:pPr>
        <w:pStyle w:val="5"/>
        <w:keepNext w:val="0"/>
        <w:keepLines w:val="0"/>
        <w:pageBreakBefore w:val="0"/>
        <w:numPr>
          <w:ilvl w:val="0"/>
          <w:numId w:val="1"/>
        </w:numPr>
        <w:kinsoku/>
        <w:wordWrap/>
        <w:overflowPunct/>
        <w:topLinePunct w:val="0"/>
        <w:autoSpaceDE/>
        <w:autoSpaceDN/>
        <w:bidi w:val="0"/>
        <w:spacing w:beforeLines="0" w:line="560" w:lineRule="exact"/>
        <w:ind w:left="0" w:leftChars="0" w:firstLine="640" w:firstLineChars="200"/>
        <w:jc w:val="both"/>
        <w:textAlignment w:val="auto"/>
        <w:rPr>
          <w:rFonts w:hint="default" w:ascii="Times New Roman" w:hAnsi="Times New Roman" w:eastAsia="方正仿宋_GBK" w:cs="Times New Roman"/>
          <w:i w:val="0"/>
          <w:iCs w:val="0"/>
          <w:snapToGrid w:val="0"/>
          <w:color w:val="auto"/>
          <w:kern w:val="0"/>
          <w:sz w:val="32"/>
          <w:szCs w:val="32"/>
          <w:u w:val="none"/>
          <w:lang w:val="en-US" w:eastAsia="zh-CN" w:bidi="ar"/>
        </w:rPr>
      </w:pPr>
      <w:r>
        <w:rPr>
          <w:rFonts w:hint="default" w:ascii="Times New Roman" w:hAnsi="Times New Roman" w:eastAsia="方正仿宋_GBK" w:cs="Times New Roman"/>
          <w:i w:val="0"/>
          <w:iCs w:val="0"/>
          <w:snapToGrid w:val="0"/>
          <w:color w:val="auto"/>
          <w:kern w:val="0"/>
          <w:sz w:val="32"/>
          <w:szCs w:val="32"/>
          <w:u w:val="none"/>
          <w:lang w:val="en-US" w:eastAsia="zh-CN" w:bidi="ar"/>
        </w:rPr>
        <w:t>社消零联网直报工作经费：2022年，全区服务业增加值达到79亿元，服务业增加值増浮达到8%，服务业增加值GDP比重达到46.5%</w:t>
      </w:r>
    </w:p>
    <w:p>
      <w:pPr>
        <w:pStyle w:val="5"/>
        <w:keepNext w:val="0"/>
        <w:keepLines w:val="0"/>
        <w:pageBreakBefore w:val="0"/>
        <w:numPr>
          <w:ilvl w:val="0"/>
          <w:numId w:val="1"/>
        </w:numPr>
        <w:kinsoku/>
        <w:wordWrap/>
        <w:overflowPunct/>
        <w:topLinePunct w:val="0"/>
        <w:autoSpaceDE/>
        <w:autoSpaceDN/>
        <w:bidi w:val="0"/>
        <w:spacing w:beforeLines="0" w:line="560" w:lineRule="exact"/>
        <w:ind w:left="0" w:leftChars="0" w:firstLine="640" w:firstLineChars="200"/>
        <w:jc w:val="both"/>
        <w:textAlignment w:val="auto"/>
        <w:rPr>
          <w:rFonts w:hint="default" w:ascii="Times New Roman" w:hAnsi="Times New Roman" w:eastAsia="方正仿宋_GBK" w:cs="Times New Roman"/>
          <w:i w:val="0"/>
          <w:iCs w:val="0"/>
          <w:snapToGrid w:val="0"/>
          <w:color w:val="auto"/>
          <w:kern w:val="0"/>
          <w:sz w:val="32"/>
          <w:szCs w:val="32"/>
          <w:u w:val="none"/>
          <w:lang w:val="en-US" w:eastAsia="zh-CN" w:bidi="ar"/>
        </w:rPr>
      </w:pPr>
      <w:r>
        <w:rPr>
          <w:rFonts w:hint="default" w:ascii="Times New Roman" w:hAnsi="Times New Roman" w:eastAsia="方正仿宋_GBK" w:cs="Times New Roman"/>
          <w:i w:val="0"/>
          <w:iCs w:val="0"/>
          <w:snapToGrid w:val="0"/>
          <w:color w:val="auto"/>
          <w:kern w:val="0"/>
          <w:sz w:val="32"/>
          <w:szCs w:val="32"/>
          <w:u w:val="none"/>
          <w:lang w:val="en-US" w:eastAsia="zh-CN" w:bidi="ar"/>
        </w:rPr>
        <w:t>外贸出口创汇工作经费：2022年12月完成11000万元外贸出口任</w:t>
      </w:r>
    </w:p>
    <w:p>
      <w:pPr>
        <w:pStyle w:val="5"/>
        <w:keepNext w:val="0"/>
        <w:keepLines w:val="0"/>
        <w:pageBreakBefore w:val="0"/>
        <w:numPr>
          <w:ilvl w:val="0"/>
          <w:numId w:val="1"/>
        </w:numPr>
        <w:kinsoku/>
        <w:wordWrap/>
        <w:overflowPunct/>
        <w:topLinePunct w:val="0"/>
        <w:autoSpaceDE/>
        <w:autoSpaceDN/>
        <w:bidi w:val="0"/>
        <w:spacing w:beforeLines="0" w:line="560" w:lineRule="exact"/>
        <w:ind w:left="0" w:leftChars="0" w:firstLine="640" w:firstLineChars="200"/>
        <w:jc w:val="both"/>
        <w:textAlignment w:val="auto"/>
        <w:rPr>
          <w:rFonts w:hint="default" w:ascii="Times New Roman" w:hAnsi="Times New Roman" w:eastAsia="方正仿宋_GBK" w:cs="Times New Roman"/>
          <w:i w:val="0"/>
          <w:iCs w:val="0"/>
          <w:snapToGrid w:val="0"/>
          <w:color w:val="auto"/>
          <w:kern w:val="0"/>
          <w:sz w:val="32"/>
          <w:szCs w:val="32"/>
          <w:u w:val="none"/>
          <w:lang w:val="en-US" w:eastAsia="zh-CN" w:bidi="ar"/>
        </w:rPr>
      </w:pPr>
      <w:r>
        <w:rPr>
          <w:rFonts w:hint="default" w:ascii="Times New Roman" w:hAnsi="Times New Roman" w:eastAsia="方正仿宋_GBK" w:cs="Times New Roman"/>
          <w:i w:val="0"/>
          <w:iCs w:val="0"/>
          <w:snapToGrid w:val="0"/>
          <w:color w:val="auto"/>
          <w:kern w:val="0"/>
          <w:sz w:val="32"/>
          <w:szCs w:val="32"/>
          <w:u w:val="none"/>
          <w:lang w:val="en-US" w:eastAsia="zh-CN" w:bidi="ar"/>
        </w:rPr>
        <w:t>东西部协作项目工作经费：</w:t>
      </w:r>
      <w:r>
        <w:rPr>
          <w:rFonts w:hint="default" w:ascii="Times New Roman" w:hAnsi="Times New Roman" w:eastAsia="方正仿宋_GBK" w:cs="Times New Roman"/>
          <w:color w:val="auto"/>
          <w:sz w:val="32"/>
          <w:szCs w:val="32"/>
          <w:lang w:eastAsia="zh-CN"/>
        </w:rPr>
        <w:t>新建义乌巴中物流专线，投资</w:t>
      </w:r>
      <w:r>
        <w:rPr>
          <w:rFonts w:hint="default" w:ascii="Times New Roman" w:hAnsi="Times New Roman" w:eastAsia="方正仿宋_GBK" w:cs="Times New Roman"/>
          <w:color w:val="auto"/>
          <w:sz w:val="32"/>
          <w:szCs w:val="32"/>
          <w:lang w:val="en-US" w:eastAsia="zh-CN"/>
        </w:rPr>
        <w:t>560万元新建川东北商贸物流中心。</w:t>
      </w:r>
    </w:p>
    <w:p>
      <w:pPr>
        <w:pStyle w:val="5"/>
        <w:keepNext w:val="0"/>
        <w:keepLines w:val="0"/>
        <w:pageBreakBefore w:val="0"/>
        <w:numPr>
          <w:ilvl w:val="0"/>
          <w:numId w:val="1"/>
        </w:numPr>
        <w:kinsoku/>
        <w:wordWrap/>
        <w:overflowPunct/>
        <w:topLinePunct w:val="0"/>
        <w:autoSpaceDE/>
        <w:autoSpaceDN/>
        <w:bidi w:val="0"/>
        <w:spacing w:beforeLines="0" w:line="560" w:lineRule="exact"/>
        <w:ind w:left="0" w:leftChars="0" w:firstLine="640" w:firstLineChars="200"/>
        <w:jc w:val="both"/>
        <w:textAlignment w:val="auto"/>
        <w:rPr>
          <w:rFonts w:hint="default" w:ascii="Times New Roman" w:hAnsi="Times New Roman" w:eastAsia="方正仿宋_GBK" w:cs="Times New Roman"/>
          <w:i w:val="0"/>
          <w:iCs w:val="0"/>
          <w:snapToGrid w:val="0"/>
          <w:color w:val="auto"/>
          <w:kern w:val="0"/>
          <w:sz w:val="32"/>
          <w:szCs w:val="32"/>
          <w:u w:val="none"/>
          <w:lang w:val="en-US" w:eastAsia="zh-CN" w:bidi="ar"/>
        </w:rPr>
      </w:pPr>
      <w:r>
        <w:rPr>
          <w:rFonts w:hint="default" w:ascii="Times New Roman" w:hAnsi="Times New Roman" w:eastAsia="方正仿宋_GBK" w:cs="Times New Roman"/>
          <w:i w:val="0"/>
          <w:iCs w:val="0"/>
          <w:snapToGrid w:val="0"/>
          <w:color w:val="auto"/>
          <w:kern w:val="0"/>
          <w:sz w:val="32"/>
          <w:szCs w:val="32"/>
          <w:u w:val="none"/>
          <w:lang w:val="en-US" w:eastAsia="zh-CN" w:bidi="ar"/>
        </w:rPr>
        <w:t>重要生活消费品市场监测工作经费：2022年保证在疫情防控下重要生活</w:t>
      </w:r>
      <w:r>
        <w:rPr>
          <w:rFonts w:hint="eastAsia" w:ascii="Times New Roman" w:eastAsia="方正仿宋_GBK" w:cs="Times New Roman"/>
          <w:i w:val="0"/>
          <w:iCs w:val="0"/>
          <w:snapToGrid w:val="0"/>
          <w:color w:val="auto"/>
          <w:kern w:val="0"/>
          <w:sz w:val="32"/>
          <w:szCs w:val="32"/>
          <w:u w:val="none"/>
          <w:lang w:val="en-US" w:eastAsia="zh-CN" w:bidi="ar"/>
        </w:rPr>
        <w:t>必需品</w:t>
      </w:r>
      <w:r>
        <w:rPr>
          <w:rFonts w:hint="default" w:ascii="Times New Roman" w:hAnsi="Times New Roman" w:eastAsia="方正仿宋_GBK" w:cs="Times New Roman"/>
          <w:i w:val="0"/>
          <w:iCs w:val="0"/>
          <w:snapToGrid w:val="0"/>
          <w:color w:val="auto"/>
          <w:kern w:val="0"/>
          <w:sz w:val="32"/>
          <w:szCs w:val="32"/>
          <w:u w:val="none"/>
          <w:lang w:val="en-US" w:eastAsia="zh-CN" w:bidi="ar"/>
        </w:rPr>
        <w:t>市场供给</w:t>
      </w:r>
    </w:p>
    <w:p>
      <w:pPr>
        <w:pStyle w:val="5"/>
        <w:keepNext w:val="0"/>
        <w:keepLines w:val="0"/>
        <w:pageBreakBefore w:val="0"/>
        <w:numPr>
          <w:ilvl w:val="0"/>
          <w:numId w:val="1"/>
        </w:numPr>
        <w:kinsoku/>
        <w:wordWrap/>
        <w:overflowPunct/>
        <w:topLinePunct w:val="0"/>
        <w:autoSpaceDE/>
        <w:autoSpaceDN/>
        <w:bidi w:val="0"/>
        <w:spacing w:beforeLines="0" w:line="560" w:lineRule="exact"/>
        <w:ind w:left="0" w:leftChars="0" w:firstLine="640" w:firstLineChars="200"/>
        <w:jc w:val="both"/>
        <w:textAlignment w:val="auto"/>
        <w:rPr>
          <w:rFonts w:hint="default" w:ascii="Times New Roman" w:hAnsi="Times New Roman" w:eastAsia="方正仿宋_GBK" w:cs="Times New Roman"/>
          <w:i w:val="0"/>
          <w:iCs w:val="0"/>
          <w:snapToGrid w:val="0"/>
          <w:color w:val="auto"/>
          <w:kern w:val="0"/>
          <w:sz w:val="32"/>
          <w:szCs w:val="32"/>
          <w:u w:val="none"/>
          <w:lang w:val="en-US" w:eastAsia="zh-CN" w:bidi="ar"/>
        </w:rPr>
      </w:pPr>
      <w:r>
        <w:rPr>
          <w:rFonts w:hint="default" w:ascii="Times New Roman" w:hAnsi="Times New Roman" w:eastAsia="方正仿宋_GBK" w:cs="Times New Roman"/>
          <w:i w:val="0"/>
          <w:iCs w:val="0"/>
          <w:snapToGrid w:val="0"/>
          <w:color w:val="auto"/>
          <w:kern w:val="0"/>
          <w:sz w:val="32"/>
          <w:szCs w:val="32"/>
          <w:u w:val="none"/>
          <w:lang w:val="en-US" w:eastAsia="zh-CN" w:bidi="ar"/>
        </w:rPr>
        <w:t>城区便民菜市店及乡镇农贸市场建设工作经费：</w:t>
      </w:r>
      <w:r>
        <w:rPr>
          <w:rFonts w:hint="default" w:ascii="Times New Roman" w:hAnsi="Times New Roman" w:eastAsia="方正仿宋_GBK" w:cs="Times New Roman"/>
          <w:color w:val="auto"/>
          <w:sz w:val="32"/>
          <w:szCs w:val="32"/>
          <w:lang w:eastAsia="zh-CN"/>
        </w:rPr>
        <w:t>新建和升级改造</w:t>
      </w:r>
      <w:r>
        <w:rPr>
          <w:rFonts w:hint="default" w:ascii="Times New Roman" w:hAnsi="Times New Roman" w:eastAsia="方正仿宋_GBK" w:cs="Times New Roman"/>
          <w:color w:val="auto"/>
          <w:sz w:val="32"/>
          <w:szCs w:val="32"/>
          <w:lang w:val="en-US" w:eastAsia="zh-CN"/>
        </w:rPr>
        <w:t>3个乡镇农贸市场</w:t>
      </w:r>
    </w:p>
    <w:p>
      <w:pPr>
        <w:pStyle w:val="5"/>
        <w:keepNext w:val="0"/>
        <w:keepLines w:val="0"/>
        <w:pageBreakBefore w:val="0"/>
        <w:numPr>
          <w:ilvl w:val="0"/>
          <w:numId w:val="1"/>
        </w:numPr>
        <w:kinsoku/>
        <w:wordWrap/>
        <w:overflowPunct/>
        <w:topLinePunct w:val="0"/>
        <w:autoSpaceDE/>
        <w:autoSpaceDN/>
        <w:bidi w:val="0"/>
        <w:spacing w:beforeLines="0" w:line="560" w:lineRule="exact"/>
        <w:ind w:left="0" w:leftChars="0" w:firstLine="640" w:firstLineChars="200"/>
        <w:jc w:val="both"/>
        <w:textAlignment w:val="auto"/>
        <w:rPr>
          <w:rFonts w:hint="default" w:ascii="Times New Roman" w:hAnsi="Times New Roman" w:eastAsia="方正仿宋_GBK" w:cs="Times New Roman"/>
          <w:i w:val="0"/>
          <w:iCs w:val="0"/>
          <w:snapToGrid w:val="0"/>
          <w:color w:val="auto"/>
          <w:kern w:val="0"/>
          <w:sz w:val="32"/>
          <w:szCs w:val="32"/>
          <w:u w:val="none"/>
          <w:lang w:val="en-US" w:eastAsia="zh-CN" w:bidi="ar"/>
        </w:rPr>
      </w:pPr>
      <w:r>
        <w:rPr>
          <w:rFonts w:hint="default" w:ascii="Times New Roman" w:hAnsi="Times New Roman" w:eastAsia="方正仿宋_GBK" w:cs="Times New Roman"/>
          <w:i w:val="0"/>
          <w:iCs w:val="0"/>
          <w:snapToGrid w:val="0"/>
          <w:color w:val="auto"/>
          <w:kern w:val="0"/>
          <w:sz w:val="32"/>
          <w:szCs w:val="32"/>
          <w:u w:val="none"/>
          <w:lang w:val="en-US" w:eastAsia="zh-CN" w:bidi="ar"/>
        </w:rPr>
        <w:t>限（规）企业入库奖励扶持资金：</w:t>
      </w:r>
      <w:r>
        <w:rPr>
          <w:rFonts w:hint="default" w:ascii="Times New Roman" w:hAnsi="Times New Roman" w:eastAsia="方正仿宋_GBK" w:cs="Times New Roman"/>
          <w:color w:val="auto"/>
          <w:sz w:val="32"/>
          <w:szCs w:val="32"/>
          <w:lang w:eastAsia="zh-CN"/>
        </w:rPr>
        <w:t>兑现以前年度限规企业</w:t>
      </w:r>
      <w:r>
        <w:rPr>
          <w:rFonts w:hint="default" w:ascii="Times New Roman" w:hAnsi="Times New Roman" w:eastAsia="方正仿宋_GBK" w:cs="Times New Roman"/>
          <w:color w:val="auto"/>
          <w:sz w:val="32"/>
          <w:szCs w:val="32"/>
          <w:lang w:val="en-US" w:eastAsia="zh-CN"/>
        </w:rPr>
        <w:t>33家</w:t>
      </w:r>
      <w:r>
        <w:rPr>
          <w:rFonts w:hint="default" w:ascii="Times New Roman" w:hAnsi="Times New Roman" w:eastAsia="方正仿宋_GBK" w:cs="Times New Roman"/>
          <w:color w:val="auto"/>
          <w:sz w:val="32"/>
          <w:szCs w:val="32"/>
          <w:lang w:eastAsia="zh-CN"/>
        </w:rPr>
        <w:t>入库奖励资金</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contextualSpacing/>
        <w:jc w:val="both"/>
        <w:textAlignment w:val="auto"/>
        <w:rPr>
          <w:rFonts w:hint="eastAsia" w:ascii="方正楷体_GBK" w:hAnsi="方正楷体_GBK" w:eastAsia="方正楷体_GBK" w:cs="方正楷体_GBK"/>
          <w:b w:val="0"/>
          <w:bCs w:val="0"/>
          <w:color w:val="auto"/>
          <w:kern w:val="0"/>
          <w:sz w:val="32"/>
          <w:szCs w:val="32"/>
          <w:highlight w:val="none"/>
          <w:shd w:val="clear" w:color="auto" w:fill="FFFFFF"/>
          <w:lang w:val="zh-CN"/>
        </w:rPr>
      </w:pPr>
      <w:r>
        <w:rPr>
          <w:rFonts w:hint="eastAsia" w:ascii="方正楷体_GBK" w:hAnsi="方正楷体_GBK" w:eastAsia="方正楷体_GBK" w:cs="方正楷体_GBK"/>
          <w:b w:val="0"/>
          <w:bCs w:val="0"/>
          <w:color w:val="auto"/>
          <w:kern w:val="0"/>
          <w:sz w:val="32"/>
          <w:szCs w:val="32"/>
          <w:highlight w:val="none"/>
          <w:shd w:val="clear" w:color="auto" w:fill="FFFFFF"/>
          <w:lang w:val="zh-CN"/>
        </w:rPr>
        <w:t>（二）部门整体履职绩效分析。</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我局建立了财务管理办法、公务卡管理办法、固定资产管理办法等规章制度。严格按照区财政局制定的公务接待、差旅费、培训费、会议费等相关管理办法，规范了公务支出管理。经费的开支管理及费用报销均严格执行相关制度规定，坚持勤俭节约，确保资金的规范使用与安全。对项目资金的实施、资金投向及调度安排、固定资产购置及交付使用进行跟踪管理，确保项目资金专款专用。对于批量及单价在规定金额以上的物品采购，均实行政府采购制度。年度计划、重大支出等重大事项均经过书记会议集体讨论决定。</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方正仿宋_GBK" w:cs="Times New Roman"/>
          <w:b/>
          <w:bCs/>
          <w:color w:val="auto"/>
          <w:kern w:val="0"/>
          <w:sz w:val="32"/>
          <w:szCs w:val="32"/>
          <w:highlight w:val="none"/>
          <w:shd w:val="clear" w:color="auto" w:fill="FFFFFF"/>
          <w:lang w:val="zh-CN"/>
        </w:rPr>
      </w:pPr>
      <w:r>
        <w:rPr>
          <w:rFonts w:hint="eastAsia" w:ascii="方正楷体_GBK" w:hAnsi="方正楷体_GBK" w:eastAsia="方正楷体_GBK" w:cs="方正楷体_GBK"/>
          <w:b w:val="0"/>
          <w:bCs w:val="0"/>
          <w:color w:val="auto"/>
          <w:kern w:val="0"/>
          <w:sz w:val="32"/>
          <w:szCs w:val="32"/>
          <w:shd w:val="clear" w:fill="FFFFFF"/>
          <w:lang w:val="zh-CN" w:eastAsia="zh-CN" w:bidi="ar-SA"/>
        </w:rPr>
        <w:t>（三）</w:t>
      </w:r>
      <w:r>
        <w:rPr>
          <w:rFonts w:hint="eastAsia" w:ascii="方正楷体_GBK" w:hAnsi="方正楷体_GBK" w:eastAsia="方正楷体_GBK" w:cs="方正楷体_GBK"/>
          <w:b w:val="0"/>
          <w:bCs w:val="0"/>
          <w:color w:val="auto"/>
          <w:kern w:val="0"/>
          <w:sz w:val="32"/>
          <w:szCs w:val="32"/>
          <w:highlight w:val="none"/>
          <w:shd w:val="clear" w:color="auto" w:fill="FFFFFF"/>
          <w:lang w:val="zh-CN"/>
        </w:rPr>
        <w:t>结果应用情况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巴州区商务局在执行各项资金预算中，严格按照中央、省、市、县各级财务规定，管好、用好每笔资金。在项目经费使用过程中，严格按照相关规定使用，切实做到专款专用，从而发挥好项目资金对商务引资工作的促进作用。</w:t>
      </w:r>
    </w:p>
    <w:p>
      <w:pPr>
        <w:keepNext w:val="0"/>
        <w:keepLines w:val="0"/>
        <w:pageBreakBefore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方正楷体_GBK" w:hAnsi="方正楷体_GBK" w:eastAsia="方正楷体_GBK" w:cs="方正楷体_GBK"/>
          <w:b w:val="0"/>
          <w:bCs w:val="0"/>
          <w:color w:val="auto"/>
          <w:kern w:val="0"/>
          <w:sz w:val="32"/>
          <w:szCs w:val="32"/>
          <w:highlight w:val="none"/>
          <w:shd w:val="clear" w:color="auto" w:fill="FFFFFF"/>
          <w:lang w:val="zh-CN"/>
        </w:rPr>
      </w:pPr>
      <w:r>
        <w:rPr>
          <w:rFonts w:hint="eastAsia" w:ascii="方正楷体_GBK" w:hAnsi="方正楷体_GBK" w:eastAsia="方正楷体_GBK" w:cs="方正楷体_GBK"/>
          <w:b w:val="0"/>
          <w:bCs w:val="0"/>
          <w:color w:val="auto"/>
          <w:kern w:val="0"/>
          <w:sz w:val="32"/>
          <w:szCs w:val="32"/>
          <w:highlight w:val="none"/>
          <w:shd w:val="clear" w:color="auto" w:fill="FFFFFF"/>
          <w:lang w:val="en-US" w:eastAsia="zh-CN"/>
        </w:rPr>
        <w:t>（四）</w:t>
      </w:r>
      <w:r>
        <w:rPr>
          <w:rFonts w:hint="eastAsia" w:ascii="方正楷体_GBK" w:hAnsi="方正楷体_GBK" w:eastAsia="方正楷体_GBK" w:cs="方正楷体_GBK"/>
          <w:b w:val="0"/>
          <w:bCs w:val="0"/>
          <w:color w:val="auto"/>
          <w:kern w:val="0"/>
          <w:sz w:val="32"/>
          <w:szCs w:val="32"/>
          <w:highlight w:val="none"/>
          <w:shd w:val="clear" w:color="auto" w:fill="FFFFFF"/>
          <w:lang w:val="zh-CN"/>
        </w:rPr>
        <w:t>自评质量</w:t>
      </w:r>
    </w:p>
    <w:p>
      <w:pPr>
        <w:keepNext w:val="0"/>
        <w:keepLines w:val="0"/>
        <w:pageBreakBefore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巴州区商务局认真开展厉行节约反对浪费规定学习的同时，倡导全体机关工作人员弘扬艰苦奋斗、勤俭节约的优良作风，进一步推进建设节约型机关。首先节约办公用电；全体职工做到离开办公室随手关灯，杜绝“长明灯”、“白昼灯”，下班后自觉关闭各类电器设备电源。其次做到节约用水；强化节水意识，切实做到节约每一滴水，使广大干部职工养成良好的节水习惯。三是节约办公耗材；加强办公用品的使用管理，规范办公用品的采购，积极推行网络办公，尽量在电子媒介上撰写、修改文稿，实行OA办公，推进了无纸化办公。</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en-US" w:eastAsia="zh-CN" w:bidi="ar-SA"/>
        </w:rPr>
        <w:t>1.</w:t>
      </w:r>
      <w:r>
        <w:rPr>
          <w:rFonts w:hint="default" w:ascii="Times New Roman" w:hAnsi="Times New Roman" w:eastAsia="方正仿宋_GBK" w:cs="Times New Roman"/>
          <w:color w:val="auto"/>
          <w:kern w:val="0"/>
          <w:sz w:val="32"/>
          <w:szCs w:val="32"/>
          <w:highlight w:val="none"/>
          <w:lang w:val="zh-CN" w:eastAsia="zh-CN" w:bidi="ar-SA"/>
        </w:rPr>
        <w:t>综合管理情况</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（1）</w:t>
      </w:r>
      <w:r>
        <w:rPr>
          <w:rFonts w:hint="default" w:ascii="Times New Roman" w:hAnsi="Times New Roman" w:eastAsia="方正仿宋_GBK" w:cs="Times New Roman"/>
          <w:color w:val="auto"/>
          <w:kern w:val="0"/>
          <w:sz w:val="32"/>
          <w:szCs w:val="32"/>
          <w:highlight w:val="none"/>
          <w:lang w:val="zh-CN" w:eastAsia="zh-CN" w:bidi="ar-SA"/>
        </w:rPr>
        <w:t>政府性债务管理：区商务局地方政府性隐形债务</w:t>
      </w:r>
      <w:r>
        <w:rPr>
          <w:rFonts w:hint="default" w:ascii="Times New Roman" w:hAnsi="Times New Roman" w:eastAsia="方正仿宋_GBK" w:cs="Times New Roman"/>
          <w:color w:val="auto"/>
          <w:kern w:val="0"/>
          <w:sz w:val="32"/>
          <w:szCs w:val="32"/>
          <w:highlight w:val="none"/>
          <w:lang w:val="en-US" w:eastAsia="zh-CN" w:bidi="ar-SA"/>
        </w:rPr>
        <w:t>671.262万元</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（2）</w:t>
      </w:r>
      <w:r>
        <w:rPr>
          <w:rFonts w:hint="default" w:ascii="Times New Roman" w:hAnsi="Times New Roman" w:eastAsia="方正仿宋_GBK" w:cs="Times New Roman"/>
          <w:color w:val="auto"/>
          <w:kern w:val="0"/>
          <w:sz w:val="32"/>
          <w:szCs w:val="32"/>
          <w:highlight w:val="none"/>
          <w:lang w:val="zh-CN" w:eastAsia="zh-CN" w:bidi="ar-SA"/>
        </w:rPr>
        <w:t>政府采购实施计划：区商务局严格执行政府采购制度，本年内因工作需要，严格按照采购程序，编制采购计划。</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（3）</w:t>
      </w:r>
      <w:r>
        <w:rPr>
          <w:rFonts w:hint="default" w:ascii="Times New Roman" w:hAnsi="Times New Roman" w:eastAsia="方正仿宋_GBK" w:cs="Times New Roman"/>
          <w:color w:val="auto"/>
          <w:kern w:val="0"/>
          <w:sz w:val="32"/>
          <w:szCs w:val="32"/>
          <w:highlight w:val="none"/>
          <w:lang w:val="zh-CN" w:eastAsia="zh-CN" w:bidi="ar-SA"/>
        </w:rPr>
        <w:t>三公经费使用情况：</w:t>
      </w:r>
      <w:r>
        <w:rPr>
          <w:rFonts w:hint="default" w:ascii="Times New Roman" w:hAnsi="Times New Roman" w:eastAsia="方正仿宋_GBK" w:cs="Times New Roman"/>
          <w:color w:val="auto"/>
          <w:kern w:val="0"/>
          <w:sz w:val="32"/>
          <w:szCs w:val="32"/>
          <w:highlight w:val="none"/>
          <w:lang w:val="en-US" w:eastAsia="zh-CN" w:bidi="ar-SA"/>
        </w:rPr>
        <w:t>2022年，“三公”经费支出2500元，其中;国内公务接待2500元，预算2500元，决算2500元，与上年对比减少1424元，主要是因为接待人数及次数减少。</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（4）</w:t>
      </w:r>
      <w:r>
        <w:rPr>
          <w:rFonts w:hint="default" w:ascii="Times New Roman" w:hAnsi="Times New Roman" w:eastAsia="方正仿宋_GBK" w:cs="Times New Roman"/>
          <w:color w:val="auto"/>
          <w:kern w:val="0"/>
          <w:sz w:val="32"/>
          <w:szCs w:val="32"/>
          <w:highlight w:val="none"/>
          <w:lang w:val="zh-CN" w:eastAsia="zh-CN" w:bidi="ar-SA"/>
        </w:rPr>
        <w:t>资产管理：单位资产管理由办公室总负责，使用人具体负责管理，对不能继续使用的资产由使用人交回办公室并提出申请，待局领导班子同意后，由办公室按照相关程序统一购置。年终对单位国有资产进行了一次集中清理，切实做到账实相符，待核准后，将按照程序对资产进行报废等后期处置。</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（5）</w:t>
      </w:r>
      <w:r>
        <w:rPr>
          <w:rFonts w:hint="default" w:ascii="Times New Roman" w:hAnsi="Times New Roman" w:eastAsia="方正仿宋_GBK" w:cs="Times New Roman"/>
          <w:color w:val="auto"/>
          <w:kern w:val="0"/>
          <w:sz w:val="32"/>
          <w:szCs w:val="32"/>
          <w:highlight w:val="none"/>
          <w:lang w:val="zh-CN" w:eastAsia="zh-CN" w:bidi="ar-SA"/>
        </w:rPr>
        <w:t>信息公开：“三公经费”及预算决算均按区财政局的要求，在政府网站上按时全面进行公开并接受社会的监督。</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（6）</w:t>
      </w:r>
      <w:r>
        <w:rPr>
          <w:rFonts w:hint="default" w:ascii="Times New Roman" w:hAnsi="Times New Roman" w:eastAsia="方正仿宋_GBK" w:cs="Times New Roman"/>
          <w:color w:val="auto"/>
          <w:kern w:val="0"/>
          <w:sz w:val="32"/>
          <w:szCs w:val="32"/>
          <w:highlight w:val="none"/>
          <w:lang w:val="zh-CN" w:eastAsia="zh-CN" w:bidi="ar-SA"/>
        </w:rPr>
        <w:t>财政监督情况：在执行国家有关财务法律法规的同时，建立健全内部财务管理制度，按照党风廉政建设的要求，全体干部职工廉洁奉公、忠于职守，禁止利用职权和职务上的便利谋取不正当的利益。严格执行</w:t>
      </w:r>
      <w:r>
        <w:rPr>
          <w:rFonts w:hint="default" w:ascii="Times New Roman" w:hAnsi="Times New Roman" w:eastAsia="方正仿宋_GBK" w:cs="Times New Roman"/>
          <w:color w:val="auto"/>
          <w:kern w:val="0"/>
          <w:sz w:val="32"/>
          <w:szCs w:val="32"/>
          <w:highlight w:val="none"/>
          <w:lang w:val="en-US" w:eastAsia="zh-CN" w:bidi="ar-SA"/>
        </w:rPr>
        <w:t>《巴中市巴州区商务局财务管理办法》</w:t>
      </w:r>
      <w:r>
        <w:rPr>
          <w:rFonts w:hint="default" w:ascii="Times New Roman" w:hAnsi="Times New Roman" w:eastAsia="方正仿宋_GBK" w:cs="Times New Roman"/>
          <w:color w:val="auto"/>
          <w:kern w:val="0"/>
          <w:sz w:val="32"/>
          <w:szCs w:val="32"/>
          <w:highlight w:val="none"/>
          <w:lang w:val="zh-CN" w:eastAsia="zh-CN" w:bidi="ar-SA"/>
        </w:rPr>
        <w:t>，积极开展自查自纠，加强对资金的管理和监督，杜绝违规违法事件的发生。本着勤俭节约原则，管理好用好每笔资金，财务活动接受审计、财政、纪检监察等部门的监督检查。</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2.</w:t>
      </w:r>
      <w:r>
        <w:rPr>
          <w:rFonts w:hint="default" w:ascii="Times New Roman" w:hAnsi="Times New Roman" w:eastAsia="方正仿宋_GBK" w:cs="Times New Roman"/>
          <w:color w:val="auto"/>
          <w:kern w:val="0"/>
          <w:sz w:val="32"/>
          <w:szCs w:val="32"/>
          <w:highlight w:val="none"/>
          <w:lang w:val="zh-CN" w:eastAsia="zh-CN" w:bidi="ar-SA"/>
        </w:rPr>
        <w:t>综合绩效情况</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我区社会消费品零售总额1-12月完成132.3亿元，增长0.5%，1-12月我区外贸出口完成0.83亿元人民币，完成年度目标任务166.2%。全年实现服务业增加值116.5亿，增速4.1%。先后组织东西部产销对接会5次，开展网红爆款促销活动2次，新建和升级改造了乡镇农贸市场3个，投资1000余万元新建义巴国际商品城。</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contextualSpacing/>
        <w:jc w:val="both"/>
        <w:textAlignment w:val="auto"/>
        <w:outlineLvl w:val="9"/>
        <w:rPr>
          <w:rFonts w:hint="eastAsia" w:ascii="黑体" w:hAnsi="黑体" w:eastAsia="黑体" w:cs="黑体"/>
          <w:color w:val="auto"/>
          <w:kern w:val="0"/>
          <w:sz w:val="32"/>
          <w:szCs w:val="32"/>
          <w:highlight w:val="none"/>
          <w:shd w:val="clear" w:color="auto" w:fill="FFFFFF"/>
        </w:rPr>
      </w:pPr>
      <w:r>
        <w:rPr>
          <w:rFonts w:hint="eastAsia" w:ascii="黑体" w:hAnsi="黑体" w:eastAsia="黑体" w:cs="黑体"/>
          <w:color w:val="auto"/>
          <w:kern w:val="0"/>
          <w:sz w:val="32"/>
          <w:szCs w:val="32"/>
          <w:highlight w:val="none"/>
          <w:shd w:val="clear" w:color="auto" w:fill="FFFFFF"/>
          <w:lang w:val="en-US" w:eastAsia="zh-CN"/>
        </w:rPr>
        <w:t>七</w:t>
      </w:r>
      <w:r>
        <w:rPr>
          <w:rFonts w:hint="eastAsia" w:ascii="黑体" w:hAnsi="黑体" w:eastAsia="黑体" w:cs="黑体"/>
          <w:color w:val="auto"/>
          <w:kern w:val="0"/>
          <w:sz w:val="32"/>
          <w:szCs w:val="32"/>
          <w:highlight w:val="none"/>
          <w:shd w:val="clear" w:color="auto" w:fill="FFFFFF"/>
        </w:rPr>
        <w:t>、评价结论及建议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方正楷体_GBK" w:hAnsi="方正楷体_GBK" w:eastAsia="方正楷体_GBK" w:cs="方正楷体_GBK"/>
          <w:color w:val="auto"/>
          <w:kern w:val="0"/>
          <w:sz w:val="32"/>
          <w:szCs w:val="32"/>
          <w:highlight w:val="none"/>
          <w:lang w:val="zh-CN" w:eastAsia="zh-CN" w:bidi="ar-SA"/>
        </w:rPr>
        <w:t>（一）评价结论</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部门支出预算，保障了机关日常正常运转，项目资金保障了各项商务活动的开展；</w:t>
      </w:r>
      <w:r>
        <w:rPr>
          <w:rFonts w:hint="default" w:ascii="Times New Roman" w:hAnsi="Times New Roman" w:eastAsia="方正仿宋_GBK" w:cs="Times New Roman"/>
          <w:color w:val="auto"/>
          <w:kern w:val="0"/>
          <w:sz w:val="32"/>
          <w:szCs w:val="32"/>
          <w:highlight w:val="none"/>
          <w:lang w:val="en-US" w:eastAsia="zh-CN" w:bidi="ar-SA"/>
        </w:rPr>
        <w:t>一年来，我局各项工作顺利平稳开展、发展势头良好，</w:t>
      </w:r>
      <w:r>
        <w:rPr>
          <w:rFonts w:hint="default" w:ascii="Times New Roman" w:hAnsi="Times New Roman" w:eastAsia="方正仿宋_GBK" w:cs="Times New Roman"/>
          <w:color w:val="auto"/>
          <w:kern w:val="0"/>
          <w:sz w:val="32"/>
          <w:szCs w:val="32"/>
          <w:highlight w:val="none"/>
          <w:lang w:val="zh-CN" w:eastAsia="zh-CN" w:bidi="ar-SA"/>
        </w:rPr>
        <w:t>为全区的经济发展作出了应有的贡献。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（二）存在问题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经办人员的业务能力有待提高；</w:t>
      </w:r>
      <w:r>
        <w:rPr>
          <w:rFonts w:hint="default" w:ascii="Times New Roman" w:hAnsi="Times New Roman" w:eastAsia="方正仿宋_GBK" w:cs="Times New Roman"/>
          <w:color w:val="auto"/>
          <w:kern w:val="0"/>
          <w:sz w:val="32"/>
          <w:szCs w:val="32"/>
          <w:highlight w:val="none"/>
          <w:lang w:val="en-US" w:eastAsia="zh-CN" w:bidi="ar-SA"/>
        </w:rPr>
        <w:t>由于人员变动较大，固定资产使用人交接程序存在不规范的情况，造成固定资产的登记、管理不便，资产管理需要加强</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（三）改进措施</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完善管理制度，进一步贯彻落实中央八项规定</w:t>
      </w:r>
      <w:bookmarkStart w:id="86" w:name="_GoBack"/>
      <w:bookmarkEnd w:id="86"/>
      <w:r>
        <w:rPr>
          <w:rFonts w:hint="default" w:ascii="Times New Roman" w:hAnsi="Times New Roman" w:eastAsia="方正仿宋_GBK" w:cs="Times New Roman"/>
          <w:color w:val="auto"/>
          <w:kern w:val="0"/>
          <w:sz w:val="32"/>
          <w:szCs w:val="32"/>
          <w:highlight w:val="none"/>
          <w:lang w:val="en-US" w:eastAsia="zh-CN" w:bidi="ar-SA"/>
        </w:rPr>
        <w:t>，省十项规定、市九项规定、区十项规定，完善商务接待管理制度，加强经费审批和控制，规范支出标准与范围，并严格执行；严格按照《固定资产管理办法》的规定加强固定资产管理，及时登记、更新台账，加强资产卡片管理，年终前对各类实物资产进行全面盘点，确保账账、账实相符，加强资产管理；进一步加强与财政、统计等部门的沟通联系，积极参加各类学习、培训，努力提高业务能力、服务意识和服务水平。</w:t>
      </w:r>
    </w:p>
    <w:p>
      <w:pPr>
        <w:pStyle w:val="14"/>
        <w:keepNext w:val="0"/>
        <w:keepLines w:val="0"/>
        <w:pageBreakBefore w:val="0"/>
        <w:numPr>
          <w:ilvl w:val="0"/>
          <w:numId w:val="0"/>
        </w:numPr>
        <w:kinsoku/>
        <w:wordWrap/>
        <w:overflowPunct/>
        <w:topLinePunct w:val="0"/>
        <w:autoSpaceDE/>
        <w:autoSpaceDN/>
        <w:bidi w:val="0"/>
        <w:spacing w:after="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zh-CN" w:eastAsia="zh-CN"/>
        </w:rPr>
      </w:pPr>
      <w:r>
        <w:rPr>
          <w:rFonts w:hint="default" w:ascii="Times New Roman" w:hAnsi="Times New Roman" w:eastAsia="方正仿宋_GBK" w:cs="Times New Roman"/>
          <w:color w:val="auto"/>
          <w:sz w:val="32"/>
          <w:szCs w:val="32"/>
          <w:highlight w:val="none"/>
          <w:lang w:val="zh-CN" w:eastAsia="zh-CN"/>
        </w:rPr>
        <w:t>附表：</w:t>
      </w:r>
      <w:r>
        <w:rPr>
          <w:rFonts w:hint="default" w:ascii="Times New Roman" w:hAnsi="Times New Roman" w:eastAsia="方正仿宋_GBK" w:cs="Times New Roman"/>
          <w:color w:val="auto"/>
          <w:sz w:val="32"/>
          <w:szCs w:val="32"/>
          <w:highlight w:val="none"/>
          <w:lang w:val="en-US" w:eastAsia="zh-CN"/>
        </w:rPr>
        <w:t>部门预算项目支出绩效自评表（2022年度）</w:t>
      </w:r>
    </w:p>
    <w:p>
      <w:pPr>
        <w:pStyle w:val="14"/>
        <w:keepNext w:val="0"/>
        <w:keepLines w:val="0"/>
        <w:pageBreakBefore w:val="0"/>
        <w:numPr>
          <w:ilvl w:val="0"/>
          <w:numId w:val="0"/>
        </w:numPr>
        <w:kinsoku/>
        <w:wordWrap/>
        <w:overflowPunct/>
        <w:topLinePunct w:val="0"/>
        <w:autoSpaceDE/>
        <w:autoSpaceDN/>
        <w:bidi w:val="0"/>
        <w:spacing w:line="560" w:lineRule="exact"/>
        <w:textAlignment w:val="auto"/>
        <w:rPr>
          <w:rFonts w:hint="eastAsia" w:hAnsi="Times New Roman" w:cs="Times New Roman"/>
          <w:color w:val="auto"/>
          <w:sz w:val="32"/>
          <w:szCs w:val="32"/>
          <w:highlight w:val="none"/>
          <w:lang w:val="zh-CN" w:eastAsia="zh-CN"/>
        </w:rPr>
      </w:pPr>
    </w:p>
    <w:p>
      <w:pPr>
        <w:pStyle w:val="5"/>
        <w:rPr>
          <w:rFonts w:hint="eastAsia" w:hAnsi="宋体" w:cs="宋体"/>
          <w:color w:val="auto"/>
          <w:kern w:val="0"/>
          <w:sz w:val="32"/>
          <w:szCs w:val="32"/>
          <w:highlight w:val="none"/>
          <w:shd w:val="clear" w:color="auto" w:fill="FFFFFF"/>
          <w:lang w:val="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0" w:firstLineChars="0"/>
        <w:jc w:val="both"/>
        <w:textAlignment w:val="auto"/>
        <w:outlineLvl w:val="9"/>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附件2</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0" w:firstLineChars="0"/>
        <w:jc w:val="both"/>
        <w:textAlignment w:val="auto"/>
        <w:rPr>
          <w:rFonts w:hint="default" w:ascii="方正小标宋_GBK" w:hAnsi="方正小标宋_GBK" w:eastAsia="方正小标宋_GBK" w:cs="方正小标宋_GBK"/>
          <w:b w:val="0"/>
          <w:bCs w:val="0"/>
          <w:color w:val="auto"/>
          <w:kern w:val="0"/>
          <w:sz w:val="44"/>
          <w:szCs w:val="44"/>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_GBK" w:hAnsi="方正小标宋_GBK" w:eastAsia="方正小标宋_GBK" w:cs="方正小标宋_GBK"/>
          <w:b w:val="0"/>
          <w:bCs w:val="0"/>
          <w:color w:val="auto"/>
          <w:kern w:val="0"/>
          <w:sz w:val="44"/>
          <w:szCs w:val="44"/>
          <w:highlight w:val="none"/>
          <w:lang w:val="en-US" w:eastAsia="zh-CN" w:bidi="ar-SA"/>
        </w:rPr>
      </w:pPr>
      <w:r>
        <w:rPr>
          <w:rFonts w:hint="eastAsia" w:ascii="方正小标宋_GBK" w:hAnsi="方正小标宋_GBK" w:eastAsia="方正小标宋_GBK" w:cs="方正小标宋_GBK"/>
          <w:b w:val="0"/>
          <w:bCs w:val="0"/>
          <w:color w:val="auto"/>
          <w:kern w:val="0"/>
          <w:sz w:val="44"/>
          <w:szCs w:val="44"/>
          <w:highlight w:val="none"/>
          <w:lang w:val="en-US" w:eastAsia="zh-CN" w:bidi="ar-SA"/>
        </w:rPr>
        <w:t>巴中市巴州区商务局2022年省级外经贸发展资金绩效自评报告</w:t>
      </w:r>
    </w:p>
    <w:p>
      <w:pPr>
        <w:widowControl/>
        <w:shd w:val="clear" w:color="auto" w:fill="FFFFFF"/>
        <w:adjustRightInd w:val="0"/>
        <w:snapToGrid w:val="0"/>
        <w:spacing w:line="560" w:lineRule="exact"/>
        <w:ind w:firstLine="640" w:firstLineChars="200"/>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eastAsia" w:ascii="黑体" w:hAnsi="黑体" w:eastAsia="黑体" w:cs="黑体"/>
          <w:color w:val="auto"/>
          <w:kern w:val="0"/>
          <w:sz w:val="32"/>
          <w:szCs w:val="32"/>
          <w:highlight w:val="none"/>
          <w:lang w:val="zh-CN" w:eastAsia="zh-CN" w:bidi="ar-SA"/>
        </w:rPr>
        <w:t>项目概况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（一）项目资金申报及批复情况。</w:t>
      </w:r>
      <w:r>
        <w:rPr>
          <w:rFonts w:hint="default" w:ascii="Times New Roman" w:hAnsi="Times New Roman" w:eastAsia="方正仿宋_GBK" w:cs="Times New Roman"/>
          <w:color w:val="auto"/>
          <w:kern w:val="0"/>
          <w:sz w:val="32"/>
          <w:szCs w:val="32"/>
          <w:highlight w:val="none"/>
          <w:lang w:val="zh-CN" w:eastAsia="zh-CN" w:bidi="ar-SA"/>
        </w:rPr>
        <w:t>根据巴中市商务局 巴中市财政局关于印发《巴中市2022年省级外经贸发展资金使用细则》的通知（巴商办〔2022〕8号）,结合我区外经贸发展实际申报。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（二）项目绩效目标。</w:t>
      </w:r>
      <w:r>
        <w:rPr>
          <w:rFonts w:hint="default" w:ascii="方正楷体_GBK" w:hAnsi="方正楷体_GBK" w:eastAsia="方正楷体_GBK" w:cs="方正楷体_GBK"/>
          <w:color w:val="auto"/>
          <w:kern w:val="0"/>
          <w:sz w:val="32"/>
          <w:szCs w:val="32"/>
          <w:highlight w:val="none"/>
          <w:lang w:val="en-US" w:eastAsia="zh-CN" w:bidi="ar-SA"/>
        </w:rPr>
        <w:t>2</w:t>
      </w:r>
      <w:r>
        <w:rPr>
          <w:rFonts w:hint="default" w:ascii="Times New Roman" w:hAnsi="Times New Roman" w:eastAsia="方正仿宋_GBK" w:cs="Times New Roman"/>
          <w:color w:val="auto"/>
          <w:kern w:val="0"/>
          <w:sz w:val="32"/>
          <w:szCs w:val="32"/>
          <w:highlight w:val="none"/>
          <w:lang w:val="en-US" w:eastAsia="zh-CN" w:bidi="ar-SA"/>
        </w:rPr>
        <w:t>022年新增对外贸易经营者备案企业3家；全年完成外贸进出口1.1亿元以上；组织企业参加西洽会、东博会、广交会、进博会等活动不少于10家次。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（三）项目资金申报相符性。</w:t>
      </w:r>
      <w:r>
        <w:rPr>
          <w:rFonts w:hint="default" w:ascii="Times New Roman" w:hAnsi="Times New Roman" w:eastAsia="方正仿宋_GBK" w:cs="Times New Roman"/>
          <w:color w:val="auto"/>
          <w:kern w:val="0"/>
          <w:sz w:val="32"/>
          <w:szCs w:val="32"/>
          <w:highlight w:val="none"/>
          <w:lang w:val="zh-CN" w:eastAsia="zh-CN" w:bidi="ar-SA"/>
        </w:rPr>
        <w:t>项目申报内容与项目实际实施内容相符、申报目标合理可行。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二、项目资金申报及使用情况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color w:val="auto"/>
          <w:kern w:val="0"/>
          <w:sz w:val="32"/>
          <w:szCs w:val="32"/>
          <w:highlight w:val="none"/>
          <w:lang w:val="zh-CN" w:eastAsia="zh-CN" w:bidi="ar-SA"/>
        </w:rPr>
      </w:pPr>
      <w:r>
        <w:rPr>
          <w:rFonts w:hint="eastAsia" w:ascii="方正楷体_GBK" w:hAnsi="方正楷体_GBK" w:eastAsia="方正楷体_GBK" w:cs="方正楷体_GBK"/>
          <w:color w:val="auto"/>
          <w:kern w:val="0"/>
          <w:sz w:val="32"/>
          <w:szCs w:val="32"/>
          <w:highlight w:val="none"/>
          <w:lang w:val="zh-CN" w:eastAsia="zh-CN" w:bidi="ar-SA"/>
        </w:rPr>
        <w:t>（一）资金计划、到位及使用情况。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1.</w:t>
      </w:r>
      <w:r>
        <w:rPr>
          <w:rFonts w:hint="default" w:ascii="Times New Roman" w:hAnsi="Times New Roman" w:eastAsia="方正仿宋_GBK" w:cs="Times New Roman"/>
          <w:color w:val="auto"/>
          <w:kern w:val="0"/>
          <w:sz w:val="32"/>
          <w:szCs w:val="32"/>
          <w:highlight w:val="none"/>
          <w:lang w:val="zh-CN" w:eastAsia="zh-CN" w:bidi="ar-SA"/>
        </w:rPr>
        <w:t>资金计划及到位。该项目资金为</w:t>
      </w:r>
      <w:r>
        <w:rPr>
          <w:rFonts w:hint="default" w:ascii="Times New Roman" w:hAnsi="Times New Roman" w:eastAsia="方正仿宋_GBK" w:cs="Times New Roman"/>
          <w:color w:val="auto"/>
          <w:kern w:val="0"/>
          <w:sz w:val="32"/>
          <w:szCs w:val="32"/>
          <w:highlight w:val="none"/>
          <w:lang w:val="en-US" w:eastAsia="zh-CN" w:bidi="ar-SA"/>
        </w:rPr>
        <w:t>省级外经贸发展资金，已到位</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2.</w:t>
      </w:r>
      <w:r>
        <w:rPr>
          <w:rFonts w:hint="default" w:ascii="Times New Roman" w:hAnsi="Times New Roman" w:eastAsia="方正仿宋_GBK" w:cs="Times New Roman"/>
          <w:color w:val="auto"/>
          <w:kern w:val="0"/>
          <w:sz w:val="32"/>
          <w:szCs w:val="32"/>
          <w:highlight w:val="none"/>
          <w:lang w:val="zh-CN" w:eastAsia="zh-CN" w:bidi="ar-SA"/>
        </w:rPr>
        <w:t>资金使用。截至目前该项目支付资金</w:t>
      </w:r>
      <w:r>
        <w:rPr>
          <w:rFonts w:hint="eastAsia" w:eastAsia="方正仿宋_GBK" w:cs="Times New Roman"/>
          <w:color w:val="auto"/>
          <w:kern w:val="0"/>
          <w:sz w:val="32"/>
          <w:szCs w:val="32"/>
          <w:highlight w:val="none"/>
          <w:lang w:val="en-US" w:eastAsia="zh-CN" w:bidi="ar-SA"/>
        </w:rPr>
        <w:t>75</w:t>
      </w:r>
      <w:r>
        <w:rPr>
          <w:rFonts w:hint="default" w:ascii="Times New Roman" w:hAnsi="Times New Roman" w:eastAsia="方正仿宋_GBK" w:cs="Times New Roman"/>
          <w:color w:val="auto"/>
          <w:kern w:val="0"/>
          <w:sz w:val="32"/>
          <w:szCs w:val="32"/>
          <w:highlight w:val="none"/>
          <w:lang w:val="en-US" w:eastAsia="zh-CN" w:bidi="ar-SA"/>
        </w:rPr>
        <w:t>万元</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（二）项目财务管理情况。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该项目实施初期就建立了完善的财务管理制度，由局财务股进行会计核算及账务处理。项目严格执行财务管理制度、财务处理及时、会计核算规范。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（三）项目组织实施情况。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为加强项目及资金使用的质量、安全。区商务局领导统筹总揽，外经外贸股及财务股负责，保障外贸进出口及对外开放活动有序进行。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三、项目完成情况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（一）项目完成任务量。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2022年新增对外贸易经营者备案企业3家；全年完成外贸进出口1.1亿元；组织企业参加西洽会、东博会、广交会、进博会等活动大于10家次。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（二）项目完成质量。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根据海关及企业数据，各外贸进出口企业</w:t>
      </w:r>
      <w:r>
        <w:rPr>
          <w:rFonts w:hint="default" w:ascii="Times New Roman" w:hAnsi="Times New Roman" w:eastAsia="方正仿宋_GBK" w:cs="Times New Roman"/>
          <w:color w:val="auto"/>
          <w:kern w:val="0"/>
          <w:sz w:val="32"/>
          <w:szCs w:val="32"/>
          <w:highlight w:val="none"/>
          <w:lang w:val="en-US" w:eastAsia="zh-CN" w:bidi="ar-SA"/>
        </w:rPr>
        <w:t>进出口量合格，通过验收。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（三）项目完成进度。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根据海关及企业数据，各外贸进出口企业按时按质完成任务。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四、项目效益情况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该资金促进2022年巴州区新增对外贸易经营者备案企业3家；全年完成外贸进出口1.1亿元以上，同比增长28%以上；组织企业参加西洽会、东博会、广交会、进博会等活动10家次以上，对外开放水平显著提高。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w:t>
      </w:r>
      <w:r>
        <w:rPr>
          <w:rFonts w:hint="default" w:ascii="黑体" w:hAnsi="黑体" w:eastAsia="黑体" w:cs="黑体"/>
          <w:color w:val="auto"/>
          <w:kern w:val="0"/>
          <w:sz w:val="32"/>
          <w:szCs w:val="32"/>
          <w:highlight w:val="none"/>
          <w:lang w:val="en-US" w:eastAsia="zh-CN" w:bidi="ar-SA"/>
        </w:rPr>
        <w:t>问题及建议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kern w:val="0"/>
          <w:sz w:val="32"/>
          <w:szCs w:val="32"/>
          <w:highlight w:val="none"/>
          <w:lang w:val="en-US" w:eastAsia="zh-CN" w:bidi="ar-SA"/>
        </w:rPr>
      </w:pPr>
    </w:p>
    <w:tbl>
      <w:tblPr>
        <w:tblStyle w:val="15"/>
        <w:tblW w:w="81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4"/>
        <w:gridCol w:w="680"/>
        <w:gridCol w:w="626"/>
        <w:gridCol w:w="572"/>
        <w:gridCol w:w="379"/>
        <w:gridCol w:w="783"/>
        <w:gridCol w:w="1405"/>
        <w:gridCol w:w="1626"/>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48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auto"/>
                <w:sz w:val="24"/>
                <w:szCs w:val="24"/>
                <w:u w:val="none"/>
              </w:rPr>
            </w:pPr>
            <w:r>
              <w:rPr>
                <w:rFonts w:hint="eastAsia" w:ascii="方正小标宋简体" w:hAnsi="方正小标宋简体" w:eastAsia="方正小标宋简体" w:cs="方正小标宋简体"/>
                <w:b/>
                <w:bCs/>
                <w:i w:val="0"/>
                <w:iCs w:val="0"/>
                <w:color w:val="auto"/>
                <w:kern w:val="0"/>
                <w:sz w:val="24"/>
                <w:szCs w:val="24"/>
                <w:u w:val="none"/>
                <w:lang w:val="en-US" w:eastAsia="zh-CN" w:bidi="ar"/>
              </w:rPr>
              <w:t>巴中市巴州区商务局2022年省级外经贸发展资金绩效目标表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项目名称</w:t>
            </w:r>
          </w:p>
        </w:tc>
        <w:tc>
          <w:tcPr>
            <w:tcW w:w="62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巴中市巴州区商务局2022年省级外经贸发展资金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预算单位</w:t>
            </w:r>
          </w:p>
        </w:tc>
        <w:tc>
          <w:tcPr>
            <w:tcW w:w="23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实施单位      及责任人</w:t>
            </w:r>
          </w:p>
        </w:tc>
        <w:tc>
          <w:tcPr>
            <w:tcW w:w="3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w:t>
            </w:r>
            <w:r>
              <w:rPr>
                <w:rFonts w:hint="eastAsia" w:ascii="仿宋" w:hAnsi="仿宋" w:eastAsia="仿宋" w:cs="仿宋"/>
                <w:i w:val="0"/>
                <w:iCs w:val="0"/>
                <w:color w:val="auto"/>
                <w:kern w:val="0"/>
                <w:sz w:val="22"/>
                <w:szCs w:val="22"/>
                <w:u w:val="none"/>
                <w:lang w:val="en-US" w:eastAsia="zh-CN" w:bidi="ar"/>
              </w:rPr>
              <w:br w:type="textWrapping"/>
            </w:r>
            <w:r>
              <w:rPr>
                <w:rFonts w:hint="eastAsia" w:ascii="仿宋" w:hAnsi="仿宋" w:eastAsia="仿宋" w:cs="仿宋"/>
                <w:i w:val="0"/>
                <w:iCs w:val="0"/>
                <w:color w:val="auto"/>
                <w:kern w:val="0"/>
                <w:sz w:val="22"/>
                <w:szCs w:val="22"/>
                <w:u w:val="none"/>
                <w:lang w:val="en-US" w:eastAsia="zh-CN" w:bidi="ar"/>
              </w:rPr>
              <w:t>王映民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项目属性</w:t>
            </w:r>
          </w:p>
        </w:tc>
        <w:tc>
          <w:tcPr>
            <w:tcW w:w="2361"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Wingdings 2" w:hAnsi="Wingdings 2" w:eastAsia="Wingdings 2" w:cs="Wingdings 2"/>
                <w:i w:val="0"/>
                <w:iCs w:val="0"/>
                <w:color w:val="auto"/>
                <w:sz w:val="22"/>
                <w:szCs w:val="22"/>
                <w:u w:val="none"/>
              </w:rPr>
            </w:pPr>
            <w:r>
              <w:rPr>
                <w:rStyle w:val="37"/>
                <w:color w:val="auto"/>
                <w:lang w:val="en-US" w:eastAsia="zh-CN" w:bidi="ar"/>
              </w:rPr>
              <w:t>R</w:t>
            </w:r>
            <w:r>
              <w:rPr>
                <w:rStyle w:val="38"/>
                <w:color w:val="auto"/>
                <w:lang w:val="en-US" w:eastAsia="zh-CN" w:bidi="ar"/>
              </w:rPr>
              <w:t>新增项目　□延续项目</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项目类型</w:t>
            </w:r>
          </w:p>
        </w:tc>
        <w:tc>
          <w:tcPr>
            <w:tcW w:w="3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Wingdings 2" w:hAnsi="Wingdings 2" w:eastAsia="Wingdings 2" w:cs="Wingdings 2"/>
                <w:i w:val="0"/>
                <w:iCs w:val="0"/>
                <w:color w:val="auto"/>
                <w:sz w:val="22"/>
                <w:szCs w:val="22"/>
                <w:u w:val="none"/>
              </w:rPr>
            </w:pPr>
            <w:r>
              <w:rPr>
                <w:rStyle w:val="37"/>
                <w:color w:val="auto"/>
                <w:lang w:val="en-US" w:eastAsia="zh-CN" w:bidi="ar"/>
              </w:rPr>
              <w:t>R</w:t>
            </w:r>
            <w:r>
              <w:rPr>
                <w:rStyle w:val="38"/>
                <w:color w:val="auto"/>
                <w:lang w:val="en-US" w:eastAsia="zh-CN" w:bidi="ar"/>
              </w:rPr>
              <w:t xml:space="preserve">产业发展   □民生保障   □基础设施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立项依据</w:t>
            </w:r>
          </w:p>
        </w:tc>
        <w:tc>
          <w:tcPr>
            <w:tcW w:w="62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巴中市商务局 巴中市财政局关于印发《巴中市2022年省级外经贸发展资金使用细则》的通知（巴商办〔2022〕8号）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2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项目资金预算</w:t>
            </w:r>
          </w:p>
        </w:tc>
        <w:tc>
          <w:tcPr>
            <w:tcW w:w="236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年度资金总额：75万元</w:t>
            </w:r>
          </w:p>
        </w:tc>
        <w:tc>
          <w:tcPr>
            <w:tcW w:w="3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其中：财政拨款 75 万元</w:t>
            </w:r>
          </w:p>
        </w:tc>
        <w:tc>
          <w:tcPr>
            <w:tcW w:w="1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其中：政府采购 0万元（政府购买服务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236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其他资金　0   万元</w:t>
            </w:r>
          </w:p>
        </w:tc>
        <w:tc>
          <w:tcPr>
            <w:tcW w:w="1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w:t>
            </w:r>
            <w:r>
              <w:rPr>
                <w:rFonts w:hint="eastAsia" w:ascii="仿宋" w:hAnsi="仿宋" w:eastAsia="仿宋" w:cs="仿宋"/>
                <w:b/>
                <w:bCs/>
                <w:i w:val="0"/>
                <w:iCs w:val="0"/>
                <w:color w:val="auto"/>
                <w:kern w:val="0"/>
                <w:sz w:val="22"/>
                <w:szCs w:val="22"/>
                <w:u w:val="none"/>
                <w:lang w:val="en-US" w:eastAsia="zh-CN" w:bidi="ar"/>
              </w:rPr>
              <w:br w:type="textWrapping"/>
            </w:r>
            <w:r>
              <w:rPr>
                <w:rFonts w:hint="eastAsia" w:ascii="仿宋" w:hAnsi="仿宋" w:eastAsia="仿宋" w:cs="仿宋"/>
                <w:b/>
                <w:bCs/>
                <w:i w:val="0"/>
                <w:iCs w:val="0"/>
                <w:color w:val="auto"/>
                <w:kern w:val="0"/>
                <w:sz w:val="22"/>
                <w:szCs w:val="22"/>
                <w:u w:val="none"/>
                <w:lang w:val="en-US" w:eastAsia="zh-CN" w:bidi="ar"/>
              </w:rPr>
              <w:t>资金</w:t>
            </w:r>
            <w:r>
              <w:rPr>
                <w:rFonts w:hint="eastAsia" w:ascii="仿宋" w:hAnsi="仿宋" w:eastAsia="仿宋" w:cs="仿宋"/>
                <w:b/>
                <w:bCs/>
                <w:i w:val="0"/>
                <w:iCs w:val="0"/>
                <w:color w:val="auto"/>
                <w:kern w:val="0"/>
                <w:sz w:val="22"/>
                <w:szCs w:val="22"/>
                <w:u w:val="none"/>
                <w:lang w:val="en-US" w:eastAsia="zh-CN" w:bidi="ar"/>
              </w:rPr>
              <w:br w:type="textWrapping"/>
            </w:r>
            <w:r>
              <w:rPr>
                <w:rFonts w:hint="eastAsia" w:ascii="仿宋" w:hAnsi="仿宋" w:eastAsia="仿宋" w:cs="仿宋"/>
                <w:b/>
                <w:bCs/>
                <w:i w:val="0"/>
                <w:iCs w:val="0"/>
                <w:color w:val="auto"/>
                <w:kern w:val="0"/>
                <w:sz w:val="22"/>
                <w:szCs w:val="22"/>
                <w:u w:val="none"/>
                <w:lang w:val="en-US" w:eastAsia="zh-CN" w:bidi="ar"/>
              </w:rPr>
              <w:t>来源</w:t>
            </w:r>
          </w:p>
        </w:tc>
        <w:tc>
          <w:tcPr>
            <w:tcW w:w="13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合计（万元）</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1.一般公共预算</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2.政府性基金预算</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3.国有资本经营预算</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4.社会保险基金预算</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13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75</w:t>
            </w:r>
          </w:p>
        </w:tc>
        <w:tc>
          <w:tcPr>
            <w:tcW w:w="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总体　　目标</w:t>
            </w:r>
          </w:p>
        </w:tc>
        <w:tc>
          <w:tcPr>
            <w:tcW w:w="69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2022年新增对外贸易经营者备案企业3家；预计全年完成外贸进出口1.1亿元；组织企业参加西洽会、东博会、广交会、进博会等活动不少于10家次。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绩效指标</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一级指标</w:t>
            </w: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二级指标</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三级指标</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指标值（含数字及文字描述）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产出      指标 </w:t>
            </w:r>
          </w:p>
        </w:tc>
        <w:tc>
          <w:tcPr>
            <w:tcW w:w="11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数量指标</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全年完成全区外贸进出口资金总额≧（万元）</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≧11000（万元），预计2022年完成外贸进出口1.1亿元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全区外贸企业新进备案≧（家）</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≧3（家），2022年新增对外贸易经营者备案企业3家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11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组织参加“万企出国门”活动≧（家）次</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≧（家）次，组织企业参加西洽会、东博会、广交会、进博会等活动不少于10家次。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质量指标</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外贸资金完成质量≧（%）</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时效指标</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外贸资金完成截止时间2023年5月31日</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成本指标</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外贸资金奖补金额≧(万元）</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效益     指标</w:t>
            </w:r>
          </w:p>
        </w:tc>
        <w:tc>
          <w:tcPr>
            <w:tcW w:w="1199"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经济效益</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提升对外开放水平</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预计2022全年完成进出口总额1.1亿元，同比增长28%，对外开放水平显著提高。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1199"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社会效益</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带动全区外贸企业新进备案≧（家）</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1199"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可持续影响</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外经贸企业营商环境</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持续优化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满意度指标</w:t>
            </w: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服务对象满意度</w:t>
            </w:r>
          </w:p>
        </w:tc>
        <w:tc>
          <w:tcPr>
            <w:tcW w:w="11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企业满意度</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≧95%</w:t>
            </w:r>
          </w:p>
        </w:tc>
      </w:tr>
    </w:tbl>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0" w:firstLineChars="0"/>
        <w:jc w:val="center"/>
        <w:textAlignment w:val="auto"/>
        <w:rPr>
          <w:rFonts w:hint="eastAsia" w:ascii="方正小标宋_GBK" w:hAnsi="方正小标宋_GBK" w:eastAsia="方正小标宋_GBK" w:cs="方正小标宋_GBK"/>
          <w:b w:val="0"/>
          <w:bCs w:val="0"/>
          <w:color w:val="auto"/>
          <w:kern w:val="0"/>
          <w:sz w:val="44"/>
          <w:szCs w:val="44"/>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0" w:firstLineChars="0"/>
        <w:jc w:val="both"/>
        <w:textAlignment w:val="auto"/>
        <w:outlineLvl w:val="9"/>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附件3</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0" w:firstLineChars="0"/>
        <w:jc w:val="both"/>
        <w:textAlignment w:val="auto"/>
        <w:outlineLvl w:val="9"/>
        <w:rPr>
          <w:rFonts w:hint="eastAsia" w:ascii="黑体" w:hAnsi="黑体" w:eastAsia="黑体" w:cs="黑体"/>
          <w:b w:val="0"/>
          <w:bCs w:val="0"/>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0" w:firstLineChars="0"/>
        <w:jc w:val="center"/>
        <w:textAlignment w:val="auto"/>
        <w:rPr>
          <w:rFonts w:hint="eastAsia" w:ascii="方正小标宋_GBK" w:hAnsi="方正小标宋_GBK" w:eastAsia="方正小标宋_GBK" w:cs="方正小标宋_GBK"/>
          <w:b w:val="0"/>
          <w:bCs w:val="0"/>
          <w:color w:val="auto"/>
          <w:kern w:val="0"/>
          <w:sz w:val="44"/>
          <w:szCs w:val="44"/>
          <w:highlight w:val="none"/>
          <w:lang w:val="en-US" w:eastAsia="zh-CN" w:bidi="ar-SA"/>
        </w:rPr>
      </w:pPr>
      <w:r>
        <w:rPr>
          <w:rFonts w:hint="eastAsia" w:ascii="方正小标宋_GBK" w:hAnsi="方正小标宋_GBK" w:eastAsia="方正小标宋_GBK" w:cs="方正小标宋_GBK"/>
          <w:b w:val="0"/>
          <w:bCs w:val="0"/>
          <w:color w:val="auto"/>
          <w:kern w:val="0"/>
          <w:sz w:val="44"/>
          <w:szCs w:val="44"/>
          <w:highlight w:val="none"/>
          <w:lang w:val="en-US" w:eastAsia="zh-CN" w:bidi="ar-SA"/>
        </w:rPr>
        <w:t>巴中市巴州区2022年川东北商贸物流中心项目绩效自评报告</w:t>
      </w:r>
    </w:p>
    <w:p>
      <w:pPr>
        <w:widowControl/>
        <w:shd w:val="clear" w:color="auto" w:fill="FFFFFF"/>
        <w:adjustRightInd w:val="0"/>
        <w:snapToGrid w:val="0"/>
        <w:spacing w:line="560" w:lineRule="exact"/>
        <w:ind w:firstLine="640" w:firstLineChars="200"/>
        <w:rPr>
          <w:rFonts w:hint="eastAsia" w:ascii="仿宋_GB2312" w:hAnsi="Calibri" w:eastAsia="仿宋_GB2312" w:cs="仿宋"/>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eastAsia" w:ascii="黑体" w:hAnsi="黑体" w:eastAsia="黑体" w:cs="黑体"/>
          <w:color w:val="auto"/>
          <w:kern w:val="0"/>
          <w:sz w:val="32"/>
          <w:szCs w:val="32"/>
          <w:highlight w:val="none"/>
          <w:lang w:val="zh-CN" w:eastAsia="zh-CN" w:bidi="ar-SA"/>
        </w:rPr>
        <w:t>项目概况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eastAsia" w:ascii="方正楷体_GBK" w:hAnsi="方正楷体_GBK" w:eastAsia="方正楷体_GBK" w:cs="方正楷体_GBK"/>
          <w:color w:val="auto"/>
          <w:kern w:val="0"/>
          <w:sz w:val="32"/>
          <w:szCs w:val="32"/>
          <w:highlight w:val="none"/>
          <w:lang w:val="zh-CN" w:eastAsia="zh-CN" w:bidi="ar-SA"/>
        </w:rPr>
        <w:t>（一）项目资金申报及批复情况。</w:t>
      </w:r>
      <w:r>
        <w:rPr>
          <w:rFonts w:hint="default" w:ascii="Times New Roman" w:hAnsi="Times New Roman" w:eastAsia="方正仿宋_GBK" w:cs="Times New Roman"/>
          <w:color w:val="auto"/>
          <w:kern w:val="0"/>
          <w:sz w:val="32"/>
          <w:szCs w:val="32"/>
          <w:highlight w:val="none"/>
          <w:lang w:val="zh-CN" w:eastAsia="zh-CN" w:bidi="ar-SA"/>
        </w:rPr>
        <w:t>根据《巴中市人民政府关于印发</w:t>
      </w:r>
      <w:r>
        <w:rPr>
          <w:rFonts w:hint="default" w:ascii="Times New Roman" w:hAnsi="Times New Roman" w:eastAsia="方正仿宋_GBK" w:cs="Times New Roman"/>
          <w:color w:val="auto"/>
          <w:kern w:val="0"/>
          <w:sz w:val="32"/>
          <w:szCs w:val="32"/>
          <w:highlight w:val="none"/>
          <w:lang w:val="en-US" w:eastAsia="zh-CN" w:bidi="ar-SA"/>
        </w:rPr>
        <w:t>&lt;2022年巴中市东西部协作项目资金计划&gt;</w:t>
      </w:r>
      <w:r>
        <w:rPr>
          <w:rFonts w:hint="default" w:ascii="Times New Roman" w:hAnsi="Times New Roman" w:eastAsia="方正仿宋_GBK" w:cs="Times New Roman"/>
          <w:color w:val="auto"/>
          <w:kern w:val="0"/>
          <w:sz w:val="32"/>
          <w:szCs w:val="32"/>
          <w:highlight w:val="none"/>
          <w:lang w:val="zh-CN" w:eastAsia="zh-CN" w:bidi="ar-SA"/>
        </w:rPr>
        <w:t>的通知》（巴府函</w:t>
      </w:r>
      <w:r>
        <w:rPr>
          <w:rFonts w:hint="default" w:ascii="Times New Roman" w:hAnsi="Times New Roman" w:eastAsia="方正仿宋_GBK" w:cs="Times New Roman"/>
          <w:color w:val="auto"/>
          <w:kern w:val="0"/>
          <w:sz w:val="32"/>
          <w:szCs w:val="32"/>
          <w:highlight w:val="none"/>
          <w:lang w:val="en-US" w:eastAsia="zh-CN" w:bidi="ar-SA"/>
        </w:rPr>
        <w:t>〔2022〕7号</w:t>
      </w:r>
      <w:r>
        <w:rPr>
          <w:rFonts w:hint="default" w:ascii="Times New Roman" w:hAnsi="Times New Roman" w:eastAsia="方正仿宋_GBK" w:cs="Times New Roman"/>
          <w:color w:val="auto"/>
          <w:kern w:val="0"/>
          <w:sz w:val="32"/>
          <w:szCs w:val="32"/>
          <w:highlight w:val="none"/>
          <w:lang w:val="zh-CN" w:eastAsia="zh-CN" w:bidi="ar-SA"/>
        </w:rPr>
        <w:t>）精神，区商务局2022年</w:t>
      </w:r>
      <w:r>
        <w:rPr>
          <w:rFonts w:hint="default" w:ascii="Times New Roman" w:hAnsi="Times New Roman" w:eastAsia="方正仿宋_GBK" w:cs="Times New Roman"/>
          <w:color w:val="auto"/>
          <w:kern w:val="0"/>
          <w:sz w:val="32"/>
          <w:szCs w:val="32"/>
          <w:highlight w:val="none"/>
          <w:lang w:val="en-US" w:eastAsia="zh-CN" w:bidi="ar-SA"/>
        </w:rPr>
        <w:t>4月21日向区东西部协作领导小组办公室报送《巴中市巴州区商务局关于报送&lt;川东北商贸物流中心项目实施方案&gt;的报告》（巴区商务报〔2022〕7号）。2022年4月25日，巴中市巴州区东西部协作领导小组办公室对该方案进行了批复《川东北商贸物流中心项目实施方案》的函（巴区协作函〔2022〕2号）。根据《巴中市人民政府关于同意调整巴州区、平昌县2022年浙川东西部协作项目资金计划的批复》（巴府函〔2022〕131号），2022年10月11日，区商务局向区东西部协作领导小组办公室报送《巴中市巴州区商务局关于调整&lt;川东北商贸物流中心项目实施方案&gt;的报告》（巴区商务报〔2022〕8号）。2022年10月11日，巴中市巴州区东西部协作领导小组办公室对该方案进行了批复《川东北商贸物流中心项目实施方案》的函（巴区协作函〔2022〕17号）。</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（二）项目绩效目标。</w:t>
      </w:r>
      <w:r>
        <w:rPr>
          <w:rFonts w:hint="default" w:ascii="Times New Roman" w:hAnsi="Times New Roman" w:eastAsia="方正仿宋_GBK" w:cs="Times New Roman"/>
          <w:color w:val="auto"/>
          <w:kern w:val="0"/>
          <w:sz w:val="32"/>
          <w:szCs w:val="32"/>
          <w:highlight w:val="none"/>
          <w:lang w:val="zh-CN" w:eastAsia="zh-CN" w:bidi="ar-SA"/>
        </w:rPr>
        <w:t>一是</w:t>
      </w:r>
      <w:r>
        <w:rPr>
          <w:rFonts w:hint="default" w:ascii="Times New Roman" w:hAnsi="Times New Roman" w:eastAsia="方正仿宋_GBK" w:cs="Times New Roman"/>
          <w:color w:val="auto"/>
          <w:kern w:val="0"/>
          <w:sz w:val="32"/>
          <w:szCs w:val="32"/>
          <w:highlight w:val="none"/>
          <w:lang w:val="en-US" w:eastAsia="zh-CN" w:bidi="ar-SA"/>
        </w:rPr>
        <w:t>持续推进义巴国际商品城项目。优化进口商品馆（义巴国际商品城一楼）业态布局，建成并投运义乌好货批零中心（义巴国际商品城二楼）。二是培育提升电商产业。提升巴州区电商公共服务中心运营能力，发展电商孵化、培训及代运营等电商产业链。三是开通运营义乌—巴州物流专线。借鉴义乌联通国内国际、对接生产销售、融合线上线下的市场特色和物流优势，开通义巴物流专线，促进运输、仓储、配送、流通加工、信息共享等供应链各环节一体化运作，降低物流运输成本，加快传统物流业向现代物流业转型，构建高效、生态、节能的现代化物流服务体系。</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（三）项目资金申报相符性。</w:t>
      </w:r>
      <w:r>
        <w:rPr>
          <w:rFonts w:hint="default" w:ascii="Times New Roman" w:hAnsi="Times New Roman" w:eastAsia="方正仿宋_GBK" w:cs="Times New Roman"/>
          <w:color w:val="auto"/>
          <w:kern w:val="0"/>
          <w:sz w:val="32"/>
          <w:szCs w:val="32"/>
          <w:highlight w:val="none"/>
          <w:lang w:val="zh-CN" w:eastAsia="zh-CN" w:bidi="ar-SA"/>
        </w:rPr>
        <w:t>项目申报内容与项目实际实施内容相符、申报目标合理可行。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二、项目资金申报及使用情况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（一）资金计划、到位及使用情况。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1.</w:t>
      </w:r>
      <w:r>
        <w:rPr>
          <w:rFonts w:hint="default" w:ascii="Times New Roman" w:hAnsi="Times New Roman" w:eastAsia="方正仿宋_GBK" w:cs="Times New Roman"/>
          <w:color w:val="auto"/>
          <w:kern w:val="0"/>
          <w:sz w:val="32"/>
          <w:szCs w:val="32"/>
          <w:highlight w:val="none"/>
          <w:lang w:val="zh-CN" w:eastAsia="zh-CN" w:bidi="ar-SA"/>
        </w:rPr>
        <w:t>资金计划及到位。该项目</w:t>
      </w:r>
      <w:r>
        <w:rPr>
          <w:rFonts w:hint="default" w:ascii="Times New Roman" w:hAnsi="Times New Roman" w:eastAsia="方正仿宋_GBK" w:cs="Times New Roman"/>
          <w:color w:val="auto"/>
          <w:kern w:val="0"/>
          <w:sz w:val="32"/>
          <w:szCs w:val="32"/>
          <w:highlight w:val="none"/>
          <w:lang w:val="en-US" w:eastAsia="zh-CN" w:bidi="ar-SA"/>
        </w:rPr>
        <w:t>所有资金均为东西部协作资金</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2.</w:t>
      </w:r>
      <w:r>
        <w:rPr>
          <w:rFonts w:hint="default" w:ascii="Times New Roman" w:hAnsi="Times New Roman" w:eastAsia="方正仿宋_GBK" w:cs="Times New Roman"/>
          <w:color w:val="auto"/>
          <w:kern w:val="0"/>
          <w:sz w:val="32"/>
          <w:szCs w:val="32"/>
          <w:highlight w:val="none"/>
          <w:lang w:val="zh-CN" w:eastAsia="zh-CN" w:bidi="ar-SA"/>
        </w:rPr>
        <w:t>资金使用。截至目前该项目支付资金</w:t>
      </w:r>
      <w:r>
        <w:rPr>
          <w:rFonts w:hint="default" w:ascii="Times New Roman" w:hAnsi="Times New Roman" w:eastAsia="方正仿宋_GBK" w:cs="Times New Roman"/>
          <w:color w:val="auto"/>
          <w:kern w:val="0"/>
          <w:sz w:val="32"/>
          <w:szCs w:val="32"/>
          <w:highlight w:val="none"/>
          <w:lang w:val="en-US" w:eastAsia="zh-CN" w:bidi="ar-SA"/>
        </w:rPr>
        <w:t>约200万元</w:t>
      </w:r>
      <w:r>
        <w:rPr>
          <w:rFonts w:hint="default" w:ascii="Times New Roman" w:hAnsi="Times New Roman" w:eastAsia="方正仿宋_GBK" w:cs="Times New Roman"/>
          <w:color w:val="auto"/>
          <w:kern w:val="0"/>
          <w:sz w:val="32"/>
          <w:szCs w:val="32"/>
          <w:highlight w:val="none"/>
          <w:lang w:val="zh-CN" w:eastAsia="zh-CN" w:bidi="ar-SA"/>
        </w:rPr>
        <w:t>，支付依据合规合法，资金支付与预算相符。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（二）项目财务管理情况。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该项目实施初期就建立了完善的财务管理制度，由局财务股进行会计核算及账务处理。项目严格执行东西部协作资金管理办法、财务管理制度、财务处理及时、会计核算规范。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（三）项目组织实施情况。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为加强工程建设项目的质量、安全、监督管理，区商务局明确由机关党委书记牵头，服务业股具体落实的东西部协作项目推进机制，保障工程建设有序进行。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三、项目完成情况</w:t>
      </w:r>
      <w:r>
        <w:rPr>
          <w:rFonts w:hint="default" w:ascii="Times New Roman" w:hAnsi="Times New Roman" w:eastAsia="方正仿宋_GBK" w:cs="Times New Roman"/>
          <w:color w:val="auto"/>
          <w:kern w:val="0"/>
          <w:sz w:val="32"/>
          <w:szCs w:val="32"/>
          <w:highlight w:val="none"/>
          <w:lang w:val="zh-CN" w:eastAsia="zh-CN" w:bidi="ar-SA"/>
        </w:rPr>
        <w:tab/>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（一）项目完成任务量。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工程于</w:t>
      </w:r>
      <w:r>
        <w:rPr>
          <w:rFonts w:hint="default" w:ascii="Times New Roman" w:hAnsi="Times New Roman" w:eastAsia="方正仿宋_GBK" w:cs="Times New Roman"/>
          <w:color w:val="auto"/>
          <w:kern w:val="0"/>
          <w:sz w:val="32"/>
          <w:szCs w:val="32"/>
          <w:highlight w:val="none"/>
          <w:lang w:val="en-US" w:eastAsia="zh-CN" w:bidi="ar-SA"/>
        </w:rPr>
        <w:t>2022年4月启动，于2022年10月底完工。完成项目建设任务，项目总投资约200万元。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（二）项目完成质量。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zh-CN" w:eastAsia="zh-CN" w:bidi="ar-SA"/>
        </w:rPr>
        <w:t>经</w:t>
      </w:r>
      <w:r>
        <w:rPr>
          <w:rFonts w:hint="default" w:ascii="Times New Roman" w:hAnsi="Times New Roman" w:eastAsia="方正仿宋_GBK" w:cs="Times New Roman"/>
          <w:color w:val="auto"/>
          <w:kern w:val="0"/>
          <w:sz w:val="32"/>
          <w:szCs w:val="32"/>
          <w:highlight w:val="none"/>
          <w:lang w:val="en-US" w:eastAsia="zh-CN" w:bidi="ar-SA"/>
        </w:rPr>
        <w:t>业主</w:t>
      </w:r>
      <w:r>
        <w:rPr>
          <w:rFonts w:hint="default" w:ascii="Times New Roman" w:hAnsi="Times New Roman" w:eastAsia="方正仿宋_GBK" w:cs="Times New Roman"/>
          <w:color w:val="auto"/>
          <w:kern w:val="0"/>
          <w:sz w:val="32"/>
          <w:szCs w:val="32"/>
          <w:highlight w:val="none"/>
          <w:lang w:val="zh-CN" w:eastAsia="zh-CN" w:bidi="ar-SA"/>
        </w:rPr>
        <w:t>单位组织，参建各方参与，区商务局监督，工程于</w:t>
      </w:r>
      <w:r>
        <w:rPr>
          <w:rFonts w:hint="default" w:ascii="Times New Roman" w:hAnsi="Times New Roman" w:eastAsia="方正仿宋_GBK" w:cs="Times New Roman"/>
          <w:color w:val="auto"/>
          <w:kern w:val="0"/>
          <w:sz w:val="32"/>
          <w:szCs w:val="32"/>
          <w:highlight w:val="none"/>
          <w:lang w:val="en-US" w:eastAsia="zh-CN" w:bidi="ar-SA"/>
        </w:rPr>
        <w:t>2022年10月底竣工，并通过省级东西部协作考核。</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（三）项目完成进度。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项目计划工期</w:t>
      </w:r>
      <w:r>
        <w:rPr>
          <w:rFonts w:hint="default" w:ascii="Times New Roman" w:hAnsi="Times New Roman" w:eastAsia="方正仿宋_GBK" w:cs="Times New Roman"/>
          <w:color w:val="auto"/>
          <w:kern w:val="0"/>
          <w:sz w:val="32"/>
          <w:szCs w:val="32"/>
          <w:highlight w:val="none"/>
          <w:lang w:val="en-US" w:eastAsia="zh-CN" w:bidi="ar-SA"/>
        </w:rPr>
        <w:t>6个月</w:t>
      </w:r>
      <w:r>
        <w:rPr>
          <w:rFonts w:hint="default" w:ascii="Times New Roman" w:hAnsi="Times New Roman" w:eastAsia="方正仿宋_GBK" w:cs="Times New Roman"/>
          <w:color w:val="auto"/>
          <w:kern w:val="0"/>
          <w:sz w:val="32"/>
          <w:szCs w:val="32"/>
          <w:highlight w:val="none"/>
          <w:lang w:val="zh-CN" w:eastAsia="zh-CN" w:bidi="ar-SA"/>
        </w:rPr>
        <w:t>。实际完工建设工期</w:t>
      </w:r>
      <w:r>
        <w:rPr>
          <w:rFonts w:hint="default" w:ascii="Times New Roman" w:hAnsi="Times New Roman" w:eastAsia="方正仿宋_GBK" w:cs="Times New Roman"/>
          <w:color w:val="auto"/>
          <w:kern w:val="0"/>
          <w:sz w:val="32"/>
          <w:szCs w:val="32"/>
          <w:highlight w:val="none"/>
          <w:lang w:val="en-US" w:eastAsia="zh-CN" w:bidi="ar-SA"/>
        </w:rPr>
        <w:t>6个月</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四、项目效益情况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一是义巴国际商品城的建成，引进日韩、欧美等国家美妆护肤、日化洗涤、母婴用品、厨房用品、酒水饮料等2500余种，是全市品种最齐、规模最大的进口商品馆；同时布局浙江特色商品、日用百货、儿童玩具、针织家纺、化妆品等3000余种，设置浙江优选、金华（义乌）馆、百县万品、巴中特色产品等专区。促进零售转型升级，商品城商品价格比本地市场低20%以上。二是开通义乌—巴州物流专线，使得运输时间由之前的5天降至3天，同时物流成本同比降低15%。三是通过开展电商培训、直播带货大赛、开设京东线上特产馆，营造电商创新创业氛围，促进巴州区电商产业发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五、问题及建议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目前，巴州区电商行业发展速度缓慢，市场主体规模不大，电商行业从业人员较少，利用网络销售本地农特产品能力不够，建议东西部协作资金在这电商人才培育、活动开展、企业奖补等方面继续给予支持。</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color w:val="auto"/>
          <w:kern w:val="0"/>
          <w:sz w:val="32"/>
          <w:szCs w:val="32"/>
          <w:highlight w:val="none"/>
          <w:lang w:val="en-US" w:eastAsia="zh-CN" w:bidi="ar-SA"/>
        </w:rPr>
      </w:pPr>
    </w:p>
    <w:tbl>
      <w:tblPr>
        <w:tblStyle w:val="1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6"/>
        <w:gridCol w:w="436"/>
        <w:gridCol w:w="1010"/>
        <w:gridCol w:w="1976"/>
        <w:gridCol w:w="860"/>
        <w:gridCol w:w="1426"/>
        <w:gridCol w:w="1096"/>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auto"/>
                <w:sz w:val="31"/>
                <w:szCs w:val="31"/>
                <w:u w:val="none"/>
              </w:rPr>
            </w:pPr>
            <w:r>
              <w:rPr>
                <w:rFonts w:hint="eastAsia" w:ascii="方正小标宋简体" w:hAnsi="方正小标宋简体" w:eastAsia="方正小标宋简体" w:cs="方正小标宋简体"/>
                <w:b/>
                <w:bCs/>
                <w:i w:val="0"/>
                <w:iCs w:val="0"/>
                <w:color w:val="auto"/>
                <w:kern w:val="0"/>
                <w:sz w:val="31"/>
                <w:szCs w:val="31"/>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项目名称</w:t>
            </w:r>
          </w:p>
        </w:tc>
        <w:tc>
          <w:tcPr>
            <w:tcW w:w="427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川东北商贸物流中心项目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预算单位</w:t>
            </w:r>
          </w:p>
        </w:tc>
        <w:tc>
          <w:tcPr>
            <w:tcW w:w="16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实施单位      及责任人</w:t>
            </w:r>
          </w:p>
        </w:tc>
        <w:tc>
          <w:tcPr>
            <w:tcW w:w="206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巴中市巴州区商务局、王映民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项目属性</w:t>
            </w:r>
          </w:p>
        </w:tc>
        <w:tc>
          <w:tcPr>
            <w:tcW w:w="16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√新增项目　 　□延续项目</w:t>
            </w:r>
          </w:p>
        </w:tc>
        <w:tc>
          <w:tcPr>
            <w:tcW w:w="5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项目期限</w:t>
            </w:r>
          </w:p>
        </w:tc>
        <w:tc>
          <w:tcPr>
            <w:tcW w:w="206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√一次性   □经常性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立项依据（文件）</w:t>
            </w:r>
          </w:p>
        </w:tc>
        <w:tc>
          <w:tcPr>
            <w:tcW w:w="427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巴府函〔2022〕7号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2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项目概述</w:t>
            </w:r>
          </w:p>
        </w:tc>
        <w:tc>
          <w:tcPr>
            <w:tcW w:w="4272"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依托东西部协作政策，借助义乌商贸物流发展经验、平台、主体优势，推动巴州区商贸物流高质量发展。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4272"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4272"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总体目标</w:t>
            </w:r>
          </w:p>
        </w:tc>
        <w:tc>
          <w:tcPr>
            <w:tcW w:w="449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持续推进义巴国际商品城运营，开通义巴物流专线、培育提升电商产业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绩效指标</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一级    指标</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二级指标</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三级指标</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指标值（含数字及文字描述）</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度量单位</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权重（所有加起来不超过100%）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产出      指标</w:t>
            </w:r>
          </w:p>
        </w:tc>
        <w:tc>
          <w:tcPr>
            <w:tcW w:w="6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数量指标</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持续推进义巴国际商品城运营</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优化进口商品馆（义巴国际商品城一楼）业态布局，建成并投运义乌好货批零中心（义巴国际商品城二楼）</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开通义巴物流专线</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促进运输、仓储、配送、流通加工、信息共享等供应链各环节一体化运作，降低物流运输成本，加快传统物流业向现代物流业转型，构建高效、生态、节能的现代化物流服务体系</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培育提升电商产业</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提升巴州区电商公共服务中心运营能力，发展电商孵化、培训及代运营等电商产业链</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质量指标</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时效指标</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2022年度</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2022年度</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成本指标</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200万元</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200万元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效益     指标</w:t>
            </w:r>
          </w:p>
        </w:tc>
        <w:tc>
          <w:tcPr>
            <w:tcW w:w="6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经济效益</w:t>
            </w:r>
          </w:p>
        </w:tc>
        <w:tc>
          <w:tcPr>
            <w:tcW w:w="9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促进零售转型升级，商品城部分商品价格比本地市场低20%左右，物流成本同比降低15%左右</w:t>
            </w:r>
          </w:p>
        </w:tc>
        <w:tc>
          <w:tcPr>
            <w:tcW w:w="145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促进零售转型升级，商品城部分商品价格比本地市场低20%左右，物流成本同比降低15%左右</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社会效益</w:t>
            </w:r>
          </w:p>
        </w:tc>
        <w:tc>
          <w:tcPr>
            <w:tcW w:w="9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促进快递物流、电子商务等商贸服务业的集聚发展，降低巴州区快递物流运营成本</w:t>
            </w:r>
          </w:p>
        </w:tc>
        <w:tc>
          <w:tcPr>
            <w:tcW w:w="145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促进快递物流、电子商务等商贸服务业的集聚发展，降低巴州区快递物流运营成本</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9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可持续影响</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进一步降低商品价格、降低物流运输费用</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进一步降低商品价格、降低物流运输费用</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满意度   指标</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服务对象满意度</w:t>
            </w:r>
          </w:p>
        </w:tc>
        <w:tc>
          <w:tcPr>
            <w:tcW w:w="9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1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bl>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both"/>
        <w:textAlignment w:val="auto"/>
        <w:outlineLvl w:val="9"/>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附件4</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both"/>
        <w:textAlignment w:val="auto"/>
        <w:outlineLvl w:val="9"/>
        <w:rPr>
          <w:rFonts w:hint="eastAsia" w:ascii="黑体" w:hAnsi="黑体" w:eastAsia="黑体" w:cs="黑体"/>
          <w:b w:val="0"/>
          <w:bCs w:val="0"/>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880" w:firstLineChars="200"/>
        <w:jc w:val="center"/>
        <w:textAlignment w:val="auto"/>
        <w:rPr>
          <w:rFonts w:hint="eastAsia" w:ascii="方正小标宋_GBK" w:hAnsi="方正小标宋_GBK" w:eastAsia="方正小标宋_GBK" w:cs="方正小标宋_GBK"/>
          <w:b w:val="0"/>
          <w:bCs w:val="0"/>
          <w:color w:val="auto"/>
          <w:kern w:val="0"/>
          <w:sz w:val="44"/>
          <w:szCs w:val="44"/>
          <w:highlight w:val="none"/>
          <w:lang w:val="en-US" w:eastAsia="zh-CN" w:bidi="ar-SA"/>
        </w:rPr>
      </w:pPr>
      <w:r>
        <w:rPr>
          <w:rFonts w:hint="eastAsia" w:ascii="方正小标宋_GBK" w:hAnsi="方正小标宋_GBK" w:eastAsia="方正小标宋_GBK" w:cs="方正小标宋_GBK"/>
          <w:b w:val="0"/>
          <w:bCs w:val="0"/>
          <w:color w:val="auto"/>
          <w:kern w:val="0"/>
          <w:sz w:val="44"/>
          <w:szCs w:val="44"/>
          <w:highlight w:val="none"/>
          <w:lang w:val="en-US" w:eastAsia="zh-CN" w:bidi="ar-SA"/>
        </w:rPr>
        <w:t>巴中市巴州区2022年促进农特产品消费项目绩效自评报告</w:t>
      </w: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eastAsia" w:ascii="黑体" w:hAnsi="黑体" w:eastAsia="黑体" w:cs="黑体"/>
          <w:color w:val="auto"/>
          <w:kern w:val="0"/>
          <w:sz w:val="32"/>
          <w:szCs w:val="32"/>
          <w:highlight w:val="none"/>
          <w:lang w:val="zh-CN" w:eastAsia="zh-CN" w:bidi="ar-SA"/>
        </w:rPr>
        <w:t>项目概况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eastAsia" w:ascii="方正楷体_GBK" w:hAnsi="方正楷体_GBK" w:eastAsia="方正楷体_GBK" w:cs="方正楷体_GBK"/>
          <w:color w:val="auto"/>
          <w:kern w:val="0"/>
          <w:sz w:val="32"/>
          <w:szCs w:val="32"/>
          <w:highlight w:val="none"/>
          <w:lang w:val="zh-CN" w:eastAsia="zh-CN" w:bidi="ar-SA"/>
        </w:rPr>
        <w:t>（一）项目资金申报及批复情况。</w:t>
      </w:r>
      <w:r>
        <w:rPr>
          <w:rFonts w:hint="default" w:ascii="Times New Roman" w:hAnsi="Times New Roman" w:eastAsia="方正仿宋_GBK" w:cs="Times New Roman"/>
          <w:color w:val="auto"/>
          <w:kern w:val="0"/>
          <w:sz w:val="32"/>
          <w:szCs w:val="32"/>
          <w:highlight w:val="none"/>
          <w:lang w:val="zh-CN" w:eastAsia="zh-CN" w:bidi="ar-SA"/>
        </w:rPr>
        <w:t>根据《巴中市人民政府关于印发</w:t>
      </w:r>
      <w:r>
        <w:rPr>
          <w:rFonts w:hint="default" w:ascii="Times New Roman" w:hAnsi="Times New Roman" w:eastAsia="方正仿宋_GBK" w:cs="Times New Roman"/>
          <w:color w:val="auto"/>
          <w:kern w:val="0"/>
          <w:sz w:val="32"/>
          <w:szCs w:val="32"/>
          <w:highlight w:val="none"/>
          <w:lang w:val="en-US" w:eastAsia="zh-CN" w:bidi="ar-SA"/>
        </w:rPr>
        <w:t>&lt;2022年巴中市东西部协作项目资金计划&gt;</w:t>
      </w:r>
      <w:r>
        <w:rPr>
          <w:rFonts w:hint="default" w:ascii="Times New Roman" w:hAnsi="Times New Roman" w:eastAsia="方正仿宋_GBK" w:cs="Times New Roman"/>
          <w:color w:val="auto"/>
          <w:kern w:val="0"/>
          <w:sz w:val="32"/>
          <w:szCs w:val="32"/>
          <w:highlight w:val="none"/>
          <w:lang w:val="zh-CN" w:eastAsia="zh-CN" w:bidi="ar-SA"/>
        </w:rPr>
        <w:t>的通知》（巴府函</w:t>
      </w:r>
      <w:r>
        <w:rPr>
          <w:rFonts w:hint="default" w:ascii="Times New Roman" w:hAnsi="Times New Roman" w:eastAsia="方正仿宋_GBK" w:cs="Times New Roman"/>
          <w:color w:val="auto"/>
          <w:kern w:val="0"/>
          <w:sz w:val="32"/>
          <w:szCs w:val="32"/>
          <w:highlight w:val="none"/>
          <w:lang w:val="en-US" w:eastAsia="zh-CN" w:bidi="ar-SA"/>
        </w:rPr>
        <w:t>〔2022〕7号</w:t>
      </w:r>
      <w:r>
        <w:rPr>
          <w:rFonts w:hint="default" w:ascii="Times New Roman" w:hAnsi="Times New Roman" w:eastAsia="方正仿宋_GBK" w:cs="Times New Roman"/>
          <w:color w:val="auto"/>
          <w:kern w:val="0"/>
          <w:sz w:val="32"/>
          <w:szCs w:val="32"/>
          <w:highlight w:val="none"/>
          <w:lang w:val="zh-CN" w:eastAsia="zh-CN" w:bidi="ar-SA"/>
        </w:rPr>
        <w:t>）精神，区商务局2022年</w:t>
      </w:r>
      <w:r>
        <w:rPr>
          <w:rFonts w:hint="default" w:ascii="Times New Roman" w:hAnsi="Times New Roman" w:eastAsia="方正仿宋_GBK" w:cs="Times New Roman"/>
          <w:color w:val="auto"/>
          <w:kern w:val="0"/>
          <w:sz w:val="32"/>
          <w:szCs w:val="32"/>
          <w:highlight w:val="none"/>
          <w:lang w:val="en-US" w:eastAsia="zh-CN" w:bidi="ar-SA"/>
        </w:rPr>
        <w:t>4月21日向区东西部协作领导小组办公室报送《巴中市巴州区商务局关于报送&lt;2022年促进农特产品消费项目实施方案&gt;的报告》（巴区商务报〔2022〕6号）。2022年4月25日，巴中市巴州区东西部协作领导小组办公室对该方案进行了批复《2022年促进农特产品消费项目实施方案》的函（巴区协作函〔2022〕14号）。</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（二）项目绩效目标。</w:t>
      </w:r>
      <w:r>
        <w:rPr>
          <w:rFonts w:hint="default" w:ascii="Times New Roman" w:hAnsi="Times New Roman" w:eastAsia="方正仿宋_GBK" w:cs="Times New Roman"/>
          <w:color w:val="auto"/>
          <w:kern w:val="0"/>
          <w:sz w:val="32"/>
          <w:szCs w:val="32"/>
          <w:highlight w:val="none"/>
          <w:lang w:val="en-US" w:eastAsia="zh-CN" w:bidi="ar-SA"/>
        </w:rPr>
        <w:t>一是支持农特产品销售。支持农特产品、扶贫产品通过“832”平台、网店、直播等进行线上销售和在大型商超设立扶贫产品销售专区的本地企业，对其物流、销售、宣传推广给予支持，拓宽巴州区农特产品及扶贫产品销售渠道，促进本地企业发展。全年实现本地农特产品向东部省份销售金额不低于3000万元。二是支持市场拓展活动。组织本地企业参加“义博会”“森博会”“旅博会”“西洽会”“西博会”等全国各类会展活动，提升巴州区产品知名度和影响力。全年组织本地企业参加各类会展活动不少于5场次。三是支持农贸市场建设。在化成镇新建2000平方米的农贸市场，建设固定摊位操作台，规范市场功能区，包括：蔬菜市场、肉禽市场、水果市场、日杂市场、停车区等；对鼎山镇1000平方米的农贸市场进行升级改造，扩大原有农贸市场规模，改造固定摊位操作台、公共厕所等设施，规范市场功能分区；完善枣林镇200平方米的农贸市场（阴灵山场镇）功能。</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（三）项目资金申报相符性。</w:t>
      </w:r>
      <w:r>
        <w:rPr>
          <w:rFonts w:hint="default" w:ascii="Times New Roman" w:hAnsi="Times New Roman" w:eastAsia="方正仿宋_GBK" w:cs="Times New Roman"/>
          <w:color w:val="auto"/>
          <w:kern w:val="0"/>
          <w:sz w:val="32"/>
          <w:szCs w:val="32"/>
          <w:highlight w:val="none"/>
          <w:lang w:val="zh-CN" w:eastAsia="zh-CN" w:bidi="ar-SA"/>
        </w:rPr>
        <w:t>项目申报内容与项目实际实施内容相符、申报目标合理可行。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二、项目资金申报及使用情况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（一）资金计划、到位及使用情况。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1、资金计划及到位。该项目</w:t>
      </w:r>
      <w:r>
        <w:rPr>
          <w:rFonts w:hint="default" w:ascii="Times New Roman" w:hAnsi="Times New Roman" w:eastAsia="方正仿宋_GBK" w:cs="Times New Roman"/>
          <w:color w:val="auto"/>
          <w:kern w:val="0"/>
          <w:sz w:val="32"/>
          <w:szCs w:val="32"/>
          <w:highlight w:val="none"/>
          <w:lang w:val="en-US" w:eastAsia="zh-CN" w:bidi="ar-SA"/>
        </w:rPr>
        <w:t>所有资金均为东西部协作资金</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2、资金使用。截至目前该项目支付资金</w:t>
      </w:r>
      <w:r>
        <w:rPr>
          <w:rFonts w:hint="default" w:ascii="Times New Roman" w:hAnsi="Times New Roman" w:eastAsia="方正仿宋_GBK" w:cs="Times New Roman"/>
          <w:color w:val="auto"/>
          <w:kern w:val="0"/>
          <w:sz w:val="32"/>
          <w:szCs w:val="32"/>
          <w:highlight w:val="none"/>
          <w:lang w:val="en-US" w:eastAsia="zh-CN" w:bidi="ar-SA"/>
        </w:rPr>
        <w:t>约62万元</w:t>
      </w:r>
      <w:r>
        <w:rPr>
          <w:rFonts w:hint="default" w:ascii="Times New Roman" w:hAnsi="Times New Roman" w:eastAsia="方正仿宋_GBK" w:cs="Times New Roman"/>
          <w:color w:val="auto"/>
          <w:kern w:val="0"/>
          <w:sz w:val="32"/>
          <w:szCs w:val="32"/>
          <w:highlight w:val="none"/>
          <w:lang w:val="zh-CN" w:eastAsia="zh-CN" w:bidi="ar-SA"/>
        </w:rPr>
        <w:t>，支付依据合规合法，资金支付与预算相符。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（二）项目财务管理情况。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该项目实施初期就建立了完善的财务管理制度，由局财务股进行会计核算及账务处理。项目严格执行东西部协作资金管理办法、财务管理制度、财务处理及时、会计核算规范。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（三）项目组织实施情况。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为加强工程建设项目的质量、安全、监督管理，区商务局明确由机关党委书记牵头，服务业股具体落实的东西部协作项目推进机制，保障工程建设有序进行。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三、项目完成情况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（一）项目完成任务量。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工程于</w:t>
      </w:r>
      <w:r>
        <w:rPr>
          <w:rFonts w:hint="default" w:ascii="Times New Roman" w:hAnsi="Times New Roman" w:eastAsia="方正仿宋_GBK" w:cs="Times New Roman"/>
          <w:color w:val="auto"/>
          <w:kern w:val="0"/>
          <w:sz w:val="32"/>
          <w:szCs w:val="32"/>
          <w:highlight w:val="none"/>
          <w:lang w:val="en-US" w:eastAsia="zh-CN" w:bidi="ar-SA"/>
        </w:rPr>
        <w:t>2022年4月启动，于2022年10月底完工。完成项目建设任务，项目总投资约62万元。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（二）项目完成质量。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zh-CN" w:eastAsia="zh-CN" w:bidi="ar-SA"/>
        </w:rPr>
        <w:t>经</w:t>
      </w:r>
      <w:r>
        <w:rPr>
          <w:rFonts w:hint="default" w:ascii="Times New Roman" w:hAnsi="Times New Roman" w:eastAsia="方正仿宋_GBK" w:cs="Times New Roman"/>
          <w:color w:val="auto"/>
          <w:kern w:val="0"/>
          <w:sz w:val="32"/>
          <w:szCs w:val="32"/>
          <w:highlight w:val="none"/>
          <w:lang w:val="en-US" w:eastAsia="zh-CN" w:bidi="ar-SA"/>
        </w:rPr>
        <w:t>业主</w:t>
      </w:r>
      <w:r>
        <w:rPr>
          <w:rFonts w:hint="default" w:ascii="Times New Roman" w:hAnsi="Times New Roman" w:eastAsia="方正仿宋_GBK" w:cs="Times New Roman"/>
          <w:color w:val="auto"/>
          <w:kern w:val="0"/>
          <w:sz w:val="32"/>
          <w:szCs w:val="32"/>
          <w:highlight w:val="none"/>
          <w:lang w:val="zh-CN" w:eastAsia="zh-CN" w:bidi="ar-SA"/>
        </w:rPr>
        <w:t>单位组织，参建各方参与，区商务局监督，工程于</w:t>
      </w:r>
      <w:r>
        <w:rPr>
          <w:rFonts w:hint="default" w:ascii="Times New Roman" w:hAnsi="Times New Roman" w:eastAsia="方正仿宋_GBK" w:cs="Times New Roman"/>
          <w:color w:val="auto"/>
          <w:kern w:val="0"/>
          <w:sz w:val="32"/>
          <w:szCs w:val="32"/>
          <w:highlight w:val="none"/>
          <w:lang w:val="en-US" w:eastAsia="zh-CN" w:bidi="ar-SA"/>
        </w:rPr>
        <w:t>2022年10月底竣工，并通过省级东西部协作考核。</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（三）项目完成进度。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项目计划工期</w:t>
      </w:r>
      <w:r>
        <w:rPr>
          <w:rFonts w:hint="default" w:ascii="Times New Roman" w:hAnsi="Times New Roman" w:eastAsia="方正仿宋_GBK" w:cs="Times New Roman"/>
          <w:color w:val="auto"/>
          <w:kern w:val="0"/>
          <w:sz w:val="32"/>
          <w:szCs w:val="32"/>
          <w:highlight w:val="none"/>
          <w:lang w:val="en-US" w:eastAsia="zh-CN" w:bidi="ar-SA"/>
        </w:rPr>
        <w:t>6个月</w:t>
      </w:r>
      <w:r>
        <w:rPr>
          <w:rFonts w:hint="default" w:ascii="Times New Roman" w:hAnsi="Times New Roman" w:eastAsia="方正仿宋_GBK" w:cs="Times New Roman"/>
          <w:color w:val="auto"/>
          <w:kern w:val="0"/>
          <w:sz w:val="32"/>
          <w:szCs w:val="32"/>
          <w:highlight w:val="none"/>
          <w:lang w:val="zh-CN" w:eastAsia="zh-CN" w:bidi="ar-SA"/>
        </w:rPr>
        <w:t>。实际完工建设工期</w:t>
      </w:r>
      <w:r>
        <w:rPr>
          <w:rFonts w:hint="default" w:ascii="Times New Roman" w:hAnsi="Times New Roman" w:eastAsia="方正仿宋_GBK" w:cs="Times New Roman"/>
          <w:color w:val="auto"/>
          <w:kern w:val="0"/>
          <w:sz w:val="32"/>
          <w:szCs w:val="32"/>
          <w:highlight w:val="none"/>
          <w:lang w:val="en-US" w:eastAsia="zh-CN" w:bidi="ar-SA"/>
        </w:rPr>
        <w:t>6个月</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四、项目效益情况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2022年促进农特产品消费项目的实施，将瞄准本地农特产品、扶贫产品，充分发挥消费帮扶的带动作用。同时深化农村流通体制改革，提升改造一批乡镇农贸市场，加强基础设施建设，完善功能配套。以东西部协作为契机，项目实施为依托，借助义乌国际化市场，帮助巴州本地企业转型升级，拓宽巴州产品销售渠道，从而促进本地产业发展。以扶贫企业、扶贫产品为载体，进一步提升脱贫人员内生发展动力，增强致富本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五、问题及建议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Calibri" w:eastAsia="仿宋_GB2312" w:cs="仿宋"/>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目前，巴州区农特产品规模小、标准不统一、知名度不高，在市场上竞争能力不够。建议相关部门加大本地农特产品培育，参加各类会展的同时开展本地农特产品展销活动，同时依托电商平台，加强农特产品销售销售，进一步拓展产品销售渠道，提升产品知名度和影响力。</w:t>
      </w:r>
    </w:p>
    <w:tbl>
      <w:tblPr>
        <w:tblStyle w:val="1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3"/>
        <w:gridCol w:w="729"/>
        <w:gridCol w:w="881"/>
        <w:gridCol w:w="2036"/>
        <w:gridCol w:w="135"/>
        <w:gridCol w:w="526"/>
        <w:gridCol w:w="1590"/>
        <w:gridCol w:w="1096"/>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auto"/>
                <w:sz w:val="31"/>
                <w:szCs w:val="31"/>
                <w:u w:val="none"/>
              </w:rPr>
            </w:pPr>
            <w:r>
              <w:rPr>
                <w:rFonts w:hint="eastAsia" w:ascii="方正小标宋简体" w:hAnsi="方正小标宋简体" w:eastAsia="方正小标宋简体" w:cs="方正小标宋简体"/>
                <w:b/>
                <w:bCs/>
                <w:i w:val="0"/>
                <w:iCs w:val="0"/>
                <w:color w:val="auto"/>
                <w:kern w:val="0"/>
                <w:sz w:val="31"/>
                <w:szCs w:val="31"/>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项目名称</w:t>
            </w:r>
          </w:p>
        </w:tc>
        <w:tc>
          <w:tcPr>
            <w:tcW w:w="4143"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川东北商贸物流中心项目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预算单位</w:t>
            </w:r>
          </w:p>
        </w:tc>
        <w:tc>
          <w:tcPr>
            <w:tcW w:w="17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实施单位      及责任人</w:t>
            </w:r>
          </w:p>
        </w:tc>
        <w:tc>
          <w:tcPr>
            <w:tcW w:w="19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巴中市巴州区商务局、王映民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项目属性</w:t>
            </w:r>
          </w:p>
        </w:tc>
        <w:tc>
          <w:tcPr>
            <w:tcW w:w="17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√新增项目　 　□延续项目</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项目期限</w:t>
            </w:r>
          </w:p>
        </w:tc>
        <w:tc>
          <w:tcPr>
            <w:tcW w:w="19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√一次性   □经常性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立项依据（文件）</w:t>
            </w:r>
          </w:p>
        </w:tc>
        <w:tc>
          <w:tcPr>
            <w:tcW w:w="4143"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巴府函〔2022〕7号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5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项目概述</w:t>
            </w:r>
          </w:p>
        </w:tc>
        <w:tc>
          <w:tcPr>
            <w:tcW w:w="4143" w:type="pct"/>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借助义乌国际化市场，帮助巴州本地企业转型升级，拓宽巴州产品销售渠道，从而促进本地产业发展。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4143"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5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4143"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总体目标</w:t>
            </w:r>
          </w:p>
        </w:tc>
        <w:tc>
          <w:tcPr>
            <w:tcW w:w="459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全年实现本地农特产品向东部省份销售金额不低于3000万元，全年组织本地企业参加各类会展活动不少于5场次，新改建化成镇、鼎山镇、枣林镇阴灵山场镇农贸市场。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绩效指标</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一级    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二级指标</w:t>
            </w: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三级指标</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指标值（含数字及文字描述）</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度量单位</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权重（所有加起来不超过100%）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产出      指标</w:t>
            </w:r>
          </w:p>
        </w:tc>
        <w:tc>
          <w:tcPr>
            <w:tcW w:w="5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数量指标</w:t>
            </w: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支持农特产品销售</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支持农特产品、扶贫产品通过“832”平台、网店、直播等进行线上销售，全年实现本地农特产品向东部省份销售金额不低于3000万元。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万元</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支持市场拓展活动</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组织本地企业参加“义博会”“森博会”“旅博会”“西洽会”“西博会”等全国各类会展活动，全年组织本地企业参加各类会展活动不少于5场次</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场次</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支持农贸市场建设</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新改建化成镇、鼎山镇、枣林镇阴灵山场镇农贸市场</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质量指标</w:t>
            </w: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时效指标</w:t>
            </w: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2022年度</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2022年度</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成本指标</w:t>
            </w: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62万元</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62万元</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效益     指标</w:t>
            </w:r>
          </w:p>
        </w:tc>
        <w:tc>
          <w:tcPr>
            <w:tcW w:w="5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经济效益</w:t>
            </w:r>
          </w:p>
        </w:tc>
        <w:tc>
          <w:tcPr>
            <w:tcW w:w="130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帮助企业拓展销售渠道，实现年销售额增长10%左右</w:t>
            </w:r>
          </w:p>
        </w:tc>
        <w:tc>
          <w:tcPr>
            <w:tcW w:w="129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帮助企业拓展销售渠道，实现年销售额增长10%左右</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30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社会效益</w:t>
            </w:r>
          </w:p>
        </w:tc>
        <w:tc>
          <w:tcPr>
            <w:tcW w:w="130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提升“巴州产 巴州造”产品知名度和影响力，进一步宣传推介巴州。</w:t>
            </w:r>
          </w:p>
        </w:tc>
        <w:tc>
          <w:tcPr>
            <w:tcW w:w="129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提升“巴州产 巴州造”产品知名度和影响力，进一步宣传推介巴州。</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30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2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可持续影响</w:t>
            </w: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拓展企业销售渠道，培育企业做大做强。同时向外推介宣传巴州</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拓展企业销售渠道，培育企业做大做强。同时向外推介宣传巴州</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满意度   指标</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服务对象满意度</w:t>
            </w:r>
          </w:p>
        </w:tc>
        <w:tc>
          <w:tcPr>
            <w:tcW w:w="1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bl>
    <w:p>
      <w:pPr>
        <w:widowControl/>
        <w:shd w:val="clear" w:color="auto" w:fill="FFFFFF"/>
        <w:adjustRightInd w:val="0"/>
        <w:snapToGrid w:val="0"/>
        <w:spacing w:line="560" w:lineRule="exact"/>
        <w:ind w:firstLine="640" w:firstLineChars="200"/>
        <w:rPr>
          <w:rFonts w:hint="eastAsia" w:ascii="仿宋_GB2312" w:hAnsi="Calibri" w:eastAsia="仿宋_GB2312" w:cs="仿宋"/>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both"/>
        <w:textAlignment w:val="auto"/>
        <w:outlineLvl w:val="9"/>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附件5</w:t>
      </w:r>
    </w:p>
    <w:p>
      <w:pPr>
        <w:widowControl/>
        <w:shd w:val="clear" w:color="auto" w:fill="FFFFFF"/>
        <w:adjustRightInd w:val="0"/>
        <w:snapToGrid w:val="0"/>
        <w:spacing w:line="560" w:lineRule="exact"/>
        <w:jc w:val="both"/>
        <w:rPr>
          <w:rFonts w:hint="default" w:ascii="仿宋_GB2312" w:hAnsi="Calibri" w:eastAsia="仿宋_GB2312" w:cs="仿宋"/>
          <w:b/>
          <w:bCs/>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0" w:firstLineChars="0"/>
        <w:jc w:val="center"/>
        <w:textAlignment w:val="auto"/>
        <w:rPr>
          <w:rFonts w:hint="eastAsia" w:ascii="方正小标宋_GBK" w:hAnsi="方正小标宋_GBK" w:eastAsia="方正小标宋_GBK" w:cs="方正小标宋_GBK"/>
          <w:b w:val="0"/>
          <w:bCs w:val="0"/>
          <w:color w:val="auto"/>
          <w:kern w:val="0"/>
          <w:sz w:val="44"/>
          <w:szCs w:val="44"/>
          <w:highlight w:val="none"/>
          <w:lang w:val="en-US" w:eastAsia="zh-CN" w:bidi="ar-SA"/>
        </w:rPr>
      </w:pPr>
      <w:r>
        <w:rPr>
          <w:rFonts w:hint="eastAsia" w:ascii="方正小标宋_GBK" w:hAnsi="方正小标宋_GBK" w:eastAsia="方正小标宋_GBK" w:cs="方正小标宋_GBK"/>
          <w:b w:val="0"/>
          <w:bCs w:val="0"/>
          <w:color w:val="auto"/>
          <w:kern w:val="0"/>
          <w:sz w:val="44"/>
          <w:szCs w:val="44"/>
          <w:highlight w:val="none"/>
          <w:lang w:val="en-US" w:eastAsia="zh-CN" w:bidi="ar-SA"/>
        </w:rPr>
        <w:t>巴中市巴州区王府井-黄家沟商贸服务业集聚区项目绩效自评报告</w:t>
      </w: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eastAsia" w:ascii="黑体" w:hAnsi="黑体" w:eastAsia="黑体" w:cs="黑体"/>
          <w:color w:val="auto"/>
          <w:kern w:val="0"/>
          <w:sz w:val="32"/>
          <w:szCs w:val="32"/>
          <w:highlight w:val="none"/>
          <w:lang w:val="zh-CN" w:eastAsia="zh-CN" w:bidi="ar-SA"/>
        </w:rPr>
        <w:t>项目概况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eastAsia" w:ascii="方正楷体_GBK" w:hAnsi="方正楷体_GBK" w:eastAsia="方正楷体_GBK" w:cs="方正楷体_GBK"/>
          <w:color w:val="auto"/>
          <w:kern w:val="0"/>
          <w:sz w:val="32"/>
          <w:szCs w:val="32"/>
          <w:highlight w:val="none"/>
          <w:lang w:val="zh-CN" w:eastAsia="zh-CN" w:bidi="ar-SA"/>
        </w:rPr>
        <w:t>（一）项目资金申报及批复情况。</w:t>
      </w:r>
      <w:r>
        <w:rPr>
          <w:rFonts w:hint="default" w:ascii="Times New Roman" w:hAnsi="Times New Roman" w:eastAsia="方正仿宋_GBK" w:cs="Times New Roman"/>
          <w:color w:val="auto"/>
          <w:kern w:val="0"/>
          <w:sz w:val="32"/>
          <w:szCs w:val="32"/>
          <w:highlight w:val="none"/>
          <w:lang w:val="zh-CN" w:eastAsia="zh-CN" w:bidi="ar-SA"/>
        </w:rPr>
        <w:t>根据</w:t>
      </w:r>
      <w:r>
        <w:rPr>
          <w:rFonts w:hint="default" w:ascii="Times New Roman" w:hAnsi="Times New Roman" w:eastAsia="方正仿宋_GBK" w:cs="Times New Roman"/>
          <w:color w:val="auto"/>
          <w:kern w:val="0"/>
          <w:sz w:val="32"/>
          <w:szCs w:val="32"/>
          <w:highlight w:val="none"/>
          <w:lang w:val="en-US" w:eastAsia="zh-CN" w:bidi="ar-SA"/>
        </w:rPr>
        <w:t>《四川省商务厅 四川省财政厅关于做好2022年服务业集聚区、服务业强县（市、区）项目申报工作的通知》（川商财〔2022〕11号）</w:t>
      </w:r>
      <w:r>
        <w:rPr>
          <w:rFonts w:hint="default" w:ascii="Times New Roman" w:hAnsi="Times New Roman" w:eastAsia="方正仿宋_GBK" w:cs="Times New Roman"/>
          <w:color w:val="auto"/>
          <w:kern w:val="0"/>
          <w:sz w:val="32"/>
          <w:szCs w:val="32"/>
          <w:highlight w:val="none"/>
          <w:lang w:val="zh-CN" w:eastAsia="zh-CN" w:bidi="ar-SA"/>
        </w:rPr>
        <w:t>精神，2022年</w:t>
      </w:r>
      <w:r>
        <w:rPr>
          <w:rFonts w:hint="default" w:ascii="Times New Roman" w:hAnsi="Times New Roman" w:eastAsia="方正仿宋_GBK" w:cs="Times New Roman"/>
          <w:color w:val="auto"/>
          <w:kern w:val="0"/>
          <w:sz w:val="32"/>
          <w:szCs w:val="32"/>
          <w:highlight w:val="none"/>
          <w:lang w:val="en-US" w:eastAsia="zh-CN" w:bidi="ar-SA"/>
        </w:rPr>
        <w:t>3月2日，</w:t>
      </w:r>
      <w:r>
        <w:rPr>
          <w:rFonts w:hint="default" w:ascii="Times New Roman" w:hAnsi="Times New Roman" w:eastAsia="方正仿宋_GBK" w:cs="Times New Roman"/>
          <w:color w:val="auto"/>
          <w:kern w:val="0"/>
          <w:sz w:val="32"/>
          <w:szCs w:val="32"/>
          <w:highlight w:val="none"/>
          <w:lang w:val="zh-CN" w:eastAsia="zh-CN" w:bidi="ar-SA"/>
        </w:rPr>
        <w:t>区商务局</w:t>
      </w:r>
      <w:r>
        <w:rPr>
          <w:rFonts w:hint="default" w:ascii="Times New Roman" w:hAnsi="Times New Roman" w:eastAsia="方正仿宋_GBK" w:cs="Times New Roman"/>
          <w:color w:val="auto"/>
          <w:kern w:val="0"/>
          <w:sz w:val="32"/>
          <w:szCs w:val="32"/>
          <w:highlight w:val="none"/>
          <w:lang w:val="en-US" w:eastAsia="zh-CN" w:bidi="ar-SA"/>
        </w:rPr>
        <w:t>和区财政局向区人民政府呈报了《关于申报2022年服务业聚集区项目的请示》；3月3日，区人民政府向市财政局、市商务局呈报了《关于申报2022年服务业聚集区项目的请示》；3月7日，市商务局和市财政局呈报了《关于转报2022年服务业集聚区、服务业强区项目的报告》；3月底，区商务局在区委常委、副区长杨志强的带领下到省商务厅开展现场申报答辩；4月7日，省商务厅对2022年省级服务业集聚区认定名单予以公示，巴州区王府井-黄家沟商贸服务业集聚区入列；8月25日，区人民政府向市财政和市商务局呈送了《王府井一黄家沟服务业集聚区项目实施方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（二）项目绩效目标。</w:t>
      </w:r>
      <w:r>
        <w:rPr>
          <w:rFonts w:hint="default" w:ascii="Times New Roman" w:hAnsi="Times New Roman" w:eastAsia="方正仿宋_GBK" w:cs="Times New Roman"/>
          <w:color w:val="auto"/>
          <w:kern w:val="0"/>
          <w:sz w:val="32"/>
          <w:szCs w:val="32"/>
          <w:highlight w:val="none"/>
          <w:lang w:val="en-US" w:eastAsia="zh-CN" w:bidi="ar-SA"/>
        </w:rPr>
        <w:t>加快推进王府井-黄家沟服务业集聚区商贸流通项目建设，推动全区服务业高质量发展。2022 年实现服务业增加值增长10%，新增就业贡献率超 30%。到 2025 年，全区服务业结构进一步优化，产业体系不断健全，供给质量持续提升，建成川陕渝结合部现代商贸物流集聚区。王府井-黄家沟服务业集聚区产值达到100亿元以上，创造税收3亿元以上，川东北较大的商业贸易服务业集聚区基本形成，有力实现商贸产业集群发展、商贸企业规模壮大、信息水平不断提升，建设成为川陕渝结合部现代商贸物流集聚区的重要引擎和示范基地。</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（三）项目资金申报相符性。</w:t>
      </w:r>
      <w:r>
        <w:rPr>
          <w:rFonts w:hint="default" w:ascii="Times New Roman" w:hAnsi="Times New Roman" w:eastAsia="方正仿宋_GBK" w:cs="Times New Roman"/>
          <w:color w:val="auto"/>
          <w:kern w:val="0"/>
          <w:sz w:val="32"/>
          <w:szCs w:val="32"/>
          <w:highlight w:val="none"/>
          <w:lang w:val="zh-CN" w:eastAsia="zh-CN" w:bidi="ar-SA"/>
        </w:rPr>
        <w:t>项目申报内容与项目实际实施内容相符、申报目标合理可行。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二、项目资金申报及使用情况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（一）资金计划、到位及使用情况。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1、资金计划及到位。该项目</w:t>
      </w:r>
      <w:r>
        <w:rPr>
          <w:rFonts w:hint="default" w:ascii="Times New Roman" w:hAnsi="Times New Roman" w:eastAsia="方正仿宋_GBK" w:cs="Times New Roman"/>
          <w:color w:val="auto"/>
          <w:kern w:val="0"/>
          <w:sz w:val="32"/>
          <w:szCs w:val="32"/>
          <w:highlight w:val="none"/>
          <w:lang w:val="en-US" w:eastAsia="zh-CN" w:bidi="ar-SA"/>
        </w:rPr>
        <w:t>所有资金均为2022年第一批省级内贸流通服务业发展专项资金</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2、资金使用。截至目前该项目暂未支付资金。</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（二）项目财务管理情况。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该项目实施初期就建立了完善的财务管理制度，由局财务股进行会计核算及账务处理。项目严格执行集聚区资金管理办法、财务管理制度、财务处理及时、会计核算规范。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（三）项目组织实施情况。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为加强项目建设的进度、质量监督管理，区商务局由局党组书记亲自挂帅，服务业股具体落实集聚区项目推进机制，保障项目建设有序进行。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三、项目完成情况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（一）项目完成任务量。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各子项目于</w:t>
      </w:r>
      <w:r>
        <w:rPr>
          <w:rFonts w:hint="default" w:ascii="Times New Roman" w:hAnsi="Times New Roman" w:eastAsia="方正仿宋_GBK" w:cs="Times New Roman"/>
          <w:color w:val="auto"/>
          <w:kern w:val="0"/>
          <w:sz w:val="32"/>
          <w:szCs w:val="32"/>
          <w:highlight w:val="none"/>
          <w:lang w:val="en-US" w:eastAsia="zh-CN" w:bidi="ar-SA"/>
        </w:rPr>
        <w:t>2022年初启动，于2023年8月底完工。各项目基本完成今年项目建设既定任务。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（二）项目完成质量。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根据《王府井一黄家沟服务业集聚区项目实施方案》，2023年3月开展项目中期评价。</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（三）项目完成进度。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正常，持续推进。</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四、项目效益情况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该集聚区占地面积4平方公里，规划建设面积810万平方米，已建成720万平方米，商业可用面积达300万平方米，形成“一广场（万达广场）两中心（王府井购物中心、巴城农副产品交易中心）三组团（西部国际商贸城片区专业市场组团、江湾城片区社区商业组团、财富广场片区城市CBD组团）”。集聚区已建成小商品交易、建材家具、五金机电、汽车贸易、汽车修配、农副产品批发、仓储物流等7大专业市场，入驻各类企业和个体工商户5640家，引进居然之家、横店影城、戴斯酒店、七天连锁等国内知名品牌1358个，培育门店数超过50家以上的怡朵蛋糕、昂橙母婴、怡和药房、伟超王子等本土连锁品牌4个，提供就业岗位32680个。力争到2025年，集聚区交易额突破100亿元，占全区服务业企业营业收入18%以上；集聚区服务业增加值占全区服务业增加值15%以上，在川东北片区形成辐射效应和引领效应，为加快建设川陕渝结合部现代商贸物流集聚区提供有力支撑。</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五、问题及建议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无。</w:t>
      </w:r>
    </w:p>
    <w:tbl>
      <w:tblPr>
        <w:tblStyle w:val="15"/>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6"/>
        <w:gridCol w:w="436"/>
        <w:gridCol w:w="1335"/>
        <w:gridCol w:w="1845"/>
        <w:gridCol w:w="840"/>
        <w:gridCol w:w="676"/>
        <w:gridCol w:w="917"/>
        <w:gridCol w:w="1096"/>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163"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auto"/>
                <w:sz w:val="31"/>
                <w:szCs w:val="31"/>
                <w:u w:val="none"/>
              </w:rPr>
            </w:pPr>
            <w:r>
              <w:rPr>
                <w:rFonts w:hint="eastAsia" w:ascii="方正小标宋简体" w:hAnsi="方正小标宋简体" w:eastAsia="方正小标宋简体" w:cs="方正小标宋简体"/>
                <w:b/>
                <w:bCs/>
                <w:i w:val="0"/>
                <w:iCs w:val="0"/>
                <w:color w:val="auto"/>
                <w:kern w:val="0"/>
                <w:sz w:val="31"/>
                <w:szCs w:val="31"/>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项目名称</w:t>
            </w:r>
          </w:p>
        </w:tc>
        <w:tc>
          <w:tcPr>
            <w:tcW w:w="66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王府井-黄家沟服务业集聚区项目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预算单位</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实施单位      及责任人</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巴中市巴州区商务局、王映民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项目属性</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√新增项目　 　□延续项目</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项目期限</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√一次性   □经常性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立项依据（文件）</w:t>
            </w:r>
          </w:p>
        </w:tc>
        <w:tc>
          <w:tcPr>
            <w:tcW w:w="66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《巴中市财政局关于转下达2022年第一批省级内贸流通服务业发展专项资金预算的通知》（巴财建〔2022〕37号）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项目概述</w:t>
            </w:r>
          </w:p>
        </w:tc>
        <w:tc>
          <w:tcPr>
            <w:tcW w:w="6692"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 xml:space="preserve">  实施王府井购物中心智慧商业综合体、巴城农副产品交易中心、万达广场时尚品质生活中心、洲际智选假日酒店、国盛一品商业特色街等5个子项目，推动商贸资源要素集聚。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669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669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总体目标</w:t>
            </w:r>
          </w:p>
        </w:tc>
        <w:tc>
          <w:tcPr>
            <w:tcW w:w="703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加快推进王府井-黄家沟服务业集聚区商贸流通项目建设，推动全区服务业高质量发展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绩效指标</w:t>
            </w: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一级    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二级指标</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三级指标</w:t>
            </w: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指标值（含数字及文字描述）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度量单位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权重（所有加起来不超过100%）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产出      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服务业增加值增速</w:t>
            </w:r>
          </w:p>
        </w:tc>
        <w:tc>
          <w:tcPr>
            <w:tcW w:w="165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质量指标</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服务业增加值占GDP比重</w:t>
            </w: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时效指标</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2022-2023年度</w:t>
            </w: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2022-2023年度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成本指标</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5个子项目投资成本</w:t>
            </w: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8.15亿元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效益     指标</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经济效益</w:t>
            </w:r>
          </w:p>
        </w:tc>
        <w:tc>
          <w:tcPr>
            <w:tcW w:w="27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集聚区营业收入</w:t>
            </w:r>
          </w:p>
        </w:tc>
        <w:tc>
          <w:tcPr>
            <w:tcW w:w="1651"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7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651"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社会效益</w:t>
            </w:r>
          </w:p>
        </w:tc>
        <w:tc>
          <w:tcPr>
            <w:tcW w:w="27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服务业新增城镇就业占当地新增城镇就业比重</w:t>
            </w:r>
          </w:p>
        </w:tc>
        <w:tc>
          <w:tcPr>
            <w:tcW w:w="1651"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27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651"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可持续影响</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集聚区内，商贸物流要素更加集聚，对全区经济发展支撑作用更加显著</w:t>
            </w: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集聚区内，商贸物流要素更加集聚，对全区经济发展支撑作用更加显著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满意度   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服务对象满意度</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99%</w:t>
            </w:r>
          </w:p>
        </w:tc>
        <w:tc>
          <w:tcPr>
            <w:tcW w:w="1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bl>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widowControl/>
        <w:shd w:val="clear" w:color="auto" w:fill="FFFFFF"/>
        <w:adjustRightInd w:val="0"/>
        <w:snapToGrid w:val="0"/>
        <w:spacing w:line="560" w:lineRule="exact"/>
        <w:ind w:firstLine="643" w:firstLineChars="200"/>
        <w:jc w:val="center"/>
        <w:rPr>
          <w:rFonts w:hint="eastAsia" w:ascii="仿宋_GB2312" w:hAnsi="Calibri" w:eastAsia="仿宋_GB2312" w:cs="仿宋"/>
          <w:b/>
          <w:bCs/>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both"/>
        <w:textAlignment w:val="auto"/>
        <w:outlineLvl w:val="9"/>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附件6</w:t>
      </w:r>
    </w:p>
    <w:p>
      <w:pPr>
        <w:widowControl/>
        <w:shd w:val="clear" w:color="auto" w:fill="FFFFFF"/>
        <w:adjustRightInd w:val="0"/>
        <w:snapToGrid w:val="0"/>
        <w:spacing w:line="560" w:lineRule="exact"/>
        <w:jc w:val="both"/>
        <w:rPr>
          <w:rFonts w:hint="default" w:ascii="仿宋_GB2312" w:hAnsi="Calibri" w:eastAsia="仿宋_GB2312" w:cs="仿宋"/>
          <w:b/>
          <w:bCs/>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0" w:firstLineChars="0"/>
        <w:jc w:val="center"/>
        <w:textAlignment w:val="auto"/>
        <w:rPr>
          <w:rFonts w:hint="eastAsia" w:ascii="方正小标宋_GBK" w:hAnsi="方正小标宋_GBK" w:eastAsia="方正小标宋_GBK" w:cs="方正小标宋_GBK"/>
          <w:b w:val="0"/>
          <w:bCs w:val="0"/>
          <w:color w:val="auto"/>
          <w:kern w:val="0"/>
          <w:sz w:val="44"/>
          <w:szCs w:val="44"/>
          <w:highlight w:val="none"/>
          <w:lang w:val="en-US" w:eastAsia="zh-CN" w:bidi="ar-SA"/>
        </w:rPr>
      </w:pPr>
      <w:r>
        <w:rPr>
          <w:rFonts w:hint="eastAsia" w:ascii="方正小标宋_GBK" w:hAnsi="方正小标宋_GBK" w:eastAsia="方正小标宋_GBK" w:cs="方正小标宋_GBK"/>
          <w:b w:val="0"/>
          <w:bCs w:val="0"/>
          <w:color w:val="auto"/>
          <w:kern w:val="0"/>
          <w:sz w:val="44"/>
          <w:szCs w:val="44"/>
          <w:highlight w:val="none"/>
          <w:lang w:val="en-US" w:eastAsia="zh-CN" w:bidi="ar-SA"/>
        </w:rPr>
        <w:t>巴中市巴州区商务局2022年区级限规企业奖励扶持资金绩效自评报告</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方正楷体_GBK" w:hAnsi="方正楷体_GBK" w:eastAsia="方正楷体_GBK" w:cs="方正楷体_GBK"/>
          <w:color w:val="auto"/>
          <w:kern w:val="0"/>
          <w:sz w:val="32"/>
          <w:szCs w:val="32"/>
          <w:highlight w:val="none"/>
          <w:lang w:val="zh-CN" w:eastAsia="zh-CN" w:bidi="ar-SA"/>
        </w:rPr>
        <w:t>（一）项目资金申报及批复情况。</w:t>
      </w:r>
      <w:r>
        <w:rPr>
          <w:rFonts w:hint="default" w:ascii="Times New Roman" w:hAnsi="Times New Roman" w:eastAsia="方正仿宋_GBK" w:cs="Times New Roman"/>
          <w:color w:val="auto"/>
          <w:kern w:val="0"/>
          <w:sz w:val="32"/>
          <w:szCs w:val="32"/>
          <w:highlight w:val="none"/>
          <w:lang w:val="zh-CN" w:eastAsia="zh-CN" w:bidi="ar-SA"/>
        </w:rPr>
        <w:t>根据</w:t>
      </w:r>
      <w:r>
        <w:rPr>
          <w:rFonts w:hint="default" w:ascii="Times New Roman" w:hAnsi="Times New Roman" w:eastAsia="方正仿宋_GBK" w:cs="Times New Roman"/>
          <w:color w:val="auto"/>
          <w:kern w:val="0"/>
          <w:sz w:val="32"/>
          <w:szCs w:val="32"/>
          <w:highlight w:val="none"/>
          <w:lang w:val="en-US" w:eastAsia="zh-CN" w:bidi="ar-SA"/>
        </w:rPr>
        <w:t>中共巴中市巴州区区委 巴中市巴州区人民政府</w:t>
      </w:r>
      <w:r>
        <w:rPr>
          <w:rFonts w:hint="default" w:ascii="Times New Roman" w:hAnsi="Times New Roman" w:eastAsia="方正仿宋_GBK" w:cs="Times New Roman"/>
          <w:color w:val="auto"/>
          <w:kern w:val="0"/>
          <w:sz w:val="32"/>
          <w:szCs w:val="32"/>
          <w:highlight w:val="none"/>
          <w:lang w:val="zh-CN" w:eastAsia="zh-CN" w:bidi="ar-SA"/>
        </w:rPr>
        <w:t>《</w:t>
      </w:r>
      <w:r>
        <w:rPr>
          <w:rFonts w:hint="default" w:ascii="Times New Roman" w:hAnsi="Times New Roman" w:eastAsia="方正仿宋_GBK" w:cs="Times New Roman"/>
          <w:color w:val="auto"/>
          <w:kern w:val="0"/>
          <w:sz w:val="32"/>
          <w:szCs w:val="32"/>
          <w:highlight w:val="none"/>
          <w:lang w:val="en-US" w:eastAsia="zh-CN" w:bidi="ar-SA"/>
        </w:rPr>
        <w:t>关于推动服务业高质量发展建设服务业强区的意见》（巴区委发〔2020〕9号）</w:t>
      </w:r>
      <w:r>
        <w:rPr>
          <w:rFonts w:hint="default" w:ascii="Times New Roman" w:hAnsi="Times New Roman" w:eastAsia="方正仿宋_GBK" w:cs="Times New Roman"/>
          <w:color w:val="auto"/>
          <w:kern w:val="0"/>
          <w:sz w:val="32"/>
          <w:szCs w:val="32"/>
          <w:highlight w:val="none"/>
          <w:lang w:val="zh-CN" w:eastAsia="zh-CN" w:bidi="ar-SA"/>
        </w:rPr>
        <w:t>,结合我区商贸企业发展实际申报。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（二）项目绩效目标。</w:t>
      </w:r>
      <w:r>
        <w:rPr>
          <w:rFonts w:hint="default" w:ascii="Times New Roman" w:hAnsi="Times New Roman" w:eastAsia="方正仿宋_GBK" w:cs="Times New Roman"/>
          <w:color w:val="auto"/>
          <w:kern w:val="0"/>
          <w:sz w:val="32"/>
          <w:szCs w:val="32"/>
          <w:highlight w:val="none"/>
          <w:lang w:val="en-US" w:eastAsia="zh-CN" w:bidi="ar-SA"/>
        </w:rPr>
        <w:t>支付2019年入库的限规企业和2020年入库的限上商贸企业。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（三）项目资金申报相符性。</w:t>
      </w:r>
      <w:r>
        <w:rPr>
          <w:rFonts w:hint="default" w:ascii="Times New Roman" w:hAnsi="Times New Roman" w:eastAsia="方正仿宋_GBK" w:cs="Times New Roman"/>
          <w:color w:val="auto"/>
          <w:kern w:val="0"/>
          <w:sz w:val="32"/>
          <w:szCs w:val="32"/>
          <w:highlight w:val="none"/>
          <w:lang w:val="zh-CN" w:eastAsia="zh-CN" w:bidi="ar-SA"/>
        </w:rPr>
        <w:t>项目申报内容与项目实际实施内容相符、申报目标合理可行。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二、项目资金申报及使用情况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（一）资金计划、到位及使用情况。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1.</w:t>
      </w:r>
      <w:r>
        <w:rPr>
          <w:rFonts w:hint="default" w:ascii="Times New Roman" w:hAnsi="Times New Roman" w:eastAsia="方正仿宋_GBK" w:cs="Times New Roman"/>
          <w:color w:val="auto"/>
          <w:kern w:val="0"/>
          <w:sz w:val="32"/>
          <w:szCs w:val="32"/>
          <w:highlight w:val="none"/>
          <w:lang w:val="zh-CN" w:eastAsia="zh-CN" w:bidi="ar-SA"/>
        </w:rPr>
        <w:t>资金计划及到位。该项目资金为</w:t>
      </w:r>
      <w:r>
        <w:rPr>
          <w:rFonts w:hint="default" w:ascii="Times New Roman" w:hAnsi="Times New Roman" w:eastAsia="方正仿宋_GBK" w:cs="Times New Roman"/>
          <w:color w:val="auto"/>
          <w:kern w:val="0"/>
          <w:sz w:val="32"/>
          <w:szCs w:val="32"/>
          <w:highlight w:val="none"/>
          <w:lang w:val="en-US" w:eastAsia="zh-CN" w:bidi="ar-SA"/>
        </w:rPr>
        <w:t>区</w:t>
      </w:r>
      <w:r>
        <w:rPr>
          <w:rFonts w:hint="default" w:ascii="Times New Roman" w:hAnsi="Times New Roman" w:eastAsia="方正仿宋_GBK" w:cs="Times New Roman"/>
          <w:color w:val="auto"/>
          <w:kern w:val="0"/>
          <w:sz w:val="32"/>
          <w:szCs w:val="32"/>
          <w:highlight w:val="none"/>
          <w:lang w:val="zh-CN" w:eastAsia="zh-CN" w:bidi="ar-SA"/>
        </w:rPr>
        <w:t>级</w:t>
      </w:r>
      <w:r>
        <w:rPr>
          <w:rFonts w:hint="default" w:ascii="Times New Roman" w:hAnsi="Times New Roman" w:eastAsia="方正仿宋_GBK" w:cs="Times New Roman"/>
          <w:color w:val="auto"/>
          <w:kern w:val="0"/>
          <w:sz w:val="32"/>
          <w:szCs w:val="32"/>
          <w:highlight w:val="none"/>
          <w:lang w:val="en-US" w:eastAsia="zh-CN" w:bidi="ar-SA"/>
        </w:rPr>
        <w:t>限规企业奖励扶持资金</w:t>
      </w:r>
      <w:r>
        <w:rPr>
          <w:rFonts w:hint="default" w:ascii="Times New Roman" w:hAnsi="Times New Roman" w:eastAsia="方正仿宋_GBK" w:cs="Times New Roman"/>
          <w:color w:val="auto"/>
          <w:kern w:val="0"/>
          <w:sz w:val="32"/>
          <w:szCs w:val="32"/>
          <w:highlight w:val="none"/>
          <w:lang w:val="zh-CN" w:eastAsia="zh-CN" w:bidi="ar-SA"/>
        </w:rPr>
        <w:t>，已到位。</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eastAsia" w:ascii="Times New Roman" w:hAnsi="Times New Roman" w:eastAsia="方正仿宋_GBK" w:cs="Times New Roman"/>
          <w:color w:val="auto"/>
          <w:kern w:val="0"/>
          <w:sz w:val="32"/>
          <w:szCs w:val="32"/>
          <w:highlight w:val="none"/>
          <w:lang w:val="en-US" w:eastAsia="zh-CN" w:bidi="ar-SA"/>
        </w:rPr>
        <w:t>2.</w:t>
      </w:r>
      <w:r>
        <w:rPr>
          <w:rFonts w:hint="default" w:ascii="Times New Roman" w:hAnsi="Times New Roman" w:eastAsia="方正仿宋_GBK" w:cs="Times New Roman"/>
          <w:color w:val="auto"/>
          <w:kern w:val="0"/>
          <w:sz w:val="32"/>
          <w:szCs w:val="32"/>
          <w:highlight w:val="none"/>
          <w:lang w:val="zh-CN" w:eastAsia="zh-CN" w:bidi="ar-SA"/>
        </w:rPr>
        <w:t>资金使用。截至目前该项目支付资金</w:t>
      </w:r>
      <w:r>
        <w:rPr>
          <w:rFonts w:hint="default" w:ascii="Times New Roman" w:hAnsi="Times New Roman" w:eastAsia="方正仿宋_GBK" w:cs="Times New Roman"/>
          <w:color w:val="auto"/>
          <w:kern w:val="0"/>
          <w:sz w:val="32"/>
          <w:szCs w:val="32"/>
          <w:highlight w:val="none"/>
          <w:lang w:val="en-US" w:eastAsia="zh-CN" w:bidi="ar-SA"/>
        </w:rPr>
        <w:t>100万元</w:t>
      </w:r>
      <w:r>
        <w:rPr>
          <w:rFonts w:hint="default" w:ascii="Times New Roman" w:hAnsi="Times New Roman" w:eastAsia="方正仿宋_GBK" w:cs="Times New Roman"/>
          <w:color w:val="auto"/>
          <w:kern w:val="0"/>
          <w:sz w:val="32"/>
          <w:szCs w:val="32"/>
          <w:highlight w:val="none"/>
          <w:lang w:val="zh-CN"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（二）项目财务管理情况。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该项目实施初期就建立了完善的财务管理制度，由局财务股进行会计核算及账务处理。项目严格执行财务管理制度、财务处理及时、会计核算规范。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（三）项目组织实施情况。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zh-CN" w:eastAsia="zh-CN" w:bidi="ar-SA"/>
        </w:rPr>
        <w:t>为加强项目及资金使用的质量、安全。区商务局领导统筹总揽，市运股及财务股负责，保障</w:t>
      </w:r>
      <w:r>
        <w:rPr>
          <w:rFonts w:hint="default" w:ascii="Times New Roman" w:hAnsi="Times New Roman" w:eastAsia="方正仿宋_GBK" w:cs="Times New Roman"/>
          <w:color w:val="auto"/>
          <w:kern w:val="0"/>
          <w:sz w:val="32"/>
          <w:szCs w:val="32"/>
          <w:highlight w:val="none"/>
          <w:lang w:val="en-US" w:eastAsia="zh-CN" w:bidi="ar-SA"/>
        </w:rPr>
        <w:t>奖励扶持资金起到效果。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三、项目完成情况</w:t>
      </w:r>
      <w:r>
        <w:rPr>
          <w:rFonts w:hint="default" w:ascii="Times New Roman" w:hAnsi="Times New Roman" w:eastAsia="方正仿宋_GBK" w:cs="Times New Roman"/>
          <w:color w:val="auto"/>
          <w:kern w:val="0"/>
          <w:sz w:val="32"/>
          <w:szCs w:val="32"/>
          <w:highlight w:val="none"/>
          <w:lang w:val="zh-CN" w:eastAsia="zh-CN" w:bidi="ar-SA"/>
        </w:rPr>
        <w:tab/>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（一）项目完成任务量。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支付2019年入库的限规企业和2020年入库的限上商贸企业。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（二）项目完成质量。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根据区统计局反馈。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方正楷体_GBK" w:hAnsi="方正楷体_GBK" w:eastAsia="方正楷体_GBK" w:cs="方正楷体_GBK"/>
          <w:color w:val="auto"/>
          <w:kern w:val="0"/>
          <w:sz w:val="32"/>
          <w:szCs w:val="32"/>
          <w:highlight w:val="none"/>
          <w:lang w:val="zh-CN" w:eastAsia="zh-CN" w:bidi="ar-SA"/>
        </w:rPr>
      </w:pPr>
      <w:r>
        <w:rPr>
          <w:rFonts w:hint="default" w:ascii="方正楷体_GBK" w:hAnsi="方正楷体_GBK" w:eastAsia="方正楷体_GBK" w:cs="方正楷体_GBK"/>
          <w:color w:val="auto"/>
          <w:kern w:val="0"/>
          <w:sz w:val="32"/>
          <w:szCs w:val="32"/>
          <w:highlight w:val="none"/>
          <w:lang w:val="zh-CN" w:eastAsia="zh-CN" w:bidi="ar-SA"/>
        </w:rPr>
        <w:t>（三）项目完成进度。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zh-CN" w:eastAsia="zh-CN" w:bidi="ar-SA"/>
        </w:rPr>
      </w:pPr>
      <w:r>
        <w:rPr>
          <w:rFonts w:hint="default" w:ascii="Times New Roman" w:hAnsi="Times New Roman" w:eastAsia="方正仿宋_GBK" w:cs="Times New Roman"/>
          <w:color w:val="auto"/>
          <w:kern w:val="0"/>
          <w:sz w:val="32"/>
          <w:szCs w:val="32"/>
          <w:highlight w:val="none"/>
          <w:lang w:val="zh-CN" w:eastAsia="zh-CN" w:bidi="ar-SA"/>
        </w:rPr>
        <w:t>根据区统计局反馈。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四、项目效益情况</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该资金扶持企业做大做强，促进商贸企业高质量发展。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五、问题及建议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无</w:t>
      </w:r>
    </w:p>
    <w:tbl>
      <w:tblPr>
        <w:tblStyle w:val="1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1"/>
        <w:gridCol w:w="704"/>
        <w:gridCol w:w="927"/>
        <w:gridCol w:w="2205"/>
        <w:gridCol w:w="1548"/>
        <w:gridCol w:w="1096"/>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auto"/>
                <w:sz w:val="31"/>
                <w:szCs w:val="31"/>
                <w:u w:val="none"/>
              </w:rPr>
            </w:pPr>
            <w:r>
              <w:rPr>
                <w:rFonts w:hint="eastAsia" w:ascii="方正小标宋简体" w:hAnsi="方正小标宋简体" w:eastAsia="方正小标宋简体" w:cs="方正小标宋简体"/>
                <w:b/>
                <w:bCs/>
                <w:i w:val="0"/>
                <w:iCs w:val="0"/>
                <w:color w:val="auto"/>
                <w:kern w:val="0"/>
                <w:sz w:val="31"/>
                <w:szCs w:val="31"/>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限规企业奖励扶持资金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预算单位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实施单位      及责任人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巴中市巴州区商务局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项目属性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□新增项目　　√延续项目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项目期限</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√一次性   □经常性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立项依据（文件）</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巴区委发〔2020〕9号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项目概述</w:t>
            </w:r>
          </w:p>
        </w:tc>
        <w:tc>
          <w:tcPr>
            <w:tcW w:w="0" w:type="auto"/>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0" w:type="auto"/>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2"/>
                <w:szCs w:val="22"/>
                <w:u w:val="none"/>
              </w:rPr>
            </w:pPr>
          </w:p>
        </w:tc>
        <w:tc>
          <w:tcPr>
            <w:tcW w:w="0" w:type="auto"/>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u w:val="none"/>
              </w:rPr>
            </w:pPr>
            <w:r>
              <w:rPr>
                <w:rFonts w:hint="eastAsia" w:ascii="仿宋" w:hAnsi="仿宋" w:eastAsia="仿宋" w:cs="仿宋"/>
                <w:b/>
                <w:bCs/>
                <w:i w:val="0"/>
                <w:iCs w:val="0"/>
                <w:color w:val="auto"/>
                <w:kern w:val="0"/>
                <w:sz w:val="22"/>
                <w:szCs w:val="22"/>
                <w:u w:val="none"/>
                <w:lang w:val="en-US" w:eastAsia="zh-CN" w:bidi="ar"/>
              </w:rPr>
              <w:t>总体目标</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一级    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指标值（含数字及文字描述）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权重（所有加起来不超过100%）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产出      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限上入库企业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23家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规上企业入库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5家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符合国家及相关行业标准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2022年度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效益     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经济效益</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社会效益</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扶持企业做大做强，促进商贸企业高质量发展。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满意度   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bl>
    <w:p>
      <w:pPr>
        <w:widowControl/>
        <w:shd w:val="clear" w:color="auto" w:fill="FFFFFF"/>
        <w:adjustRightInd w:val="0"/>
        <w:snapToGrid w:val="0"/>
        <w:spacing w:line="56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br w:type="page"/>
      </w:r>
    </w:p>
    <w:p>
      <w:pPr>
        <w:spacing w:line="600" w:lineRule="exact"/>
        <w:jc w:val="center"/>
        <w:outlineLvl w:val="0"/>
        <w:rPr>
          <w:rFonts w:hint="eastAsia" w:ascii="仿宋" w:hAnsi="仿宋" w:eastAsia="仿宋"/>
          <w:b w:val="0"/>
          <w:color w:val="auto"/>
          <w:highlight w:val="none"/>
        </w:rPr>
      </w:pPr>
      <w:bookmarkStart w:id="71" w:name="_Toc15396618"/>
      <w:bookmarkStart w:id="72" w:name="_Toc12639"/>
      <w:r>
        <w:rPr>
          <w:rFonts w:hint="eastAsia" w:ascii="黑体" w:hAnsi="黑体" w:eastAsia="黑体"/>
          <w:color w:val="auto"/>
          <w:sz w:val="44"/>
          <w:szCs w:val="44"/>
          <w:highlight w:val="none"/>
        </w:rPr>
        <w:t>第</w:t>
      </w:r>
      <w:r>
        <w:rPr>
          <w:rStyle w:val="30"/>
          <w:rFonts w:hint="eastAsia" w:ascii="黑体" w:hAnsi="黑体" w:eastAsia="黑体"/>
          <w:b w:val="0"/>
          <w:color w:val="auto"/>
          <w:highlight w:val="none"/>
        </w:rPr>
        <w:t>五部分</w:t>
      </w:r>
      <w:r>
        <w:rPr>
          <w:rStyle w:val="30"/>
          <w:rFonts w:hint="eastAsia" w:ascii="黑体" w:hAnsi="黑体" w:eastAsia="黑体"/>
          <w:b w:val="0"/>
          <w:color w:val="auto"/>
          <w:highlight w:val="none"/>
          <w:lang w:val="en-US" w:eastAsia="zh-CN"/>
        </w:rPr>
        <w:t xml:space="preserve"> </w:t>
      </w:r>
      <w:r>
        <w:rPr>
          <w:rStyle w:val="30"/>
          <w:rFonts w:hint="eastAsia" w:ascii="黑体" w:hAnsi="黑体" w:eastAsia="黑体"/>
          <w:b w:val="0"/>
          <w:color w:val="auto"/>
          <w:highlight w:val="none"/>
        </w:rPr>
        <w:t xml:space="preserve"> 附表</w:t>
      </w:r>
      <w:bookmarkEnd w:id="67"/>
      <w:bookmarkEnd w:id="71"/>
      <w:bookmarkEnd w:id="72"/>
      <w:bookmarkStart w:id="73" w:name="_Toc153966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一、收入支出决算总表</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74" w:name="_Toc15396620"/>
      <w:r>
        <w:rPr>
          <w:rFonts w:hint="default" w:ascii="Times New Roman" w:hAnsi="Times New Roman" w:eastAsia="方正仿宋_GBK" w:cs="Times New Roman"/>
          <w:sz w:val="32"/>
          <w:szCs w:val="32"/>
        </w:rPr>
        <w:t>二、收入决算表</w:t>
      </w:r>
      <w:bookmarkEnd w:id="7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75" w:name="_Toc15396621"/>
      <w:r>
        <w:rPr>
          <w:rFonts w:hint="default" w:ascii="Times New Roman" w:hAnsi="Times New Roman" w:eastAsia="方正仿宋_GBK" w:cs="Times New Roman"/>
          <w:sz w:val="32"/>
          <w:szCs w:val="32"/>
        </w:rPr>
        <w:t>三、支出决算表</w:t>
      </w:r>
      <w:bookmarkEnd w:id="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76" w:name="_Toc15396622"/>
      <w:r>
        <w:rPr>
          <w:rFonts w:hint="default" w:ascii="Times New Roman" w:hAnsi="Times New Roman" w:eastAsia="方正仿宋_GBK" w:cs="Times New Roman"/>
          <w:sz w:val="32"/>
          <w:szCs w:val="32"/>
        </w:rPr>
        <w:t>四、财政拨款收入支出决算总表</w:t>
      </w:r>
      <w:bookmarkEnd w:id="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77" w:name="_Toc15396623"/>
      <w:r>
        <w:rPr>
          <w:rFonts w:hint="default" w:ascii="Times New Roman" w:hAnsi="Times New Roman" w:eastAsia="方正仿宋_GBK" w:cs="Times New Roman"/>
          <w:sz w:val="32"/>
          <w:szCs w:val="32"/>
        </w:rPr>
        <w:t>五、财政拨款支出决算明细表</w:t>
      </w:r>
      <w:bookmarkEnd w:id="77"/>
      <w:bookmarkStart w:id="78" w:name="_Toc153966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六、一般公共预算财政拨款支出决算表</w:t>
      </w:r>
      <w:bookmarkEnd w:id="7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79" w:name="_Toc15396625"/>
      <w:r>
        <w:rPr>
          <w:rFonts w:hint="default" w:ascii="Times New Roman" w:hAnsi="Times New Roman" w:eastAsia="方正仿宋_GBK" w:cs="Times New Roman"/>
          <w:sz w:val="32"/>
          <w:szCs w:val="32"/>
        </w:rPr>
        <w:t>七、一般公共预算财政拨款支出决算明细表</w:t>
      </w:r>
      <w:bookmarkEnd w:id="7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80" w:name="_Toc15396626"/>
      <w:r>
        <w:rPr>
          <w:rFonts w:hint="default" w:ascii="Times New Roman" w:hAnsi="Times New Roman" w:eastAsia="方正仿宋_GBK" w:cs="Times New Roman"/>
          <w:sz w:val="32"/>
          <w:szCs w:val="32"/>
        </w:rPr>
        <w:t>八、一般公共预算财政拨款基本支出决算表</w:t>
      </w:r>
      <w:bookmarkEnd w:id="8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81" w:name="_Toc15396627"/>
      <w:r>
        <w:rPr>
          <w:rFonts w:hint="default" w:ascii="Times New Roman" w:hAnsi="Times New Roman" w:eastAsia="方正仿宋_GBK" w:cs="Times New Roman"/>
          <w:sz w:val="32"/>
          <w:szCs w:val="32"/>
        </w:rPr>
        <w:t>九、一般公共预算财政拨款项目支出决算表</w:t>
      </w:r>
      <w:bookmarkEnd w:id="8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82" w:name="_Toc15396628"/>
      <w:r>
        <w:rPr>
          <w:rFonts w:hint="default" w:ascii="Times New Roman" w:hAnsi="Times New Roman" w:eastAsia="方正仿宋_GBK" w:cs="Times New Roman"/>
          <w:sz w:val="32"/>
          <w:szCs w:val="32"/>
        </w:rPr>
        <w:t>十、</w:t>
      </w:r>
      <w:bookmarkEnd w:id="82"/>
      <w:r>
        <w:rPr>
          <w:rFonts w:hint="default" w:ascii="Times New Roman" w:hAnsi="Times New Roman" w:eastAsia="方正仿宋_GBK" w:cs="Times New Roman"/>
          <w:sz w:val="32"/>
          <w:szCs w:val="32"/>
        </w:rPr>
        <w:t>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83" w:name="_Toc15396629"/>
      <w:r>
        <w:rPr>
          <w:rFonts w:hint="default" w:ascii="Times New Roman" w:hAnsi="Times New Roman" w:eastAsia="方正仿宋_GBK" w:cs="Times New Roman"/>
          <w:sz w:val="32"/>
          <w:szCs w:val="32"/>
        </w:rPr>
        <w:t>十一、</w:t>
      </w:r>
      <w:bookmarkEnd w:id="83"/>
      <w:r>
        <w:rPr>
          <w:rFonts w:hint="default" w:ascii="Times New Roman" w:hAnsi="Times New Roman" w:eastAsia="方正仿宋_GBK" w:cs="Times New Roman"/>
          <w:sz w:val="32"/>
          <w:szCs w:val="32"/>
        </w:rPr>
        <w:t>国有资本经营预算</w:t>
      </w:r>
      <w:r>
        <w:rPr>
          <w:rFonts w:hint="default" w:ascii="Times New Roman" w:hAnsi="Times New Roman" w:eastAsia="方正仿宋_GBK" w:cs="Times New Roman"/>
          <w:sz w:val="32"/>
          <w:szCs w:val="32"/>
          <w:lang w:eastAsia="zh-CN"/>
        </w:rPr>
        <w:t>财政拨款收入</w:t>
      </w:r>
      <w:r>
        <w:rPr>
          <w:rFonts w:hint="default" w:ascii="Times New Roman" w:hAnsi="Times New Roman" w:eastAsia="方正仿宋_GBK" w:cs="Times New Roman"/>
          <w:sz w:val="32"/>
          <w:szCs w:val="32"/>
        </w:rPr>
        <w:t>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84" w:name="_Toc15396630"/>
      <w:r>
        <w:rPr>
          <w:rFonts w:hint="default" w:ascii="Times New Roman" w:hAnsi="Times New Roman" w:eastAsia="方正仿宋_GBK" w:cs="Times New Roman"/>
          <w:sz w:val="32"/>
          <w:szCs w:val="32"/>
        </w:rPr>
        <w:t>十二、</w:t>
      </w:r>
      <w:bookmarkEnd w:id="84"/>
      <w:r>
        <w:rPr>
          <w:rFonts w:hint="default" w:ascii="Times New Roman" w:hAnsi="Times New Roman" w:eastAsia="方正仿宋_GBK" w:cs="Times New Roman"/>
          <w:sz w:val="32"/>
          <w:szCs w:val="32"/>
          <w:lang w:eastAsia="zh-CN"/>
        </w:rPr>
        <w:t>国有资本经营预算财政拨款支出决算表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bookmarkStart w:id="85" w:name="_Toc15396631"/>
      <w:r>
        <w:rPr>
          <w:rFonts w:hint="default" w:ascii="Times New Roman" w:hAnsi="Times New Roman" w:eastAsia="方正仿宋_GBK" w:cs="Times New Roman"/>
          <w:sz w:val="32"/>
          <w:szCs w:val="32"/>
        </w:rPr>
        <w:t>十三、</w:t>
      </w:r>
      <w:bookmarkEnd w:id="85"/>
      <w:r>
        <w:rPr>
          <w:rFonts w:hint="default" w:ascii="Times New Roman" w:hAnsi="Times New Roman" w:eastAsia="方正仿宋_GBK" w:cs="Times New Roman"/>
          <w:sz w:val="32"/>
          <w:szCs w:val="32"/>
          <w:lang w:eastAsia="zh-CN"/>
        </w:rPr>
        <w:t>财政拨款“三公”经费支出决算表</w:t>
      </w:r>
    </w:p>
    <w:sectPr>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方正小标宋简体">
    <w:altName w:val="黑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47EDB"/>
    <w:multiLevelType w:val="singleLevel"/>
    <w:tmpl w:val="1FA47ED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OTdiNTdmMDM3Y2JjOWQ3NGY2ZTg3MGM4MDgyYj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5135"/>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4F67"/>
    <w:rsid w:val="00F45853"/>
    <w:rsid w:val="00F602DF"/>
    <w:rsid w:val="00F754A1"/>
    <w:rsid w:val="00F81FD9"/>
    <w:rsid w:val="00F841AA"/>
    <w:rsid w:val="00F84A94"/>
    <w:rsid w:val="00F87E96"/>
    <w:rsid w:val="00FA23E8"/>
    <w:rsid w:val="00FD3CC1"/>
    <w:rsid w:val="00FF1E02"/>
    <w:rsid w:val="00FF30B4"/>
    <w:rsid w:val="015975B8"/>
    <w:rsid w:val="01C9159A"/>
    <w:rsid w:val="02143E91"/>
    <w:rsid w:val="02D95DE6"/>
    <w:rsid w:val="039077E0"/>
    <w:rsid w:val="066E0107"/>
    <w:rsid w:val="07996F6E"/>
    <w:rsid w:val="08BA6A96"/>
    <w:rsid w:val="0935742B"/>
    <w:rsid w:val="09F862F7"/>
    <w:rsid w:val="0A2032A3"/>
    <w:rsid w:val="0B9D4CB5"/>
    <w:rsid w:val="0CA05FA3"/>
    <w:rsid w:val="0D7C256C"/>
    <w:rsid w:val="0E7F603C"/>
    <w:rsid w:val="0F1315F6"/>
    <w:rsid w:val="0F65089F"/>
    <w:rsid w:val="0F98263C"/>
    <w:rsid w:val="101860EC"/>
    <w:rsid w:val="10C055FF"/>
    <w:rsid w:val="118107EC"/>
    <w:rsid w:val="13D50BC4"/>
    <w:rsid w:val="14A33FBE"/>
    <w:rsid w:val="15A24B3A"/>
    <w:rsid w:val="16BB723D"/>
    <w:rsid w:val="1798137B"/>
    <w:rsid w:val="18105FEE"/>
    <w:rsid w:val="184C3483"/>
    <w:rsid w:val="18A778A9"/>
    <w:rsid w:val="1A620D3B"/>
    <w:rsid w:val="1AD43235"/>
    <w:rsid w:val="1B2444AE"/>
    <w:rsid w:val="1B32468D"/>
    <w:rsid w:val="1BE8440E"/>
    <w:rsid w:val="1CA81D5F"/>
    <w:rsid w:val="1CFF4A89"/>
    <w:rsid w:val="1D155CEE"/>
    <w:rsid w:val="1D691730"/>
    <w:rsid w:val="1DAF6046"/>
    <w:rsid w:val="1E3D5D61"/>
    <w:rsid w:val="1E780D78"/>
    <w:rsid w:val="1ED8056D"/>
    <w:rsid w:val="1EEC1623"/>
    <w:rsid w:val="1F270EFD"/>
    <w:rsid w:val="1F592FDB"/>
    <w:rsid w:val="1FF35744"/>
    <w:rsid w:val="20205774"/>
    <w:rsid w:val="20FA4F63"/>
    <w:rsid w:val="20FC3F80"/>
    <w:rsid w:val="21D51C09"/>
    <w:rsid w:val="23053ACA"/>
    <w:rsid w:val="23164567"/>
    <w:rsid w:val="23473C92"/>
    <w:rsid w:val="23860B96"/>
    <w:rsid w:val="23D762F6"/>
    <w:rsid w:val="240371BF"/>
    <w:rsid w:val="246E1496"/>
    <w:rsid w:val="24A676CF"/>
    <w:rsid w:val="250F43AC"/>
    <w:rsid w:val="26353B1D"/>
    <w:rsid w:val="265005E2"/>
    <w:rsid w:val="265035FE"/>
    <w:rsid w:val="26730D7C"/>
    <w:rsid w:val="276F6DDD"/>
    <w:rsid w:val="27822A1D"/>
    <w:rsid w:val="27B53B72"/>
    <w:rsid w:val="286C70B3"/>
    <w:rsid w:val="29487555"/>
    <w:rsid w:val="2977108D"/>
    <w:rsid w:val="29FD04D3"/>
    <w:rsid w:val="2C770676"/>
    <w:rsid w:val="2C8A61B5"/>
    <w:rsid w:val="2DC40EFE"/>
    <w:rsid w:val="2DF04E50"/>
    <w:rsid w:val="2F040D46"/>
    <w:rsid w:val="30C71D9A"/>
    <w:rsid w:val="30D6222B"/>
    <w:rsid w:val="319F7F4E"/>
    <w:rsid w:val="3304709D"/>
    <w:rsid w:val="33A06248"/>
    <w:rsid w:val="33F64070"/>
    <w:rsid w:val="36AA5135"/>
    <w:rsid w:val="36D8249B"/>
    <w:rsid w:val="376D39B2"/>
    <w:rsid w:val="37E16F03"/>
    <w:rsid w:val="38156F95"/>
    <w:rsid w:val="38D469F0"/>
    <w:rsid w:val="39B555DC"/>
    <w:rsid w:val="3A013FFE"/>
    <w:rsid w:val="3A17430D"/>
    <w:rsid w:val="3BD86F36"/>
    <w:rsid w:val="3D251EFB"/>
    <w:rsid w:val="3D623AE4"/>
    <w:rsid w:val="3D960B78"/>
    <w:rsid w:val="3D98207C"/>
    <w:rsid w:val="3E78745D"/>
    <w:rsid w:val="3EF7251C"/>
    <w:rsid w:val="3FA172F7"/>
    <w:rsid w:val="40955253"/>
    <w:rsid w:val="414A6E99"/>
    <w:rsid w:val="430D6E9D"/>
    <w:rsid w:val="43301E43"/>
    <w:rsid w:val="437521ED"/>
    <w:rsid w:val="44E268DA"/>
    <w:rsid w:val="49133F52"/>
    <w:rsid w:val="49265299"/>
    <w:rsid w:val="497004D0"/>
    <w:rsid w:val="4991057A"/>
    <w:rsid w:val="4A627F82"/>
    <w:rsid w:val="4B0E749A"/>
    <w:rsid w:val="4B4F25DA"/>
    <w:rsid w:val="4BE068DB"/>
    <w:rsid w:val="4D577224"/>
    <w:rsid w:val="4EAB630A"/>
    <w:rsid w:val="4EBD05AC"/>
    <w:rsid w:val="4ECE2238"/>
    <w:rsid w:val="51DF6A61"/>
    <w:rsid w:val="523335D2"/>
    <w:rsid w:val="526747C4"/>
    <w:rsid w:val="52AA30EC"/>
    <w:rsid w:val="530149DC"/>
    <w:rsid w:val="537E6D0A"/>
    <w:rsid w:val="547C117E"/>
    <w:rsid w:val="555536C4"/>
    <w:rsid w:val="599A783E"/>
    <w:rsid w:val="5A9F6E67"/>
    <w:rsid w:val="5AB852DB"/>
    <w:rsid w:val="5AF92295"/>
    <w:rsid w:val="5B80635E"/>
    <w:rsid w:val="5BED26E9"/>
    <w:rsid w:val="5CD71FC4"/>
    <w:rsid w:val="60244EEA"/>
    <w:rsid w:val="60575F92"/>
    <w:rsid w:val="614922C6"/>
    <w:rsid w:val="61F65244"/>
    <w:rsid w:val="62DB47B4"/>
    <w:rsid w:val="63282D84"/>
    <w:rsid w:val="63E1404C"/>
    <w:rsid w:val="64CD191F"/>
    <w:rsid w:val="65844D2C"/>
    <w:rsid w:val="68CE5DFD"/>
    <w:rsid w:val="69F01D03"/>
    <w:rsid w:val="6C4A05C8"/>
    <w:rsid w:val="6CD5557D"/>
    <w:rsid w:val="6D606EA5"/>
    <w:rsid w:val="6E144AD6"/>
    <w:rsid w:val="6E473D64"/>
    <w:rsid w:val="6E7E3605"/>
    <w:rsid w:val="6EB07127"/>
    <w:rsid w:val="6FF5CC65"/>
    <w:rsid w:val="715C0E4B"/>
    <w:rsid w:val="72124C9F"/>
    <w:rsid w:val="72734D90"/>
    <w:rsid w:val="73AD73D5"/>
    <w:rsid w:val="73B6EB34"/>
    <w:rsid w:val="744731E5"/>
    <w:rsid w:val="74620891"/>
    <w:rsid w:val="76E3355F"/>
    <w:rsid w:val="778769C8"/>
    <w:rsid w:val="77F55EC0"/>
    <w:rsid w:val="78B01588"/>
    <w:rsid w:val="79EE5BA4"/>
    <w:rsid w:val="7A894339"/>
    <w:rsid w:val="7B117988"/>
    <w:rsid w:val="7C9C24D7"/>
    <w:rsid w:val="7D903A53"/>
    <w:rsid w:val="7E494870"/>
    <w:rsid w:val="7EEF11D3"/>
    <w:rsid w:val="7F2B02CE"/>
    <w:rsid w:val="7F4430F6"/>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3"/>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Title"/>
    <w:basedOn w:val="1"/>
    <w:qFormat/>
    <w:uiPriority w:val="0"/>
    <w:pPr>
      <w:spacing w:before="240" w:after="240" w:line="360" w:lineRule="auto"/>
      <w:jc w:val="center"/>
      <w:outlineLvl w:val="0"/>
    </w:pPr>
    <w:rPr>
      <w:rFonts w:ascii="Arial" w:hAnsi="Arial"/>
      <w:b/>
      <w:sz w:val="32"/>
    </w:r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page number"/>
    <w:basedOn w:val="16"/>
    <w:qFormat/>
    <w:uiPriority w:val="0"/>
  </w:style>
  <w:style w:type="character" w:styleId="19">
    <w:name w:val="Hyperlink"/>
    <w:basedOn w:val="16"/>
    <w:unhideWhenUsed/>
    <w:qFormat/>
    <w:uiPriority w:val="99"/>
    <w:rPr>
      <w:color w:val="0000FF" w:themeColor="hyperlink"/>
      <w:u w:val="single"/>
      <w14:textFill>
        <w14:solidFill>
          <w14:schemeClr w14:val="hlink"/>
        </w14:solidFill>
      </w14:textFill>
    </w:rPr>
  </w:style>
  <w:style w:type="paragraph" w:customStyle="1" w:styleId="20">
    <w:name w:val="正文2"/>
    <w:basedOn w:val="1"/>
    <w:next w:val="1"/>
    <w:qFormat/>
    <w:uiPriority w:val="0"/>
    <w:rPr>
      <w:rFonts w:ascii="Times New Roman" w:hAnsi="Times New Roman" w:eastAsia="黑体" w:cs="宋体"/>
    </w:rPr>
  </w:style>
  <w:style w:type="paragraph" w:customStyle="1" w:styleId="21">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2">
    <w:name w:val="Header Char"/>
    <w:basedOn w:val="16"/>
    <w:semiHidden/>
    <w:qFormat/>
    <w:uiPriority w:val="99"/>
    <w:rPr>
      <w:rFonts w:ascii="Times New Roman" w:hAnsi="Times New Roman"/>
      <w:sz w:val="18"/>
      <w:szCs w:val="18"/>
    </w:rPr>
  </w:style>
  <w:style w:type="character" w:customStyle="1" w:styleId="23">
    <w:name w:val="页眉 Char"/>
    <w:link w:val="10"/>
    <w:semiHidden/>
    <w:qFormat/>
    <w:locked/>
    <w:uiPriority w:val="99"/>
    <w:rPr>
      <w:sz w:val="18"/>
    </w:rPr>
  </w:style>
  <w:style w:type="character" w:customStyle="1" w:styleId="24">
    <w:name w:val="Footer Char"/>
    <w:basedOn w:val="16"/>
    <w:semiHidden/>
    <w:qFormat/>
    <w:uiPriority w:val="99"/>
    <w:rPr>
      <w:rFonts w:ascii="Times New Roman" w:hAnsi="Times New Roman"/>
      <w:sz w:val="18"/>
      <w:szCs w:val="18"/>
    </w:rPr>
  </w:style>
  <w:style w:type="character" w:customStyle="1" w:styleId="25">
    <w:name w:val="页脚 Char"/>
    <w:link w:val="9"/>
    <w:qFormat/>
    <w:locked/>
    <w:uiPriority w:val="99"/>
    <w:rPr>
      <w:sz w:val="18"/>
    </w:rPr>
  </w:style>
  <w:style w:type="character" w:customStyle="1" w:styleId="26">
    <w:name w:val="Body Text Char"/>
    <w:basedOn w:val="16"/>
    <w:semiHidden/>
    <w:qFormat/>
    <w:uiPriority w:val="99"/>
    <w:rPr>
      <w:rFonts w:ascii="Times New Roman" w:hAnsi="Times New Roman"/>
      <w:szCs w:val="24"/>
    </w:rPr>
  </w:style>
  <w:style w:type="character" w:customStyle="1" w:styleId="27">
    <w:name w:val="正文文本 Char"/>
    <w:link w:val="5"/>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6"/>
    <w:link w:val="2"/>
    <w:qFormat/>
    <w:uiPriority w:val="9"/>
    <w:rPr>
      <w:rFonts w:ascii="Times New Roman" w:hAnsi="Times New Roman"/>
      <w:b/>
      <w:bCs/>
      <w:kern w:val="44"/>
      <w:sz w:val="44"/>
      <w:szCs w:val="44"/>
    </w:rPr>
  </w:style>
  <w:style w:type="character" w:customStyle="1" w:styleId="31">
    <w:name w:val="标题 2 Char"/>
    <w:basedOn w:val="16"/>
    <w:link w:val="3"/>
    <w:qFormat/>
    <w:uiPriority w:val="9"/>
    <w:rPr>
      <w:rFonts w:asciiTheme="majorHAnsi" w:hAnsiTheme="majorHAnsi" w:eastAsiaTheme="majorEastAsia" w:cstheme="majorBidi"/>
      <w:b/>
      <w:bCs/>
      <w:kern w:val="2"/>
      <w:sz w:val="32"/>
      <w:szCs w:val="32"/>
    </w:rPr>
  </w:style>
  <w:style w:type="paragraph" w:customStyle="1" w:styleId="3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6"/>
    <w:link w:val="8"/>
    <w:semiHidden/>
    <w:qFormat/>
    <w:uiPriority w:val="99"/>
    <w:rPr>
      <w:rFonts w:ascii="Times New Roman" w:hAnsi="Times New Roman"/>
      <w:kern w:val="2"/>
      <w:sz w:val="18"/>
      <w:szCs w:val="18"/>
    </w:rPr>
  </w:style>
  <w:style w:type="character" w:customStyle="1" w:styleId="34">
    <w:name w:val="标题 3 Char"/>
    <w:basedOn w:val="16"/>
    <w:link w:val="4"/>
    <w:qFormat/>
    <w:uiPriority w:val="9"/>
    <w:rPr>
      <w:rFonts w:ascii="Times New Roman" w:hAnsi="Times New Roman"/>
      <w:b/>
      <w:bCs/>
      <w:kern w:val="2"/>
      <w:sz w:val="32"/>
      <w:szCs w:val="32"/>
    </w:rPr>
  </w:style>
  <w:style w:type="paragraph" w:customStyle="1" w:styleId="3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7">
    <w:name w:val="font41"/>
    <w:basedOn w:val="16"/>
    <w:qFormat/>
    <w:uiPriority w:val="0"/>
    <w:rPr>
      <w:rFonts w:hint="default" w:ascii="Wingdings 2" w:hAnsi="Wingdings 2" w:eastAsia="Wingdings 2" w:cs="Wingdings 2"/>
      <w:color w:val="000000"/>
      <w:sz w:val="22"/>
      <w:szCs w:val="22"/>
      <w:u w:val="none"/>
    </w:rPr>
  </w:style>
  <w:style w:type="character" w:customStyle="1" w:styleId="38">
    <w:name w:val="font3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5.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7.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bg1"/>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[工作簿1]Sheet1!$B$10</c:f>
              <c:strCache>
                <c:ptCount val="1"/>
                <c:pt idx="0">
                  <c:v>2021年</c:v>
                </c:pt>
              </c:strCache>
            </c:strRef>
          </c:tx>
          <c:spPr>
            <a:gradFill>
              <a:gsLst>
                <a:gs pos="0">
                  <a:schemeClr val="accent1">
                    <a:lumMod val="60000"/>
                    <a:lumOff val="40000"/>
                  </a:schemeClr>
                </a:gs>
                <a:gs pos="50000">
                  <a:schemeClr val="accent1"/>
                </a:gs>
              </a:gsLst>
              <a:lin ang="2700000"/>
            </a:gradFill>
            <a:ln>
              <a:noFill/>
            </a:ln>
            <a:effectLst>
              <a:outerShdw blurRad="50800" dist="38100" dir="2700000" algn="tl" rotWithShape="0">
                <a:prstClr val="black">
                  <a:alpha val="7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[工作簿1]Sheet1!$C$9:$D$9</c:f>
              <c:strCache>
                <c:ptCount val="2"/>
                <c:pt idx="0" c:formatCode="@">
                  <c:v>预算总收入（万元)</c:v>
                </c:pt>
                <c:pt idx="1" c:formatCode="@">
                  <c:v>决算总支出（万元)</c:v>
                </c:pt>
              </c:strCache>
            </c:strRef>
          </c:cat>
          <c:val>
            <c:numRef>
              <c:f>[工作簿1]Sheet1!$C$10:$D$10</c:f>
              <c:numCache>
                <c:formatCode>0.00_ </c:formatCode>
                <c:ptCount val="2"/>
                <c:pt idx="0">
                  <c:v>1378.67</c:v>
                </c:pt>
                <c:pt idx="1">
                  <c:v>1378.67</c:v>
                </c:pt>
              </c:numCache>
            </c:numRef>
          </c:val>
        </c:ser>
        <c:ser>
          <c:idx val="1"/>
          <c:order val="1"/>
          <c:tx>
            <c:strRef>
              <c:f>[工作簿1]Sheet1!$B$11</c:f>
              <c:strCache>
                <c:ptCount val="1"/>
                <c:pt idx="0">
                  <c:v>2022年</c:v>
                </c:pt>
              </c:strCache>
            </c:strRef>
          </c:tx>
          <c:spPr>
            <a:solidFill>
              <a:srgbClr val="4874CB"/>
            </a:solidFill>
            <a:ln>
              <a:noFill/>
            </a:ln>
            <a:effectLst>
              <a:outerShdw blurRad="50800" dist="38100" dir="2700000" algn="tl" rotWithShape="0">
                <a:prstClr val="black">
                  <a:alpha val="70000"/>
                </a:prst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[工作簿1]Sheet1!$C$9:$D$9</c:f>
              <c:strCache>
                <c:ptCount val="2"/>
                <c:pt idx="0" c:formatCode="@">
                  <c:v>预算总收入（万元)</c:v>
                </c:pt>
                <c:pt idx="1" c:formatCode="@">
                  <c:v>决算总支出（万元)</c:v>
                </c:pt>
              </c:strCache>
            </c:strRef>
          </c:cat>
          <c:val>
            <c:numRef>
              <c:f>[工作簿1]Sheet1!$C$11:$D$11</c:f>
              <c:numCache>
                <c:formatCode>0.00_ </c:formatCode>
                <c:ptCount val="2"/>
                <c:pt idx="0">
                  <c:v>1598.3</c:v>
                </c:pt>
                <c:pt idx="1">
                  <c:v>1598.3</c:v>
                </c:pt>
              </c:numCache>
            </c:numRef>
          </c:val>
        </c:ser>
        <c:dLbls>
          <c:showLegendKey val="0"/>
          <c:showVal val="1"/>
          <c:showCatName val="0"/>
          <c:showSerName val="0"/>
          <c:showPercent val="0"/>
          <c:showBubbleSize val="0"/>
        </c:dLbls>
        <c:gapWidth val="150"/>
        <c:overlap val="0"/>
        <c:axId val="641821781"/>
        <c:axId val="580507359"/>
      </c:barChart>
      <c:catAx>
        <c:axId val="641821781"/>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bg1">
                    <a:lumMod val="75000"/>
                  </a:schemeClr>
                </a:solidFill>
                <a:latin typeface="+mn-lt"/>
                <a:ea typeface="+mn-ea"/>
                <a:cs typeface="+mn-cs"/>
              </a:defRPr>
            </a:pPr>
          </a:p>
        </c:txPr>
        <c:crossAx val="580507359"/>
        <c:crosses val="autoZero"/>
        <c:auto val="1"/>
        <c:lblAlgn val="ctr"/>
        <c:lblOffset val="100"/>
        <c:noMultiLvlLbl val="0"/>
      </c:catAx>
      <c:valAx>
        <c:axId val="580507359"/>
        <c:scaling>
          <c:orientation val="minMax"/>
        </c:scaling>
        <c:delete val="0"/>
        <c:axPos val="l"/>
        <c:majorGridlines>
          <c:spPr>
            <a:ln w="9525" cap="flat" cmpd="sng" algn="ctr">
              <a:solidFill>
                <a:schemeClr val="tx1">
                  <a:lumMod val="50000"/>
                  <a:lumOff val="50000"/>
                  <a:alpha val="40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bg1">
                    <a:lumMod val="75000"/>
                  </a:schemeClr>
                </a:solidFill>
                <a:latin typeface="+mn-lt"/>
                <a:ea typeface="+mn-ea"/>
                <a:cs typeface="+mn-cs"/>
              </a:defRPr>
            </a:pPr>
          </a:p>
        </c:txPr>
        <c:crossAx val="641821781"/>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75000"/>
                </a:schemeClr>
              </a:solidFill>
              <a:latin typeface="+mn-lt"/>
              <a:ea typeface="+mn-ea"/>
              <a:cs typeface="+mn-cs"/>
            </a:defRPr>
          </a:pPr>
        </a:p>
      </c:txPr>
    </c:legend>
    <c:plotVisOnly val="1"/>
    <c:dispBlanksAs val="gap"/>
    <c:showDLblsOverMax val="0"/>
  </c:chart>
  <c:spPr>
    <a:gradFill>
      <a:gsLst>
        <a:gs pos="0">
          <a:schemeClr val="dk1">
            <a:lumMod val="65000"/>
            <a:lumOff val="35000"/>
          </a:schemeClr>
        </a:gs>
        <a:gs pos="100000">
          <a:schemeClr val="dk1">
            <a:lumMod val="85000"/>
            <a:lumOff val="15000"/>
          </a:schemeClr>
        </a:gs>
      </a:gsLst>
      <a:path path="circle">
        <a:fillToRect l="50000" t="50000" r="50000" b="50000"/>
      </a:path>
      <a:tileRect/>
    </a:gradFill>
    <a:ln w="9525" cap="flat" cmpd="sng" algn="ctr">
      <a:solidFill>
        <a:schemeClr val="bg1">
          <a:lumMod val="85000"/>
        </a:schemeClr>
      </a:solidFill>
      <a:round/>
    </a:ln>
    <a:effectLst/>
  </c:spPr>
  <c:txPr>
    <a:bodyPr anchor="ct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rgbClr val="7894BA"/>
                </a:solidFill>
                <a:latin typeface="微软雅黑" panose="020B0503020204020204" charset="-122"/>
                <a:ea typeface="微软雅黑" panose="020B0503020204020204" charset="-122"/>
                <a:cs typeface="+mn-cs"/>
              </a:defRPr>
            </a:pPr>
            <a:r>
              <a:t>收入决算结构图</a:t>
            </a:r>
          </a:p>
        </c:rich>
      </c:tx>
      <c:layout>
        <c:manualLayout>
          <c:xMode val="edge"/>
          <c:yMode val="edge"/>
          <c:x val="0.428157894736842"/>
          <c:y val="0.0243055555555556"/>
        </c:manualLayout>
      </c:layout>
      <c:overlay val="0"/>
      <c:spPr>
        <a:noFill/>
        <a:ln>
          <a:noFill/>
        </a:ln>
        <a:effectLst/>
      </c:spPr>
    </c:title>
    <c:autoTitleDeleted val="0"/>
    <c:plotArea>
      <c:layout/>
      <c:pieChart>
        <c:varyColors val="1"/>
        <c:ser>
          <c:idx val="0"/>
          <c:order val="0"/>
          <c:spPr>
            <a:noFill/>
            <a:ln w="3175">
              <a:solidFill>
                <a:schemeClr val="bg1"/>
              </a:solidFill>
            </a:ln>
            <a:effectLst/>
          </c:spPr>
          <c:explosion val="0"/>
          <c:dPt>
            <c:idx val="0"/>
            <c:bubble3D val="0"/>
            <c:spPr>
              <a:pattFill prst="ltDnDiag">
                <a:fgClr>
                  <a:schemeClr val="accent1"/>
                </a:fgClr>
                <a:bgClr>
                  <a:schemeClr val="tx2">
                    <a:lumMod val="50000"/>
                  </a:schemeClr>
                </a:bgClr>
              </a:pattFill>
              <a:ln w="3175">
                <a:solidFill>
                  <a:schemeClr val="accent1"/>
                </a:solidFill>
              </a:ln>
              <a:effectLst/>
            </c:spPr>
          </c:dPt>
          <c:dPt>
            <c:idx val="1"/>
            <c:bubble3D val="0"/>
            <c:spPr>
              <a:pattFill prst="ltDnDiag">
                <a:fgClr>
                  <a:schemeClr val="accent2"/>
                </a:fgClr>
                <a:bgClr>
                  <a:schemeClr val="tx2">
                    <a:lumMod val="50000"/>
                  </a:schemeClr>
                </a:bgClr>
              </a:pattFill>
              <a:ln w="3175">
                <a:solidFill>
                  <a:schemeClr val="accent2"/>
                </a:solidFill>
              </a:ln>
              <a:effectLst/>
            </c:spPr>
          </c:dPt>
          <c:dPt>
            <c:idx val="2"/>
            <c:bubble3D val="0"/>
            <c:spPr>
              <a:pattFill prst="ltDnDiag">
                <a:fgClr>
                  <a:schemeClr val="accent3"/>
                </a:fgClr>
                <a:bgClr>
                  <a:schemeClr val="tx2">
                    <a:lumMod val="50000"/>
                  </a:schemeClr>
                </a:bgClr>
              </a:pattFill>
              <a:ln w="3175">
                <a:solidFill>
                  <a:schemeClr val="accent3"/>
                </a:solidFill>
              </a:ln>
              <a:effectLst/>
            </c:spPr>
          </c:dPt>
          <c:dPt>
            <c:idx val="3"/>
            <c:bubble3D val="0"/>
            <c:spPr>
              <a:pattFill prst="ltDnDiag">
                <a:fgClr>
                  <a:schemeClr val="accent4"/>
                </a:fgClr>
                <a:bgClr>
                  <a:schemeClr val="tx2">
                    <a:lumMod val="50000"/>
                  </a:schemeClr>
                </a:bgClr>
              </a:pattFill>
              <a:ln w="3175">
                <a:solidFill>
                  <a:schemeClr val="accent4"/>
                </a:solidFill>
              </a:ln>
              <a:effectLst/>
            </c:spPr>
          </c:dPt>
          <c:dPt>
            <c:idx val="4"/>
            <c:bubble3D val="0"/>
            <c:spPr>
              <a:pattFill prst="ltDnDiag">
                <a:fgClr>
                  <a:schemeClr val="accent5"/>
                </a:fgClr>
                <a:bgClr>
                  <a:schemeClr val="tx2">
                    <a:lumMod val="50000"/>
                  </a:schemeClr>
                </a:bgClr>
              </a:pattFill>
              <a:ln w="3175">
                <a:solidFill>
                  <a:schemeClr val="accent5"/>
                </a:solidFill>
              </a:ln>
              <a:effectLst/>
            </c:spPr>
          </c:dPt>
          <c:dPt>
            <c:idx val="5"/>
            <c:bubble3D val="0"/>
            <c:spPr>
              <a:pattFill prst="ltDnDiag">
                <a:fgClr>
                  <a:srgbClr val="955CFF"/>
                </a:fgClr>
                <a:bgClr>
                  <a:srgbClr val="44546A">
                    <a:lumMod val="50000"/>
                  </a:srgbClr>
                </a:bgClr>
              </a:pattFill>
              <a:ln w="3175">
                <a:solidFill>
                  <a:srgbClr val="955CFF"/>
                </a:solidFill>
              </a:ln>
              <a:effectLst/>
            </c:spPr>
          </c:dPt>
          <c:dPt>
            <c:idx val="6"/>
            <c:bubble3D val="0"/>
            <c:spPr>
              <a:noFill/>
              <a:ln w="3175">
                <a:solidFill>
                  <a:schemeClr val="bg1"/>
                </a:solidFill>
              </a:ln>
              <a:effectLst/>
            </c:spPr>
          </c:dPt>
          <c:dPt>
            <c:idx val="7"/>
            <c:bubble3D val="0"/>
            <c:spPr>
              <a:noFill/>
              <a:ln w="3175">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700" b="0" i="0" u="none" strike="noStrike" kern="1200" baseline="0">
                        <a:solidFill>
                          <a:schemeClr val="bg1">
                            <a:lumMod val="65000"/>
                          </a:schemeClr>
                        </a:solidFill>
                        <a:latin typeface="微软雅黑" panose="020B0503020204020204" charset="-122"/>
                        <a:ea typeface="微软雅黑" panose="020B0503020204020204" charset="-122"/>
                        <a:cs typeface="+mn-cs"/>
                      </a:defRPr>
                    </a:pPr>
                    <a:r>
                      <a:rPr sz="700">
                        <a:solidFill>
                          <a:srgbClr val="FF0000"/>
                        </a:solidFill>
                      </a:rPr>
                      <a:t>一般公共预算财政拨款收入99%</a:t>
                    </a:r>
                    <a:endParaRPr sz="700">
                      <a:solidFill>
                        <a:srgbClr val="FF0000"/>
                      </a:solidFill>
                    </a:endParaRP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0385093280067921"/>
                  <c:y val="0.0547540587640472"/>
                </c:manualLayout>
              </c:layout>
              <c:tx>
                <c:rich>
                  <a:bodyPr rot="0" spcFirstLastPara="0" vertOverflow="ellipsis" vert="horz" wrap="square" lIns="38100" tIns="19050" rIns="38100" bIns="19050" anchor="ctr" anchorCtr="1"/>
                  <a:lstStyle/>
                  <a:p>
                    <a:pPr defTabSz="914400">
                      <a:defRPr lang="zh-CN" sz="700" b="0" i="0" u="none" strike="noStrike" kern="1200" baseline="0">
                        <a:solidFill>
                          <a:schemeClr val="bg1">
                            <a:lumMod val="65000"/>
                          </a:schemeClr>
                        </a:solidFill>
                        <a:latin typeface="微软雅黑" panose="020B0503020204020204" charset="-122"/>
                        <a:ea typeface="微软雅黑" panose="020B0503020204020204" charset="-122"/>
                        <a:cs typeface="+mn-cs"/>
                      </a:defRPr>
                    </a:pPr>
                    <a:r>
                      <a:rPr sz="700">
                        <a:solidFill>
                          <a:srgbClr val="FF0000"/>
                        </a:solidFill>
                      </a:rPr>
                      <a:t>政府性基金预算财政拨款收入1%</a:t>
                    </a:r>
                    <a:endParaRPr sz="700">
                      <a:solidFill>
                        <a:srgbClr val="FF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8552631578947"/>
                      <c:h val="0.167361111111111"/>
                    </c:manualLayout>
                  </c15:layout>
                </c:ext>
              </c:extLst>
            </c:dLbl>
            <c:dLbl>
              <c:idx val="2"/>
              <c:layout>
                <c:manualLayout>
                  <c:x val="0.181578241146805"/>
                  <c:y val="0.516504629631306"/>
                </c:manualLayout>
              </c:layout>
              <c:tx>
                <c:rich>
                  <a:bodyPr rot="0" spcFirstLastPara="0" vertOverflow="ellipsis" vert="horz" wrap="square" lIns="38100" tIns="19050" rIns="38100" bIns="19050" anchor="ctr" anchorCtr="1"/>
                  <a:lstStyle/>
                  <a:p>
                    <a:pPr defTabSz="914400">
                      <a:defRPr lang="zh-CN" sz="700" b="0" i="0" u="none" strike="noStrike" kern="1200" baseline="0">
                        <a:solidFill>
                          <a:schemeClr val="bg1">
                            <a:lumMod val="65000"/>
                          </a:schemeClr>
                        </a:solidFill>
                        <a:latin typeface="微软雅黑" panose="020B0503020204020204" charset="-122"/>
                        <a:ea typeface="微软雅黑" panose="020B0503020204020204" charset="-122"/>
                        <a:cs typeface="+mn-cs"/>
                      </a:defRPr>
                    </a:pPr>
                    <a:r>
                      <a:rPr sz="700">
                        <a:solidFill>
                          <a:srgbClr val="FF0000"/>
                        </a:solidFill>
                      </a:rPr>
                      <a:t>国有资本经营预算财政拨款收入0%</a:t>
                    </a:r>
                    <a:endParaRPr sz="700">
                      <a:solidFill>
                        <a:srgbClr val="FF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2828885079058"/>
                  <c:y val="0.377048611110199"/>
                </c:manualLayout>
              </c:layout>
              <c:tx>
                <c:rich>
                  <a:bodyPr rot="0" spcFirstLastPara="0" vertOverflow="ellipsis" vert="horz" wrap="square" lIns="38100" tIns="19050" rIns="38100" bIns="19050" anchor="ctr" anchorCtr="1"/>
                  <a:lstStyle/>
                  <a:p>
                    <a:pPr defTabSz="914400">
                      <a:defRPr lang="zh-CN" sz="700" b="0" i="0" u="none" strike="noStrike" kern="1200" baseline="0">
                        <a:solidFill>
                          <a:schemeClr val="bg1">
                            <a:lumMod val="65000"/>
                          </a:schemeClr>
                        </a:solidFill>
                        <a:latin typeface="微软雅黑" panose="020B0503020204020204" charset="-122"/>
                        <a:ea typeface="微软雅黑" panose="020B0503020204020204" charset="-122"/>
                        <a:cs typeface="+mn-cs"/>
                      </a:defRPr>
                    </a:pPr>
                    <a:r>
                      <a:rPr sz="700">
                        <a:solidFill>
                          <a:srgbClr val="FF0000"/>
                        </a:solidFill>
                      </a:rPr>
                      <a:t>上级补助收入0%</a:t>
                    </a:r>
                    <a:endParaRPr sz="700">
                      <a:solidFill>
                        <a:srgbClr val="FF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51974140448185"/>
                  <c:y val="0.0992708333324213"/>
                </c:manualLayout>
              </c:layout>
              <c:tx>
                <c:rich>
                  <a:bodyPr rot="0" spcFirstLastPara="0" vertOverflow="ellipsis" vert="horz" wrap="square" lIns="38100" tIns="19050" rIns="38100" bIns="19050" anchor="ctr" anchorCtr="1"/>
                  <a:lstStyle/>
                  <a:p>
                    <a:pPr defTabSz="914400">
                      <a:defRPr lang="zh-CN" sz="700" b="0" i="0" u="none" strike="noStrike" kern="1200" baseline="0">
                        <a:solidFill>
                          <a:schemeClr val="bg1">
                            <a:lumMod val="65000"/>
                          </a:schemeClr>
                        </a:solidFill>
                        <a:latin typeface="微软雅黑" panose="020B0503020204020204" charset="-122"/>
                        <a:ea typeface="微软雅黑" panose="020B0503020204020204" charset="-122"/>
                        <a:cs typeface="+mn-cs"/>
                      </a:defRPr>
                    </a:pPr>
                    <a:r>
                      <a:rPr sz="700">
                        <a:solidFill>
                          <a:srgbClr val="FF0000"/>
                        </a:solidFill>
                      </a:rPr>
                      <a:t>事业收入0%</a:t>
                    </a:r>
                    <a:endParaRPr sz="700">
                      <a:solidFill>
                        <a:srgbClr val="FF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195395193079764"/>
                  <c:y val="0.248576388887977"/>
                </c:manualLayout>
              </c:layout>
              <c:tx>
                <c:rich>
                  <a:bodyPr rot="0" spcFirstLastPara="0" vertOverflow="ellipsis" vert="horz" wrap="square" lIns="38100" tIns="19050" rIns="38100" bIns="19050" anchor="ctr" anchorCtr="1"/>
                  <a:lstStyle/>
                  <a:p>
                    <a:pPr defTabSz="914400">
                      <a:defRPr lang="zh-CN" sz="700" b="0" i="0" u="none" strike="noStrike" kern="1200" baseline="0">
                        <a:solidFill>
                          <a:schemeClr val="bg1">
                            <a:lumMod val="65000"/>
                          </a:schemeClr>
                        </a:solidFill>
                        <a:latin typeface="微软雅黑" panose="020B0503020204020204" charset="-122"/>
                        <a:ea typeface="微软雅黑" panose="020B0503020204020204" charset="-122"/>
                        <a:cs typeface="+mn-cs"/>
                      </a:defRPr>
                    </a:pPr>
                    <a:r>
                      <a:rPr sz="700">
                        <a:solidFill>
                          <a:srgbClr val="FF0000"/>
                        </a:solidFill>
                      </a:rPr>
                      <a:t>经营收入0%</a:t>
                    </a:r>
                    <a:endParaRPr sz="700">
                      <a:solidFill>
                        <a:srgbClr val="FF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227961657340768"/>
                  <c:y val="0.481782407409084"/>
                </c:manualLayout>
              </c:layout>
              <c:tx>
                <c:rich>
                  <a:bodyPr rot="0" spcFirstLastPara="0" vertOverflow="ellipsis" vert="horz" wrap="square" lIns="38100" tIns="19050" rIns="38100" bIns="19050" anchor="ctr" anchorCtr="1"/>
                  <a:lstStyle/>
                  <a:p>
                    <a:pPr defTabSz="914400">
                      <a:defRPr lang="zh-CN" sz="700" b="0" i="0" u="none" strike="noStrike" kern="1200" baseline="0">
                        <a:solidFill>
                          <a:schemeClr val="bg1">
                            <a:lumMod val="65000"/>
                          </a:schemeClr>
                        </a:solidFill>
                        <a:latin typeface="微软雅黑" panose="020B0503020204020204" charset="-122"/>
                        <a:ea typeface="微软雅黑" panose="020B0503020204020204" charset="-122"/>
                        <a:cs typeface="+mn-cs"/>
                      </a:defRPr>
                    </a:pPr>
                    <a:r>
                      <a:rPr sz="700">
                        <a:solidFill>
                          <a:srgbClr val="FF0000"/>
                        </a:solidFill>
                      </a:rPr>
                      <a:t>附属单位上缴收入0%</a:t>
                    </a:r>
                    <a:endParaRPr sz="700">
                      <a:solidFill>
                        <a:srgbClr val="FF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1447368421053"/>
                      <c:h val="0.155092592592593"/>
                    </c:manualLayout>
                  </c15:layout>
                </c:ext>
              </c:extLst>
            </c:dLbl>
            <c:dLbl>
              <c:idx val="7"/>
              <c:layout>
                <c:manualLayout>
                  <c:x val="0.167762701657078"/>
                  <c:y val="0.241631944443532"/>
                </c:manualLayout>
              </c:layout>
              <c:tx>
                <c:rich>
                  <a:bodyPr rot="0" spcFirstLastPara="0" vertOverflow="ellipsis" vert="horz" wrap="square" lIns="38100" tIns="19050" rIns="38100" bIns="19050" anchor="ctr" anchorCtr="1"/>
                  <a:lstStyle/>
                  <a:p>
                    <a:pPr defTabSz="914400">
                      <a:defRPr lang="zh-CN" sz="700" b="0" i="0" u="none" strike="noStrike" kern="1200" baseline="0">
                        <a:solidFill>
                          <a:schemeClr val="bg1">
                            <a:lumMod val="65000"/>
                          </a:schemeClr>
                        </a:solidFill>
                        <a:latin typeface="微软雅黑" panose="020B0503020204020204" charset="-122"/>
                        <a:ea typeface="微软雅黑" panose="020B0503020204020204" charset="-122"/>
                        <a:cs typeface="+mn-cs"/>
                      </a:defRPr>
                    </a:pPr>
                    <a:r>
                      <a:rPr sz="700">
                        <a:solidFill>
                          <a:srgbClr val="FF0000"/>
                        </a:solidFill>
                      </a:rPr>
                      <a:t>其他收入0%</a:t>
                    </a:r>
                    <a:endParaRPr sz="700">
                      <a:solidFill>
                        <a:srgbClr val="FF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[工作簿1]Sheet1!$C$55:$C$62</c:f>
              <c:strCache>
                <c:ptCount val="8"/>
                <c:pt idx="0" c:formatCode="0.00_ ">
                  <c:v>一般公共预算财政拨款收入</c:v>
                </c:pt>
                <c:pt idx="1" c:formatCode="0.00_ ">
                  <c:v>政府性基金预算财政拨款收入</c:v>
                </c:pt>
                <c:pt idx="2" c:formatCode="0.00_ ">
                  <c:v>国有资本经营预算财政拨款收入</c:v>
                </c:pt>
                <c:pt idx="3" c:formatCode="@">
                  <c:v>上级补助收入</c:v>
                </c:pt>
                <c:pt idx="4" c:formatCode="@">
                  <c:v>事业收入</c:v>
                </c:pt>
                <c:pt idx="5" c:formatCode="@">
                  <c:v>经营收入</c:v>
                </c:pt>
                <c:pt idx="6" c:formatCode="@">
                  <c:v>附属单位上缴收入</c:v>
                </c:pt>
                <c:pt idx="7" c:formatCode="@">
                  <c:v>其他收入</c:v>
                </c:pt>
              </c:strCache>
            </c:strRef>
          </c:cat>
          <c:val>
            <c:numRef>
              <c:f>[工作簿1]Sheet1!$D$55:$D$62</c:f>
              <c:numCache>
                <c:formatCode>0.00_ </c:formatCode>
                <c:ptCount val="8"/>
                <c:pt idx="0">
                  <c:v>1588.3</c:v>
                </c:pt>
                <c:pt idx="1">
                  <c:v>10</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spPr>
        <a:noFill/>
        <a:ln w="25400">
          <a:noFill/>
        </a:ln>
        <a:effectLst/>
      </c:spPr>
    </c:plotArea>
    <c:legend>
      <c:legendPos val="r"/>
      <c:layout/>
      <c:overlay val="0"/>
      <c:spPr>
        <a:noFill/>
        <a:ln>
          <a:noFill/>
        </a:ln>
        <a:effectLst/>
      </c:spPr>
      <c:txPr>
        <a:bodyPr rot="0" spcFirstLastPara="0" vertOverflow="ellipsis" vert="horz" wrap="square" anchor="ctr" anchorCtr="1" forceAA="0"/>
        <a:lstStyle/>
        <a:p>
          <a:pPr>
            <a:defRPr lang="zh-CN" sz="8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tx2">
        <a:lumMod val="50000"/>
      </a:schemeClr>
    </a:solidFill>
    <a:ln w="3175" cap="flat" cmpd="sng" algn="ctr">
      <a:solidFill>
        <a:srgbClr val="E6E6E6"/>
      </a:solidFill>
      <a:round/>
    </a:ln>
    <a:effectLst/>
  </c:spPr>
  <c:txPr>
    <a:bodyPr/>
    <a:lstStyle/>
    <a:p>
      <a:pPr>
        <a:defRPr lang="zh-CN">
          <a:solidFill>
            <a:schemeClr val="bg1">
              <a:lumMod val="65000"/>
            </a:schemeClr>
          </a:solidFill>
          <a:latin typeface="微软雅黑" panose="020B0503020204020204" charset="-122"/>
          <a:ea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rgbClr val="7894BA"/>
                </a:solidFill>
                <a:latin typeface="微软雅黑" panose="020B0503020204020204" charset="-122"/>
                <a:ea typeface="微软雅黑" panose="020B0503020204020204" charset="-122"/>
                <a:cs typeface="+mn-cs"/>
              </a:defRPr>
            </a:pPr>
            <a:r>
              <a:t>支出决算结构图</a:t>
            </a:r>
          </a:p>
        </c:rich>
      </c:tx>
      <c:layout>
        <c:manualLayout>
          <c:xMode val="edge"/>
          <c:yMode val="edge"/>
          <c:x val="0.374819986351735"/>
          <c:y val="0.0158238521380054"/>
        </c:manualLayout>
      </c:layout>
      <c:overlay val="0"/>
      <c:spPr>
        <a:noFill/>
        <a:ln>
          <a:noFill/>
        </a:ln>
        <a:effectLst/>
      </c:spPr>
    </c:title>
    <c:autoTitleDeleted val="0"/>
    <c:plotArea>
      <c:layout>
        <c:manualLayout>
          <c:layoutTarget val="inner"/>
          <c:xMode val="edge"/>
          <c:yMode val="edge"/>
          <c:x val="0.273778971666562"/>
          <c:y val="0.148783741622491"/>
          <c:w val="0.480118167712483"/>
          <c:h val="0.807482060369723"/>
        </c:manualLayout>
      </c:layout>
      <c:pieChart>
        <c:varyColors val="1"/>
        <c:ser>
          <c:idx val="0"/>
          <c:order val="0"/>
          <c:spPr>
            <a:noFill/>
            <a:ln w="3175">
              <a:solidFill>
                <a:schemeClr val="bg1"/>
              </a:solidFill>
            </a:ln>
            <a:effectLst/>
          </c:spPr>
          <c:explosion val="0"/>
          <c:dPt>
            <c:idx val="0"/>
            <c:bubble3D val="0"/>
            <c:spPr>
              <a:pattFill prst="ltDnDiag">
                <a:fgClr>
                  <a:schemeClr val="accent1"/>
                </a:fgClr>
                <a:bgClr>
                  <a:schemeClr val="tx2">
                    <a:lumMod val="50000"/>
                  </a:schemeClr>
                </a:bgClr>
              </a:pattFill>
              <a:ln w="3175">
                <a:solidFill>
                  <a:schemeClr val="accent1"/>
                </a:solidFill>
              </a:ln>
              <a:effectLst/>
            </c:spPr>
          </c:dPt>
          <c:dPt>
            <c:idx val="1"/>
            <c:bubble3D val="0"/>
            <c:spPr>
              <a:pattFill prst="ltDnDiag">
                <a:fgClr>
                  <a:schemeClr val="accent2"/>
                </a:fgClr>
                <a:bgClr>
                  <a:schemeClr val="tx2">
                    <a:lumMod val="50000"/>
                  </a:schemeClr>
                </a:bgClr>
              </a:pattFill>
              <a:ln w="3175">
                <a:solidFill>
                  <a:schemeClr val="accent2"/>
                </a:solidFill>
              </a:ln>
              <a:effectLst/>
            </c:spPr>
          </c:dPt>
          <c:dPt>
            <c:idx val="2"/>
            <c:bubble3D val="0"/>
            <c:spPr>
              <a:pattFill prst="ltDnDiag">
                <a:fgClr>
                  <a:schemeClr val="accent3"/>
                </a:fgClr>
                <a:bgClr>
                  <a:schemeClr val="tx2">
                    <a:lumMod val="50000"/>
                  </a:schemeClr>
                </a:bgClr>
              </a:pattFill>
              <a:ln w="3175">
                <a:solidFill>
                  <a:schemeClr val="accent3"/>
                </a:solidFill>
              </a:ln>
              <a:effectLst/>
            </c:spPr>
          </c:dPt>
          <c:dPt>
            <c:idx val="3"/>
            <c:bubble3D val="0"/>
            <c:spPr>
              <a:pattFill prst="ltDnDiag">
                <a:fgClr>
                  <a:schemeClr val="accent4"/>
                </a:fgClr>
                <a:bgClr>
                  <a:schemeClr val="tx2">
                    <a:lumMod val="50000"/>
                  </a:schemeClr>
                </a:bgClr>
              </a:pattFill>
              <a:ln w="3175">
                <a:solidFill>
                  <a:schemeClr val="accent4"/>
                </a:solidFill>
              </a:ln>
              <a:effectLst/>
            </c:spPr>
          </c:dPt>
          <c:dPt>
            <c:idx val="4"/>
            <c:bubble3D val="0"/>
            <c:spPr>
              <a:pattFill prst="ltDnDiag">
                <a:fgClr>
                  <a:schemeClr val="accent5"/>
                </a:fgClr>
                <a:bgClr>
                  <a:schemeClr val="tx2">
                    <a:lumMod val="50000"/>
                  </a:schemeClr>
                </a:bgClr>
              </a:pattFill>
              <a:ln w="3175">
                <a:solidFill>
                  <a:schemeClr val="accent5"/>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1100" b="0" i="0" u="none" strike="noStrike" kern="1200" baseline="0">
                    <a:solidFill>
                      <a:schemeClr val="bg1"/>
                    </a:solidFill>
                    <a:latin typeface="微软雅黑" panose="020B0503020204020204" charset="-122"/>
                    <a:ea typeface="微软雅黑" panose="020B0503020204020204" charset="-122"/>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[工作簿1]Sheet1!$C$79:$C$83</c:f>
              <c:strCache>
                <c:ptCount val="5"/>
                <c:pt idx="0" c:formatCode="0.00_ ">
                  <c:v>基本支出</c:v>
                </c:pt>
                <c:pt idx="1" c:formatCode="0.00_ ">
                  <c:v>项目支出</c:v>
                </c:pt>
                <c:pt idx="2" c:formatCode="0.00_ ">
                  <c:v>上缴上级支出</c:v>
                </c:pt>
                <c:pt idx="3" c:formatCode="0.00_ ">
                  <c:v>经营支出</c:v>
                </c:pt>
                <c:pt idx="4" c:formatCode="0.00_ ">
                  <c:v>对附属单位补助支出</c:v>
                </c:pt>
              </c:strCache>
            </c:strRef>
          </c:cat>
          <c:val>
            <c:numRef>
              <c:f>[工作簿1]Sheet1!$D$79:$D$83</c:f>
              <c:numCache>
                <c:formatCode>0.00_ </c:formatCode>
                <c:ptCount val="5"/>
                <c:pt idx="0">
                  <c:v>578.3</c:v>
                </c:pt>
                <c:pt idx="1">
                  <c:v>1020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a:effectLst/>
      </c:spPr>
    </c:plotArea>
    <c:legend>
      <c:legendPos val="t"/>
      <c:layout>
        <c:manualLayout>
          <c:xMode val="edge"/>
          <c:yMode val="edge"/>
          <c:x val="0.752631578947368"/>
          <c:y val="0.12037037037037"/>
          <c:w val="0.218815789473684"/>
          <c:h val="0.701157407407407"/>
        </c:manualLayout>
      </c:layout>
      <c:overlay val="0"/>
      <c:spPr>
        <a:noFill/>
        <a:ln>
          <a:noFill/>
        </a:ln>
        <a:effectLst/>
      </c:spPr>
      <c:txPr>
        <a:bodyPr rot="0" spcFirstLastPara="0" vertOverflow="ellipsis" vert="horz" wrap="square" anchor="ctr" anchorCtr="1" forceAA="0"/>
        <a:lstStyle/>
        <a:p>
          <a:pPr>
            <a:defRPr lang="zh-CN" sz="8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tx2">
        <a:lumMod val="50000"/>
      </a:schemeClr>
    </a:solidFill>
    <a:ln w="3175" cap="flat" cmpd="sng" algn="ctr">
      <a:solidFill>
        <a:srgbClr val="E6E6E6"/>
      </a:solidFill>
      <a:round/>
    </a:ln>
    <a:effectLst/>
  </c:spPr>
  <c:txPr>
    <a:bodyPr/>
    <a:lstStyle/>
    <a:p>
      <a:pPr>
        <a:defRPr lang="zh-CN">
          <a:solidFill>
            <a:schemeClr val="bg1">
              <a:lumMod val="65000"/>
            </a:schemeClr>
          </a:solidFill>
          <a:latin typeface="微软雅黑" panose="020B0503020204020204" charset="-122"/>
          <a:ea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200" b="1" i="0" u="none" strike="noStrike" kern="1200" spc="0" baseline="0">
                <a:solidFill>
                  <a:srgbClr val="3FB27E"/>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财政拨款收、支决算总计变动情况</a:t>
            </a:r>
          </a:p>
        </c:rich>
      </c:tx>
      <c:layout/>
      <c:overlay val="0"/>
      <c:spPr>
        <a:noFill/>
        <a:ln>
          <a:noFill/>
        </a:ln>
        <a:effectLst/>
      </c:spPr>
    </c:title>
    <c:autoTitleDeleted val="0"/>
    <c:plotArea>
      <c:layout>
        <c:manualLayout>
          <c:layoutTarget val="inner"/>
          <c:xMode val="edge"/>
          <c:yMode val="edge"/>
          <c:x val="0.128377319048863"/>
          <c:y val="0.244897959183673"/>
          <c:w val="0.798641233342043"/>
          <c:h val="0.566358754027927"/>
        </c:manualLayout>
      </c:layout>
      <c:barChart>
        <c:barDir val="col"/>
        <c:grouping val="clustered"/>
        <c:varyColors val="0"/>
        <c:ser>
          <c:idx val="0"/>
          <c:order val="0"/>
          <c:tx>
            <c:strRef>
              <c:f>[工作簿1]Sheet1!$C$96</c:f>
              <c:strCache>
                <c:ptCount val="1"/>
                <c:pt idx="0">
                  <c:v>收、支总计</c:v>
                </c:pt>
              </c:strCache>
            </c:strRef>
          </c:tx>
          <c:spPr>
            <a:solidFill>
              <a:srgbClr val="3FB27E"/>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[工作簿1]Sheet1!$B$97:$B$98</c:f>
              <c:strCache>
                <c:ptCount val="2"/>
                <c:pt idx="0" c:formatCode="@">
                  <c:v>2021年</c:v>
                </c:pt>
                <c:pt idx="1" c:formatCode="@">
                  <c:v>2022年</c:v>
                </c:pt>
              </c:strCache>
            </c:strRef>
          </c:cat>
          <c:val>
            <c:numRef>
              <c:f>[工作簿1]Sheet1!$C$97:$C$98</c:f>
              <c:numCache>
                <c:formatCode>0.00_ </c:formatCode>
                <c:ptCount val="2"/>
                <c:pt idx="0">
                  <c:v>1378.67</c:v>
                </c:pt>
                <c:pt idx="1">
                  <c:v>1598.3</c:v>
                </c:pt>
              </c:numCache>
            </c:numRef>
          </c:val>
        </c:ser>
        <c:dLbls>
          <c:showLegendKey val="0"/>
          <c:showVal val="1"/>
          <c:showCatName val="0"/>
          <c:showSerName val="0"/>
          <c:showPercent val="0"/>
          <c:showBubbleSize val="0"/>
        </c:dLbls>
        <c:gapWidth val="150"/>
        <c:overlap val="100"/>
        <c:axId val="128459101"/>
        <c:axId val="299338112"/>
      </c:barChart>
      <c:catAx>
        <c:axId val="128459101"/>
        <c:scaling>
          <c:orientation val="minMax"/>
        </c:scaling>
        <c:delete val="0"/>
        <c:axPos val="b"/>
        <c:numFmt formatCode="General" sourceLinked="1"/>
        <c:majorTickMark val="none"/>
        <c:minorTickMark val="none"/>
        <c:tickLblPos val="nextTo"/>
        <c:spPr>
          <a:noFill/>
          <a:ln w="9525" cap="flat" cmpd="sng" algn="ctr">
            <a:solidFill>
              <a:srgbClr val="2E324F"/>
            </a:solidFill>
            <a:round/>
          </a:ln>
          <a:effectLst/>
        </c:spPr>
        <c:txPr>
          <a:bodyPr rot="-60000000" spcFirstLastPara="0" vertOverflow="ellipsis" vert="horz" wrap="square" anchor="ctr" anchorCtr="1" forceAA="0"/>
          <a:lstStyle/>
          <a:p>
            <a:pPr>
              <a:defRPr lang="zh-CN" sz="900" b="0" i="0" u="none" strike="noStrike" kern="1200" baseline="0">
                <a:solidFill>
                  <a:schemeClr val="bg1">
                    <a:lumMod val="50000"/>
                  </a:schemeClr>
                </a:solidFill>
                <a:latin typeface="+mn-lt"/>
                <a:ea typeface="+mn-ea"/>
                <a:cs typeface="+mn-cs"/>
              </a:defRPr>
            </a:pPr>
          </a:p>
        </c:txPr>
        <c:crossAx val="299338112"/>
        <c:crosses val="autoZero"/>
        <c:auto val="1"/>
        <c:lblAlgn val="ctr"/>
        <c:lblOffset val="100"/>
        <c:noMultiLvlLbl val="0"/>
      </c:catAx>
      <c:valAx>
        <c:axId val="299338112"/>
        <c:scaling>
          <c:orientation val="minMax"/>
        </c:scaling>
        <c:delete val="0"/>
        <c:axPos val="l"/>
        <c:majorGridlines>
          <c:spPr>
            <a:ln w="9525" cap="flat" cmpd="sng" algn="ctr">
              <a:solidFill>
                <a:srgbClr val="2E324F"/>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bg1">
                    <a:lumMod val="50000"/>
                  </a:schemeClr>
                </a:solidFill>
                <a:latin typeface="+mn-lt"/>
                <a:ea typeface="+mn-ea"/>
                <a:cs typeface="+mn-cs"/>
              </a:defRPr>
            </a:pPr>
          </a:p>
        </c:txPr>
        <c:crossAx val="128459101"/>
        <c:crosses val="autoZero"/>
        <c:crossBetween val="between"/>
      </c:valAx>
      <c:spPr>
        <a:solidFill>
          <a:srgbClr val="24273E"/>
        </a:solidFill>
        <a:ln>
          <a:noFill/>
        </a:ln>
        <a:effectLst/>
      </c:spPr>
    </c:plotArea>
    <c:plotVisOnly val="1"/>
    <c:dispBlanksAs val="gap"/>
    <c:showDLblsOverMax val="0"/>
  </c:chart>
  <c:spPr>
    <a:solidFill>
      <a:srgbClr val="24273E"/>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200" b="1" i="0" u="none" strike="noStrike" kern="1200" spc="0" baseline="0">
                <a:solidFill>
                  <a:srgbClr val="3FB27E"/>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128377319048863"/>
          <c:y val="0.244897959183673"/>
          <c:w val="0.798641233342043"/>
          <c:h val="0.566358754027927"/>
        </c:manualLayout>
      </c:layout>
      <c:barChart>
        <c:barDir val="col"/>
        <c:grouping val="clustered"/>
        <c:varyColors val="0"/>
        <c:ser>
          <c:idx val="0"/>
          <c:order val="0"/>
          <c:tx>
            <c:strRef>
              <c:f>[工作簿1]Sheet1!$C$96</c:f>
              <c:strCache>
                <c:ptCount val="1"/>
                <c:pt idx="0">
                  <c:v>收、支总计</c:v>
                </c:pt>
              </c:strCache>
            </c:strRef>
          </c:tx>
          <c:spPr>
            <a:solidFill>
              <a:srgbClr val="3FB27E"/>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[工作簿1]Sheet1!$B$97:$B$98</c:f>
              <c:strCache>
                <c:ptCount val="2"/>
                <c:pt idx="0" c:formatCode="@">
                  <c:v>2021年</c:v>
                </c:pt>
                <c:pt idx="1" c:formatCode="@">
                  <c:v>2022年</c:v>
                </c:pt>
              </c:strCache>
            </c:strRef>
          </c:cat>
          <c:val>
            <c:numRef>
              <c:f>[工作簿1]Sheet1!$C$97:$C$98</c:f>
              <c:numCache>
                <c:formatCode>0.00_ </c:formatCode>
                <c:ptCount val="2"/>
                <c:pt idx="0">
                  <c:v>1378.67</c:v>
                </c:pt>
                <c:pt idx="1">
                  <c:v>1598.3</c:v>
                </c:pt>
              </c:numCache>
            </c:numRef>
          </c:val>
        </c:ser>
        <c:dLbls>
          <c:showLegendKey val="0"/>
          <c:showVal val="1"/>
          <c:showCatName val="0"/>
          <c:showSerName val="0"/>
          <c:showPercent val="0"/>
          <c:showBubbleSize val="0"/>
        </c:dLbls>
        <c:gapWidth val="150"/>
        <c:overlap val="100"/>
        <c:axId val="128459101"/>
        <c:axId val="299338112"/>
      </c:barChart>
      <c:catAx>
        <c:axId val="128459101"/>
        <c:scaling>
          <c:orientation val="minMax"/>
        </c:scaling>
        <c:delete val="0"/>
        <c:axPos val="b"/>
        <c:numFmt formatCode="General" sourceLinked="1"/>
        <c:majorTickMark val="none"/>
        <c:minorTickMark val="none"/>
        <c:tickLblPos val="nextTo"/>
        <c:spPr>
          <a:noFill/>
          <a:ln w="9525" cap="flat" cmpd="sng" algn="ctr">
            <a:solidFill>
              <a:srgbClr val="2E324F"/>
            </a:solidFill>
            <a:round/>
          </a:ln>
          <a:effectLst/>
        </c:spPr>
        <c:txPr>
          <a:bodyPr rot="-60000000" spcFirstLastPara="0" vertOverflow="ellipsis" vert="horz" wrap="square" anchor="ctr" anchorCtr="1" forceAA="0"/>
          <a:lstStyle/>
          <a:p>
            <a:pPr>
              <a:defRPr lang="zh-CN" sz="900" b="0" i="0" u="none" strike="noStrike" kern="1200" baseline="0">
                <a:solidFill>
                  <a:schemeClr val="bg1">
                    <a:lumMod val="50000"/>
                  </a:schemeClr>
                </a:solidFill>
                <a:latin typeface="+mn-lt"/>
                <a:ea typeface="+mn-ea"/>
                <a:cs typeface="+mn-cs"/>
              </a:defRPr>
            </a:pPr>
          </a:p>
        </c:txPr>
        <c:crossAx val="299338112"/>
        <c:crosses val="autoZero"/>
        <c:auto val="1"/>
        <c:lblAlgn val="ctr"/>
        <c:lblOffset val="100"/>
        <c:noMultiLvlLbl val="0"/>
      </c:catAx>
      <c:valAx>
        <c:axId val="299338112"/>
        <c:scaling>
          <c:orientation val="minMax"/>
        </c:scaling>
        <c:delete val="0"/>
        <c:axPos val="l"/>
        <c:majorGridlines>
          <c:spPr>
            <a:ln w="9525" cap="flat" cmpd="sng" algn="ctr">
              <a:solidFill>
                <a:srgbClr val="2E324F"/>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bg1">
                    <a:lumMod val="50000"/>
                  </a:schemeClr>
                </a:solidFill>
                <a:latin typeface="+mn-lt"/>
                <a:ea typeface="+mn-ea"/>
                <a:cs typeface="+mn-cs"/>
              </a:defRPr>
            </a:pPr>
          </a:p>
        </c:txPr>
        <c:crossAx val="128459101"/>
        <c:crosses val="autoZero"/>
        <c:crossBetween val="between"/>
      </c:valAx>
      <c:spPr>
        <a:solidFill>
          <a:srgbClr val="24273E"/>
        </a:solidFill>
        <a:ln>
          <a:noFill/>
        </a:ln>
        <a:effectLst/>
      </c:spPr>
    </c:plotArea>
    <c:plotVisOnly val="1"/>
    <c:dispBlanksAs val="gap"/>
    <c:showDLblsOverMax val="0"/>
  </c:chart>
  <c:spPr>
    <a:solidFill>
      <a:srgbClr val="24273E"/>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rgbClr val="7894BA"/>
                </a:solidFill>
                <a:latin typeface="微软雅黑" panose="020B0503020204020204" charset="-122"/>
                <a:ea typeface="微软雅黑" panose="020B0503020204020204" charset="-122"/>
                <a:cs typeface="+mn-cs"/>
              </a:defRPr>
            </a:pPr>
            <a:r>
              <a:t>一般公共预算财政拨款支出决算结构</a:t>
            </a:r>
          </a:p>
        </c:rich>
      </c:tx>
      <c:layout>
        <c:manualLayout>
          <c:xMode val="edge"/>
          <c:yMode val="edge"/>
          <c:x val="0.108372617930683"/>
          <c:y val="0.0505460743602276"/>
        </c:manualLayout>
      </c:layout>
      <c:overlay val="0"/>
      <c:spPr>
        <a:noFill/>
        <a:ln>
          <a:noFill/>
        </a:ln>
        <a:effectLst/>
      </c:spPr>
    </c:title>
    <c:autoTitleDeleted val="0"/>
    <c:plotArea>
      <c:layout>
        <c:manualLayout>
          <c:layoutTarget val="inner"/>
          <c:xMode val="edge"/>
          <c:yMode val="edge"/>
          <c:x val="0.261241104968032"/>
          <c:y val="0.148783741622491"/>
          <c:w val="0.480118167712483"/>
          <c:h val="0.807482060369723"/>
        </c:manualLayout>
      </c:layout>
      <c:pieChart>
        <c:varyColors val="1"/>
        <c:ser>
          <c:idx val="0"/>
          <c:order val="0"/>
          <c:spPr>
            <a:noFill/>
            <a:ln w="3175">
              <a:solidFill>
                <a:schemeClr val="bg1"/>
              </a:solidFill>
            </a:ln>
            <a:effectLst/>
          </c:spPr>
          <c:explosion val="0"/>
          <c:dPt>
            <c:idx val="0"/>
            <c:bubble3D val="0"/>
            <c:spPr>
              <a:pattFill prst="ltDnDiag">
                <a:fgClr>
                  <a:schemeClr val="accent1"/>
                </a:fgClr>
                <a:bgClr>
                  <a:schemeClr val="tx2">
                    <a:lumMod val="50000"/>
                  </a:schemeClr>
                </a:bgClr>
              </a:pattFill>
              <a:ln w="3175">
                <a:solidFill>
                  <a:schemeClr val="accent1"/>
                </a:solidFill>
              </a:ln>
              <a:effectLst/>
            </c:spPr>
          </c:dPt>
          <c:dPt>
            <c:idx val="1"/>
            <c:bubble3D val="0"/>
            <c:spPr>
              <a:pattFill prst="ltDnDiag">
                <a:fgClr>
                  <a:schemeClr val="accent2"/>
                </a:fgClr>
                <a:bgClr>
                  <a:schemeClr val="tx2">
                    <a:lumMod val="50000"/>
                  </a:schemeClr>
                </a:bgClr>
              </a:pattFill>
              <a:ln w="3175">
                <a:solidFill>
                  <a:schemeClr val="accent2"/>
                </a:solidFill>
              </a:ln>
              <a:effectLst/>
            </c:spPr>
          </c:dPt>
          <c:dPt>
            <c:idx val="2"/>
            <c:bubble3D val="0"/>
            <c:spPr>
              <a:pattFill prst="ltDnDiag">
                <a:fgClr>
                  <a:schemeClr val="accent3"/>
                </a:fgClr>
                <a:bgClr>
                  <a:schemeClr val="tx2">
                    <a:lumMod val="50000"/>
                  </a:schemeClr>
                </a:bgClr>
              </a:pattFill>
              <a:ln w="3175">
                <a:solidFill>
                  <a:schemeClr val="accent3"/>
                </a:solidFill>
              </a:ln>
              <a:effectLst/>
            </c:spPr>
          </c:dPt>
          <c:dPt>
            <c:idx val="3"/>
            <c:bubble3D val="0"/>
            <c:spPr>
              <a:pattFill prst="ltDnDiag">
                <a:fgClr>
                  <a:schemeClr val="accent4"/>
                </a:fgClr>
                <a:bgClr>
                  <a:schemeClr val="tx2">
                    <a:lumMod val="50000"/>
                  </a:schemeClr>
                </a:bgClr>
              </a:pattFill>
              <a:ln w="3175">
                <a:solidFill>
                  <a:schemeClr val="accent4"/>
                </a:solidFill>
              </a:ln>
              <a:effectLst/>
            </c:spPr>
          </c:dPt>
          <c:dPt>
            <c:idx val="4"/>
            <c:bubble3D val="0"/>
            <c:spPr>
              <a:pattFill prst="ltDnDiag">
                <a:fgClr>
                  <a:schemeClr val="accent5"/>
                </a:fgClr>
                <a:bgClr>
                  <a:schemeClr val="tx2">
                    <a:lumMod val="50000"/>
                  </a:schemeClr>
                </a:bgClr>
              </a:pattFill>
              <a:ln w="3175">
                <a:solidFill>
                  <a:schemeClr val="accent5"/>
                </a:solidFill>
              </a:ln>
              <a:effectLst/>
            </c:spPr>
          </c:dPt>
          <c:dPt>
            <c:idx val="5"/>
            <c:bubble3D val="0"/>
            <c:spPr>
              <a:pattFill prst="ltDnDiag">
                <a:fgClr>
                  <a:srgbClr val="955CFF"/>
                </a:fgClr>
                <a:bgClr>
                  <a:srgbClr val="44546A">
                    <a:lumMod val="50000"/>
                  </a:srgbClr>
                </a:bgClr>
              </a:pattFill>
              <a:ln w="3175">
                <a:solidFill>
                  <a:srgbClr val="955CFF"/>
                </a:solidFill>
              </a:ln>
              <a:effectLst/>
            </c:spPr>
          </c:dPt>
          <c:dPt>
            <c:idx val="6"/>
            <c:bubble3D val="0"/>
            <c:spPr>
              <a:pattFill prst="ltUpDiag">
                <a:fgClr>
                  <a:srgbClr val="44546A">
                    <a:lumMod val="50000"/>
                  </a:srgbClr>
                </a:fgClr>
                <a:bgClr>
                  <a:sysClr val="window" lastClr="FFFFFF"/>
                </a:bgClr>
              </a:pattFill>
              <a:ln w="3175">
                <a:solidFill>
                  <a:schemeClr val="bg1"/>
                </a:solidFill>
              </a:ln>
              <a:effectLst/>
            </c:spPr>
          </c:dPt>
          <c:dPt>
            <c:idx val="7"/>
            <c:bubble3D val="0"/>
            <c:spPr>
              <a:pattFill prst="ltUpDiag">
                <a:fgClr>
                  <a:srgbClr val="EE822F"/>
                </a:fgClr>
                <a:bgClr>
                  <a:srgbClr val="44546A">
                    <a:lumMod val="50000"/>
                  </a:srgbClr>
                </a:bgClr>
              </a:pattFill>
              <a:ln w="3175">
                <a:solidFill>
                  <a:schemeClr val="bg1"/>
                </a:solidFill>
              </a:ln>
              <a:effectLst/>
            </c:spPr>
          </c:dPt>
          <c:dPt>
            <c:idx val="8"/>
            <c:bubble3D val="0"/>
            <c:spPr>
              <a:pattFill prst="dkDnDiag">
                <a:fgClr>
                  <a:srgbClr val="4874CB"/>
                </a:fgClr>
                <a:bgClr>
                  <a:srgbClr val="44546A">
                    <a:lumMod val="50000"/>
                  </a:srgbClr>
                </a:bgClr>
              </a:pattFill>
              <a:ln w="3175">
                <a:solidFill>
                  <a:schemeClr val="bg1"/>
                </a:solidFill>
              </a:ln>
              <a:effectLst/>
            </c:spPr>
          </c:dPt>
          <c:dLbls>
            <c:dLbl>
              <c:idx val="4"/>
              <c:layout>
                <c:manualLayout>
                  <c:x val="0.000151772042925131"/>
                  <c:y val="-0.10263556111068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193619697968679"/>
                  <c:y val="0.035782019794080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1100" b="0" i="0" u="none" strike="noStrike" kern="1200" baseline="0">
                    <a:solidFill>
                      <a:schemeClr val="bg1"/>
                    </a:solidFill>
                    <a:latin typeface="微软雅黑" panose="020B0503020204020204" charset="-122"/>
                    <a:ea typeface="微软雅黑" panose="020B0503020204020204" charset="-122"/>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[工作簿1]Sheet1!$C$140:$C$148</c:f>
              <c:strCache>
                <c:ptCount val="9"/>
                <c:pt idx="0" c:formatCode="0.00_ ">
                  <c:v>一般公共服务支出</c:v>
                </c:pt>
                <c:pt idx="1" c:formatCode="0.00_ ">
                  <c:v>教育支出</c:v>
                </c:pt>
                <c:pt idx="2" c:formatCode="0.00_ ">
                  <c:v>科学技术支出</c:v>
                </c:pt>
                <c:pt idx="3" c:formatCode="0.00_ ">
                  <c:v>文化旅游体育与传媒支出</c:v>
                </c:pt>
                <c:pt idx="4" c:formatCode="0.00_ ">
                  <c:v>社会保障和就业支出</c:v>
                </c:pt>
                <c:pt idx="5" c:formatCode="0.00_ ">
                  <c:v>卫生健康支出</c:v>
                </c:pt>
                <c:pt idx="6" c:formatCode="0.00_ ">
                  <c:v>住房保障支出</c:v>
                </c:pt>
                <c:pt idx="7" c:formatCode="0.00_ ">
                  <c:v>农林水支出</c:v>
                </c:pt>
                <c:pt idx="8" c:formatCode="0.00_ ">
                  <c:v>商业服务业等支出</c:v>
                </c:pt>
              </c:strCache>
            </c:strRef>
          </c:cat>
          <c:val>
            <c:numRef>
              <c:f>[工作簿1]Sheet1!$D$140:$D$148</c:f>
              <c:numCache>
                <c:formatCode>0.00_ </c:formatCode>
                <c:ptCount val="9"/>
                <c:pt idx="0">
                  <c:v>505.94</c:v>
                </c:pt>
                <c:pt idx="1">
                  <c:v>0</c:v>
                </c:pt>
                <c:pt idx="2">
                  <c:v>0</c:v>
                </c:pt>
                <c:pt idx="3">
                  <c:v>0</c:v>
                </c:pt>
                <c:pt idx="4">
                  <c:v>25.43</c:v>
                </c:pt>
                <c:pt idx="5">
                  <c:v>18.33</c:v>
                </c:pt>
                <c:pt idx="6">
                  <c:v>28.6</c:v>
                </c:pt>
                <c:pt idx="7">
                  <c:v>262</c:v>
                </c:pt>
                <c:pt idx="8">
                  <c:v>748</c:v>
                </c:pt>
              </c:numCache>
            </c:numRef>
          </c:val>
        </c:ser>
        <c:dLbls>
          <c:showLegendKey val="0"/>
          <c:showVal val="1"/>
          <c:showCatName val="0"/>
          <c:showSerName val="0"/>
          <c:showPercent val="0"/>
          <c:showBubbleSize val="0"/>
          <c:showLeaderLines val="1"/>
        </c:dLbls>
        <c:firstSliceAng val="0"/>
      </c:pieChart>
      <c:spPr>
        <a:noFill/>
        <a:ln w="25400">
          <a:noFill/>
        </a:ln>
        <a:effectLst/>
      </c:spPr>
    </c:plotArea>
    <c:legend>
      <c:legendPos val="t"/>
      <c:layout>
        <c:manualLayout>
          <c:xMode val="edge"/>
          <c:yMode val="edge"/>
          <c:x val="0.7625"/>
          <c:y val="0.0298611111111111"/>
          <c:w val="0.218815789473684"/>
          <c:h val="0.938888888888889"/>
        </c:manualLayout>
      </c:layout>
      <c:overlay val="0"/>
      <c:spPr>
        <a:noFill/>
        <a:ln>
          <a:noFill/>
        </a:ln>
        <a:effectLst/>
      </c:spPr>
      <c:txPr>
        <a:bodyPr rot="0" spcFirstLastPara="0" vertOverflow="ellipsis" vert="horz" wrap="square" anchor="ctr" anchorCtr="1" forceAA="0"/>
        <a:lstStyle/>
        <a:p>
          <a:pPr>
            <a:defRPr lang="zh-CN" sz="8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tx2">
        <a:lumMod val="50000"/>
      </a:schemeClr>
    </a:solidFill>
    <a:ln w="3175" cap="flat" cmpd="sng" algn="ctr">
      <a:solidFill>
        <a:srgbClr val="E6E6E6"/>
      </a:solidFill>
      <a:round/>
    </a:ln>
    <a:effectLst/>
  </c:spPr>
  <c:txPr>
    <a:bodyPr/>
    <a:lstStyle/>
    <a:p>
      <a:pPr>
        <a:defRPr lang="zh-CN">
          <a:solidFill>
            <a:schemeClr val="bg1">
              <a:lumMod val="65000"/>
            </a:schemeClr>
          </a:solidFill>
          <a:latin typeface="微软雅黑" panose="020B0503020204020204" charset="-122"/>
          <a:ea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rgbClr val="7894BA"/>
                </a:solidFill>
                <a:latin typeface="微软雅黑" panose="020B0503020204020204" charset="-122"/>
                <a:ea typeface="微软雅黑" panose="020B0503020204020204" charset="-122"/>
                <a:cs typeface="+mn-cs"/>
              </a:defRPr>
            </a:pPr>
            <a:r>
              <a:t>“三公”经费财政拨款支出结构</a:t>
            </a:r>
          </a:p>
        </c:rich>
      </c:tx>
      <c:layout>
        <c:manualLayout>
          <c:xMode val="edge"/>
          <c:yMode val="edge"/>
          <c:x val="0.169556828456998"/>
          <c:y val="0.0331849632491165"/>
        </c:manualLayout>
      </c:layout>
      <c:overlay val="0"/>
      <c:spPr>
        <a:noFill/>
        <a:ln>
          <a:noFill/>
        </a:ln>
        <a:effectLst/>
      </c:spPr>
    </c:title>
    <c:autoTitleDeleted val="0"/>
    <c:plotArea>
      <c:layout>
        <c:manualLayout>
          <c:layoutTarget val="inner"/>
          <c:xMode val="edge"/>
          <c:yMode val="edge"/>
          <c:x val="0.261241104968032"/>
          <c:y val="0.148783741622491"/>
          <c:w val="0.480118167712483"/>
          <c:h val="0.807482060369723"/>
        </c:manualLayout>
      </c:layout>
      <c:pieChart>
        <c:varyColors val="1"/>
        <c:ser>
          <c:idx val="0"/>
          <c:order val="0"/>
          <c:spPr>
            <a:noFill/>
            <a:ln w="3175">
              <a:solidFill>
                <a:schemeClr val="bg1"/>
              </a:solidFill>
            </a:ln>
            <a:effectLst/>
          </c:spPr>
          <c:explosion val="0"/>
          <c:dPt>
            <c:idx val="0"/>
            <c:bubble3D val="0"/>
            <c:spPr>
              <a:pattFill prst="ltDnDiag">
                <a:fgClr>
                  <a:schemeClr val="accent1"/>
                </a:fgClr>
                <a:bgClr>
                  <a:schemeClr val="tx2">
                    <a:lumMod val="50000"/>
                  </a:schemeClr>
                </a:bgClr>
              </a:pattFill>
              <a:ln w="3175">
                <a:solidFill>
                  <a:schemeClr val="accent1"/>
                </a:solidFill>
              </a:ln>
              <a:effectLst/>
            </c:spPr>
          </c:dPt>
          <c:dPt>
            <c:idx val="1"/>
            <c:bubble3D val="0"/>
            <c:spPr>
              <a:pattFill prst="ltDnDiag">
                <a:fgClr>
                  <a:schemeClr val="accent2"/>
                </a:fgClr>
                <a:bgClr>
                  <a:schemeClr val="tx2">
                    <a:lumMod val="50000"/>
                  </a:schemeClr>
                </a:bgClr>
              </a:pattFill>
              <a:ln w="3175">
                <a:solidFill>
                  <a:schemeClr val="accent2"/>
                </a:solidFill>
              </a:ln>
              <a:effectLst/>
            </c:spPr>
          </c:dPt>
          <c:dPt>
            <c:idx val="2"/>
            <c:bubble3D val="0"/>
            <c:spPr>
              <a:pattFill prst="dkDnDiag">
                <a:fgClr>
                  <a:srgbClr val="30C0B4">
                    <a:lumMod val="75000"/>
                  </a:srgbClr>
                </a:fgClr>
                <a:bgClr>
                  <a:srgbClr val="44546A">
                    <a:lumMod val="50000"/>
                  </a:srgbClr>
                </a:bgClr>
              </a:pattFill>
              <a:ln w="3175">
                <a:solidFill>
                  <a:schemeClr val="accent3"/>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1100" b="0" i="0" u="none" strike="noStrike" kern="1200" baseline="0">
                    <a:solidFill>
                      <a:schemeClr val="bg1"/>
                    </a:solidFill>
                    <a:latin typeface="微软雅黑" panose="020B0503020204020204" charset="-122"/>
                    <a:ea typeface="微软雅黑" panose="020B0503020204020204" charset="-122"/>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[工作簿1]Sheet1!$C$158:$C$160</c:f>
              <c:strCache>
                <c:ptCount val="3"/>
                <c:pt idx="0">
                  <c:v>因公出国（境）费支出</c:v>
                </c:pt>
                <c:pt idx="1">
                  <c:v>公务用车购置及运行维护费支出</c:v>
                </c:pt>
                <c:pt idx="2" c:formatCode="0.00_ ">
                  <c:v>公务接待费支出</c:v>
                </c:pt>
              </c:strCache>
            </c:strRef>
          </c:cat>
          <c:val>
            <c:numRef>
              <c:f>[工作簿1]Sheet1!$D$158:$D$160</c:f>
              <c:numCache>
                <c:formatCode>0.00_ </c:formatCode>
                <c:ptCount val="3"/>
                <c:pt idx="0">
                  <c:v>0</c:v>
                </c:pt>
                <c:pt idx="1">
                  <c:v>0</c:v>
                </c:pt>
                <c:pt idx="2">
                  <c:v>0.25</c:v>
                </c:pt>
              </c:numCache>
            </c:numRef>
          </c:val>
        </c:ser>
        <c:dLbls>
          <c:showLegendKey val="0"/>
          <c:showVal val="0"/>
          <c:showCatName val="0"/>
          <c:showSerName val="0"/>
          <c:showPercent val="0"/>
          <c:showBubbleSize val="0"/>
          <c:showLeaderLines val="1"/>
        </c:dLbls>
        <c:firstSliceAng val="0"/>
      </c:pieChart>
      <c:spPr>
        <a:noFill/>
        <a:ln w="25400">
          <a:noFill/>
        </a:ln>
        <a:effectLst/>
      </c:spPr>
    </c:plotArea>
    <c:legend>
      <c:legendPos val="t"/>
      <c:layout>
        <c:manualLayout>
          <c:xMode val="edge"/>
          <c:yMode val="edge"/>
          <c:x val="0.754605263157895"/>
          <c:y val="0.04375"/>
          <c:w val="0.218815789473684"/>
          <c:h val="0.409953703703704"/>
        </c:manualLayout>
      </c:layout>
      <c:overlay val="0"/>
      <c:spPr>
        <a:noFill/>
        <a:ln>
          <a:noFill/>
        </a:ln>
        <a:effectLst/>
      </c:spPr>
      <c:txPr>
        <a:bodyPr rot="0" spcFirstLastPara="0" vertOverflow="ellipsis" vert="horz" wrap="square" anchor="ctr" anchorCtr="1" forceAA="0"/>
        <a:lstStyle/>
        <a:p>
          <a:pPr>
            <a:defRPr lang="zh-CN" sz="800" b="0" i="0" u="none" strike="noStrike" kern="1200" baseline="0">
              <a:solidFill>
                <a:schemeClr val="bg1">
                  <a:lumMod val="65000"/>
                </a:schemeClr>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tx2">
        <a:lumMod val="50000"/>
      </a:schemeClr>
    </a:solidFill>
    <a:ln w="3175" cap="flat" cmpd="sng" algn="ctr">
      <a:solidFill>
        <a:srgbClr val="E6E6E6"/>
      </a:solidFill>
      <a:round/>
    </a:ln>
    <a:effectLst/>
  </c:spPr>
  <c:txPr>
    <a:bodyPr/>
    <a:lstStyle/>
    <a:p>
      <a:pPr>
        <a:defRPr lang="zh-CN">
          <a:solidFill>
            <a:schemeClr val="bg1">
              <a:lumMod val="65000"/>
            </a:schemeClr>
          </a:solidFill>
          <a:latin typeface="微软雅黑" panose="020B0503020204020204" charset="-122"/>
          <a:ea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彩色折纸">
    <a:dk1>
      <a:sysClr val="windowText" lastClr="000000"/>
    </a:dk1>
    <a:lt1>
      <a:sysClr val="window" lastClr="FFFFFF"/>
    </a:lt1>
    <a:dk2>
      <a:srgbClr val="44546A"/>
    </a:dk2>
    <a:lt2>
      <a:srgbClr val="E7E6E6"/>
    </a:lt2>
    <a:accent1>
      <a:srgbClr val="0080D9"/>
    </a:accent1>
    <a:accent2>
      <a:srgbClr val="03D1AC"/>
    </a:accent2>
    <a:accent3>
      <a:srgbClr val="FDC167"/>
    </a:accent3>
    <a:accent4>
      <a:srgbClr val="F66956"/>
    </a:accent4>
    <a:accent5>
      <a:srgbClr val="C644EA"/>
    </a:accent5>
    <a:accent6>
      <a:srgbClr val="955C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彩色折纸">
    <a:dk1>
      <a:sysClr val="windowText" lastClr="000000"/>
    </a:dk1>
    <a:lt1>
      <a:sysClr val="window" lastClr="FFFFFF"/>
    </a:lt1>
    <a:dk2>
      <a:srgbClr val="44546A"/>
    </a:dk2>
    <a:lt2>
      <a:srgbClr val="E7E6E6"/>
    </a:lt2>
    <a:accent1>
      <a:srgbClr val="0080D9"/>
    </a:accent1>
    <a:accent2>
      <a:srgbClr val="03D1AC"/>
    </a:accent2>
    <a:accent3>
      <a:srgbClr val="FDC167"/>
    </a:accent3>
    <a:accent4>
      <a:srgbClr val="F66956"/>
    </a:accent4>
    <a:accent5>
      <a:srgbClr val="C644EA"/>
    </a:accent5>
    <a:accent6>
      <a:srgbClr val="955C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自定义 226">
    <a:dk1>
      <a:srgbClr val="000000"/>
    </a:dk1>
    <a:lt1>
      <a:srgbClr val="FFFFFF"/>
    </a:lt1>
    <a:dk2>
      <a:srgbClr val="0F1423"/>
    </a:dk2>
    <a:lt2>
      <a:srgbClr val="FFFFFF"/>
    </a:lt2>
    <a:accent1>
      <a:srgbClr val="FF731F"/>
    </a:accent1>
    <a:accent2>
      <a:srgbClr val="FF8C05"/>
    </a:accent2>
    <a:accent3>
      <a:srgbClr val="FFB423"/>
    </a:accent3>
    <a:accent4>
      <a:srgbClr val="3DC6FA"/>
    </a:accent4>
    <a:accent5>
      <a:srgbClr val="01AEFF"/>
    </a:accent5>
    <a:accent6>
      <a:srgbClr val="2D77FF"/>
    </a:accent6>
    <a:hlink>
      <a:srgbClr val="0563C1"/>
    </a:hlink>
    <a:folHlink>
      <a:srgbClr val="954D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彩色折纸">
    <a:dk1>
      <a:sysClr val="windowText" lastClr="000000"/>
    </a:dk1>
    <a:lt1>
      <a:sysClr val="window" lastClr="FFFFFF"/>
    </a:lt1>
    <a:dk2>
      <a:srgbClr val="44546A"/>
    </a:dk2>
    <a:lt2>
      <a:srgbClr val="E7E6E6"/>
    </a:lt2>
    <a:accent1>
      <a:srgbClr val="0080D9"/>
    </a:accent1>
    <a:accent2>
      <a:srgbClr val="03D1AC"/>
    </a:accent2>
    <a:accent3>
      <a:srgbClr val="FDC167"/>
    </a:accent3>
    <a:accent4>
      <a:srgbClr val="F66956"/>
    </a:accent4>
    <a:accent5>
      <a:srgbClr val="C644EA"/>
    </a:accent5>
    <a:accent6>
      <a:srgbClr val="955C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彩色折纸">
    <a:dk1>
      <a:sysClr val="windowText" lastClr="000000"/>
    </a:dk1>
    <a:lt1>
      <a:sysClr val="window" lastClr="FFFFFF"/>
    </a:lt1>
    <a:dk2>
      <a:srgbClr val="44546A"/>
    </a:dk2>
    <a:lt2>
      <a:srgbClr val="E7E6E6"/>
    </a:lt2>
    <a:accent1>
      <a:srgbClr val="0080D9"/>
    </a:accent1>
    <a:accent2>
      <a:srgbClr val="03D1AC"/>
    </a:accent2>
    <a:accent3>
      <a:srgbClr val="FDC167"/>
    </a:accent3>
    <a:accent4>
      <a:srgbClr val="F66956"/>
    </a:accent4>
    <a:accent5>
      <a:srgbClr val="C644EA"/>
    </a:accent5>
    <a:accent6>
      <a:srgbClr val="955CFF"/>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36</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2023-11-07T01:21:00Z</cp:lastPrinted>
  <dcterms:modified xsi:type="dcterms:W3CDTF">2023-11-25T11:02:41Z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FCD1AFA8F7844266A54BB8D1EC01DDCD_12</vt:lpwstr>
  </property>
</Properties>
</file>