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widowControl/>
        <w:wordWrap w:val="0"/>
        <w:spacing w:line="480" w:lineRule="atLeast"/>
        <w:jc w:val="center"/>
        <w:rPr>
          <w:rFonts w:hint="eastAsia" w:ascii="方正小标宋_GBK" w:hAnsi="方正小标宋_GBK" w:eastAsia="方正小标宋_GBK" w:cs="方正小标宋_GBK"/>
          <w:b/>
          <w:bCs/>
          <w:color w:val="000000" w:themeColor="text1"/>
          <w:kern w:val="0"/>
          <w:sz w:val="36"/>
          <w:szCs w:val="36"/>
          <w:lang w:val="en-US" w:eastAsia="zh-CN"/>
          <w14:textFill>
            <w14:solidFill>
              <w14:schemeClr w14:val="tx1"/>
            </w14:solidFill>
          </w14:textFill>
        </w:rPr>
      </w:pPr>
    </w:p>
    <w:p>
      <w:pPr>
        <w:pStyle w:val="2"/>
        <w:rPr>
          <w:rFonts w:hint="eastAsia" w:ascii="方正小标宋_GBK" w:hAnsi="方正小标宋_GBK" w:eastAsia="方正小标宋_GBK" w:cs="方正小标宋_GBK"/>
          <w:b/>
          <w:bCs/>
          <w:color w:val="000000" w:themeColor="text1"/>
          <w:kern w:val="0"/>
          <w:sz w:val="36"/>
          <w:szCs w:val="36"/>
          <w:lang w:val="en-US" w:eastAsia="zh-CN"/>
          <w14:textFill>
            <w14:solidFill>
              <w14:schemeClr w14:val="tx1"/>
            </w14:solidFill>
          </w14:textFill>
        </w:rPr>
      </w:pPr>
    </w:p>
    <w:p>
      <w:pPr>
        <w:pStyle w:val="2"/>
        <w:rPr>
          <w:rFonts w:hint="eastAsia" w:ascii="方正小标宋_GBK" w:hAnsi="方正小标宋_GBK" w:eastAsia="方正小标宋_GBK" w:cs="方正小标宋_GBK"/>
          <w:b/>
          <w:bCs/>
          <w:color w:val="000000" w:themeColor="text1"/>
          <w:kern w:val="0"/>
          <w:sz w:val="36"/>
          <w:szCs w:val="36"/>
          <w:lang w:val="en-US" w:eastAsia="zh-CN"/>
          <w14:textFill>
            <w14:solidFill>
              <w14:schemeClr w14:val="tx1"/>
            </w14:solidFill>
          </w14:textFill>
        </w:rPr>
      </w:pPr>
    </w:p>
    <w:p>
      <w:pPr>
        <w:pStyle w:val="2"/>
        <w:rPr>
          <w:rFonts w:hint="eastAsia" w:ascii="方正小标宋_GBK" w:hAnsi="方正小标宋_GBK" w:eastAsia="方正小标宋_GBK" w:cs="方正小标宋_GBK"/>
          <w:b/>
          <w:bCs/>
          <w:color w:val="000000" w:themeColor="text1"/>
          <w:kern w:val="0"/>
          <w:sz w:val="36"/>
          <w:szCs w:val="36"/>
          <w:lang w:val="en-US" w:eastAsia="zh-CN"/>
          <w14:textFill>
            <w14:solidFill>
              <w14:schemeClr w14:val="tx1"/>
            </w14:solidFill>
          </w14:textFill>
        </w:rPr>
      </w:pPr>
    </w:p>
    <w:p>
      <w:pPr>
        <w:widowControl/>
        <w:wordWrap w:val="0"/>
        <w:spacing w:line="480" w:lineRule="atLeast"/>
        <w:jc w:val="center"/>
        <w:rPr>
          <w:rFonts w:hint="eastAsia" w:ascii="方正小标宋_GBK" w:hAnsi="方正小标宋_GBK" w:eastAsia="方正小标宋_GBK" w:cs="方正小标宋_GBK"/>
          <w:b/>
          <w:bCs/>
          <w:color w:val="000000" w:themeColor="text1"/>
          <w:kern w:val="0"/>
          <w:sz w:val="52"/>
          <w:szCs w:val="52"/>
          <w:lang w:val="en-US" w:eastAsia="zh-CN"/>
          <w14:textFill>
            <w14:solidFill>
              <w14:schemeClr w14:val="tx1"/>
            </w14:solidFill>
          </w14:textFill>
        </w:rPr>
      </w:pPr>
      <w:r>
        <w:rPr>
          <w:rFonts w:hint="eastAsia" w:ascii="方正小标宋_GBK" w:hAnsi="方正小标宋_GBK" w:eastAsia="方正小标宋_GBK" w:cs="方正小标宋_GBK"/>
          <w:b/>
          <w:bCs/>
          <w:color w:val="000000" w:themeColor="text1"/>
          <w:kern w:val="0"/>
          <w:sz w:val="52"/>
          <w:szCs w:val="52"/>
          <w:lang w:val="en-US" w:eastAsia="zh-CN"/>
          <w14:textFill>
            <w14:solidFill>
              <w14:schemeClr w14:val="tx1"/>
            </w14:solidFill>
          </w14:textFill>
        </w:rPr>
        <w:t>巴中市巴州区人民政府办公室</w:t>
      </w:r>
    </w:p>
    <w:p>
      <w:pPr>
        <w:widowControl/>
        <w:wordWrap w:val="0"/>
        <w:spacing w:line="480" w:lineRule="atLeast"/>
        <w:jc w:val="center"/>
        <w:rPr>
          <w:rFonts w:hint="eastAsia" w:ascii="方正小标宋_GBK" w:hAnsi="方正小标宋_GBK" w:eastAsia="方正小标宋_GBK" w:cs="方正小标宋_GBK"/>
          <w:b/>
          <w:bCs/>
          <w:color w:val="000000" w:themeColor="text1"/>
          <w:kern w:val="0"/>
          <w:sz w:val="52"/>
          <w:szCs w:val="52"/>
          <w:lang w:val="en-US" w:eastAsia="zh-CN"/>
          <w14:textFill>
            <w14:solidFill>
              <w14:schemeClr w14:val="tx1"/>
            </w14:solidFill>
          </w14:textFill>
        </w:rPr>
      </w:pPr>
      <w:r>
        <w:rPr>
          <w:rFonts w:hint="eastAsia" w:ascii="方正小标宋_GBK" w:hAnsi="方正小标宋_GBK" w:eastAsia="方正小标宋_GBK" w:cs="方正小标宋_GBK"/>
          <w:b/>
          <w:bCs/>
          <w:color w:val="000000" w:themeColor="text1"/>
          <w:kern w:val="0"/>
          <w:sz w:val="52"/>
          <w:szCs w:val="52"/>
          <w:lang w:val="en-US" w:eastAsia="zh-CN"/>
          <w14:textFill>
            <w14:solidFill>
              <w14:schemeClr w14:val="tx1"/>
            </w14:solidFill>
          </w14:textFill>
        </w:rPr>
        <w:t>2023年部门预算编制说明</w:t>
      </w:r>
    </w:p>
    <w:p>
      <w:pPr>
        <w:widowControl/>
        <w:wordWrap w:val="0"/>
        <w:spacing w:line="480" w:lineRule="atLeast"/>
        <w:jc w:val="center"/>
        <w:rPr>
          <w:rFonts w:hint="eastAsia" w:ascii="方正小标宋_GBK" w:hAnsi="方正小标宋_GBK" w:eastAsia="方正小标宋_GBK" w:cs="方正小标宋_GBK"/>
          <w:b/>
          <w:bCs/>
          <w:color w:val="000000" w:themeColor="text1"/>
          <w:kern w:val="0"/>
          <w:sz w:val="36"/>
          <w:szCs w:val="36"/>
          <w:lang w:val="en-US" w:eastAsia="zh-CN"/>
          <w14:textFill>
            <w14:solidFill>
              <w14:schemeClr w14:val="tx1"/>
            </w14:solidFill>
          </w14:textFill>
        </w:rPr>
      </w:pPr>
    </w:p>
    <w:p/>
    <w:p/>
    <w:p/>
    <w:p>
      <w:pPr>
        <w:pStyle w:val="2"/>
      </w:pPr>
    </w:p>
    <w:p>
      <w:pPr>
        <w:pStyle w:val="2"/>
      </w:pPr>
    </w:p>
    <w:p>
      <w:pPr>
        <w:pStyle w:val="2"/>
      </w:pPr>
    </w:p>
    <w:p>
      <w:pPr>
        <w:pStyle w:val="2"/>
      </w:pPr>
    </w:p>
    <w:p>
      <w:pPr>
        <w:pStyle w:val="2"/>
      </w:pPr>
    </w:p>
    <w:p>
      <w:pPr>
        <w:pStyle w:val="2"/>
        <w:sectPr>
          <w:pgSz w:w="11906" w:h="16838"/>
          <w:pgMar w:top="2098" w:right="1474" w:bottom="1984" w:left="1587" w:header="851" w:footer="992" w:gutter="0"/>
          <w:pgNumType w:start="1"/>
          <w:cols w:space="425" w:num="1"/>
          <w:docGrid w:type="lines" w:linePitch="312" w:charSpace="0"/>
        </w:sectPr>
      </w:pPr>
    </w:p>
    <w:p>
      <w:pPr>
        <w:pStyle w:val="3"/>
        <w:spacing w:line="700" w:lineRule="exact"/>
        <w:jc w:val="center"/>
        <w:rPr>
          <w:rFonts w:ascii="方正小标宋简体" w:eastAsia="方正小标宋简体"/>
          <w:color w:val="000000" w:themeColor="text1"/>
          <w:kern w:val="0"/>
          <w14:textFill>
            <w14:solidFill>
              <w14:schemeClr w14:val="tx1"/>
            </w14:solidFill>
          </w14:textFill>
        </w:rPr>
      </w:pPr>
      <w:r>
        <w:rPr>
          <w:rFonts w:hint="eastAsia" w:ascii="方正小标宋简体" w:eastAsia="方正小标宋简体"/>
          <w:color w:val="000000" w:themeColor="text1"/>
          <w:kern w:val="0"/>
          <w14:textFill>
            <w14:solidFill>
              <w14:schemeClr w14:val="tx1"/>
            </w14:solidFill>
          </w14:textFill>
        </w:rPr>
        <w:t>目  录</w:t>
      </w:r>
    </w:p>
    <w:p>
      <w:pPr>
        <w:jc w:val="center"/>
        <w:rPr>
          <w:sz w:val="44"/>
          <w:szCs w:val="44"/>
        </w:rPr>
      </w:pPr>
    </w:p>
    <w:p>
      <w:pPr>
        <w:rPr>
          <w:rFonts w:hint="eastAsia" w:ascii="仿宋" w:hAnsi="仿宋" w:eastAsia="仿宋" w:cs="仿宋"/>
          <w:sz w:val="32"/>
          <w:szCs w:val="32"/>
        </w:rPr>
      </w:pPr>
      <w:r>
        <w:rPr>
          <w:rFonts w:hint="eastAsia" w:ascii="仿宋" w:hAnsi="仿宋" w:eastAsia="仿宋" w:cs="仿宋"/>
          <w:sz w:val="32"/>
          <w:szCs w:val="32"/>
        </w:rPr>
        <w:t>第一部分 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年部门预算编制说明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一、基本职能及主要工作</w:t>
      </w:r>
    </w:p>
    <w:p>
      <w:pPr>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二、部门预算单位构成</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三、收支预算情况说明</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四、财政拨款收支预算情况说明</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五、一般公共预算当年拨款情况说明</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六、一般公共预算基本支出情况说明</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七、“三公”经费财政拨款预算安排情况说明</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八、政府性基金预算支出情况说明</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九、其他重要事项的情况说明</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十、名词解释</w:t>
      </w:r>
    </w:p>
    <w:p>
      <w:pPr>
        <w:rPr>
          <w:rFonts w:hint="eastAsia" w:ascii="仿宋" w:hAnsi="仿宋" w:eastAsia="仿宋" w:cs="仿宋"/>
          <w:sz w:val="32"/>
          <w:szCs w:val="32"/>
        </w:rPr>
      </w:pPr>
      <w:r>
        <w:rPr>
          <w:rFonts w:hint="eastAsia" w:ascii="仿宋" w:hAnsi="仿宋" w:eastAsia="仿宋" w:cs="仿宋"/>
          <w:sz w:val="32"/>
          <w:szCs w:val="32"/>
        </w:rPr>
        <w:t>第二部分 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年部门预算报表(附表)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表1.部门收支总表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表1-1.部门收入总表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表1-2.部门支出总表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表2.财政拨款收支预算总表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表3.一般公共预算支出预算表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表3-1.一般公共预算基本支出预算表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表3-2.一般公共预算项目支出预算表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表3-3.一般公共预算“三公”经费支出预算表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表4.政府性基金支出预算表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表4-1.政府性基金预算“三公”经费支出预算表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表5.国有资本经营预算支出预算表</w:t>
      </w:r>
    </w:p>
    <w:p>
      <w:pPr>
        <w:rPr>
          <w:rFonts w:hint="eastAsia" w:ascii="仿宋" w:hAnsi="仿宋" w:eastAsia="仿宋" w:cs="仿宋"/>
          <w:sz w:val="32"/>
          <w:szCs w:val="32"/>
        </w:rPr>
      </w:pPr>
      <w:r>
        <w:rPr>
          <w:rFonts w:hint="eastAsia" w:ascii="仿宋" w:hAnsi="仿宋" w:eastAsia="仿宋" w:cs="仿宋"/>
          <w:sz w:val="32"/>
          <w:szCs w:val="32"/>
        </w:rPr>
        <w:t>第三部分 部门预算项目支出绩效目标（附表）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表1.部门整体支出绩效目标表</w:t>
      </w:r>
    </w:p>
    <w:p>
      <w:pPr>
        <w:ind w:firstLine="57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表2.部门预算项目支出绩效目标表</w:t>
      </w:r>
    </w:p>
    <w:p>
      <w:pPr>
        <w:rPr>
          <w:rFonts w:hint="eastAsia" w:ascii="仿宋" w:hAnsi="仿宋" w:eastAsia="仿宋" w:cs="仿宋"/>
          <w:sz w:val="32"/>
          <w:szCs w:val="32"/>
        </w:rPr>
      </w:pPr>
    </w:p>
    <w:p/>
    <w:p/>
    <w:p/>
    <w:p/>
    <w:p/>
    <w:p/>
    <w:p/>
    <w:p/>
    <w:p/>
    <w:p/>
    <w:p/>
    <w:p>
      <w:pPr>
        <w:ind w:firstLine="643" w:firstLineChars="200"/>
        <w:rPr>
          <w:rFonts w:hint="eastAsia" w:ascii="仿宋" w:hAnsi="仿宋" w:eastAsia="仿宋" w:cs="仿宋"/>
          <w:b/>
          <w:bCs/>
          <w:sz w:val="32"/>
          <w:szCs w:val="32"/>
          <w:lang w:val="en-US" w:eastAsia="zh-CN"/>
        </w:rPr>
      </w:pPr>
    </w:p>
    <w:p>
      <w:pPr>
        <w:ind w:firstLine="643" w:firstLineChars="200"/>
        <w:rPr>
          <w:rFonts w:hint="eastAsia" w:ascii="仿宋" w:hAnsi="仿宋" w:eastAsia="仿宋" w:cs="仿宋"/>
          <w:b/>
          <w:bCs/>
          <w:sz w:val="32"/>
          <w:szCs w:val="32"/>
          <w:lang w:val="en-US" w:eastAsia="zh-CN"/>
        </w:rPr>
      </w:pPr>
    </w:p>
    <w:p>
      <w:pPr>
        <w:ind w:firstLine="643" w:firstLineChars="200"/>
        <w:rPr>
          <w:rFonts w:hint="eastAsia" w:ascii="仿宋" w:hAnsi="仿宋" w:eastAsia="仿宋" w:cs="仿宋"/>
          <w:b/>
          <w:bCs/>
          <w:sz w:val="32"/>
          <w:szCs w:val="32"/>
          <w:lang w:val="en-US" w:eastAsia="zh-CN"/>
        </w:rPr>
      </w:pPr>
    </w:p>
    <w:p>
      <w:pPr>
        <w:ind w:firstLine="643" w:firstLineChars="200"/>
        <w:rPr>
          <w:rFonts w:hint="eastAsia" w:ascii="仿宋" w:hAnsi="仿宋" w:eastAsia="仿宋" w:cs="仿宋"/>
          <w:b/>
          <w:bCs/>
          <w:sz w:val="32"/>
          <w:szCs w:val="32"/>
          <w:lang w:val="en-US" w:eastAsia="zh-CN"/>
        </w:rPr>
      </w:pPr>
    </w:p>
    <w:p>
      <w:pPr>
        <w:ind w:firstLine="643" w:firstLineChars="200"/>
        <w:rPr>
          <w:rFonts w:hint="eastAsia" w:ascii="仿宋" w:hAnsi="仿宋" w:eastAsia="仿宋" w:cs="仿宋"/>
          <w:b/>
          <w:bCs/>
          <w:sz w:val="32"/>
          <w:szCs w:val="32"/>
          <w:lang w:val="en-US" w:eastAsia="zh-CN"/>
        </w:rPr>
      </w:pPr>
    </w:p>
    <w:p>
      <w:pPr>
        <w:ind w:firstLine="720" w:firstLineChars="200"/>
        <w:jc w:val="center"/>
        <w:rPr>
          <w:rFonts w:hint="eastAsia" w:ascii="仿宋" w:hAnsi="仿宋" w:eastAsia="仿宋" w:cs="仿宋"/>
          <w:b/>
          <w:bCs/>
          <w:sz w:val="32"/>
          <w:szCs w:val="32"/>
          <w:lang w:val="en-US" w:eastAsia="zh-CN"/>
        </w:rPr>
      </w:pPr>
      <w:r>
        <w:rPr>
          <w:rFonts w:hint="eastAsia" w:ascii="方正小标宋简体" w:hAnsi="微软雅黑" w:eastAsia="方正小标宋简体" w:cs="宋体"/>
          <w:color w:val="000000" w:themeColor="text1"/>
          <w:kern w:val="36"/>
          <w:sz w:val="36"/>
          <w:szCs w:val="36"/>
          <w14:textFill>
            <w14:solidFill>
              <w14:schemeClr w14:val="tx1"/>
            </w14:solidFill>
          </w14:textFill>
        </w:rPr>
        <w:t>第一部分  202</w:t>
      </w:r>
      <w:r>
        <w:rPr>
          <w:rFonts w:hint="eastAsia" w:ascii="方正小标宋简体" w:hAnsi="微软雅黑" w:eastAsia="方正小标宋简体" w:cs="宋体"/>
          <w:color w:val="000000" w:themeColor="text1"/>
          <w:kern w:val="36"/>
          <w:sz w:val="36"/>
          <w:szCs w:val="36"/>
          <w:lang w:val="en-US" w:eastAsia="zh-CN"/>
          <w14:textFill>
            <w14:solidFill>
              <w14:schemeClr w14:val="tx1"/>
            </w14:solidFill>
          </w14:textFill>
        </w:rPr>
        <w:t>3</w:t>
      </w:r>
      <w:r>
        <w:rPr>
          <w:rFonts w:hint="eastAsia" w:ascii="方正小标宋简体" w:hAnsi="微软雅黑" w:eastAsia="方正小标宋简体" w:cs="宋体"/>
          <w:color w:val="000000" w:themeColor="text1"/>
          <w:kern w:val="36"/>
          <w:sz w:val="36"/>
          <w:szCs w:val="36"/>
          <w14:textFill>
            <w14:solidFill>
              <w14:schemeClr w14:val="tx1"/>
            </w14:solidFill>
          </w14:textFill>
        </w:rPr>
        <w:t>年部门预算编制说明</w:t>
      </w:r>
    </w:p>
    <w:p>
      <w:pPr>
        <w:ind w:firstLine="643" w:firstLineChars="200"/>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一、基本职能及主要工作</w:t>
      </w:r>
    </w:p>
    <w:p>
      <w:pPr>
        <w:ind w:firstLine="643" w:firstLineChars="200"/>
        <w:rPr>
          <w:rFonts w:hint="eastAsia" w:ascii="仿宋" w:hAnsi="仿宋" w:eastAsia="仿宋" w:cs="仿宋"/>
          <w:b/>
          <w:bCs/>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（一）政府办职能简介</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1.负责区政府会议的会务工作，协助区政府领导组织对会议决定事项的实施。</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2.协助区政府领导组织起草或审核以区政府、区政府办公室名义发布的公文。</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3.负责办理人大代表议案、批评、建议、意见和政协委员提案。</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4.对各乡镇人民政府、城区街道办事处、区政府各部门向区政府请示的事项，提出审核处理意见，报区政府领导审批。</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5.根据区政府领导的安排或工作需要，协调政府各部门间的工作，对有争议的问题提出处理意见，报区政府领导决定。</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6.督促检查各乡镇人民政府、城区街道办事处，区政府各部门对区政府公文、会议决定事项及区政府领导交办工作的执行落实情况，及时向区政府领导报告。</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7.协助区政府领导处理需由区政府直接处理的突发事件和重大事故。</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8.处理群众来信，接待群众来访，及时向区政府领导报告来信来访及投诉反映的重要问题和提出的重要建议，办理区政府领导交办的有关信访事项。</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9.围绕全区经济和社会发展战略以及区委、区政府的重大决策，开展调查研究，及时、准确地反映情况，提出建议。</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10.负责区政府的值班和安全保卫工作，及时向区政府领导报告重要情况，做好行政事务、后勤保障等工作，为区政府领导服好务。</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11.指导各乡镇人民政府、城区街道办事处和区政府各部门办公室工作。负责区政府机关、办公室及直属事业单位的党风廉政建设和精神文明建设。</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12.负责全区金融业发展规划实施、金融秩序维护、改革发展等方面的统筹、协调工作。</w:t>
      </w:r>
    </w:p>
    <w:p>
      <w:pPr>
        <w:ind w:firstLine="640" w:firstLineChars="200"/>
        <w:rPr>
          <w:rFonts w:hint="eastAsia" w:ascii="仿宋" w:hAnsi="仿宋" w:eastAsia="仿宋" w:cs="仿宋"/>
          <w:sz w:val="32"/>
          <w:szCs w:val="32"/>
          <w:lang w:val="en-US" w:eastAsia="zh-CN"/>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13.承办区委、区政府交办的其它事务。</w:t>
      </w:r>
    </w:p>
    <w:p>
      <w:pPr>
        <w:ind w:firstLine="643" w:firstLineChars="200"/>
        <w:rPr>
          <w:rFonts w:hint="eastAsia" w:ascii="仿宋_GB2312" w:hAnsi="宋体" w:eastAsia="仿宋_GB2312" w:cs="宋体"/>
          <w:b/>
          <w:bCs/>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（二）政府办2023年重点工作</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紧紧围绕区委区政府重大决策部署、重点工作目标，加强基层调研，增强督查力度，强化统筹协调，提升服务质量，为领导提供更加科学、更为准确的决策参考。抓好政府领导批示事项、区政府年度重点工作等方面督促检查，促进相关事项落地落实，统筹组织好政府系统各类重要会议和活动，促进办公室日常工作高效运转。</w:t>
      </w:r>
    </w:p>
    <w:p>
      <w:pPr>
        <w:ind w:firstLine="643" w:firstLineChars="200"/>
        <w:rPr>
          <w:rFonts w:hint="eastAsia" w:ascii="仿宋" w:hAnsi="仿宋" w:eastAsia="仿宋" w:cs="仿宋"/>
          <w:b/>
          <w:bCs/>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二、部门预算单位构成</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本部门属一级预算单位，系财政全额拨款的行政单位，其中代管了电子政务外网和政务信息服务中心，火车站广场服务中心、民生办、金融服务中心等多个职能办公室。代管单位属非独立预算单位。</w:t>
      </w:r>
    </w:p>
    <w:p>
      <w:pPr>
        <w:ind w:firstLine="643" w:firstLineChars="200"/>
        <w:rPr>
          <w:rFonts w:hint="eastAsia" w:ascii="仿宋" w:hAnsi="仿宋" w:eastAsia="仿宋" w:cs="仿宋"/>
          <w:b/>
          <w:bCs/>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三、收支预算情况说明</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按照综合预算的原则，区府办所有收入和支出均纳入部门预算管理。收入包括：一般公共预算拨款收入；支出包括：一般公共服务支出、社会保障和就业支出、卫生健康支出、住房保障支出。区府办2023年收支总预算1584.78万元。</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（一）收入预算情况</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区府办2023年收入预算1584.78万元，无上年结转；一般公共预算拨款收入1584.78万元，占100%。</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（二）支出预算情况</w:t>
      </w:r>
    </w:p>
    <w:p>
      <w:pPr>
        <w:ind w:firstLine="640" w:firstLineChars="200"/>
        <w:rPr>
          <w:rFonts w:hint="eastAsia" w:ascii="仿宋" w:hAnsi="仿宋" w:eastAsia="仿宋" w:cs="仿宋"/>
          <w:sz w:val="32"/>
          <w:szCs w:val="32"/>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区府办2023年支出预算1584.78万元，其中：基本支出1174.78万元，占74.13%；项目支出410万元，占25.87%。</w:t>
      </w:r>
    </w:p>
    <w:p>
      <w:pPr>
        <w:ind w:firstLine="643" w:firstLineChars="200"/>
        <w:rPr>
          <w:rFonts w:hint="eastAsia" w:ascii="仿宋" w:hAnsi="仿宋" w:eastAsia="仿宋" w:cs="仿宋"/>
          <w:b/>
          <w:bCs/>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四、财政拨款收支预算情况说明</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区府办2023年财政拨款收支总预算1584.78万元。收入包括：本年一般公共预算拨款收入1584.78万元；支出包括：一般公共服务支出1357.45万元、社会保障和就业支出97.27万元、卫生健康支出51.29万元、住房保障支出78.77万元。</w:t>
      </w:r>
    </w:p>
    <w:p>
      <w:pPr>
        <w:ind w:firstLine="643" w:firstLineChars="200"/>
        <w:rPr>
          <w:rFonts w:hint="eastAsia" w:ascii="仿宋" w:hAnsi="仿宋" w:eastAsia="仿宋" w:cs="仿宋"/>
          <w:b/>
          <w:bCs/>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五、一般公共预算当年拨款情况说明</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（一）一般公共预算当年拨款规模变化情况</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区府办2023年一般公共预算当年拨款1584.78万元，比2022年预算数增加了47.79万元。主要是基本支出增加，其原因职工工资基数较上年增加，同时五险一金缴费增加。</w:t>
      </w:r>
    </w:p>
    <w:p>
      <w:pPr>
        <w:ind w:firstLine="640" w:firstLineChars="200"/>
        <w:rPr>
          <w:rFonts w:hint="eastAsia" w:ascii="仿宋" w:hAnsi="仿宋" w:eastAsia="仿宋" w:cs="仿宋"/>
          <w:sz w:val="32"/>
          <w:szCs w:val="32"/>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（二）一般公共预算当年拨款结构情况</w:t>
      </w:r>
    </w:p>
    <w:p>
      <w:pPr>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行政运行支出947.44万元，占59.78%；一般行政管事务支出410万元，占25.87%；机关事业单位基本养老保险缴费支出97.27万元，占6.14%：行政单位医疗支出42.68万元，2.69占%；公务员医疗补助支出8.62万元，占0.55%，住房公积金支出78.77万元，占4.97%。</w:t>
      </w:r>
    </w:p>
    <w:p>
      <w:pPr>
        <w:ind w:firstLine="640" w:firstLineChars="200"/>
        <w:rPr>
          <w:rFonts w:hint="eastAsia" w:ascii="仿宋" w:hAnsi="仿宋" w:eastAsia="仿宋" w:cs="仿宋"/>
          <w:sz w:val="32"/>
          <w:szCs w:val="32"/>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（三）一般公共预算当年拨款具体使用情况</w:t>
      </w:r>
    </w:p>
    <w:p>
      <w:pPr>
        <w:ind w:firstLine="643"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1.一般公共服务支出（类）政府办公厅（室）及相关机构事务（款）行政运行（项）: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2023年预算数为947.44万元，主要用于：机关及所属事业单位正常运转的基本支出，包括基本工资、津贴补贴等人员经费以及办公费、印刷费、水电费等日常公用经费。</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2.一般公共服务支出（类）政府办公厅（室）及相关机构事务（款）一般行政管事务支出（项）: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2023年预算数为410万元，主要用于：机关及所属事业单位开展政务服务、火车站广场管理服务、全区金融服务、政务调研、应急处突、政务信息化建设等。</w:t>
      </w:r>
    </w:p>
    <w:p>
      <w:pPr>
        <w:ind w:firstLine="643"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3.社会保障和就业（类）行政事业单位养老支出（款）机关事业单位基本养老保险缴费支出（项）: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2023年预算数为97.27万元，主要用于：实施养老保险制度后，部门按规定由单位缴纳的基本养老保险费支出。</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4.卫生健康支出（类）行政事业单位医疗（款）行政单位医疗（项）: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2023年预算数为42.68万元，主要用于：机关及参公管理事业单位基本医疗保险缴费支出。</w:t>
      </w:r>
    </w:p>
    <w:p>
      <w:pPr>
        <w:ind w:firstLine="643"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5.卫生健康支出（类）行政事业单位医疗（款）公务员医疗补助（项）: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2023年预算数为8.62万元，主要用于：部门的公务员医疗补助支出。</w:t>
      </w:r>
    </w:p>
    <w:p>
      <w:pPr>
        <w:ind w:firstLine="643"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6.住房保障（类）住房改革支出（款）住房公积金（项）: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2023年预算数为78.77万元，主要用于：部门按人力资源和社会保障部、财政部规定的基本工资和津贴补贴以及规定比例为职工缴纳的住房公积金支出。</w:t>
      </w:r>
    </w:p>
    <w:p>
      <w:pPr>
        <w:ind w:firstLine="643" w:firstLineChars="200"/>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六、一般公共预算基本支出情况说明</w:t>
      </w:r>
    </w:p>
    <w:p>
      <w:pPr>
        <w:widowControl/>
        <w:wordWrap w:val="0"/>
        <w:spacing w:line="48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区府办2023年一般公共预算基本支出1174.78万元，其中：</w:t>
      </w:r>
    </w:p>
    <w:p>
      <w:pPr>
        <w:widowControl/>
        <w:wordWrap w:val="0"/>
        <w:spacing w:line="48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人员经费928.59万元，主要包括：基本工资、津贴补贴、奖金、社会保险缴费、绩效工资、机关事业单位基本养老保险缴费、退休费、住房公积金、其他对个人和家庭的补助支出。</w:t>
      </w:r>
    </w:p>
    <w:p>
      <w:pPr>
        <w:widowControl/>
        <w:wordWrap w:val="0"/>
        <w:spacing w:line="48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公用经费246.18万元，主要包括：办公费、印刷费、咨询费、手续费、水费、电费、邮电费、物业管理费、差旅费、维修（护）费、租赁费、会议费、培训费、公务接待费、劳务费、工会经费、福利费、公务用车运行维护费、其他交通费、其他商品和服务支出。</w:t>
      </w:r>
    </w:p>
    <w:p>
      <w:pPr>
        <w:ind w:firstLine="643" w:firstLineChars="200"/>
        <w:rPr>
          <w:rFonts w:hint="eastAsia" w:ascii="仿宋_GB2312" w:hAnsi="宋体" w:eastAsia="仿宋_GB2312" w:cs="宋体"/>
          <w:b/>
          <w:bCs/>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七、“三公”经费财政拨款预算安排情况说明</w:t>
      </w:r>
    </w:p>
    <w:p>
      <w:pPr>
        <w:ind w:firstLine="640" w:firstLineChars="200"/>
        <w:rPr>
          <w:rFonts w:hint="eastAsia" w:ascii="仿宋" w:hAnsi="仿宋" w:eastAsia="仿宋" w:cs="仿宋"/>
          <w:sz w:val="32"/>
          <w:szCs w:val="32"/>
          <w:lang w:val="en-US" w:eastAsia="zh-CN"/>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区府办2023年“三公”经费财政拨款预算数2.77万元，其中：因公出国（境）经费0万元，公务接待费1.27万元，公务用车购置及运行维护费1.5万元。</w:t>
      </w:r>
    </w:p>
    <w:p>
      <w:pPr>
        <w:ind w:firstLine="640" w:firstLineChars="200"/>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（公务接待一般公共预算财政拨款安排1.27万元，部门综合预算安排3万元；公务用车运行维护费一般公共预算财政拨款安排1.5万元，部门综合预算安排5万元；未安排公务用车购置费。）</w:t>
      </w:r>
    </w:p>
    <w:p>
      <w:pPr>
        <w:widowControl/>
        <w:wordWrap w:val="0"/>
        <w:spacing w:line="48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（一）因公出国（境）经费当年未预算经费，较2022年度预算无增减变化，主要原因是没有因公出国（境）计划。</w:t>
      </w:r>
    </w:p>
    <w:p>
      <w:pPr>
        <w:widowControl/>
        <w:wordWrap w:val="0"/>
        <w:spacing w:line="480" w:lineRule="atLeas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（二）公务接待较2022年度预算无增减变化。2023年公务接待费计划用于执行公务、考察调研、检查指导等公务活动开支的交通费、住宿费、用餐费等。</w:t>
      </w:r>
    </w:p>
    <w:p>
      <w:pPr>
        <w:widowControl/>
        <w:wordWrap w:val="0"/>
        <w:spacing w:line="480" w:lineRule="atLeast"/>
        <w:ind w:firstLine="640" w:firstLineChars="200"/>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eastAsia="zh-CN"/>
          <w14:textFill>
            <w14:solidFill>
              <w14:schemeClr w14:val="tx1"/>
            </w14:solidFill>
          </w14:textFill>
        </w:rPr>
        <w:t>（三）</w:t>
      </w:r>
      <w:r>
        <w:rPr>
          <w:rFonts w:hint="eastAsia" w:ascii="仿宋_GB2312" w:hAnsi="宋体" w:eastAsia="仿宋_GB2312" w:cs="宋体"/>
          <w:color w:val="000000" w:themeColor="text1"/>
          <w:kern w:val="0"/>
          <w:sz w:val="32"/>
          <w:szCs w:val="32"/>
          <w14:textFill>
            <w14:solidFill>
              <w14:schemeClr w14:val="tx1"/>
            </w14:solidFill>
          </w14:textFill>
        </w:rPr>
        <w:t>公务用车购置及运行维护费</w:t>
      </w:r>
      <w:r>
        <w:rPr>
          <w:rFonts w:hint="eastAsia" w:ascii="仿宋_GB2312" w:hAnsi="宋体" w:eastAsia="仿宋_GB2312" w:cs="宋体"/>
          <w:color w:val="000000" w:themeColor="text1"/>
          <w:kern w:val="0"/>
          <w:sz w:val="32"/>
          <w:szCs w:val="32"/>
          <w:lang w:eastAsia="zh-CN"/>
          <w14:textFill>
            <w14:solidFill>
              <w14:schemeClr w14:val="tx1"/>
            </w14:solidFill>
          </w14:textFill>
        </w:rPr>
        <w:t>较</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2022预算无增减变化。主要原因是严格按照公务用车相关规定使用车辆,用于车辆燃修费、维修费、过路过桥费、保险费等支出。</w:t>
      </w:r>
    </w:p>
    <w:p>
      <w:pPr>
        <w:widowControl/>
        <w:wordWrap w:val="0"/>
        <w:spacing w:line="48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2023年未安排公务用车购置费。</w:t>
      </w:r>
    </w:p>
    <w:p>
      <w:pPr>
        <w:widowControl/>
        <w:wordWrap w:val="0"/>
        <w:spacing w:line="48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安排公务用车运行维护费1.5万元（一般公共预算财政拨款安排1.5万元，部门综合预算安排5万元）。用于1辆公务用车公务用车燃油、过路（桥）、维修、保险等方面支出，主要保障机关及下属单位工作调研、乡村振兴等工作开展。</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八、政府性基金预算支出情况说明</w:t>
      </w:r>
    </w:p>
    <w:p>
      <w:pPr>
        <w:ind w:firstLine="640" w:firstLineChars="200"/>
        <w:rPr>
          <w:rFonts w:hint="eastAsia" w:ascii="仿宋" w:hAnsi="仿宋" w:eastAsia="仿宋" w:cs="仿宋"/>
          <w:sz w:val="32"/>
          <w:szCs w:val="32"/>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区政府办2023年没有使用政府性基金预算拨款安排的支出。</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九、其他重要事项的情况说明</w:t>
      </w:r>
    </w:p>
    <w:p>
      <w:pPr>
        <w:ind w:firstLine="640" w:firstLineChars="200"/>
        <w:rPr>
          <w:rFonts w:hint="eastAsia" w:ascii="仿宋" w:hAnsi="仿宋" w:eastAsia="仿宋" w:cs="仿宋"/>
          <w:sz w:val="32"/>
          <w:szCs w:val="32"/>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（一）机关运行经费</w:t>
      </w:r>
    </w:p>
    <w:p>
      <w:pPr>
        <w:ind w:firstLine="640" w:firstLineChars="200"/>
        <w:rPr>
          <w:rFonts w:hint="eastAsia" w:ascii="仿宋" w:hAnsi="仿宋" w:eastAsia="仿宋" w:cs="仿宋"/>
          <w:sz w:val="32"/>
          <w:szCs w:val="32"/>
          <w:lang w:val="en-US" w:eastAsia="zh-CN"/>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2023年，单位运行经费财政拨款预算为246.18万元，较2022年增加11.03万元，</w:t>
      </w:r>
      <w:r>
        <w:rPr>
          <w:rFonts w:hint="eastAsia" w:ascii="仿宋_GB2312" w:hAnsi="宋体" w:eastAsia="仿宋_GB2312" w:cs="宋体"/>
          <w:color w:val="auto"/>
          <w:kern w:val="0"/>
          <w:sz w:val="32"/>
          <w:szCs w:val="32"/>
          <w:lang w:val="en-US" w:eastAsia="zh-CN"/>
        </w:rPr>
        <w:t>主要原因新成立国动办，增加日常运行经费。</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无下属单位运行经费财政拨款预算，同上年度无增减变化。</w:t>
      </w:r>
    </w:p>
    <w:p>
      <w:pPr>
        <w:ind w:firstLine="640" w:firstLineChars="200"/>
        <w:rPr>
          <w:rFonts w:hint="eastAsia" w:ascii="仿宋" w:hAnsi="仿宋" w:eastAsia="仿宋" w:cs="仿宋"/>
          <w:color w:val="auto"/>
          <w:sz w:val="32"/>
          <w:szCs w:val="32"/>
        </w:rPr>
      </w:pPr>
      <w:r>
        <w:rPr>
          <w:rFonts w:hint="eastAsia" w:ascii="仿宋_GB2312" w:hAnsi="宋体" w:eastAsia="仿宋_GB2312" w:cs="宋体"/>
          <w:color w:val="auto"/>
          <w:kern w:val="0"/>
          <w:sz w:val="32"/>
          <w:szCs w:val="32"/>
          <w:lang w:val="en-US" w:eastAsia="zh-CN"/>
        </w:rPr>
        <w:t>（二）政府采购情况</w:t>
      </w:r>
    </w:p>
    <w:p>
      <w:pPr>
        <w:ind w:firstLine="640" w:firstLineChars="200"/>
        <w:rPr>
          <w:rFonts w:hint="eastAsia" w:ascii="仿宋" w:hAnsi="仿宋" w:eastAsia="仿宋" w:cs="仿宋"/>
          <w:color w:val="auto"/>
          <w:sz w:val="32"/>
          <w:szCs w:val="32"/>
        </w:rPr>
      </w:pPr>
      <w:r>
        <w:rPr>
          <w:rFonts w:hint="eastAsia" w:ascii="仿宋_GB2312" w:hAnsi="宋体" w:eastAsia="仿宋_GB2312" w:cs="宋体"/>
          <w:color w:val="auto"/>
          <w:kern w:val="0"/>
          <w:sz w:val="32"/>
          <w:szCs w:val="32"/>
          <w:lang w:val="en-US" w:eastAsia="zh-CN"/>
        </w:rPr>
        <w:t>2023年，政府办安排政府采购预算67.76万元，分别用于信息化建设运行及维护、火车站广场服务中心服务。</w:t>
      </w:r>
    </w:p>
    <w:p>
      <w:pPr>
        <w:widowControl/>
        <w:wordWrap w:val="0"/>
        <w:spacing w:line="48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（三）国有资产占有使用情况</w:t>
      </w:r>
    </w:p>
    <w:p>
      <w:pPr>
        <w:widowControl/>
        <w:wordWrap w:val="0"/>
        <w:spacing w:line="480" w:lineRule="atLeas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截至2022年底，政府办共有车辆1辆，其中，定向保障用车1辆、没有执法执勤用车。</w:t>
      </w:r>
    </w:p>
    <w:p>
      <w:pPr>
        <w:ind w:firstLine="640" w:firstLineChars="200"/>
        <w:rPr>
          <w:rFonts w:hint="eastAsia" w:ascii="仿宋" w:hAnsi="仿宋" w:eastAsia="仿宋" w:cs="仿宋"/>
          <w:sz w:val="32"/>
          <w:szCs w:val="32"/>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（四）绩效目标设置情况</w:t>
      </w:r>
    </w:p>
    <w:p>
      <w:pPr>
        <w:ind w:firstLine="640" w:firstLineChars="200"/>
        <w:rPr>
          <w:rFonts w:hint="eastAsia" w:ascii="仿宋" w:hAnsi="仿宋" w:eastAsia="仿宋" w:cs="仿宋"/>
          <w:sz w:val="32"/>
          <w:szCs w:val="32"/>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2023年财政厅部门通用项目和专用项目均按要求实行绩效目标管理，涉及一般公共预算当年拨款410万元。</w:t>
      </w:r>
    </w:p>
    <w:p>
      <w:pPr>
        <w:ind w:firstLine="643" w:firstLineChars="200"/>
        <w:rPr>
          <w:rFonts w:hint="eastAsia" w:ascii="仿宋" w:hAnsi="仿宋" w:eastAsia="仿宋" w:cs="仿宋"/>
          <w:b/>
          <w:bCs/>
          <w:sz w:val="32"/>
          <w:szCs w:val="32"/>
          <w:lang w:val="en-US" w:eastAsia="zh-CN"/>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十、名词解释</w:t>
      </w:r>
    </w:p>
    <w:p>
      <w:pPr>
        <w:ind w:firstLine="643"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1.财政拨款收入：</w:t>
      </w:r>
      <w:r>
        <w:rPr>
          <w:rFonts w:hint="eastAsia" w:ascii="仿宋_GB2312" w:hAnsi="宋体" w:eastAsia="仿宋_GB2312" w:cs="宋体"/>
          <w:color w:val="000000" w:themeColor="text1"/>
          <w:kern w:val="0"/>
          <w:sz w:val="32"/>
          <w:szCs w:val="32"/>
          <w14:textFill>
            <w14:solidFill>
              <w14:schemeClr w14:val="tx1"/>
            </w14:solidFill>
          </w14:textFill>
        </w:rPr>
        <w:t>指单位从同级财政部门取得的财政预算资金。</w:t>
      </w:r>
    </w:p>
    <w:p>
      <w:pPr>
        <w:ind w:firstLine="643"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2.年初结转和结余：</w:t>
      </w:r>
      <w:r>
        <w:rPr>
          <w:rFonts w:hint="eastAsia" w:ascii="仿宋_GB2312" w:hAnsi="宋体" w:eastAsia="仿宋_GB2312" w:cs="宋体"/>
          <w:color w:val="000000" w:themeColor="text1"/>
          <w:kern w:val="0"/>
          <w:sz w:val="32"/>
          <w:szCs w:val="32"/>
          <w14:textFill>
            <w14:solidFill>
              <w14:schemeClr w14:val="tx1"/>
            </w14:solidFill>
          </w14:textFill>
        </w:rPr>
        <w:t xml:space="preserve">指以前年度尚未完成、结转到本年按有关规定继续使用的资金。 </w:t>
      </w:r>
    </w:p>
    <w:p>
      <w:pPr>
        <w:ind w:firstLine="643"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3.年末结转和结余</w:t>
      </w:r>
      <w:r>
        <w:rPr>
          <w:rFonts w:hint="eastAsia" w:ascii="仿宋" w:hAnsi="仿宋" w:eastAsia="仿宋" w:cs="仿宋"/>
          <w:b/>
          <w:bCs/>
          <w:sz w:val="32"/>
          <w:szCs w:val="32"/>
        </w:rPr>
        <w:t>：</w:t>
      </w:r>
      <w:r>
        <w:rPr>
          <w:rFonts w:hint="eastAsia" w:ascii="仿宋_GB2312" w:hAnsi="宋体" w:eastAsia="仿宋_GB2312" w:cs="宋体"/>
          <w:color w:val="000000" w:themeColor="text1"/>
          <w:kern w:val="0"/>
          <w:sz w:val="32"/>
          <w:szCs w:val="32"/>
          <w14:textFill>
            <w14:solidFill>
              <w14:schemeClr w14:val="tx1"/>
            </w14:solidFill>
          </w14:textFill>
        </w:rPr>
        <w:t>指单位按有关规定结转到下年或以后年度继续使用的资金。</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4.一般公共服务（类）政府办公厅（室）及相关机构事务（款）行政运行（项）：</w:t>
      </w:r>
      <w:r>
        <w:rPr>
          <w:rFonts w:hint="eastAsia" w:ascii="仿宋_GB2312" w:hAnsi="宋体" w:eastAsia="仿宋_GB2312" w:cs="宋体"/>
          <w:color w:val="000000" w:themeColor="text1"/>
          <w:kern w:val="0"/>
          <w:sz w:val="32"/>
          <w:szCs w:val="32"/>
          <w14:textFill>
            <w14:solidFill>
              <w14:schemeClr w14:val="tx1"/>
            </w14:solidFill>
          </w14:textFill>
        </w:rPr>
        <w:t>指反映行政单位（包括实行公务员管理的事业单位）的基本支出。</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5.一般公共服务（类）政府办公厅（室）及相关机构事务（款）一般行政管理事务（项）：</w:t>
      </w:r>
      <w:r>
        <w:rPr>
          <w:rFonts w:hint="eastAsia" w:ascii="仿宋_GB2312" w:hAnsi="宋体" w:eastAsia="仿宋_GB2312" w:cs="宋体"/>
          <w:color w:val="000000" w:themeColor="text1"/>
          <w:kern w:val="0"/>
          <w:sz w:val="32"/>
          <w:szCs w:val="32"/>
          <w:lang w:eastAsia="zh-CN"/>
          <w14:textFill>
            <w14:solidFill>
              <w14:schemeClr w14:val="tx1"/>
            </w14:solidFill>
          </w14:textFill>
        </w:rPr>
        <w:t>反映行政单位（包</w:t>
      </w:r>
      <w:r>
        <w:rPr>
          <w:rFonts w:hint="eastAsia" w:ascii="仿宋_GB2312" w:hAnsi="宋体" w:eastAsia="仿宋_GB2312" w:cs="宋体"/>
          <w:color w:val="000000" w:themeColor="text1"/>
          <w:kern w:val="0"/>
          <w:sz w:val="32"/>
          <w:szCs w:val="32"/>
          <w14:textFill>
            <w14:solidFill>
              <w14:schemeClr w14:val="tx1"/>
            </w14:solidFill>
          </w14:textFill>
        </w:rPr>
        <w:t>括实行公务员管理的事业单位</w:t>
      </w:r>
      <w:r>
        <w:rPr>
          <w:rFonts w:hint="eastAsia" w:ascii="仿宋_GB2312" w:hAnsi="宋体" w:eastAsia="仿宋_GB2312" w:cs="宋体"/>
          <w:color w:val="000000" w:themeColor="text1"/>
          <w:kern w:val="0"/>
          <w:sz w:val="32"/>
          <w:szCs w:val="32"/>
          <w:lang w:eastAsia="zh-CN"/>
          <w14:textFill>
            <w14:solidFill>
              <w14:schemeClr w14:val="tx1"/>
            </w14:solidFill>
          </w14:textFill>
        </w:rPr>
        <w:t>）未单独设置项级科目的其他项目支出。</w:t>
      </w:r>
    </w:p>
    <w:p>
      <w:pPr>
        <w:ind w:firstLine="643"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6.社会保障和就业（类）行政事业单位离退休（款）机关事业单位基本养老保险缴费支出（项）：</w:t>
      </w:r>
      <w:r>
        <w:rPr>
          <w:rFonts w:hint="eastAsia" w:ascii="仿宋_GB2312" w:hAnsi="宋体" w:eastAsia="仿宋_GB2312" w:cs="宋体"/>
          <w:color w:val="000000" w:themeColor="text1"/>
          <w:kern w:val="0"/>
          <w:sz w:val="32"/>
          <w:szCs w:val="32"/>
          <w14:textFill>
            <w14:solidFill>
              <w14:schemeClr w14:val="tx1"/>
            </w14:solidFill>
          </w14:textFill>
        </w:rPr>
        <w:t>指反映机关事业单位实话养老保险制度由单位缴纳的基本养老保险费支出。</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7.卫生健康支出（类）行政事业单位医疗（款）行政单位医疗（项）：</w:t>
      </w:r>
      <w:r>
        <w:rPr>
          <w:rFonts w:hint="eastAsia" w:ascii="仿宋_GB2312" w:hAnsi="宋体" w:eastAsia="仿宋_GB2312" w:cs="宋体"/>
          <w:color w:val="000000" w:themeColor="text1"/>
          <w:kern w:val="0"/>
          <w:sz w:val="32"/>
          <w:szCs w:val="32"/>
          <w14:textFill>
            <w14:solidFill>
              <w14:schemeClr w14:val="tx1"/>
            </w14:solidFill>
          </w14:textFill>
        </w:rPr>
        <w:t>指反映财政部门集中安排的行政单位基本医疗保险缴费经费，未参加医疗保险的行政单位的公费医疗经费，按国家规定享受离休人员、</w:t>
      </w:r>
      <w:r>
        <w:rPr>
          <w:rFonts w:hint="eastAsia" w:ascii="仿宋_GB2312" w:hAnsi="宋体" w:eastAsia="仿宋_GB2312" w:cs="宋体"/>
          <w:color w:val="000000" w:themeColor="text1"/>
          <w:kern w:val="0"/>
          <w:sz w:val="32"/>
          <w:szCs w:val="32"/>
          <w:lang w:eastAsia="zh-CN"/>
          <w14:textFill>
            <w14:solidFill>
              <w14:schemeClr w14:val="tx1"/>
            </w14:solidFill>
          </w14:textFill>
        </w:rPr>
        <w:t>红</w:t>
      </w:r>
      <w:r>
        <w:rPr>
          <w:rFonts w:hint="eastAsia" w:ascii="仿宋_GB2312" w:hAnsi="宋体" w:eastAsia="仿宋_GB2312" w:cs="宋体"/>
          <w:color w:val="000000" w:themeColor="text1"/>
          <w:kern w:val="0"/>
          <w:sz w:val="32"/>
          <w:szCs w:val="32"/>
          <w14:textFill>
            <w14:solidFill>
              <w14:schemeClr w14:val="tx1"/>
            </w14:solidFill>
          </w14:textFill>
        </w:rPr>
        <w:t>军老战士待遇人员的医疗经费。</w:t>
      </w:r>
    </w:p>
    <w:p>
      <w:pPr>
        <w:ind w:firstLine="643" w:firstLineChars="200"/>
        <w:rPr>
          <w:rFonts w:hint="eastAsia"/>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8.卫生健康支出（类）行政事业单位医疗（款）公务员医疗补助（项）：</w:t>
      </w:r>
      <w:r>
        <w:rPr>
          <w:rFonts w:hint="eastAsia" w:ascii="仿宋_GB2312" w:hAnsi="宋体" w:eastAsia="仿宋_GB2312" w:cs="宋体"/>
          <w:color w:val="000000" w:themeColor="text1"/>
          <w:kern w:val="0"/>
          <w:sz w:val="32"/>
          <w:szCs w:val="32"/>
          <w14:textFill>
            <w14:solidFill>
              <w14:schemeClr w14:val="tx1"/>
            </w14:solidFill>
          </w14:textFill>
        </w:rPr>
        <w:t>指反映财政部门</w:t>
      </w:r>
      <w:r>
        <w:rPr>
          <w:rFonts w:hint="eastAsia" w:ascii="仿宋_GB2312" w:hAnsi="宋体" w:eastAsia="仿宋_GB2312" w:cs="宋体"/>
          <w:color w:val="000000" w:themeColor="text1"/>
          <w:kern w:val="0"/>
          <w:sz w:val="32"/>
          <w:szCs w:val="32"/>
          <w:lang w:eastAsia="zh-CN"/>
          <w14:textFill>
            <w14:solidFill>
              <w14:schemeClr w14:val="tx1"/>
            </w14:solidFill>
          </w14:textFill>
        </w:rPr>
        <w:t>安排的公务员医疗补助经费。</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9.住房保障支出（类）住房改革支出（款）住房公积金（项）：</w:t>
      </w:r>
      <w:r>
        <w:rPr>
          <w:rFonts w:hint="eastAsia" w:ascii="仿宋_GB2312" w:hAnsi="宋体" w:eastAsia="仿宋_GB2312" w:cs="宋体"/>
          <w:color w:val="000000" w:themeColor="text1"/>
          <w:kern w:val="0"/>
          <w:sz w:val="32"/>
          <w:szCs w:val="32"/>
          <w14:textFill>
            <w14:solidFill>
              <w14:schemeClr w14:val="tx1"/>
            </w14:solidFill>
          </w14:textFill>
        </w:rPr>
        <w:t>指按照《住房公积</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金</w:t>
      </w:r>
      <w:bookmarkStart w:id="0" w:name="_GoBack"/>
      <w:bookmarkEnd w:id="0"/>
      <w:r>
        <w:rPr>
          <w:rFonts w:hint="eastAsia" w:ascii="仿宋_GB2312" w:hAnsi="宋体" w:eastAsia="仿宋_GB2312" w:cs="宋体"/>
          <w:color w:val="000000" w:themeColor="text1"/>
          <w:kern w:val="0"/>
          <w:sz w:val="32"/>
          <w:szCs w:val="32"/>
          <w14:textFill>
            <w14:solidFill>
              <w14:schemeClr w14:val="tx1"/>
            </w14:solidFill>
          </w14:textFill>
        </w:rPr>
        <w:t>管理条例》的规定，由单位及其在职职工缴存的长期住房储金。</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10.基本支出：</w:t>
      </w:r>
      <w:r>
        <w:rPr>
          <w:rFonts w:hint="eastAsia" w:ascii="仿宋_GB2312" w:hAnsi="宋体" w:eastAsia="仿宋_GB2312" w:cs="宋体"/>
          <w:color w:val="000000" w:themeColor="text1"/>
          <w:kern w:val="0"/>
          <w:sz w:val="32"/>
          <w:szCs w:val="32"/>
          <w14:textFill>
            <w14:solidFill>
              <w14:schemeClr w14:val="tx1"/>
            </w14:solidFill>
          </w14:textFill>
        </w:rPr>
        <w:t>指为保障机构正常运转、完成日常工作任务而发生的人员支出和公用支出。</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11.项目支出：</w:t>
      </w:r>
      <w:r>
        <w:rPr>
          <w:rFonts w:hint="eastAsia" w:ascii="仿宋_GB2312" w:hAnsi="宋体" w:eastAsia="仿宋_GB2312" w:cs="宋体"/>
          <w:color w:val="000000" w:themeColor="text1"/>
          <w:kern w:val="0"/>
          <w:sz w:val="32"/>
          <w:szCs w:val="32"/>
          <w14:textFill>
            <w14:solidFill>
              <w14:schemeClr w14:val="tx1"/>
            </w14:solidFill>
          </w14:textFill>
        </w:rPr>
        <w:t>指在基本支出之外为完成特定行政任务和事业发展目标所发生的支出。</w:t>
      </w:r>
    </w:p>
    <w:p>
      <w:pPr>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12.“三公”经费：</w:t>
      </w:r>
      <w:r>
        <w:rPr>
          <w:rFonts w:hint="eastAsia" w:ascii="仿宋_GB2312" w:hAnsi="宋体" w:eastAsia="仿宋_GB2312" w:cs="宋体"/>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wordWrap w:val="0"/>
        <w:spacing w:line="480" w:lineRule="atLeast"/>
        <w:ind w:firstLine="643" w:firstLineChars="200"/>
        <w:rPr>
          <w:rFonts w:hint="eastAsia" w:ascii="仿宋" w:hAnsi="仿宋" w:eastAsia="仿宋" w:cs="仿宋"/>
          <w:sz w:val="32"/>
          <w:szCs w:val="32"/>
        </w:rPr>
      </w:pPr>
      <w:r>
        <w:rPr>
          <w:rFonts w:hint="eastAsia" w:ascii="仿宋_GB2312" w:hAnsi="宋体" w:eastAsia="仿宋_GB2312" w:cs="宋体"/>
          <w:b/>
          <w:bCs/>
          <w:color w:val="000000" w:themeColor="text1"/>
          <w:kern w:val="0"/>
          <w:sz w:val="32"/>
          <w:szCs w:val="32"/>
          <w:lang w:val="en-US" w:eastAsia="zh-CN"/>
          <w14:textFill>
            <w14:solidFill>
              <w14:schemeClr w14:val="tx1"/>
            </w14:solidFill>
          </w14:textFill>
        </w:rPr>
        <w:t>13.机关运行经费：</w:t>
      </w:r>
      <w:r>
        <w:rPr>
          <w:rFonts w:hint="eastAsia" w:ascii="仿宋_GB2312" w:hAnsi="宋体" w:eastAsia="仿宋_GB2312" w:cs="宋体"/>
          <w:color w:val="000000" w:themeColor="text1"/>
          <w:kern w:val="0"/>
          <w:sz w:val="32"/>
          <w:szCs w:val="32"/>
          <w14:textFill>
            <w14:solidFill>
              <w14:schemeClr w14:val="tx1"/>
            </w14:solidFill>
          </w14:textFill>
        </w:rPr>
        <w:t>日常公用经费：为保障行政单位(含参照公务员法管理的事业单位)运行用于购买货物和服务的各项资金，包括办公及印刷费、邮电费、差旅费、会议费、福利费、日常维修费、一般购置费、办公用房水电费以及其他费用。</w:t>
      </w:r>
    </w:p>
    <w:p>
      <w:pPr>
        <w:widowControl/>
        <w:wordWrap w:val="0"/>
        <w:spacing w:line="480" w:lineRule="atLeast"/>
        <w:ind w:firstLine="640" w:firstLineChars="200"/>
        <w:rPr>
          <w:rFonts w:hint="eastAsia" w:ascii="仿宋" w:hAnsi="仿宋" w:eastAsia="仿宋" w:cs="仿宋"/>
          <w:sz w:val="32"/>
          <w:szCs w:val="32"/>
        </w:rPr>
      </w:pPr>
    </w:p>
    <w:p>
      <w:pPr>
        <w:jc w:val="center"/>
        <w:rPr>
          <w:rFonts w:hint="eastAsia" w:ascii="方正小标宋简体" w:hAnsi="微软雅黑" w:eastAsia="方正小标宋简体" w:cs="宋体"/>
          <w:color w:val="000000" w:themeColor="text1"/>
          <w:kern w:val="36"/>
          <w:sz w:val="36"/>
          <w:szCs w:val="36"/>
          <w14:textFill>
            <w14:solidFill>
              <w14:schemeClr w14:val="tx1"/>
            </w14:solidFill>
          </w14:textFill>
        </w:rPr>
      </w:pPr>
      <w:r>
        <w:rPr>
          <w:rFonts w:hint="eastAsia" w:ascii="方正小标宋简体" w:hAnsi="微软雅黑" w:eastAsia="方正小标宋简体" w:cs="宋体"/>
          <w:color w:val="000000" w:themeColor="text1"/>
          <w:kern w:val="36"/>
          <w:sz w:val="36"/>
          <w:szCs w:val="36"/>
          <w14:textFill>
            <w14:solidFill>
              <w14:schemeClr w14:val="tx1"/>
            </w14:solidFill>
          </w14:textFill>
        </w:rPr>
        <w:t>第二部分 202</w:t>
      </w:r>
      <w:r>
        <w:rPr>
          <w:rFonts w:hint="eastAsia" w:ascii="方正小标宋简体" w:hAnsi="微软雅黑" w:eastAsia="方正小标宋简体" w:cs="宋体"/>
          <w:color w:val="000000" w:themeColor="text1"/>
          <w:kern w:val="36"/>
          <w:sz w:val="36"/>
          <w:szCs w:val="36"/>
          <w:lang w:val="en-US" w:eastAsia="zh-CN"/>
          <w14:textFill>
            <w14:solidFill>
              <w14:schemeClr w14:val="tx1"/>
            </w14:solidFill>
          </w14:textFill>
        </w:rPr>
        <w:t>3</w:t>
      </w:r>
      <w:r>
        <w:rPr>
          <w:rFonts w:hint="eastAsia" w:ascii="方正小标宋简体" w:hAnsi="微软雅黑" w:eastAsia="方正小标宋简体" w:cs="宋体"/>
          <w:color w:val="000000" w:themeColor="text1"/>
          <w:kern w:val="36"/>
          <w:sz w:val="36"/>
          <w:szCs w:val="36"/>
          <w14:textFill>
            <w14:solidFill>
              <w14:schemeClr w14:val="tx1"/>
            </w14:solidFill>
          </w14:textFill>
        </w:rPr>
        <w:t>年部门预算报表(附表)</w:t>
      </w:r>
    </w:p>
    <w:p>
      <w:pPr>
        <w:widowControl/>
        <w:wordWrap w:val="0"/>
        <w:spacing w:line="480" w:lineRule="atLeast"/>
        <w:rPr>
          <w:rFonts w:hint="eastAsia" w:ascii="仿宋_GB2312" w:hAnsi="宋体" w:eastAsia="仿宋_GB2312" w:cs="宋体"/>
          <w:color w:val="000000" w:themeColor="text1"/>
          <w:kern w:val="0"/>
          <w:sz w:val="28"/>
          <w:szCs w:val="28"/>
          <w14:textFill>
            <w14:solidFill>
              <w14:schemeClr w14:val="tx1"/>
            </w14:solidFill>
          </w14:textFill>
        </w:rPr>
      </w:pP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1.部门收支总表</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1-1.部门收入总表</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1-2.部门支出总表</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2.财政拨款收支预算总表</w:t>
      </w:r>
    </w:p>
    <w:p>
      <w:pPr>
        <w:pStyle w:val="2"/>
        <w:rPr>
          <w:rFonts w:hint="default" w:eastAsia="仿宋_GB2312"/>
          <w:lang w:val="en-US" w:eastAsia="zh-CN"/>
        </w:rPr>
      </w:pPr>
      <w:r>
        <w:rPr>
          <w:rFonts w:hint="eastAsia" w:ascii="仿宋_GB2312" w:hAnsi="宋体" w:eastAsia="仿宋_GB2312" w:cs="宋体"/>
          <w:color w:val="000000" w:themeColor="text1"/>
          <w:kern w:val="0"/>
          <w:sz w:val="32"/>
          <w:szCs w:val="32"/>
          <w:lang w:eastAsia="zh-CN"/>
          <w14:textFill>
            <w14:solidFill>
              <w14:schemeClr w14:val="tx1"/>
            </w14:solidFill>
          </w14:textFill>
        </w:rPr>
        <w:t>表</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2-1.财政拨款支出预算表（部门经济分类科目）</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3.一般公共预算支出预算表</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3-1.一般公共预算基本支出预算表</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3-2.一般公共预算项目支出预算表</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3-3.一般公共预算“三公”经费支出预算表</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4.政府性基金支出预算表</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4-1.政府性基金预算“三公”经费支出预算表</w:t>
      </w: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5.国有资本经营预算支出预算表</w:t>
      </w:r>
    </w:p>
    <w:p>
      <w:pPr>
        <w:rPr>
          <w:rFonts w:hint="eastAsia" w:ascii="仿宋" w:hAnsi="仿宋" w:eastAsia="仿宋" w:cs="仿宋"/>
          <w:sz w:val="32"/>
          <w:szCs w:val="32"/>
        </w:rPr>
      </w:pPr>
    </w:p>
    <w:p>
      <w:pPr>
        <w:widowControl/>
        <w:wordWrap w:val="0"/>
        <w:spacing w:line="480" w:lineRule="atLeast"/>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方正小标宋简体" w:hAnsi="微软雅黑" w:eastAsia="方正小标宋简体" w:cs="宋体"/>
          <w:color w:val="000000" w:themeColor="text1"/>
          <w:kern w:val="36"/>
          <w:sz w:val="36"/>
          <w:szCs w:val="36"/>
          <w14:textFill>
            <w14:solidFill>
              <w14:schemeClr w14:val="tx1"/>
            </w14:solidFill>
          </w14:textFill>
        </w:rPr>
        <w:t>第三部分 部门预算项目支出绩效目标（附表）</w:t>
      </w:r>
    </w:p>
    <w:p>
      <w:pPr>
        <w:rPr>
          <w:rFonts w:hint="eastAsia" w:ascii="仿宋" w:hAnsi="仿宋" w:eastAsia="仿宋" w:cs="仿宋"/>
          <w:sz w:val="32"/>
          <w:szCs w:val="32"/>
        </w:rPr>
      </w:pPr>
    </w:p>
    <w:p>
      <w:pPr>
        <w:widowControl/>
        <w:wordWrap w:val="0"/>
        <w:spacing w:line="480" w:lineRule="atLeas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1.部门整体支出绩效目标表</w:t>
      </w:r>
    </w:p>
    <w:p>
      <w:pPr>
        <w:pStyle w:val="2"/>
        <w:rPr>
          <w:rFonts w:hint="eastAsia"/>
        </w:rPr>
      </w:pPr>
      <w:r>
        <w:rPr>
          <w:rFonts w:hint="eastAsia" w:ascii="仿宋_GB2312" w:hAnsi="宋体" w:eastAsia="仿宋_GB2312" w:cs="宋体"/>
          <w:color w:val="000000" w:themeColor="text1"/>
          <w:kern w:val="0"/>
          <w:sz w:val="32"/>
          <w:szCs w:val="32"/>
          <w14:textFill>
            <w14:solidFill>
              <w14:schemeClr w14:val="tx1"/>
            </w14:solidFill>
          </w14:textFill>
        </w:rPr>
        <w:t>表</w:t>
      </w:r>
      <w:r>
        <w:rPr>
          <w:rFonts w:ascii="仿宋_GB2312" w:hAnsi="宋体" w:eastAsia="仿宋_GB2312" w:cs="宋体"/>
          <w:color w:val="000000" w:themeColor="text1"/>
          <w:kern w:val="0"/>
          <w:sz w:val="32"/>
          <w:szCs w:val="32"/>
          <w14:textFill>
            <w14:solidFill>
              <w14:schemeClr w14:val="tx1"/>
            </w14:solidFill>
          </w14:textFill>
        </w:rPr>
        <w:t>2.部门预算项目支出绩效目标表</w:t>
      </w:r>
    </w:p>
    <w:p>
      <w:pPr>
        <w:rPr>
          <w:rFonts w:hint="eastAsia" w:ascii="仿宋" w:hAnsi="仿宋" w:eastAsia="仿宋" w:cs="仿宋"/>
          <w:sz w:val="32"/>
          <w:szCs w:val="32"/>
        </w:rPr>
      </w:pPr>
    </w:p>
    <w:p/>
    <w:sectPr>
      <w:footerReference r:id="rId3" w:type="default"/>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OTdiNTdmMDM3Y2JjOWQ3NGY2ZTg3MGM4MDgyYjgifQ=="/>
  </w:docVars>
  <w:rsids>
    <w:rsidRoot w:val="435665B7"/>
    <w:rsid w:val="054A03AF"/>
    <w:rsid w:val="08000695"/>
    <w:rsid w:val="08634780"/>
    <w:rsid w:val="09F41989"/>
    <w:rsid w:val="0C062871"/>
    <w:rsid w:val="0CA041F5"/>
    <w:rsid w:val="0E2D7D0A"/>
    <w:rsid w:val="10334930"/>
    <w:rsid w:val="149363ED"/>
    <w:rsid w:val="16E82FB1"/>
    <w:rsid w:val="17650515"/>
    <w:rsid w:val="17A0154D"/>
    <w:rsid w:val="18823350"/>
    <w:rsid w:val="18866D07"/>
    <w:rsid w:val="18B572A9"/>
    <w:rsid w:val="1BDB6A2B"/>
    <w:rsid w:val="1C1222ED"/>
    <w:rsid w:val="1D64369E"/>
    <w:rsid w:val="1F1F544D"/>
    <w:rsid w:val="1F792DAF"/>
    <w:rsid w:val="232A27F9"/>
    <w:rsid w:val="251258EE"/>
    <w:rsid w:val="25D7082F"/>
    <w:rsid w:val="262F241A"/>
    <w:rsid w:val="29051A8B"/>
    <w:rsid w:val="29932E99"/>
    <w:rsid w:val="2A4E308A"/>
    <w:rsid w:val="2B6F1E65"/>
    <w:rsid w:val="2C3020E3"/>
    <w:rsid w:val="2CC82C80"/>
    <w:rsid w:val="2DD00786"/>
    <w:rsid w:val="2E2A34C6"/>
    <w:rsid w:val="2FD44032"/>
    <w:rsid w:val="32EA476C"/>
    <w:rsid w:val="36B14785"/>
    <w:rsid w:val="3D8D2805"/>
    <w:rsid w:val="3F3E6DD2"/>
    <w:rsid w:val="41AB1B07"/>
    <w:rsid w:val="41C34F61"/>
    <w:rsid w:val="435665B7"/>
    <w:rsid w:val="478B1022"/>
    <w:rsid w:val="47BC268C"/>
    <w:rsid w:val="47CA0BA2"/>
    <w:rsid w:val="4DD74FC1"/>
    <w:rsid w:val="4EBB61F2"/>
    <w:rsid w:val="4EC92B5C"/>
    <w:rsid w:val="4F5B7E6C"/>
    <w:rsid w:val="50A3118B"/>
    <w:rsid w:val="50EE11A4"/>
    <w:rsid w:val="515C3EB1"/>
    <w:rsid w:val="52D25D57"/>
    <w:rsid w:val="543755E9"/>
    <w:rsid w:val="58733B38"/>
    <w:rsid w:val="5B4B48F9"/>
    <w:rsid w:val="5C483FA5"/>
    <w:rsid w:val="5CF54B1C"/>
    <w:rsid w:val="5D3D3D5F"/>
    <w:rsid w:val="5E2F22B0"/>
    <w:rsid w:val="5E544D3D"/>
    <w:rsid w:val="64115617"/>
    <w:rsid w:val="65F938CF"/>
    <w:rsid w:val="66E14363"/>
    <w:rsid w:val="67F2359A"/>
    <w:rsid w:val="67FA52FE"/>
    <w:rsid w:val="680447AD"/>
    <w:rsid w:val="68182B25"/>
    <w:rsid w:val="6A5F4F56"/>
    <w:rsid w:val="6ACC5731"/>
    <w:rsid w:val="6C2D68E3"/>
    <w:rsid w:val="6EF70E4E"/>
    <w:rsid w:val="71660A4A"/>
    <w:rsid w:val="750852EE"/>
    <w:rsid w:val="77EF4B32"/>
    <w:rsid w:val="781E4519"/>
    <w:rsid w:val="78830352"/>
    <w:rsid w:val="7B1F3B9C"/>
    <w:rsid w:val="7B8F2349"/>
    <w:rsid w:val="7DFE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jc w:val="both"/>
    </w:pPr>
    <w:rPr>
      <w:rFonts w:ascii="Calibri" w:hAnsi="Calibri" w:eastAsia="仿宋" w:cs="Arial"/>
      <w:kern w:val="2"/>
      <w:sz w:val="32"/>
      <w:szCs w:val="24"/>
      <w:lang w:val="en-US" w:eastAsia="zh-CN" w:bidi="ar-SA"/>
    </w:rPr>
  </w:style>
  <w:style w:type="paragraph" w:styleId="4">
    <w:name w:val="footer"/>
    <w:basedOn w:val="1"/>
    <w:next w:val="5"/>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after="240" w:line="360" w:lineRule="auto"/>
      <w:ind w:firstLine="0" w:firstLineChars="0"/>
      <w:jc w:val="center"/>
      <w:outlineLvl w:val="0"/>
    </w:pPr>
    <w:rPr>
      <w:rFonts w:ascii="Arial" w:hAnsi="Arial"/>
      <w:b/>
      <w:sz w:val="32"/>
    </w:r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4460</Words>
  <Characters>4857</Characters>
  <Lines>0</Lines>
  <Paragraphs>0</Paragraphs>
  <TotalTime>36</TotalTime>
  <ScaleCrop>false</ScaleCrop>
  <LinksUpToDate>false</LinksUpToDate>
  <CharactersWithSpaces>4869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2022-08-23T08:05:00Z</dcterms:created>
  <dc:creator>Administrator</dc:creator>
  <cp:lastModifiedBy>Administrator</cp:lastModifiedBy>
  <dcterms:modified xsi:type="dcterms:W3CDTF">2023-11-26T04:58:28Z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A797E41941224A429B81A7CA2498085F</vt:lpwstr>
  </property>
</Properties>
</file>