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9"/>
        <w:rPr>
          <w:rFonts w:ascii="方正小标宋简体" w:hAnsi="宋体" w:eastAsia="方正小标宋简体"/>
          <w:color w:val="auto"/>
          <w:sz w:val="72"/>
          <w:szCs w:val="72"/>
          <w:highlight w:val="none"/>
        </w:rPr>
      </w:pPr>
      <w:bookmarkStart w:id="0" w:name="_Toc15396475"/>
      <w:bookmarkStart w:id="1" w:name="_Toc15378441"/>
      <w:bookmarkStart w:id="2" w:name="_Toc15377425"/>
      <w:bookmarkStart w:id="3" w:name="_Toc15377193"/>
      <w:bookmarkStart w:id="4" w:name="_Toc15396597"/>
      <w:bookmarkStart w:id="5" w:name="_Toc15306267"/>
    </w:p>
    <w:p>
      <w:pPr>
        <w:spacing w:line="600" w:lineRule="exact"/>
        <w:jc w:val="center"/>
        <w:outlineLvl w:val="9"/>
        <w:rPr>
          <w:rFonts w:ascii="方正小标宋简体" w:hAnsi="宋体" w:eastAsia="方正小标宋简体"/>
          <w:color w:val="auto"/>
          <w:sz w:val="72"/>
          <w:szCs w:val="72"/>
          <w:highlight w:val="none"/>
        </w:rPr>
      </w:pPr>
    </w:p>
    <w:p>
      <w:pPr>
        <w:spacing w:line="600" w:lineRule="exact"/>
        <w:jc w:val="center"/>
        <w:outlineLvl w:val="9"/>
        <w:rPr>
          <w:rFonts w:ascii="方正小标宋简体" w:hAnsi="宋体" w:eastAsia="方正小标宋简体"/>
          <w:color w:val="auto"/>
          <w:sz w:val="72"/>
          <w:szCs w:val="72"/>
          <w:highlight w:val="none"/>
        </w:rPr>
      </w:pPr>
    </w:p>
    <w:p>
      <w:pPr>
        <w:adjustRightInd w:val="0"/>
        <w:snapToGrid w:val="0"/>
        <w:spacing w:line="360" w:lineRule="auto"/>
        <w:jc w:val="center"/>
        <w:outlineLvl w:val="0"/>
        <w:rPr>
          <w:rFonts w:hint="eastAsia" w:ascii="方正小标宋简体" w:hAnsi="方正小标宋简体" w:eastAsia="方正小标宋简体" w:cs="方正小标宋简体"/>
          <w:color w:val="auto"/>
          <w:sz w:val="72"/>
          <w:szCs w:val="72"/>
          <w:highlight w:val="none"/>
        </w:rPr>
      </w:pPr>
      <w:bookmarkStart w:id="6" w:name="_Toc1819"/>
      <w:bookmarkStart w:id="7" w:name="_Toc18601"/>
      <w:bookmarkStart w:id="8" w:name="_Toc18605"/>
      <w:bookmarkStart w:id="9" w:name="_Toc12215"/>
      <w:bookmarkStart w:id="10" w:name="_Toc21158"/>
      <w:r>
        <w:rPr>
          <w:rFonts w:hint="eastAsia" w:ascii="方正小标宋简体" w:hAnsi="方正小标宋简体" w:eastAsia="方正小标宋简体" w:cs="方正小标宋简体"/>
          <w:color w:val="auto"/>
          <w:sz w:val="72"/>
          <w:szCs w:val="72"/>
          <w:highlight w:val="none"/>
        </w:rPr>
        <w:t>20</w:t>
      </w:r>
      <w:r>
        <w:rPr>
          <w:rFonts w:hint="eastAsia" w:ascii="方正小标宋简体" w:hAnsi="方正小标宋简体" w:eastAsia="方正小标宋简体" w:cs="方正小标宋简体"/>
          <w:color w:val="auto"/>
          <w:sz w:val="72"/>
          <w:szCs w:val="72"/>
          <w:highlight w:val="none"/>
          <w:lang w:val="en-US" w:eastAsia="zh-CN"/>
        </w:rPr>
        <w:t>22</w:t>
      </w:r>
      <w:r>
        <w:rPr>
          <w:rFonts w:hint="eastAsia" w:ascii="方正小标宋简体" w:hAnsi="方正小标宋简体" w:eastAsia="方正小标宋简体" w:cs="方正小标宋简体"/>
          <w:color w:val="auto"/>
          <w:sz w:val="72"/>
          <w:szCs w:val="72"/>
          <w:highlight w:val="none"/>
        </w:rPr>
        <w:t>年度</w:t>
      </w:r>
      <w:bookmarkEnd w:id="0"/>
      <w:bookmarkEnd w:id="1"/>
      <w:bookmarkEnd w:id="2"/>
      <w:bookmarkEnd w:id="3"/>
      <w:bookmarkEnd w:id="4"/>
      <w:bookmarkEnd w:id="6"/>
      <w:bookmarkEnd w:id="7"/>
      <w:bookmarkEnd w:id="8"/>
      <w:bookmarkEnd w:id="9"/>
      <w:bookmarkEnd w:id="10"/>
    </w:p>
    <w:bookmarkEnd w:id="5"/>
    <w:p>
      <w:pPr>
        <w:adjustRightInd w:val="0"/>
        <w:snapToGrid w:val="0"/>
        <w:spacing w:line="360" w:lineRule="auto"/>
        <w:jc w:val="center"/>
        <w:outlineLvl w:val="0"/>
        <w:rPr>
          <w:rFonts w:hint="default" w:ascii="方正小标宋简体" w:hAnsi="方正小标宋简体" w:eastAsia="方正小标宋简体" w:cs="方正小标宋简体"/>
          <w:color w:val="auto"/>
          <w:sz w:val="72"/>
          <w:szCs w:val="72"/>
          <w:highlight w:val="none"/>
          <w:lang w:val="en-US" w:eastAsia="zh-CN"/>
        </w:rPr>
      </w:pPr>
      <w:bookmarkStart w:id="11" w:name="_Toc15396476"/>
      <w:bookmarkStart w:id="12" w:name="_Toc15396598"/>
      <w:bookmarkStart w:id="13" w:name="_Toc15377194"/>
      <w:bookmarkStart w:id="14" w:name="_Toc15378442"/>
      <w:bookmarkStart w:id="15" w:name="_Toc390"/>
      <w:bookmarkStart w:id="16" w:name="_Toc15377426"/>
      <w:bookmarkStart w:id="17" w:name="_Toc20528"/>
      <w:bookmarkStart w:id="18" w:name="_Toc14116"/>
      <w:bookmarkStart w:id="19" w:name="_Toc3077"/>
      <w:bookmarkStart w:id="20" w:name="_Toc13710"/>
      <w:r>
        <w:rPr>
          <w:rFonts w:hint="eastAsia" w:ascii="方正小标宋简体" w:hAnsi="方正小标宋简体" w:eastAsia="方正小标宋简体" w:cs="方正小标宋简体"/>
          <w:color w:val="auto"/>
          <w:sz w:val="72"/>
          <w:szCs w:val="72"/>
          <w:highlight w:val="none"/>
        </w:rPr>
        <w:t>四川省</w:t>
      </w:r>
      <w:bookmarkStart w:id="21" w:name="_Toc15306268"/>
      <w:r>
        <w:rPr>
          <w:rFonts w:hint="eastAsia" w:ascii="方正小标宋简体" w:hAnsi="方正小标宋简体" w:eastAsia="方正小标宋简体" w:cs="方正小标宋简体"/>
          <w:color w:val="auto"/>
          <w:sz w:val="72"/>
          <w:szCs w:val="72"/>
          <w:highlight w:val="none"/>
        </w:rPr>
        <w:t>巴中市巴州区应急管理局部门决算</w:t>
      </w:r>
      <w:bookmarkEnd w:id="11"/>
      <w:bookmarkEnd w:id="12"/>
      <w:bookmarkEnd w:id="13"/>
      <w:bookmarkEnd w:id="14"/>
      <w:bookmarkEnd w:id="15"/>
      <w:bookmarkEnd w:id="16"/>
      <w:bookmarkEnd w:id="17"/>
      <w:bookmarkEnd w:id="18"/>
      <w:bookmarkEnd w:id="19"/>
      <w:bookmarkEnd w:id="20"/>
      <w:bookmarkEnd w:id="21"/>
    </w:p>
    <w:p>
      <w:pPr>
        <w:widowControl/>
        <w:jc w:val="center"/>
        <w:rPr>
          <w:rFonts w:ascii="黑体" w:hAnsi="黑体" w:eastAsia="黑体" w:cstheme="minorBidi"/>
          <w:color w:val="auto"/>
          <w:sz w:val="28"/>
          <w:szCs w:val="28"/>
          <w:highlight w:val="none"/>
        </w:rPr>
      </w:pPr>
      <w:r>
        <w:rPr>
          <w:rFonts w:ascii="方正小标宋简体" w:hAnsi="宋体" w:eastAsia="方正小标宋简体"/>
          <w:color w:val="auto"/>
          <w:sz w:val="36"/>
          <w:szCs w:val="36"/>
          <w:highlight w:val="none"/>
        </w:rPr>
        <w:br w:type="page"/>
      </w:r>
      <w:r>
        <w:rPr>
          <w:rFonts w:hint="eastAsia" w:ascii="黑体" w:hAnsi="黑体" w:eastAsia="黑体"/>
          <w:color w:val="auto"/>
          <w:sz w:val="48"/>
          <w:szCs w:val="48"/>
          <w:highlight w:val="none"/>
        </w:rPr>
        <w:t>目录</w:t>
      </w:r>
    </w:p>
    <w:p>
      <w:pPr>
        <w:pStyle w:val="11"/>
        <w:rPr>
          <w:color w:val="auto"/>
          <w:highlight w:val="none"/>
        </w:rPr>
      </w:pPr>
      <w:r>
        <w:rPr>
          <w:rFonts w:hint="eastAsia"/>
          <w:color w:val="auto"/>
          <w:highlight w:val="none"/>
        </w:rPr>
        <w:t>公开时间：20</w:t>
      </w:r>
      <w:r>
        <w:rPr>
          <w:rFonts w:hint="eastAsia"/>
          <w:color w:val="auto"/>
          <w:highlight w:val="none"/>
          <w:lang w:val="en-US" w:eastAsia="zh-CN"/>
        </w:rPr>
        <w:t>23</w:t>
      </w:r>
      <w:r>
        <w:rPr>
          <w:rFonts w:hint="eastAsia"/>
          <w:color w:val="auto"/>
          <w:highlight w:val="none"/>
        </w:rPr>
        <w:t>年</w:t>
      </w:r>
      <w:r>
        <w:rPr>
          <w:rFonts w:hint="eastAsia"/>
          <w:color w:val="auto"/>
          <w:highlight w:val="none"/>
          <w:lang w:val="en-US" w:eastAsia="zh-CN"/>
        </w:rPr>
        <w:t>11</w:t>
      </w:r>
      <w:r>
        <w:rPr>
          <w:rFonts w:hint="eastAsia"/>
          <w:color w:val="auto"/>
          <w:highlight w:val="none"/>
        </w:rPr>
        <w:t>月</w:t>
      </w:r>
      <w:r>
        <w:rPr>
          <w:rFonts w:hint="eastAsia"/>
          <w:color w:val="auto"/>
          <w:highlight w:val="none"/>
          <w:lang w:val="en-US" w:eastAsia="zh-CN"/>
        </w:rPr>
        <w:t>9</w:t>
      </w:r>
      <w:r>
        <w:rPr>
          <w:rFonts w:hint="eastAsia"/>
          <w:color w:val="auto"/>
          <w:highlight w:val="none"/>
        </w:rPr>
        <w:t>日</w:t>
      </w:r>
    </w:p>
    <w:sdt>
      <w:sdtPr>
        <w:rPr>
          <w:rFonts w:ascii="宋体" w:hAnsi="宋体" w:eastAsia="宋体" w:cs="Times New Roman"/>
          <w:kern w:val="2"/>
          <w:sz w:val="21"/>
          <w:szCs w:val="24"/>
          <w:lang w:val="en-US" w:eastAsia="zh-CN" w:bidi="ar-SA"/>
        </w:rPr>
        <w:id w:val="147471229"/>
        <w15:color w:val="DBDBDB"/>
        <w:docPartObj>
          <w:docPartGallery w:val="Table of Contents"/>
          <w:docPartUnique/>
        </w:docPartObj>
      </w:sdtPr>
      <w:sdtEndPr>
        <w:rPr>
          <w:rFonts w:ascii="Times New Roman" w:hAnsi="Times New Roman" w:eastAsia="宋体" w:cs="Times New Roman"/>
          <w:color w:val="auto"/>
          <w:kern w:val="2"/>
          <w:sz w:val="21"/>
          <w:szCs w:val="24"/>
          <w:highlight w:val="none"/>
          <w:lang w:val="en-US" w:eastAsia="zh-CN" w:bidi="ar-SA"/>
        </w:rPr>
      </w:sdtEndPr>
      <w:sdtContent>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center"/>
            <w:textAlignment w:val="auto"/>
            <w:rPr>
              <w:rFonts w:ascii="Times New Roman" w:hAnsi="Times New Roman" w:eastAsia="宋体" w:cs="Times New Roman"/>
              <w:color w:val="auto"/>
              <w:kern w:val="2"/>
              <w:sz w:val="21"/>
              <w:szCs w:val="24"/>
              <w:highlight w:val="none"/>
              <w:lang w:val="en-US" w:eastAsia="zh-CN" w:bidi="ar-SA"/>
            </w:rPr>
          </w:pPr>
          <w:r>
            <w:rPr>
              <w:color w:val="auto"/>
              <w:highlight w:val="none"/>
            </w:rPr>
            <w:fldChar w:fldCharType="begin"/>
          </w:r>
          <w:r>
            <w:rPr>
              <w:color w:val="auto"/>
              <w:highlight w:val="none"/>
            </w:rPr>
            <w:instrText xml:space="preserve">TOC \o "1-3" \h \u </w:instrText>
          </w:r>
          <w:r>
            <w:rPr>
              <w:color w:val="auto"/>
              <w:highlight w:val="none"/>
            </w:rPr>
            <w:fldChar w:fldCharType="separate"/>
          </w:r>
        </w:p>
        <w:p>
          <w:pPr>
            <w:pStyle w:val="11"/>
            <w:keepNext w:val="0"/>
            <w:keepLines w:val="0"/>
            <w:pageBreakBefore w:val="0"/>
            <w:widowControl w:val="0"/>
            <w:tabs>
              <w:tab w:val="right" w:leader="dot" w:pos="8306"/>
              <w:tab w:val="clear" w:pos="8296"/>
            </w:tabs>
            <w:kinsoku/>
            <w:wordWrap/>
            <w:overflowPunct/>
            <w:topLinePunct w:val="0"/>
            <w:autoSpaceDE/>
            <w:autoSpaceDN/>
            <w:bidi w:val="0"/>
            <w:adjustRightInd/>
            <w:snapToGrid/>
            <w:spacing w:before="0"/>
            <w:jc w:val="both"/>
            <w:textAlignment w:val="auto"/>
          </w:pPr>
          <w:r>
            <w:rPr>
              <w:color w:val="auto"/>
              <w:highlight w:val="none"/>
            </w:rPr>
            <w:fldChar w:fldCharType="begin"/>
          </w:r>
          <w:r>
            <w:rPr>
              <w:highlight w:val="none"/>
            </w:rPr>
            <w:instrText xml:space="preserve"> HYPERLINK \l _Toc16728 </w:instrText>
          </w:r>
          <w:r>
            <w:rPr>
              <w:highlight w:val="none"/>
            </w:rPr>
            <w:fldChar w:fldCharType="separate"/>
          </w:r>
          <w:r>
            <w:rPr>
              <w:rFonts w:hint="eastAsia" w:ascii="黑体" w:hAnsi="黑体" w:eastAsia="黑体"/>
              <w:highlight w:val="none"/>
            </w:rPr>
            <w:t xml:space="preserve">第一部分 </w:t>
          </w:r>
          <w:r>
            <w:rPr>
              <w:rFonts w:hint="eastAsia" w:ascii="黑体" w:hAnsi="黑体" w:eastAsia="黑体"/>
              <w:bCs w:val="0"/>
              <w:highlight w:val="none"/>
            </w:rPr>
            <w:t>部门概况</w:t>
          </w:r>
          <w:r>
            <w:tab/>
          </w:r>
          <w:r>
            <w:fldChar w:fldCharType="begin"/>
          </w:r>
          <w:r>
            <w:instrText xml:space="preserve"> PAGEREF _Toc16728 \h </w:instrText>
          </w:r>
          <w:r>
            <w:fldChar w:fldCharType="separate"/>
          </w:r>
          <w:r>
            <w:t>5</w:t>
          </w:r>
          <w:r>
            <w:fldChar w:fldCharType="end"/>
          </w:r>
          <w:r>
            <w:rPr>
              <w:color w:val="auto"/>
              <w:highlight w:val="none"/>
            </w:rPr>
            <w:fldChar w:fldCharType="end"/>
          </w:r>
        </w:p>
        <w:p>
          <w:pPr>
            <w:pStyle w:val="12"/>
            <w:keepNext w:val="0"/>
            <w:keepLines w:val="0"/>
            <w:pageBreakBefore w:val="0"/>
            <w:widowControl w:val="0"/>
            <w:tabs>
              <w:tab w:val="right" w:leader="dot" w:pos="8306"/>
              <w:tab w:val="clear" w:pos="8296"/>
            </w:tabs>
            <w:kinsoku/>
            <w:wordWrap/>
            <w:overflowPunct/>
            <w:topLinePunct w:val="0"/>
            <w:autoSpaceDE/>
            <w:autoSpaceDN/>
            <w:bidi w:val="0"/>
            <w:adjustRightInd/>
            <w:snapToGrid/>
            <w:textAlignment w:val="auto"/>
          </w:pPr>
          <w:r>
            <w:rPr>
              <w:color w:val="auto"/>
              <w:highlight w:val="none"/>
            </w:rPr>
            <w:fldChar w:fldCharType="begin"/>
          </w:r>
          <w:r>
            <w:rPr>
              <w:highlight w:val="none"/>
            </w:rPr>
            <w:instrText xml:space="preserve"> HYPERLINK \l _Toc15526 </w:instrText>
          </w:r>
          <w:r>
            <w:rPr>
              <w:highlight w:val="none"/>
            </w:rPr>
            <w:fldChar w:fldCharType="separate"/>
          </w:r>
          <w:r>
            <w:rPr>
              <w:rFonts w:hint="eastAsia" w:ascii="黑体" w:hAnsi="黑体" w:eastAsia="黑体"/>
              <w:highlight w:val="none"/>
            </w:rPr>
            <w:t>一、基</w:t>
          </w:r>
          <w:r>
            <w:rPr>
              <w:rFonts w:hint="eastAsia" w:ascii="黑体" w:hAnsi="黑体" w:eastAsia="黑体"/>
              <w:bCs w:val="0"/>
              <w:highlight w:val="none"/>
            </w:rPr>
            <w:t>本职能及主要工作</w:t>
          </w:r>
          <w:r>
            <w:tab/>
          </w:r>
          <w:r>
            <w:fldChar w:fldCharType="begin"/>
          </w:r>
          <w:r>
            <w:instrText xml:space="preserve"> PAGEREF _Toc15526 \h </w:instrText>
          </w:r>
          <w:r>
            <w:fldChar w:fldCharType="separate"/>
          </w:r>
          <w:r>
            <w:t>5</w:t>
          </w:r>
          <w:r>
            <w:fldChar w:fldCharType="end"/>
          </w:r>
          <w:r>
            <w:rPr>
              <w:color w:val="auto"/>
              <w:highlight w:val="none"/>
            </w:rPr>
            <w:fldChar w:fldCharType="end"/>
          </w:r>
        </w:p>
        <w:p>
          <w:pPr>
            <w:pStyle w:val="7"/>
            <w:keepNext w:val="0"/>
            <w:keepLines w:val="0"/>
            <w:pageBreakBefore w:val="0"/>
            <w:widowControl w:val="0"/>
            <w:tabs>
              <w:tab w:val="right" w:leader="dot" w:pos="8306"/>
              <w:tab w:val="clear" w:pos="8296"/>
            </w:tabs>
            <w:kinsoku/>
            <w:wordWrap/>
            <w:overflowPunct/>
            <w:topLinePunct w:val="0"/>
            <w:autoSpaceDE/>
            <w:autoSpaceDN/>
            <w:bidi w:val="0"/>
            <w:adjustRightInd/>
            <w:snapToGrid/>
            <w:textAlignment w:val="auto"/>
          </w:pPr>
          <w:r>
            <w:rPr>
              <w:color w:val="auto"/>
              <w:highlight w:val="none"/>
            </w:rPr>
            <w:fldChar w:fldCharType="begin"/>
          </w:r>
          <w:r>
            <w:rPr>
              <w:highlight w:val="none"/>
            </w:rPr>
            <w:instrText xml:space="preserve"> HYPERLINK \l _Toc31273 </w:instrText>
          </w:r>
          <w:r>
            <w:rPr>
              <w:highlight w:val="none"/>
            </w:rPr>
            <w:fldChar w:fldCharType="separate"/>
          </w:r>
          <w:r>
            <w:rPr>
              <w:rFonts w:hint="eastAsia" w:ascii="仿宋" w:hAnsi="仿宋" w:eastAsia="仿宋"/>
              <w:bCs/>
              <w:szCs w:val="32"/>
              <w:highlight w:val="none"/>
            </w:rPr>
            <w:t>（一）主要职能</w:t>
          </w:r>
          <w:r>
            <w:tab/>
          </w:r>
          <w:r>
            <w:fldChar w:fldCharType="begin"/>
          </w:r>
          <w:r>
            <w:instrText xml:space="preserve"> PAGEREF _Toc31273 \h </w:instrText>
          </w:r>
          <w:r>
            <w:fldChar w:fldCharType="separate"/>
          </w:r>
          <w:r>
            <w:t>5</w:t>
          </w:r>
          <w:r>
            <w:fldChar w:fldCharType="end"/>
          </w:r>
          <w:r>
            <w:rPr>
              <w:color w:val="auto"/>
              <w:highlight w:val="none"/>
            </w:rPr>
            <w:fldChar w:fldCharType="end"/>
          </w:r>
        </w:p>
        <w:p>
          <w:pPr>
            <w:pStyle w:val="7"/>
            <w:keepNext w:val="0"/>
            <w:keepLines w:val="0"/>
            <w:pageBreakBefore w:val="0"/>
            <w:widowControl w:val="0"/>
            <w:tabs>
              <w:tab w:val="right" w:leader="dot" w:pos="8306"/>
              <w:tab w:val="clear" w:pos="8296"/>
            </w:tabs>
            <w:kinsoku/>
            <w:wordWrap/>
            <w:overflowPunct/>
            <w:topLinePunct w:val="0"/>
            <w:autoSpaceDE/>
            <w:autoSpaceDN/>
            <w:bidi w:val="0"/>
            <w:adjustRightInd/>
            <w:snapToGrid/>
            <w:textAlignment w:val="auto"/>
          </w:pPr>
          <w:r>
            <w:rPr>
              <w:color w:val="auto"/>
              <w:highlight w:val="none"/>
            </w:rPr>
            <w:fldChar w:fldCharType="begin"/>
          </w:r>
          <w:r>
            <w:rPr>
              <w:highlight w:val="none"/>
            </w:rPr>
            <w:instrText xml:space="preserve"> HYPERLINK \l _Toc19870 </w:instrText>
          </w:r>
          <w:r>
            <w:rPr>
              <w:highlight w:val="none"/>
            </w:rPr>
            <w:fldChar w:fldCharType="separate"/>
          </w:r>
          <w:r>
            <w:rPr>
              <w:rFonts w:hint="eastAsia" w:ascii="仿宋" w:hAnsi="仿宋" w:eastAsia="仿宋"/>
              <w:bCs/>
              <w:szCs w:val="32"/>
              <w:highlight w:val="none"/>
            </w:rPr>
            <w:t>（二）</w:t>
          </w:r>
          <w:r>
            <w:rPr>
              <w:rFonts w:ascii="仿宋" w:hAnsi="仿宋" w:eastAsia="仿宋"/>
              <w:bCs/>
              <w:szCs w:val="32"/>
              <w:highlight w:val="none"/>
            </w:rPr>
            <w:t>20</w:t>
          </w:r>
          <w:r>
            <w:rPr>
              <w:rFonts w:hint="eastAsia" w:ascii="仿宋" w:hAnsi="仿宋" w:eastAsia="仿宋"/>
              <w:bCs/>
              <w:szCs w:val="32"/>
              <w:highlight w:val="none"/>
              <w:lang w:val="en-US" w:eastAsia="zh-CN"/>
            </w:rPr>
            <w:t>22</w:t>
          </w:r>
          <w:r>
            <w:rPr>
              <w:rFonts w:hint="eastAsia" w:ascii="仿宋" w:hAnsi="仿宋" w:eastAsia="仿宋"/>
              <w:bCs/>
              <w:szCs w:val="32"/>
              <w:highlight w:val="none"/>
            </w:rPr>
            <w:t>年重点工作完成情况</w:t>
          </w:r>
          <w:r>
            <w:tab/>
          </w:r>
          <w:r>
            <w:fldChar w:fldCharType="begin"/>
          </w:r>
          <w:r>
            <w:instrText xml:space="preserve"> PAGEREF _Toc19870 \h </w:instrText>
          </w:r>
          <w:r>
            <w:fldChar w:fldCharType="separate"/>
          </w:r>
          <w:r>
            <w:t>11</w:t>
          </w:r>
          <w:r>
            <w:fldChar w:fldCharType="end"/>
          </w:r>
          <w:r>
            <w:rPr>
              <w:color w:val="auto"/>
              <w:highlight w:val="none"/>
            </w:rPr>
            <w:fldChar w:fldCharType="end"/>
          </w:r>
        </w:p>
        <w:p>
          <w:pPr>
            <w:pStyle w:val="12"/>
            <w:keepNext w:val="0"/>
            <w:keepLines w:val="0"/>
            <w:pageBreakBefore w:val="0"/>
            <w:widowControl w:val="0"/>
            <w:tabs>
              <w:tab w:val="right" w:leader="dot" w:pos="8306"/>
              <w:tab w:val="clear" w:pos="8296"/>
            </w:tabs>
            <w:kinsoku/>
            <w:wordWrap/>
            <w:overflowPunct/>
            <w:topLinePunct w:val="0"/>
            <w:autoSpaceDE/>
            <w:autoSpaceDN/>
            <w:bidi w:val="0"/>
            <w:adjustRightInd/>
            <w:snapToGrid/>
            <w:textAlignment w:val="auto"/>
          </w:pPr>
          <w:r>
            <w:rPr>
              <w:color w:val="auto"/>
              <w:highlight w:val="none"/>
            </w:rPr>
            <w:fldChar w:fldCharType="begin"/>
          </w:r>
          <w:r>
            <w:rPr>
              <w:highlight w:val="none"/>
            </w:rPr>
            <w:instrText xml:space="preserve"> HYPERLINK \l _Toc10365 </w:instrText>
          </w:r>
          <w:r>
            <w:rPr>
              <w:highlight w:val="none"/>
            </w:rPr>
            <w:fldChar w:fldCharType="separate"/>
          </w:r>
          <w:r>
            <w:rPr>
              <w:rFonts w:hint="eastAsia" w:ascii="黑体" w:eastAsia="黑体"/>
              <w:highlight w:val="none"/>
            </w:rPr>
            <w:t>二、</w:t>
          </w:r>
          <w:r>
            <w:rPr>
              <w:rFonts w:hint="eastAsia" w:ascii="黑体" w:hAnsi="黑体" w:eastAsia="黑体"/>
              <w:highlight w:val="none"/>
            </w:rPr>
            <w:t>机</w:t>
          </w:r>
          <w:r>
            <w:rPr>
              <w:rFonts w:hint="eastAsia" w:ascii="黑体" w:hAnsi="黑体" w:eastAsia="黑体"/>
              <w:bCs w:val="0"/>
              <w:highlight w:val="none"/>
            </w:rPr>
            <w:t>构设置</w:t>
          </w:r>
          <w:r>
            <w:tab/>
          </w:r>
          <w:r>
            <w:fldChar w:fldCharType="begin"/>
          </w:r>
          <w:r>
            <w:instrText xml:space="preserve"> PAGEREF _Toc10365 \h </w:instrText>
          </w:r>
          <w:r>
            <w:fldChar w:fldCharType="separate"/>
          </w:r>
          <w:r>
            <w:t>14</w:t>
          </w:r>
          <w:r>
            <w:fldChar w:fldCharType="end"/>
          </w:r>
          <w:r>
            <w:rPr>
              <w:color w:val="auto"/>
              <w:highlight w:val="none"/>
            </w:rPr>
            <w:fldChar w:fldCharType="end"/>
          </w:r>
        </w:p>
        <w:p>
          <w:pPr>
            <w:pStyle w:val="11"/>
            <w:keepNext w:val="0"/>
            <w:keepLines w:val="0"/>
            <w:pageBreakBefore w:val="0"/>
            <w:widowControl w:val="0"/>
            <w:tabs>
              <w:tab w:val="right" w:leader="dot" w:pos="8306"/>
              <w:tab w:val="clear" w:pos="8296"/>
            </w:tabs>
            <w:kinsoku/>
            <w:wordWrap/>
            <w:overflowPunct/>
            <w:topLinePunct w:val="0"/>
            <w:autoSpaceDE/>
            <w:autoSpaceDN/>
            <w:bidi w:val="0"/>
            <w:adjustRightInd/>
            <w:snapToGrid/>
            <w:spacing w:before="0"/>
            <w:textAlignment w:val="auto"/>
          </w:pPr>
          <w:r>
            <w:rPr>
              <w:color w:val="auto"/>
              <w:highlight w:val="none"/>
            </w:rPr>
            <w:fldChar w:fldCharType="begin"/>
          </w:r>
          <w:r>
            <w:rPr>
              <w:highlight w:val="none"/>
            </w:rPr>
            <w:instrText xml:space="preserve"> HYPERLINK \l _Toc20819 </w:instrText>
          </w:r>
          <w:r>
            <w:rPr>
              <w:highlight w:val="none"/>
            </w:rPr>
            <w:fldChar w:fldCharType="separate"/>
          </w:r>
          <w:r>
            <w:rPr>
              <w:rFonts w:hint="eastAsia" w:ascii="黑体" w:hAnsi="黑体" w:eastAsia="黑体"/>
              <w:bCs/>
              <w:highlight w:val="none"/>
            </w:rPr>
            <w:t xml:space="preserve">第二部分 </w:t>
          </w:r>
          <w:r>
            <w:rPr>
              <w:rFonts w:hint="eastAsia" w:ascii="黑体" w:hAnsi="黑体" w:eastAsia="黑体"/>
              <w:bCs/>
              <w:highlight w:val="none"/>
              <w:lang w:val="en-US" w:eastAsia="zh-CN"/>
            </w:rPr>
            <w:t>2022年度</w:t>
          </w:r>
          <w:r>
            <w:rPr>
              <w:rFonts w:hint="eastAsia" w:ascii="黑体" w:hAnsi="黑体" w:eastAsia="黑体"/>
              <w:bCs/>
              <w:highlight w:val="none"/>
            </w:rPr>
            <w:t>部门决算情况说明</w:t>
          </w:r>
          <w:r>
            <w:tab/>
          </w:r>
          <w:r>
            <w:fldChar w:fldCharType="begin"/>
          </w:r>
          <w:r>
            <w:instrText xml:space="preserve"> PAGEREF _Toc20819 \h </w:instrText>
          </w:r>
          <w:r>
            <w:fldChar w:fldCharType="separate"/>
          </w:r>
          <w:r>
            <w:t>15</w:t>
          </w:r>
          <w:r>
            <w:fldChar w:fldCharType="end"/>
          </w:r>
          <w:r>
            <w:rPr>
              <w:color w:val="auto"/>
              <w:highlight w:val="none"/>
            </w:rPr>
            <w:fldChar w:fldCharType="end"/>
          </w:r>
        </w:p>
        <w:p>
          <w:pPr>
            <w:pStyle w:val="12"/>
            <w:keepNext w:val="0"/>
            <w:keepLines w:val="0"/>
            <w:pageBreakBefore w:val="0"/>
            <w:widowControl w:val="0"/>
            <w:tabs>
              <w:tab w:val="right" w:leader="dot" w:pos="8306"/>
              <w:tab w:val="clear" w:pos="8296"/>
            </w:tabs>
            <w:kinsoku/>
            <w:wordWrap/>
            <w:overflowPunct/>
            <w:topLinePunct w:val="0"/>
            <w:autoSpaceDE/>
            <w:autoSpaceDN/>
            <w:bidi w:val="0"/>
            <w:adjustRightInd/>
            <w:snapToGrid/>
            <w:textAlignment w:val="auto"/>
          </w:pPr>
          <w:r>
            <w:rPr>
              <w:color w:val="auto"/>
              <w:highlight w:val="none"/>
            </w:rPr>
            <w:fldChar w:fldCharType="begin"/>
          </w:r>
          <w:r>
            <w:rPr>
              <w:highlight w:val="none"/>
            </w:rPr>
            <w:instrText xml:space="preserve"> HYPERLINK \l _Toc3855 </w:instrText>
          </w:r>
          <w:r>
            <w:rPr>
              <w:highlight w:val="none"/>
            </w:rPr>
            <w:fldChar w:fldCharType="separate"/>
          </w:r>
          <w:r>
            <w:rPr>
              <w:rFonts w:hint="default" w:ascii="黑体" w:hAnsi="黑体" w:eastAsia="黑体"/>
            </w:rPr>
            <w:t xml:space="preserve">一、 </w:t>
          </w:r>
          <w:r>
            <w:rPr>
              <w:rFonts w:hint="eastAsia" w:ascii="黑体" w:hAnsi="黑体" w:eastAsia="黑体"/>
              <w:szCs w:val="32"/>
              <w:highlight w:val="none"/>
            </w:rPr>
            <w:t>收</w:t>
          </w:r>
          <w:r>
            <w:rPr>
              <w:rFonts w:hint="eastAsia" w:ascii="黑体" w:hAnsi="黑体" w:eastAsia="黑体"/>
              <w:highlight w:val="none"/>
            </w:rPr>
            <w:t>入支出决算总体情况说明</w:t>
          </w:r>
          <w:r>
            <w:tab/>
          </w:r>
          <w:r>
            <w:fldChar w:fldCharType="begin"/>
          </w:r>
          <w:r>
            <w:instrText xml:space="preserve"> PAGEREF _Toc3855 \h </w:instrText>
          </w:r>
          <w:r>
            <w:fldChar w:fldCharType="separate"/>
          </w:r>
          <w:r>
            <w:t>15</w:t>
          </w:r>
          <w:r>
            <w:fldChar w:fldCharType="end"/>
          </w:r>
          <w:r>
            <w:rPr>
              <w:color w:val="auto"/>
              <w:highlight w:val="none"/>
            </w:rPr>
            <w:fldChar w:fldCharType="end"/>
          </w:r>
        </w:p>
        <w:p>
          <w:pPr>
            <w:pStyle w:val="12"/>
            <w:keepNext w:val="0"/>
            <w:keepLines w:val="0"/>
            <w:pageBreakBefore w:val="0"/>
            <w:widowControl w:val="0"/>
            <w:tabs>
              <w:tab w:val="right" w:leader="dot" w:pos="8306"/>
              <w:tab w:val="clear" w:pos="8296"/>
            </w:tabs>
            <w:kinsoku/>
            <w:wordWrap/>
            <w:overflowPunct/>
            <w:topLinePunct w:val="0"/>
            <w:autoSpaceDE/>
            <w:autoSpaceDN/>
            <w:bidi w:val="0"/>
            <w:adjustRightInd/>
            <w:snapToGrid/>
            <w:textAlignment w:val="auto"/>
          </w:pPr>
          <w:r>
            <w:rPr>
              <w:color w:val="auto"/>
              <w:highlight w:val="none"/>
            </w:rPr>
            <w:fldChar w:fldCharType="begin"/>
          </w:r>
          <w:r>
            <w:rPr>
              <w:highlight w:val="none"/>
            </w:rPr>
            <w:instrText xml:space="preserve"> HYPERLINK \l _Toc1489 </w:instrText>
          </w:r>
          <w:r>
            <w:rPr>
              <w:highlight w:val="none"/>
            </w:rPr>
            <w:fldChar w:fldCharType="separate"/>
          </w:r>
          <w:r>
            <w:rPr>
              <w:rFonts w:hint="default" w:ascii="黑体" w:hAnsi="黑体" w:eastAsia="黑体"/>
            </w:rPr>
            <w:t xml:space="preserve">二、 </w:t>
          </w:r>
          <w:r>
            <w:rPr>
              <w:rFonts w:hint="eastAsia" w:ascii="黑体" w:hAnsi="黑体" w:eastAsia="黑体"/>
              <w:szCs w:val="32"/>
              <w:highlight w:val="none"/>
            </w:rPr>
            <w:t>收</w:t>
          </w:r>
          <w:r>
            <w:rPr>
              <w:rFonts w:hint="eastAsia" w:ascii="黑体" w:hAnsi="黑体" w:eastAsia="黑体"/>
              <w:highlight w:val="none"/>
            </w:rPr>
            <w:t>入决算情况说明</w:t>
          </w:r>
          <w:r>
            <w:tab/>
          </w:r>
          <w:r>
            <w:fldChar w:fldCharType="begin"/>
          </w:r>
          <w:r>
            <w:instrText xml:space="preserve"> PAGEREF _Toc1489 \h </w:instrText>
          </w:r>
          <w:r>
            <w:fldChar w:fldCharType="separate"/>
          </w:r>
          <w:r>
            <w:t>15</w:t>
          </w:r>
          <w:r>
            <w:fldChar w:fldCharType="end"/>
          </w:r>
          <w:r>
            <w:rPr>
              <w:color w:val="auto"/>
              <w:highlight w:val="none"/>
            </w:rPr>
            <w:fldChar w:fldCharType="end"/>
          </w:r>
        </w:p>
        <w:p>
          <w:pPr>
            <w:pStyle w:val="12"/>
            <w:keepNext w:val="0"/>
            <w:keepLines w:val="0"/>
            <w:pageBreakBefore w:val="0"/>
            <w:widowControl w:val="0"/>
            <w:tabs>
              <w:tab w:val="right" w:leader="dot" w:pos="8306"/>
              <w:tab w:val="clear" w:pos="8296"/>
            </w:tabs>
            <w:kinsoku/>
            <w:wordWrap/>
            <w:overflowPunct/>
            <w:topLinePunct w:val="0"/>
            <w:autoSpaceDE/>
            <w:autoSpaceDN/>
            <w:bidi w:val="0"/>
            <w:adjustRightInd/>
            <w:snapToGrid/>
            <w:textAlignment w:val="auto"/>
          </w:pPr>
          <w:r>
            <w:rPr>
              <w:color w:val="auto"/>
              <w:highlight w:val="none"/>
            </w:rPr>
            <w:fldChar w:fldCharType="begin"/>
          </w:r>
          <w:r>
            <w:rPr>
              <w:highlight w:val="none"/>
            </w:rPr>
            <w:instrText xml:space="preserve"> HYPERLINK \l _Toc11827 </w:instrText>
          </w:r>
          <w:r>
            <w:rPr>
              <w:highlight w:val="none"/>
            </w:rPr>
            <w:fldChar w:fldCharType="separate"/>
          </w:r>
          <w:r>
            <w:rPr>
              <w:rFonts w:hint="default" w:ascii="黑体" w:hAnsi="黑体" w:eastAsia="黑体"/>
            </w:rPr>
            <w:t xml:space="preserve">三、 </w:t>
          </w:r>
          <w:r>
            <w:rPr>
              <w:rFonts w:hint="eastAsia" w:ascii="黑体" w:hAnsi="黑体" w:eastAsia="黑体"/>
              <w:szCs w:val="32"/>
              <w:highlight w:val="none"/>
            </w:rPr>
            <w:t>支</w:t>
          </w:r>
          <w:r>
            <w:rPr>
              <w:rFonts w:hint="eastAsia" w:ascii="黑体" w:hAnsi="黑体" w:eastAsia="黑体"/>
              <w:highlight w:val="none"/>
            </w:rPr>
            <w:t>出决算情况说明</w:t>
          </w:r>
          <w:r>
            <w:tab/>
          </w:r>
          <w:r>
            <w:fldChar w:fldCharType="begin"/>
          </w:r>
          <w:r>
            <w:instrText xml:space="preserve"> PAGEREF _Toc11827 \h </w:instrText>
          </w:r>
          <w:r>
            <w:fldChar w:fldCharType="separate"/>
          </w:r>
          <w:r>
            <w:t>16</w:t>
          </w:r>
          <w:r>
            <w:fldChar w:fldCharType="end"/>
          </w:r>
          <w:r>
            <w:rPr>
              <w:color w:val="auto"/>
              <w:highlight w:val="none"/>
            </w:rPr>
            <w:fldChar w:fldCharType="end"/>
          </w:r>
        </w:p>
        <w:p>
          <w:pPr>
            <w:pStyle w:val="12"/>
            <w:keepNext w:val="0"/>
            <w:keepLines w:val="0"/>
            <w:pageBreakBefore w:val="0"/>
            <w:widowControl w:val="0"/>
            <w:tabs>
              <w:tab w:val="right" w:leader="dot" w:pos="8306"/>
              <w:tab w:val="clear" w:pos="8296"/>
            </w:tabs>
            <w:kinsoku/>
            <w:wordWrap/>
            <w:overflowPunct/>
            <w:topLinePunct w:val="0"/>
            <w:autoSpaceDE/>
            <w:autoSpaceDN/>
            <w:bidi w:val="0"/>
            <w:adjustRightInd/>
            <w:snapToGrid/>
            <w:textAlignment w:val="auto"/>
          </w:pPr>
          <w:r>
            <w:rPr>
              <w:color w:val="auto"/>
              <w:highlight w:val="none"/>
            </w:rPr>
            <w:fldChar w:fldCharType="begin"/>
          </w:r>
          <w:r>
            <w:rPr>
              <w:highlight w:val="none"/>
            </w:rPr>
            <w:instrText xml:space="preserve"> HYPERLINK \l _Toc26469 </w:instrText>
          </w:r>
          <w:r>
            <w:rPr>
              <w:highlight w:val="none"/>
            </w:rPr>
            <w:fldChar w:fldCharType="separate"/>
          </w:r>
          <w:r>
            <w:rPr>
              <w:rFonts w:hint="eastAsia" w:ascii="黑体" w:hAnsi="黑体" w:eastAsia="黑体"/>
              <w:szCs w:val="32"/>
              <w:highlight w:val="none"/>
            </w:rPr>
            <w:t>四、财</w:t>
          </w:r>
          <w:r>
            <w:rPr>
              <w:rFonts w:hint="eastAsia" w:ascii="黑体" w:hAnsi="黑体" w:eastAsia="黑体"/>
              <w:highlight w:val="none"/>
            </w:rPr>
            <w:t>政拨款收入支出决算总体情况说明</w:t>
          </w:r>
          <w:r>
            <w:tab/>
          </w:r>
          <w:r>
            <w:fldChar w:fldCharType="begin"/>
          </w:r>
          <w:r>
            <w:instrText xml:space="preserve"> PAGEREF _Toc26469 \h </w:instrText>
          </w:r>
          <w:r>
            <w:fldChar w:fldCharType="separate"/>
          </w:r>
          <w:r>
            <w:t>17</w:t>
          </w:r>
          <w:r>
            <w:fldChar w:fldCharType="end"/>
          </w:r>
          <w:r>
            <w:rPr>
              <w:color w:val="auto"/>
              <w:highlight w:val="none"/>
            </w:rPr>
            <w:fldChar w:fldCharType="end"/>
          </w:r>
        </w:p>
        <w:p>
          <w:pPr>
            <w:pStyle w:val="12"/>
            <w:keepNext w:val="0"/>
            <w:keepLines w:val="0"/>
            <w:pageBreakBefore w:val="0"/>
            <w:widowControl w:val="0"/>
            <w:tabs>
              <w:tab w:val="right" w:leader="dot" w:pos="8306"/>
              <w:tab w:val="clear" w:pos="8296"/>
            </w:tabs>
            <w:kinsoku/>
            <w:wordWrap/>
            <w:overflowPunct/>
            <w:topLinePunct w:val="0"/>
            <w:autoSpaceDE/>
            <w:autoSpaceDN/>
            <w:bidi w:val="0"/>
            <w:adjustRightInd/>
            <w:snapToGrid/>
            <w:textAlignment w:val="auto"/>
          </w:pPr>
          <w:r>
            <w:rPr>
              <w:color w:val="auto"/>
              <w:highlight w:val="none"/>
            </w:rPr>
            <w:fldChar w:fldCharType="begin"/>
          </w:r>
          <w:r>
            <w:rPr>
              <w:highlight w:val="none"/>
            </w:rPr>
            <w:instrText xml:space="preserve"> HYPERLINK \l _Toc2550 </w:instrText>
          </w:r>
          <w:r>
            <w:rPr>
              <w:highlight w:val="none"/>
            </w:rPr>
            <w:fldChar w:fldCharType="separate"/>
          </w:r>
          <w:r>
            <w:rPr>
              <w:rFonts w:hint="eastAsia" w:ascii="黑体" w:hAnsi="黑体" w:eastAsia="黑体"/>
              <w:szCs w:val="32"/>
              <w:highlight w:val="none"/>
            </w:rPr>
            <w:t>五、一</w:t>
          </w:r>
          <w:r>
            <w:rPr>
              <w:rFonts w:hint="eastAsia" w:ascii="黑体" w:hAnsi="黑体" w:eastAsia="黑体"/>
              <w:highlight w:val="none"/>
            </w:rPr>
            <w:t>般公共预算财政拨款支出决算情况说明</w:t>
          </w:r>
          <w:r>
            <w:tab/>
          </w:r>
          <w:r>
            <w:fldChar w:fldCharType="begin"/>
          </w:r>
          <w:r>
            <w:instrText xml:space="preserve"> PAGEREF _Toc2550 \h </w:instrText>
          </w:r>
          <w:r>
            <w:fldChar w:fldCharType="separate"/>
          </w:r>
          <w:r>
            <w:t>17</w:t>
          </w:r>
          <w:r>
            <w:fldChar w:fldCharType="end"/>
          </w:r>
          <w:r>
            <w:rPr>
              <w:color w:val="auto"/>
              <w:highlight w:val="none"/>
            </w:rPr>
            <w:fldChar w:fldCharType="end"/>
          </w:r>
        </w:p>
        <w:p>
          <w:pPr>
            <w:pStyle w:val="7"/>
            <w:keepNext w:val="0"/>
            <w:keepLines w:val="0"/>
            <w:pageBreakBefore w:val="0"/>
            <w:widowControl w:val="0"/>
            <w:tabs>
              <w:tab w:val="right" w:leader="dot" w:pos="8306"/>
              <w:tab w:val="clear" w:pos="8296"/>
            </w:tabs>
            <w:kinsoku/>
            <w:wordWrap/>
            <w:overflowPunct/>
            <w:topLinePunct w:val="0"/>
            <w:autoSpaceDE/>
            <w:autoSpaceDN/>
            <w:bidi w:val="0"/>
            <w:adjustRightInd/>
            <w:snapToGrid/>
            <w:textAlignment w:val="auto"/>
          </w:pPr>
          <w:r>
            <w:rPr>
              <w:color w:val="auto"/>
              <w:highlight w:val="none"/>
            </w:rPr>
            <w:fldChar w:fldCharType="begin"/>
          </w:r>
          <w:r>
            <w:rPr>
              <w:highlight w:val="none"/>
            </w:rPr>
            <w:instrText xml:space="preserve"> HYPERLINK \l _Toc23954 </w:instrText>
          </w:r>
          <w:r>
            <w:rPr>
              <w:highlight w:val="none"/>
            </w:rPr>
            <w:fldChar w:fldCharType="separate"/>
          </w:r>
          <w:r>
            <w:rPr>
              <w:rFonts w:hint="eastAsia" w:ascii="仿宋" w:hAnsi="仿宋" w:eastAsia="仿宋"/>
              <w:szCs w:val="32"/>
              <w:highlight w:val="none"/>
            </w:rPr>
            <w:t>（一）一般公共预算财政拨款支出决算总体情况</w:t>
          </w:r>
          <w:r>
            <w:tab/>
          </w:r>
          <w:r>
            <w:fldChar w:fldCharType="begin"/>
          </w:r>
          <w:r>
            <w:instrText xml:space="preserve"> PAGEREF _Toc23954 \h </w:instrText>
          </w:r>
          <w:r>
            <w:fldChar w:fldCharType="separate"/>
          </w:r>
          <w:r>
            <w:t>17</w:t>
          </w:r>
          <w:r>
            <w:fldChar w:fldCharType="end"/>
          </w:r>
          <w:r>
            <w:rPr>
              <w:color w:val="auto"/>
              <w:highlight w:val="none"/>
            </w:rPr>
            <w:fldChar w:fldCharType="end"/>
          </w:r>
        </w:p>
        <w:p>
          <w:pPr>
            <w:pStyle w:val="7"/>
            <w:keepNext w:val="0"/>
            <w:keepLines w:val="0"/>
            <w:pageBreakBefore w:val="0"/>
            <w:widowControl w:val="0"/>
            <w:tabs>
              <w:tab w:val="right" w:leader="dot" w:pos="8306"/>
              <w:tab w:val="clear" w:pos="8296"/>
            </w:tabs>
            <w:kinsoku/>
            <w:wordWrap/>
            <w:overflowPunct/>
            <w:topLinePunct w:val="0"/>
            <w:autoSpaceDE/>
            <w:autoSpaceDN/>
            <w:bidi w:val="0"/>
            <w:adjustRightInd/>
            <w:snapToGrid/>
            <w:textAlignment w:val="auto"/>
          </w:pPr>
          <w:r>
            <w:rPr>
              <w:color w:val="auto"/>
              <w:highlight w:val="none"/>
            </w:rPr>
            <w:fldChar w:fldCharType="begin"/>
          </w:r>
          <w:r>
            <w:rPr>
              <w:highlight w:val="none"/>
            </w:rPr>
            <w:instrText xml:space="preserve"> HYPERLINK \l _Toc10117 </w:instrText>
          </w:r>
          <w:r>
            <w:rPr>
              <w:highlight w:val="none"/>
            </w:rPr>
            <w:fldChar w:fldCharType="separate"/>
          </w:r>
          <w:r>
            <w:rPr>
              <w:rFonts w:hint="eastAsia" w:ascii="仿宋" w:hAnsi="仿宋" w:eastAsia="仿宋"/>
              <w:szCs w:val="32"/>
              <w:highlight w:val="none"/>
            </w:rPr>
            <w:t>（二）一般公共预算财政拨款支出决算结构情况</w:t>
          </w:r>
          <w:r>
            <w:tab/>
          </w:r>
          <w:r>
            <w:fldChar w:fldCharType="begin"/>
          </w:r>
          <w:r>
            <w:instrText xml:space="preserve"> PAGEREF _Toc10117 \h </w:instrText>
          </w:r>
          <w:r>
            <w:fldChar w:fldCharType="separate"/>
          </w:r>
          <w:r>
            <w:t>18</w:t>
          </w:r>
          <w:r>
            <w:fldChar w:fldCharType="end"/>
          </w:r>
          <w:r>
            <w:rPr>
              <w:color w:val="auto"/>
              <w:highlight w:val="none"/>
            </w:rPr>
            <w:fldChar w:fldCharType="end"/>
          </w:r>
        </w:p>
        <w:p>
          <w:pPr>
            <w:pStyle w:val="7"/>
            <w:keepNext w:val="0"/>
            <w:keepLines w:val="0"/>
            <w:pageBreakBefore w:val="0"/>
            <w:widowControl w:val="0"/>
            <w:tabs>
              <w:tab w:val="right" w:leader="dot" w:pos="8306"/>
              <w:tab w:val="clear" w:pos="8296"/>
            </w:tabs>
            <w:kinsoku/>
            <w:wordWrap/>
            <w:overflowPunct/>
            <w:topLinePunct w:val="0"/>
            <w:autoSpaceDE/>
            <w:autoSpaceDN/>
            <w:bidi w:val="0"/>
            <w:adjustRightInd/>
            <w:snapToGrid/>
            <w:textAlignment w:val="auto"/>
          </w:pPr>
          <w:r>
            <w:rPr>
              <w:color w:val="auto"/>
              <w:highlight w:val="none"/>
            </w:rPr>
            <w:fldChar w:fldCharType="begin"/>
          </w:r>
          <w:r>
            <w:rPr>
              <w:highlight w:val="none"/>
            </w:rPr>
            <w:instrText xml:space="preserve"> HYPERLINK \l _Toc22344 </w:instrText>
          </w:r>
          <w:r>
            <w:rPr>
              <w:highlight w:val="none"/>
            </w:rPr>
            <w:fldChar w:fldCharType="separate"/>
          </w:r>
          <w:r>
            <w:rPr>
              <w:rFonts w:hint="eastAsia" w:ascii="仿宋" w:hAnsi="仿宋" w:eastAsia="仿宋"/>
              <w:szCs w:val="32"/>
              <w:highlight w:val="none"/>
            </w:rPr>
            <w:t>（三）一般公共预算财政拨款支出决算具体情况</w:t>
          </w:r>
          <w:r>
            <w:tab/>
          </w:r>
          <w:r>
            <w:fldChar w:fldCharType="begin"/>
          </w:r>
          <w:r>
            <w:instrText xml:space="preserve"> PAGEREF _Toc22344 \h </w:instrText>
          </w:r>
          <w:r>
            <w:fldChar w:fldCharType="separate"/>
          </w:r>
          <w:r>
            <w:t>19</w:t>
          </w:r>
          <w:r>
            <w:fldChar w:fldCharType="end"/>
          </w:r>
          <w:r>
            <w:rPr>
              <w:color w:val="auto"/>
              <w:highlight w:val="none"/>
            </w:rPr>
            <w:fldChar w:fldCharType="end"/>
          </w:r>
        </w:p>
        <w:p>
          <w:pPr>
            <w:pStyle w:val="12"/>
            <w:keepNext w:val="0"/>
            <w:keepLines w:val="0"/>
            <w:pageBreakBefore w:val="0"/>
            <w:widowControl w:val="0"/>
            <w:tabs>
              <w:tab w:val="right" w:leader="dot" w:pos="8306"/>
              <w:tab w:val="clear" w:pos="8296"/>
            </w:tabs>
            <w:kinsoku/>
            <w:wordWrap/>
            <w:overflowPunct/>
            <w:topLinePunct w:val="0"/>
            <w:autoSpaceDE/>
            <w:autoSpaceDN/>
            <w:bidi w:val="0"/>
            <w:adjustRightInd/>
            <w:snapToGrid/>
            <w:textAlignment w:val="auto"/>
          </w:pPr>
          <w:r>
            <w:rPr>
              <w:color w:val="auto"/>
              <w:highlight w:val="none"/>
            </w:rPr>
            <w:fldChar w:fldCharType="begin"/>
          </w:r>
          <w:r>
            <w:rPr>
              <w:highlight w:val="none"/>
            </w:rPr>
            <w:instrText xml:space="preserve"> HYPERLINK \l _Toc8340 </w:instrText>
          </w:r>
          <w:r>
            <w:rPr>
              <w:highlight w:val="none"/>
            </w:rPr>
            <w:fldChar w:fldCharType="separate"/>
          </w:r>
          <w:r>
            <w:rPr>
              <w:rFonts w:hint="eastAsia" w:ascii="黑体" w:eastAsia="黑体"/>
              <w:szCs w:val="32"/>
              <w:highlight w:val="none"/>
            </w:rPr>
            <w:t>六、</w:t>
          </w:r>
          <w:r>
            <w:rPr>
              <w:rFonts w:hint="eastAsia" w:ascii="黑体" w:hAnsi="黑体" w:eastAsia="黑体"/>
              <w:szCs w:val="32"/>
              <w:highlight w:val="none"/>
            </w:rPr>
            <w:t>一</w:t>
          </w:r>
          <w:r>
            <w:rPr>
              <w:rFonts w:hint="eastAsia" w:ascii="黑体" w:hAnsi="黑体" w:eastAsia="黑体"/>
              <w:highlight w:val="none"/>
            </w:rPr>
            <w:t>般公共预算财政拨款基本支出决算情况说明</w:t>
          </w:r>
          <w:r>
            <w:tab/>
          </w:r>
          <w:r>
            <w:fldChar w:fldCharType="begin"/>
          </w:r>
          <w:r>
            <w:instrText xml:space="preserve"> PAGEREF _Toc8340 \h </w:instrText>
          </w:r>
          <w:r>
            <w:fldChar w:fldCharType="separate"/>
          </w:r>
          <w:r>
            <w:t>20</w:t>
          </w:r>
          <w:r>
            <w:fldChar w:fldCharType="end"/>
          </w:r>
          <w:r>
            <w:rPr>
              <w:color w:val="auto"/>
              <w:highlight w:val="none"/>
            </w:rPr>
            <w:fldChar w:fldCharType="end"/>
          </w:r>
        </w:p>
        <w:p>
          <w:pPr>
            <w:pStyle w:val="12"/>
            <w:keepNext w:val="0"/>
            <w:keepLines w:val="0"/>
            <w:pageBreakBefore w:val="0"/>
            <w:widowControl w:val="0"/>
            <w:tabs>
              <w:tab w:val="right" w:leader="dot" w:pos="8306"/>
              <w:tab w:val="clear" w:pos="8296"/>
            </w:tabs>
            <w:kinsoku/>
            <w:wordWrap/>
            <w:overflowPunct/>
            <w:topLinePunct w:val="0"/>
            <w:autoSpaceDE/>
            <w:autoSpaceDN/>
            <w:bidi w:val="0"/>
            <w:adjustRightInd/>
            <w:snapToGrid/>
            <w:textAlignment w:val="auto"/>
          </w:pPr>
          <w:r>
            <w:rPr>
              <w:color w:val="auto"/>
              <w:highlight w:val="none"/>
            </w:rPr>
            <w:fldChar w:fldCharType="begin"/>
          </w:r>
          <w:r>
            <w:rPr>
              <w:highlight w:val="none"/>
            </w:rPr>
            <w:instrText xml:space="preserve"> HYPERLINK \l _Toc6740 </w:instrText>
          </w:r>
          <w:r>
            <w:rPr>
              <w:highlight w:val="none"/>
            </w:rPr>
            <w:fldChar w:fldCharType="separate"/>
          </w:r>
          <w:r>
            <w:rPr>
              <w:rFonts w:hint="eastAsia" w:ascii="黑体" w:eastAsia="黑体"/>
              <w:szCs w:val="32"/>
              <w:highlight w:val="none"/>
            </w:rPr>
            <w:t>七、</w:t>
          </w:r>
          <w:r>
            <w:rPr>
              <w:rFonts w:hint="eastAsia" w:ascii="黑体" w:hAnsi="黑体" w:eastAsia="黑体"/>
              <w:highlight w:val="none"/>
            </w:rPr>
            <w:t>财政拨款“三公”经费支出决算情况说明</w:t>
          </w:r>
          <w:r>
            <w:tab/>
          </w:r>
          <w:r>
            <w:fldChar w:fldCharType="begin"/>
          </w:r>
          <w:r>
            <w:instrText xml:space="preserve"> PAGEREF _Toc6740 \h </w:instrText>
          </w:r>
          <w:r>
            <w:fldChar w:fldCharType="separate"/>
          </w:r>
          <w:r>
            <w:t>20</w:t>
          </w:r>
          <w:r>
            <w:fldChar w:fldCharType="end"/>
          </w:r>
          <w:r>
            <w:rPr>
              <w:color w:val="auto"/>
              <w:highlight w:val="none"/>
            </w:rPr>
            <w:fldChar w:fldCharType="end"/>
          </w:r>
        </w:p>
        <w:p>
          <w:pPr>
            <w:pStyle w:val="7"/>
            <w:keepNext w:val="0"/>
            <w:keepLines w:val="0"/>
            <w:pageBreakBefore w:val="0"/>
            <w:widowControl w:val="0"/>
            <w:tabs>
              <w:tab w:val="right" w:leader="dot" w:pos="8306"/>
              <w:tab w:val="clear" w:pos="8296"/>
            </w:tabs>
            <w:kinsoku/>
            <w:wordWrap/>
            <w:overflowPunct/>
            <w:topLinePunct w:val="0"/>
            <w:autoSpaceDE/>
            <w:autoSpaceDN/>
            <w:bidi w:val="0"/>
            <w:adjustRightInd/>
            <w:snapToGrid/>
            <w:textAlignment w:val="auto"/>
          </w:pPr>
          <w:r>
            <w:rPr>
              <w:color w:val="auto"/>
              <w:highlight w:val="none"/>
            </w:rPr>
            <w:fldChar w:fldCharType="begin"/>
          </w:r>
          <w:r>
            <w:rPr>
              <w:highlight w:val="none"/>
            </w:rPr>
            <w:instrText xml:space="preserve"> HYPERLINK \l _Toc22425 </w:instrText>
          </w:r>
          <w:r>
            <w:rPr>
              <w:highlight w:val="none"/>
            </w:rPr>
            <w:fldChar w:fldCharType="separate"/>
          </w:r>
          <w:r>
            <w:rPr>
              <w:rFonts w:hint="eastAsia" w:ascii="仿宋" w:hAnsi="仿宋" w:eastAsia="仿宋"/>
              <w:szCs w:val="32"/>
              <w:highlight w:val="none"/>
            </w:rPr>
            <w:t>（一）“三公”经费财政拨款支出决算总体情况说明</w:t>
          </w:r>
          <w:r>
            <w:tab/>
          </w:r>
          <w:r>
            <w:fldChar w:fldCharType="begin"/>
          </w:r>
          <w:r>
            <w:instrText xml:space="preserve"> PAGEREF _Toc22425 \h </w:instrText>
          </w:r>
          <w:r>
            <w:fldChar w:fldCharType="separate"/>
          </w:r>
          <w:r>
            <w:t>20</w:t>
          </w:r>
          <w:r>
            <w:fldChar w:fldCharType="end"/>
          </w:r>
          <w:r>
            <w:rPr>
              <w:color w:val="auto"/>
              <w:highlight w:val="none"/>
            </w:rPr>
            <w:fldChar w:fldCharType="end"/>
          </w:r>
        </w:p>
        <w:p>
          <w:pPr>
            <w:pStyle w:val="7"/>
            <w:keepNext w:val="0"/>
            <w:keepLines w:val="0"/>
            <w:pageBreakBefore w:val="0"/>
            <w:widowControl w:val="0"/>
            <w:tabs>
              <w:tab w:val="right" w:leader="dot" w:pos="8306"/>
              <w:tab w:val="clear" w:pos="8296"/>
            </w:tabs>
            <w:kinsoku/>
            <w:wordWrap/>
            <w:overflowPunct/>
            <w:topLinePunct w:val="0"/>
            <w:autoSpaceDE/>
            <w:autoSpaceDN/>
            <w:bidi w:val="0"/>
            <w:adjustRightInd/>
            <w:snapToGrid/>
            <w:textAlignment w:val="auto"/>
          </w:pPr>
          <w:r>
            <w:rPr>
              <w:color w:val="auto"/>
              <w:highlight w:val="none"/>
            </w:rPr>
            <w:fldChar w:fldCharType="begin"/>
          </w:r>
          <w:r>
            <w:rPr>
              <w:highlight w:val="none"/>
            </w:rPr>
            <w:instrText xml:space="preserve"> HYPERLINK \l _Toc7018 </w:instrText>
          </w:r>
          <w:r>
            <w:rPr>
              <w:highlight w:val="none"/>
            </w:rPr>
            <w:fldChar w:fldCharType="separate"/>
          </w:r>
          <w:r>
            <w:rPr>
              <w:rFonts w:hint="eastAsia" w:ascii="仿宋" w:hAnsi="仿宋" w:eastAsia="仿宋"/>
              <w:szCs w:val="32"/>
              <w:highlight w:val="none"/>
            </w:rPr>
            <w:t>（二）“三公”经费财政拨款支出决算具体情况说明</w:t>
          </w:r>
          <w:r>
            <w:tab/>
          </w:r>
          <w:r>
            <w:fldChar w:fldCharType="begin"/>
          </w:r>
          <w:r>
            <w:instrText xml:space="preserve"> PAGEREF _Toc7018 \h </w:instrText>
          </w:r>
          <w:r>
            <w:fldChar w:fldCharType="separate"/>
          </w:r>
          <w:r>
            <w:t>21</w:t>
          </w:r>
          <w:r>
            <w:fldChar w:fldCharType="end"/>
          </w:r>
          <w:r>
            <w:rPr>
              <w:color w:val="auto"/>
              <w:highlight w:val="none"/>
            </w:rPr>
            <w:fldChar w:fldCharType="end"/>
          </w:r>
        </w:p>
        <w:p>
          <w:pPr>
            <w:pStyle w:val="12"/>
            <w:keepNext w:val="0"/>
            <w:keepLines w:val="0"/>
            <w:pageBreakBefore w:val="0"/>
            <w:widowControl w:val="0"/>
            <w:tabs>
              <w:tab w:val="right" w:leader="dot" w:pos="8306"/>
              <w:tab w:val="clear" w:pos="8296"/>
            </w:tabs>
            <w:kinsoku/>
            <w:wordWrap/>
            <w:overflowPunct/>
            <w:topLinePunct w:val="0"/>
            <w:autoSpaceDE/>
            <w:autoSpaceDN/>
            <w:bidi w:val="0"/>
            <w:adjustRightInd/>
            <w:snapToGrid/>
            <w:textAlignment w:val="auto"/>
          </w:pPr>
          <w:r>
            <w:rPr>
              <w:color w:val="auto"/>
              <w:highlight w:val="none"/>
            </w:rPr>
            <w:fldChar w:fldCharType="begin"/>
          </w:r>
          <w:r>
            <w:rPr>
              <w:highlight w:val="none"/>
            </w:rPr>
            <w:instrText xml:space="preserve"> HYPERLINK \l _Toc11141 </w:instrText>
          </w:r>
          <w:r>
            <w:rPr>
              <w:highlight w:val="none"/>
            </w:rPr>
            <w:fldChar w:fldCharType="separate"/>
          </w:r>
          <w:r>
            <w:rPr>
              <w:rFonts w:hint="eastAsia" w:ascii="黑体" w:eastAsia="黑体"/>
              <w:szCs w:val="32"/>
              <w:highlight w:val="none"/>
            </w:rPr>
            <w:t>八、</w:t>
          </w:r>
          <w:r>
            <w:rPr>
              <w:rFonts w:hint="eastAsia" w:ascii="黑体" w:hAnsi="黑体" w:eastAsia="黑体"/>
              <w:highlight w:val="none"/>
            </w:rPr>
            <w:t>政府性基金预算支出决算情况说明</w:t>
          </w:r>
          <w:r>
            <w:tab/>
          </w:r>
          <w:r>
            <w:fldChar w:fldCharType="begin"/>
          </w:r>
          <w:r>
            <w:instrText xml:space="preserve"> PAGEREF _Toc11141 \h </w:instrText>
          </w:r>
          <w:r>
            <w:fldChar w:fldCharType="separate"/>
          </w:r>
          <w:r>
            <w:t>22</w:t>
          </w:r>
          <w:r>
            <w:fldChar w:fldCharType="end"/>
          </w:r>
          <w:r>
            <w:rPr>
              <w:color w:val="auto"/>
              <w:highlight w:val="none"/>
            </w:rPr>
            <w:fldChar w:fldCharType="end"/>
          </w:r>
        </w:p>
        <w:p>
          <w:pPr>
            <w:pStyle w:val="12"/>
            <w:keepNext w:val="0"/>
            <w:keepLines w:val="0"/>
            <w:pageBreakBefore w:val="0"/>
            <w:widowControl w:val="0"/>
            <w:tabs>
              <w:tab w:val="right" w:leader="dot" w:pos="8306"/>
              <w:tab w:val="clear" w:pos="8296"/>
            </w:tabs>
            <w:kinsoku/>
            <w:wordWrap/>
            <w:overflowPunct/>
            <w:topLinePunct w:val="0"/>
            <w:autoSpaceDE/>
            <w:autoSpaceDN/>
            <w:bidi w:val="0"/>
            <w:adjustRightInd/>
            <w:snapToGrid/>
            <w:textAlignment w:val="auto"/>
          </w:pPr>
          <w:r>
            <w:rPr>
              <w:color w:val="auto"/>
              <w:highlight w:val="none"/>
            </w:rPr>
            <w:fldChar w:fldCharType="begin"/>
          </w:r>
          <w:r>
            <w:rPr>
              <w:highlight w:val="none"/>
            </w:rPr>
            <w:instrText xml:space="preserve"> HYPERLINK \l _Toc15676 </w:instrText>
          </w:r>
          <w:r>
            <w:rPr>
              <w:highlight w:val="none"/>
            </w:rPr>
            <w:fldChar w:fldCharType="separate"/>
          </w:r>
          <w:r>
            <w:rPr>
              <w:rFonts w:hint="eastAsia" w:ascii="黑体" w:hAnsi="黑体" w:eastAsia="黑体"/>
            </w:rPr>
            <w:t xml:space="preserve">九、 </w:t>
          </w:r>
          <w:r>
            <w:rPr>
              <w:rFonts w:hint="eastAsia" w:ascii="黑体" w:hAnsi="黑体" w:eastAsia="黑体"/>
              <w:highlight w:val="none"/>
            </w:rPr>
            <w:t>国有资本经营预算支出决算情况说明</w:t>
          </w:r>
          <w:r>
            <w:tab/>
          </w:r>
          <w:r>
            <w:fldChar w:fldCharType="begin"/>
          </w:r>
          <w:r>
            <w:instrText xml:space="preserve"> PAGEREF _Toc15676 \h </w:instrText>
          </w:r>
          <w:r>
            <w:fldChar w:fldCharType="separate"/>
          </w:r>
          <w:r>
            <w:t>22</w:t>
          </w:r>
          <w:r>
            <w:fldChar w:fldCharType="end"/>
          </w:r>
          <w:r>
            <w:rPr>
              <w:color w:val="auto"/>
              <w:highlight w:val="none"/>
            </w:rPr>
            <w:fldChar w:fldCharType="end"/>
          </w:r>
        </w:p>
        <w:p>
          <w:pPr>
            <w:pStyle w:val="12"/>
            <w:keepNext w:val="0"/>
            <w:keepLines w:val="0"/>
            <w:pageBreakBefore w:val="0"/>
            <w:widowControl w:val="0"/>
            <w:tabs>
              <w:tab w:val="right" w:leader="dot" w:pos="8306"/>
              <w:tab w:val="clear" w:pos="8296"/>
            </w:tabs>
            <w:kinsoku/>
            <w:wordWrap/>
            <w:overflowPunct/>
            <w:topLinePunct w:val="0"/>
            <w:autoSpaceDE/>
            <w:autoSpaceDN/>
            <w:bidi w:val="0"/>
            <w:adjustRightInd/>
            <w:snapToGrid/>
            <w:textAlignment w:val="auto"/>
          </w:pPr>
          <w:r>
            <w:rPr>
              <w:color w:val="auto"/>
              <w:highlight w:val="none"/>
            </w:rPr>
            <w:fldChar w:fldCharType="begin"/>
          </w:r>
          <w:r>
            <w:rPr>
              <w:highlight w:val="none"/>
            </w:rPr>
            <w:instrText xml:space="preserve"> HYPERLINK \l _Toc1009 </w:instrText>
          </w:r>
          <w:r>
            <w:rPr>
              <w:highlight w:val="none"/>
            </w:rPr>
            <w:fldChar w:fldCharType="separate"/>
          </w:r>
          <w:r>
            <w:rPr>
              <w:rFonts w:hint="eastAsia" w:ascii="黑体" w:hAnsi="黑体" w:eastAsia="黑体"/>
            </w:rPr>
            <w:t xml:space="preserve">十、 </w:t>
          </w:r>
          <w:r>
            <w:rPr>
              <w:rFonts w:hint="eastAsia" w:ascii="黑体" w:hAnsi="黑体" w:eastAsia="黑体"/>
              <w:highlight w:val="none"/>
            </w:rPr>
            <w:t>其他重要事项的情况说明</w:t>
          </w:r>
          <w:r>
            <w:tab/>
          </w:r>
          <w:r>
            <w:fldChar w:fldCharType="begin"/>
          </w:r>
          <w:r>
            <w:instrText xml:space="preserve"> PAGEREF _Toc1009 \h </w:instrText>
          </w:r>
          <w:r>
            <w:fldChar w:fldCharType="separate"/>
          </w:r>
          <w:r>
            <w:t>22</w:t>
          </w:r>
          <w:r>
            <w:fldChar w:fldCharType="end"/>
          </w:r>
          <w:r>
            <w:rPr>
              <w:color w:val="auto"/>
              <w:highlight w:val="none"/>
            </w:rPr>
            <w:fldChar w:fldCharType="end"/>
          </w:r>
        </w:p>
        <w:p>
          <w:pPr>
            <w:pStyle w:val="7"/>
            <w:keepNext w:val="0"/>
            <w:keepLines w:val="0"/>
            <w:pageBreakBefore w:val="0"/>
            <w:widowControl w:val="0"/>
            <w:tabs>
              <w:tab w:val="right" w:leader="dot" w:pos="8306"/>
              <w:tab w:val="clear" w:pos="8296"/>
            </w:tabs>
            <w:kinsoku/>
            <w:wordWrap/>
            <w:overflowPunct/>
            <w:topLinePunct w:val="0"/>
            <w:autoSpaceDE/>
            <w:autoSpaceDN/>
            <w:bidi w:val="0"/>
            <w:adjustRightInd/>
            <w:snapToGrid/>
            <w:textAlignment w:val="auto"/>
          </w:pPr>
          <w:r>
            <w:rPr>
              <w:color w:val="auto"/>
              <w:highlight w:val="none"/>
            </w:rPr>
            <w:fldChar w:fldCharType="begin"/>
          </w:r>
          <w:r>
            <w:rPr>
              <w:highlight w:val="none"/>
            </w:rPr>
            <w:instrText xml:space="preserve"> HYPERLINK \l _Toc13944 </w:instrText>
          </w:r>
          <w:r>
            <w:rPr>
              <w:highlight w:val="none"/>
            </w:rPr>
            <w:fldChar w:fldCharType="separate"/>
          </w:r>
          <w:r>
            <w:rPr>
              <w:rFonts w:hint="eastAsia" w:ascii="仿宋" w:hAnsi="仿宋" w:eastAsia="仿宋"/>
              <w:szCs w:val="32"/>
              <w:highlight w:val="none"/>
            </w:rPr>
            <w:t>（一）机关运行经费支出情况</w:t>
          </w:r>
          <w:r>
            <w:tab/>
          </w:r>
          <w:r>
            <w:fldChar w:fldCharType="begin"/>
          </w:r>
          <w:r>
            <w:instrText xml:space="preserve"> PAGEREF _Toc13944 \h </w:instrText>
          </w:r>
          <w:r>
            <w:fldChar w:fldCharType="separate"/>
          </w:r>
          <w:r>
            <w:t>22</w:t>
          </w:r>
          <w:r>
            <w:fldChar w:fldCharType="end"/>
          </w:r>
          <w:r>
            <w:rPr>
              <w:color w:val="auto"/>
              <w:highlight w:val="none"/>
            </w:rPr>
            <w:fldChar w:fldCharType="end"/>
          </w:r>
        </w:p>
        <w:p>
          <w:pPr>
            <w:pStyle w:val="7"/>
            <w:keepNext w:val="0"/>
            <w:keepLines w:val="0"/>
            <w:pageBreakBefore w:val="0"/>
            <w:widowControl w:val="0"/>
            <w:tabs>
              <w:tab w:val="right" w:leader="dot" w:pos="8306"/>
              <w:tab w:val="clear" w:pos="8296"/>
            </w:tabs>
            <w:kinsoku/>
            <w:wordWrap/>
            <w:overflowPunct/>
            <w:topLinePunct w:val="0"/>
            <w:autoSpaceDE/>
            <w:autoSpaceDN/>
            <w:bidi w:val="0"/>
            <w:adjustRightInd/>
            <w:snapToGrid/>
            <w:textAlignment w:val="auto"/>
          </w:pPr>
          <w:r>
            <w:rPr>
              <w:color w:val="auto"/>
              <w:highlight w:val="none"/>
            </w:rPr>
            <w:fldChar w:fldCharType="begin"/>
          </w:r>
          <w:r>
            <w:rPr>
              <w:highlight w:val="none"/>
            </w:rPr>
            <w:instrText xml:space="preserve"> HYPERLINK \l _Toc23650 </w:instrText>
          </w:r>
          <w:r>
            <w:rPr>
              <w:highlight w:val="none"/>
            </w:rPr>
            <w:fldChar w:fldCharType="separate"/>
          </w:r>
          <w:r>
            <w:rPr>
              <w:rFonts w:hint="eastAsia" w:ascii="仿宋" w:hAnsi="仿宋" w:eastAsia="仿宋"/>
              <w:szCs w:val="32"/>
              <w:highlight w:val="none"/>
            </w:rPr>
            <w:t>（二）政府采购支出情况</w:t>
          </w:r>
          <w:r>
            <w:tab/>
          </w:r>
          <w:r>
            <w:fldChar w:fldCharType="begin"/>
          </w:r>
          <w:r>
            <w:instrText xml:space="preserve"> PAGEREF _Toc23650 \h </w:instrText>
          </w:r>
          <w:r>
            <w:fldChar w:fldCharType="separate"/>
          </w:r>
          <w:r>
            <w:t>23</w:t>
          </w:r>
          <w:r>
            <w:fldChar w:fldCharType="end"/>
          </w:r>
          <w:r>
            <w:rPr>
              <w:color w:val="auto"/>
              <w:highlight w:val="none"/>
            </w:rPr>
            <w:fldChar w:fldCharType="end"/>
          </w:r>
        </w:p>
        <w:p>
          <w:pPr>
            <w:pStyle w:val="7"/>
            <w:keepNext w:val="0"/>
            <w:keepLines w:val="0"/>
            <w:pageBreakBefore w:val="0"/>
            <w:widowControl w:val="0"/>
            <w:tabs>
              <w:tab w:val="right" w:leader="dot" w:pos="8306"/>
              <w:tab w:val="clear" w:pos="8296"/>
            </w:tabs>
            <w:kinsoku/>
            <w:wordWrap/>
            <w:overflowPunct/>
            <w:topLinePunct w:val="0"/>
            <w:autoSpaceDE/>
            <w:autoSpaceDN/>
            <w:bidi w:val="0"/>
            <w:adjustRightInd/>
            <w:snapToGrid/>
            <w:textAlignment w:val="auto"/>
          </w:pPr>
          <w:r>
            <w:rPr>
              <w:color w:val="auto"/>
              <w:highlight w:val="none"/>
            </w:rPr>
            <w:fldChar w:fldCharType="begin"/>
          </w:r>
          <w:r>
            <w:rPr>
              <w:highlight w:val="none"/>
            </w:rPr>
            <w:instrText xml:space="preserve"> HYPERLINK \l _Toc32215 </w:instrText>
          </w:r>
          <w:r>
            <w:rPr>
              <w:highlight w:val="none"/>
            </w:rPr>
            <w:fldChar w:fldCharType="separate"/>
          </w:r>
          <w:r>
            <w:rPr>
              <w:rFonts w:hint="eastAsia" w:ascii="仿宋" w:hAnsi="仿宋" w:eastAsia="仿宋"/>
              <w:szCs w:val="32"/>
              <w:highlight w:val="none"/>
            </w:rPr>
            <w:t>（三）国有资产占有使用情况</w:t>
          </w:r>
          <w:r>
            <w:tab/>
          </w:r>
          <w:r>
            <w:fldChar w:fldCharType="begin"/>
          </w:r>
          <w:r>
            <w:instrText xml:space="preserve"> PAGEREF _Toc32215 \h </w:instrText>
          </w:r>
          <w:r>
            <w:fldChar w:fldCharType="separate"/>
          </w:r>
          <w:r>
            <w:t>23</w:t>
          </w:r>
          <w:r>
            <w:fldChar w:fldCharType="end"/>
          </w:r>
          <w:r>
            <w:rPr>
              <w:color w:val="auto"/>
              <w:highlight w:val="none"/>
            </w:rPr>
            <w:fldChar w:fldCharType="end"/>
          </w:r>
        </w:p>
        <w:p>
          <w:pPr>
            <w:pStyle w:val="7"/>
            <w:keepNext w:val="0"/>
            <w:keepLines w:val="0"/>
            <w:pageBreakBefore w:val="0"/>
            <w:widowControl w:val="0"/>
            <w:tabs>
              <w:tab w:val="right" w:leader="dot" w:pos="8306"/>
              <w:tab w:val="clear" w:pos="8296"/>
            </w:tabs>
            <w:kinsoku/>
            <w:wordWrap/>
            <w:overflowPunct/>
            <w:topLinePunct w:val="0"/>
            <w:autoSpaceDE/>
            <w:autoSpaceDN/>
            <w:bidi w:val="0"/>
            <w:adjustRightInd/>
            <w:snapToGrid/>
            <w:textAlignment w:val="auto"/>
          </w:pPr>
          <w:r>
            <w:rPr>
              <w:color w:val="auto"/>
              <w:highlight w:val="none"/>
            </w:rPr>
            <w:fldChar w:fldCharType="begin"/>
          </w:r>
          <w:r>
            <w:rPr>
              <w:highlight w:val="none"/>
            </w:rPr>
            <w:instrText xml:space="preserve"> HYPERLINK \l _Toc15568 </w:instrText>
          </w:r>
          <w:r>
            <w:rPr>
              <w:highlight w:val="none"/>
            </w:rPr>
            <w:fldChar w:fldCharType="separate"/>
          </w:r>
          <w:r>
            <w:rPr>
              <w:rFonts w:hint="eastAsia" w:ascii="仿宋" w:hAnsi="仿宋" w:eastAsia="仿宋"/>
              <w:szCs w:val="32"/>
              <w:highlight w:val="none"/>
            </w:rPr>
            <w:t>（四）预算绩效管理情况</w:t>
          </w:r>
          <w:r>
            <w:tab/>
          </w:r>
          <w:r>
            <w:fldChar w:fldCharType="begin"/>
          </w:r>
          <w:r>
            <w:instrText xml:space="preserve"> PAGEREF _Toc15568 \h </w:instrText>
          </w:r>
          <w:r>
            <w:fldChar w:fldCharType="separate"/>
          </w:r>
          <w:r>
            <w:t>23</w:t>
          </w:r>
          <w:r>
            <w:fldChar w:fldCharType="end"/>
          </w:r>
          <w:r>
            <w:rPr>
              <w:color w:val="auto"/>
              <w:highlight w:val="none"/>
            </w:rPr>
            <w:fldChar w:fldCharType="end"/>
          </w:r>
        </w:p>
        <w:p>
          <w:pPr>
            <w:pStyle w:val="11"/>
            <w:keepNext w:val="0"/>
            <w:keepLines w:val="0"/>
            <w:pageBreakBefore w:val="0"/>
            <w:widowControl w:val="0"/>
            <w:tabs>
              <w:tab w:val="right" w:leader="dot" w:pos="8306"/>
              <w:tab w:val="clear" w:pos="8296"/>
            </w:tabs>
            <w:kinsoku/>
            <w:wordWrap/>
            <w:overflowPunct/>
            <w:topLinePunct w:val="0"/>
            <w:autoSpaceDE/>
            <w:autoSpaceDN/>
            <w:bidi w:val="0"/>
            <w:adjustRightInd/>
            <w:snapToGrid/>
            <w:spacing w:before="0"/>
            <w:textAlignment w:val="auto"/>
          </w:pPr>
          <w:r>
            <w:rPr>
              <w:color w:val="auto"/>
              <w:highlight w:val="none"/>
            </w:rPr>
            <w:fldChar w:fldCharType="begin"/>
          </w:r>
          <w:r>
            <w:rPr>
              <w:highlight w:val="none"/>
            </w:rPr>
            <w:instrText xml:space="preserve"> HYPERLINK \l _Toc16138 </w:instrText>
          </w:r>
          <w:r>
            <w:rPr>
              <w:highlight w:val="none"/>
            </w:rPr>
            <w:fldChar w:fldCharType="separate"/>
          </w:r>
          <w:r>
            <w:rPr>
              <w:rFonts w:hint="eastAsia" w:ascii="黑体" w:hAnsi="黑体" w:eastAsia="黑体"/>
            </w:rPr>
            <w:t xml:space="preserve">第三部分 </w:t>
          </w:r>
          <w:r>
            <w:rPr>
              <w:rFonts w:hint="eastAsia" w:ascii="黑体" w:hAnsi="黑体" w:eastAsia="黑体"/>
              <w:szCs w:val="44"/>
              <w:highlight w:val="none"/>
            </w:rPr>
            <w:t>名</w:t>
          </w:r>
          <w:r>
            <w:rPr>
              <w:rFonts w:hint="eastAsia" w:ascii="黑体" w:hAnsi="黑体" w:eastAsia="黑体"/>
              <w:highlight w:val="none"/>
            </w:rPr>
            <w:t>词解释</w:t>
          </w:r>
          <w:r>
            <w:tab/>
          </w:r>
          <w:r>
            <w:fldChar w:fldCharType="begin"/>
          </w:r>
          <w:r>
            <w:instrText xml:space="preserve"> PAGEREF _Toc16138 \h </w:instrText>
          </w:r>
          <w:r>
            <w:fldChar w:fldCharType="separate"/>
          </w:r>
          <w:r>
            <w:t>25</w:t>
          </w:r>
          <w:r>
            <w:fldChar w:fldCharType="end"/>
          </w:r>
          <w:r>
            <w:rPr>
              <w:color w:val="auto"/>
              <w:highlight w:val="none"/>
            </w:rPr>
            <w:fldChar w:fldCharType="end"/>
          </w:r>
        </w:p>
        <w:p>
          <w:pPr>
            <w:pStyle w:val="11"/>
            <w:keepNext w:val="0"/>
            <w:keepLines w:val="0"/>
            <w:pageBreakBefore w:val="0"/>
            <w:widowControl w:val="0"/>
            <w:tabs>
              <w:tab w:val="right" w:leader="dot" w:pos="8306"/>
              <w:tab w:val="clear" w:pos="8296"/>
            </w:tabs>
            <w:kinsoku/>
            <w:wordWrap/>
            <w:overflowPunct/>
            <w:topLinePunct w:val="0"/>
            <w:autoSpaceDE/>
            <w:autoSpaceDN/>
            <w:bidi w:val="0"/>
            <w:adjustRightInd/>
            <w:snapToGrid/>
            <w:spacing w:before="0"/>
            <w:jc w:val="both"/>
            <w:textAlignment w:val="auto"/>
          </w:pPr>
          <w:r>
            <w:rPr>
              <w:color w:val="auto"/>
              <w:highlight w:val="none"/>
            </w:rPr>
            <w:fldChar w:fldCharType="begin"/>
          </w:r>
          <w:r>
            <w:rPr>
              <w:highlight w:val="none"/>
            </w:rPr>
            <w:instrText xml:space="preserve"> HYPERLINK \l _Toc16217 </w:instrText>
          </w:r>
          <w:r>
            <w:rPr>
              <w:highlight w:val="none"/>
            </w:rPr>
            <w:fldChar w:fldCharType="separate"/>
          </w:r>
          <w:r>
            <w:rPr>
              <w:rFonts w:hint="eastAsia" w:ascii="黑体" w:hAnsi="黑体" w:eastAsia="黑体"/>
              <w:szCs w:val="44"/>
              <w:highlight w:val="none"/>
            </w:rPr>
            <w:t>第</w:t>
          </w:r>
          <w:r>
            <w:rPr>
              <w:rFonts w:hint="eastAsia" w:ascii="黑体" w:hAnsi="黑体" w:eastAsia="黑体"/>
              <w:highlight w:val="none"/>
            </w:rPr>
            <w:t>四部分 附件</w:t>
          </w:r>
          <w:r>
            <w:tab/>
          </w:r>
          <w:r>
            <w:fldChar w:fldCharType="begin"/>
          </w:r>
          <w:r>
            <w:instrText xml:space="preserve"> PAGEREF _Toc16217 \h </w:instrText>
          </w:r>
          <w:r>
            <w:fldChar w:fldCharType="separate"/>
          </w:r>
          <w:r>
            <w:t>28</w:t>
          </w:r>
          <w:r>
            <w:fldChar w:fldCharType="end"/>
          </w:r>
          <w:r>
            <w:rPr>
              <w:color w:val="auto"/>
              <w:highlight w:val="none"/>
            </w:rPr>
            <w:fldChar w:fldCharType="end"/>
          </w:r>
        </w:p>
        <w:p>
          <w:pPr>
            <w:pStyle w:val="12"/>
            <w:keepNext w:val="0"/>
            <w:keepLines w:val="0"/>
            <w:pageBreakBefore w:val="0"/>
            <w:widowControl w:val="0"/>
            <w:tabs>
              <w:tab w:val="right" w:leader="dot" w:pos="8306"/>
              <w:tab w:val="clear" w:pos="8296"/>
            </w:tabs>
            <w:kinsoku/>
            <w:wordWrap/>
            <w:overflowPunct/>
            <w:topLinePunct w:val="0"/>
            <w:autoSpaceDE/>
            <w:autoSpaceDN/>
            <w:bidi w:val="0"/>
            <w:adjustRightInd/>
            <w:snapToGrid/>
            <w:textAlignment w:val="auto"/>
          </w:pPr>
          <w:r>
            <w:rPr>
              <w:color w:val="auto"/>
              <w:highlight w:val="none"/>
            </w:rPr>
            <w:fldChar w:fldCharType="begin"/>
          </w:r>
          <w:r>
            <w:rPr>
              <w:highlight w:val="none"/>
            </w:rPr>
            <w:instrText xml:space="preserve"> HYPERLINK \l _Toc21639 </w:instrText>
          </w:r>
          <w:r>
            <w:rPr>
              <w:highlight w:val="none"/>
            </w:rPr>
            <w:fldChar w:fldCharType="separate"/>
          </w:r>
          <w:r>
            <w:rPr>
              <w:rFonts w:hint="default" w:ascii="黑体" w:hAnsi="黑体" w:eastAsia="黑体"/>
              <w:szCs w:val="44"/>
              <w:highlight w:val="none"/>
              <w:lang w:val="en-US" w:eastAsia="zh-CN"/>
            </w:rPr>
            <w:t>巴中市巴州区</w:t>
          </w:r>
          <w:r>
            <w:rPr>
              <w:rFonts w:hint="eastAsia" w:ascii="黑体" w:hAnsi="黑体" w:eastAsia="黑体"/>
              <w:szCs w:val="44"/>
              <w:highlight w:val="none"/>
              <w:lang w:val="en-US" w:eastAsia="zh-CN"/>
            </w:rPr>
            <w:t>应急管理</w:t>
          </w:r>
          <w:r>
            <w:rPr>
              <w:rFonts w:hint="default" w:ascii="黑体" w:hAnsi="黑体" w:eastAsia="黑体"/>
              <w:szCs w:val="44"/>
              <w:highlight w:val="none"/>
              <w:lang w:val="en-US" w:eastAsia="zh-CN"/>
            </w:rPr>
            <w:t>局</w:t>
          </w:r>
          <w:r>
            <w:rPr>
              <w:color w:val="auto"/>
              <w:highlight w:val="none"/>
            </w:rPr>
            <w:fldChar w:fldCharType="end"/>
          </w:r>
          <w:r>
            <w:rPr>
              <w:color w:val="auto"/>
              <w:highlight w:val="none"/>
            </w:rPr>
            <w:fldChar w:fldCharType="begin"/>
          </w:r>
          <w:r>
            <w:rPr>
              <w:highlight w:val="none"/>
            </w:rPr>
            <w:instrText xml:space="preserve"> HYPERLINK \l _Toc18244 </w:instrText>
          </w:r>
          <w:r>
            <w:rPr>
              <w:highlight w:val="none"/>
            </w:rPr>
            <w:fldChar w:fldCharType="separate"/>
          </w:r>
          <w:r>
            <w:rPr>
              <w:rFonts w:hint="default" w:ascii="黑体" w:hAnsi="黑体" w:eastAsia="黑体"/>
              <w:szCs w:val="44"/>
              <w:highlight w:val="none"/>
              <w:lang w:val="en-US" w:eastAsia="zh-CN"/>
            </w:rPr>
            <w:t>2023年</w:t>
          </w:r>
          <w:r>
            <w:rPr>
              <w:rFonts w:hint="default" w:ascii="黑体" w:hAnsi="黑体" w:eastAsia="黑体"/>
              <w:szCs w:val="44"/>
              <w:highlight w:val="none"/>
            </w:rPr>
            <w:t>整体支出绩效评价报告</w:t>
          </w:r>
          <w:r>
            <w:tab/>
          </w:r>
          <w:r>
            <w:fldChar w:fldCharType="begin"/>
          </w:r>
          <w:r>
            <w:instrText xml:space="preserve"> PAGEREF _Toc18244 \h </w:instrText>
          </w:r>
          <w:r>
            <w:fldChar w:fldCharType="separate"/>
          </w:r>
          <w:r>
            <w:t>28</w:t>
          </w:r>
          <w:r>
            <w:fldChar w:fldCharType="end"/>
          </w:r>
          <w:r>
            <w:rPr>
              <w:color w:val="auto"/>
              <w:highlight w:val="none"/>
            </w:rPr>
            <w:fldChar w:fldCharType="end"/>
          </w:r>
        </w:p>
        <w:p>
          <w:pPr>
            <w:pStyle w:val="12"/>
            <w:keepNext w:val="0"/>
            <w:keepLines w:val="0"/>
            <w:pageBreakBefore w:val="0"/>
            <w:widowControl w:val="0"/>
            <w:tabs>
              <w:tab w:val="right" w:leader="dot" w:pos="8306"/>
              <w:tab w:val="clear" w:pos="8296"/>
            </w:tabs>
            <w:kinsoku/>
            <w:wordWrap/>
            <w:overflowPunct/>
            <w:topLinePunct w:val="0"/>
            <w:autoSpaceDE/>
            <w:autoSpaceDN/>
            <w:bidi w:val="0"/>
            <w:adjustRightInd/>
            <w:snapToGrid/>
            <w:textAlignment w:val="auto"/>
          </w:pPr>
          <w:r>
            <w:rPr>
              <w:color w:val="auto"/>
              <w:highlight w:val="none"/>
            </w:rPr>
            <w:fldChar w:fldCharType="begin"/>
          </w:r>
          <w:r>
            <w:rPr>
              <w:highlight w:val="none"/>
            </w:rPr>
            <w:instrText xml:space="preserve"> HYPERLINK \l _Toc17107 </w:instrText>
          </w:r>
          <w:r>
            <w:rPr>
              <w:highlight w:val="none"/>
            </w:rPr>
            <w:fldChar w:fldCharType="separate"/>
          </w:r>
          <w:r>
            <w:rPr>
              <w:rFonts w:hint="eastAsia" w:ascii="黑体" w:hAnsi="黑体" w:eastAsia="黑体" w:cs="黑体"/>
              <w:szCs w:val="32"/>
            </w:rPr>
            <w:t>一、单位概况</w:t>
          </w:r>
          <w:r>
            <w:tab/>
          </w:r>
          <w:r>
            <w:fldChar w:fldCharType="begin"/>
          </w:r>
          <w:r>
            <w:instrText xml:space="preserve"> PAGEREF _Toc17107 \h </w:instrText>
          </w:r>
          <w:r>
            <w:fldChar w:fldCharType="separate"/>
          </w:r>
          <w:r>
            <w:t>28</w:t>
          </w:r>
          <w:r>
            <w:fldChar w:fldCharType="end"/>
          </w:r>
          <w:r>
            <w:rPr>
              <w:color w:val="auto"/>
              <w:highlight w:val="none"/>
            </w:rPr>
            <w:fldChar w:fldCharType="end"/>
          </w:r>
        </w:p>
        <w:p>
          <w:pPr>
            <w:pStyle w:val="7"/>
            <w:keepNext w:val="0"/>
            <w:keepLines w:val="0"/>
            <w:pageBreakBefore w:val="0"/>
            <w:widowControl w:val="0"/>
            <w:tabs>
              <w:tab w:val="right" w:leader="dot" w:pos="8306"/>
              <w:tab w:val="clear" w:pos="8296"/>
            </w:tabs>
            <w:kinsoku/>
            <w:wordWrap/>
            <w:overflowPunct/>
            <w:topLinePunct w:val="0"/>
            <w:autoSpaceDE/>
            <w:autoSpaceDN/>
            <w:bidi w:val="0"/>
            <w:adjustRightInd/>
            <w:snapToGrid/>
            <w:textAlignment w:val="auto"/>
          </w:pPr>
          <w:r>
            <w:rPr>
              <w:color w:val="auto"/>
              <w:highlight w:val="none"/>
            </w:rPr>
            <w:fldChar w:fldCharType="begin"/>
          </w:r>
          <w:r>
            <w:rPr>
              <w:highlight w:val="none"/>
            </w:rPr>
            <w:instrText xml:space="preserve"> HYPERLINK \l _Toc7809 </w:instrText>
          </w:r>
          <w:r>
            <w:rPr>
              <w:highlight w:val="none"/>
            </w:rPr>
            <w:fldChar w:fldCharType="separate"/>
          </w:r>
          <w:r>
            <w:rPr>
              <w:rFonts w:hint="eastAsia" w:ascii="楷体_GB2312" w:hAnsi="楷体_GB2312" w:eastAsia="楷体_GB2312" w:cs="楷体_GB2312"/>
              <w:bCs/>
              <w:szCs w:val="32"/>
              <w:lang w:val="zh-CN"/>
            </w:rPr>
            <w:t>（一）机构组成</w:t>
          </w:r>
          <w:r>
            <w:tab/>
          </w:r>
          <w:r>
            <w:fldChar w:fldCharType="begin"/>
          </w:r>
          <w:r>
            <w:instrText xml:space="preserve"> PAGEREF _Toc7809 \h </w:instrText>
          </w:r>
          <w:r>
            <w:fldChar w:fldCharType="separate"/>
          </w:r>
          <w:r>
            <w:t>28</w:t>
          </w:r>
          <w:r>
            <w:fldChar w:fldCharType="end"/>
          </w:r>
          <w:r>
            <w:rPr>
              <w:color w:val="auto"/>
              <w:highlight w:val="none"/>
            </w:rPr>
            <w:fldChar w:fldCharType="end"/>
          </w:r>
        </w:p>
        <w:p>
          <w:pPr>
            <w:pStyle w:val="7"/>
            <w:keepNext w:val="0"/>
            <w:keepLines w:val="0"/>
            <w:pageBreakBefore w:val="0"/>
            <w:widowControl w:val="0"/>
            <w:tabs>
              <w:tab w:val="right" w:leader="dot" w:pos="8306"/>
              <w:tab w:val="clear" w:pos="8296"/>
            </w:tabs>
            <w:kinsoku/>
            <w:wordWrap/>
            <w:overflowPunct/>
            <w:topLinePunct w:val="0"/>
            <w:autoSpaceDE/>
            <w:autoSpaceDN/>
            <w:bidi w:val="0"/>
            <w:adjustRightInd/>
            <w:snapToGrid/>
            <w:textAlignment w:val="auto"/>
          </w:pPr>
          <w:r>
            <w:rPr>
              <w:color w:val="auto"/>
              <w:highlight w:val="none"/>
            </w:rPr>
            <w:fldChar w:fldCharType="begin"/>
          </w:r>
          <w:r>
            <w:rPr>
              <w:highlight w:val="none"/>
            </w:rPr>
            <w:instrText xml:space="preserve"> HYPERLINK \l _Toc853 </w:instrText>
          </w:r>
          <w:r>
            <w:rPr>
              <w:highlight w:val="none"/>
            </w:rPr>
            <w:fldChar w:fldCharType="separate"/>
          </w:r>
          <w:r>
            <w:rPr>
              <w:rFonts w:hint="default" w:ascii="楷体_GB2312" w:hAnsi="楷体_GB2312" w:eastAsia="楷体_GB2312" w:cs="楷体_GB2312"/>
              <w:bCs/>
              <w:szCs w:val="32"/>
              <w:lang w:val="zh-CN"/>
            </w:rPr>
            <w:t>（二）机构职能</w:t>
          </w:r>
          <w:r>
            <w:tab/>
          </w:r>
          <w:r>
            <w:fldChar w:fldCharType="begin"/>
          </w:r>
          <w:r>
            <w:instrText xml:space="preserve"> PAGEREF _Toc853 \h </w:instrText>
          </w:r>
          <w:r>
            <w:fldChar w:fldCharType="separate"/>
          </w:r>
          <w:r>
            <w:t>28</w:t>
          </w:r>
          <w:r>
            <w:fldChar w:fldCharType="end"/>
          </w:r>
          <w:r>
            <w:rPr>
              <w:color w:val="auto"/>
              <w:highlight w:val="none"/>
            </w:rPr>
            <w:fldChar w:fldCharType="end"/>
          </w:r>
        </w:p>
        <w:p>
          <w:pPr>
            <w:pStyle w:val="7"/>
            <w:keepNext w:val="0"/>
            <w:keepLines w:val="0"/>
            <w:pageBreakBefore w:val="0"/>
            <w:widowControl w:val="0"/>
            <w:tabs>
              <w:tab w:val="right" w:leader="dot" w:pos="8306"/>
              <w:tab w:val="clear" w:pos="8296"/>
            </w:tabs>
            <w:kinsoku/>
            <w:wordWrap/>
            <w:overflowPunct/>
            <w:topLinePunct w:val="0"/>
            <w:autoSpaceDE/>
            <w:autoSpaceDN/>
            <w:bidi w:val="0"/>
            <w:adjustRightInd/>
            <w:snapToGrid/>
            <w:textAlignment w:val="auto"/>
          </w:pPr>
          <w:r>
            <w:rPr>
              <w:color w:val="auto"/>
              <w:highlight w:val="none"/>
            </w:rPr>
            <w:fldChar w:fldCharType="begin"/>
          </w:r>
          <w:r>
            <w:rPr>
              <w:highlight w:val="none"/>
            </w:rPr>
            <w:instrText xml:space="preserve"> HYPERLINK \l _Toc1140 </w:instrText>
          </w:r>
          <w:r>
            <w:rPr>
              <w:highlight w:val="none"/>
            </w:rPr>
            <w:fldChar w:fldCharType="separate"/>
          </w:r>
          <w:r>
            <w:rPr>
              <w:rFonts w:hint="default" w:ascii="楷体_GB2312" w:hAnsi="楷体_GB2312" w:eastAsia="楷体_GB2312" w:cs="楷体_GB2312"/>
              <w:bCs/>
              <w:szCs w:val="32"/>
              <w:lang w:val="zh-CN"/>
            </w:rPr>
            <w:t>（三）人员概况</w:t>
          </w:r>
          <w:r>
            <w:tab/>
          </w:r>
          <w:r>
            <w:fldChar w:fldCharType="begin"/>
          </w:r>
          <w:r>
            <w:instrText xml:space="preserve"> PAGEREF _Toc1140 \h </w:instrText>
          </w:r>
          <w:r>
            <w:fldChar w:fldCharType="separate"/>
          </w:r>
          <w:r>
            <w:t>31</w:t>
          </w:r>
          <w:r>
            <w:fldChar w:fldCharType="end"/>
          </w:r>
          <w:r>
            <w:rPr>
              <w:color w:val="auto"/>
              <w:highlight w:val="none"/>
            </w:rPr>
            <w:fldChar w:fldCharType="end"/>
          </w:r>
        </w:p>
        <w:p>
          <w:pPr>
            <w:pStyle w:val="7"/>
            <w:keepNext w:val="0"/>
            <w:keepLines w:val="0"/>
            <w:pageBreakBefore w:val="0"/>
            <w:widowControl w:val="0"/>
            <w:tabs>
              <w:tab w:val="right" w:leader="dot" w:pos="8306"/>
              <w:tab w:val="clear" w:pos="8296"/>
            </w:tabs>
            <w:kinsoku/>
            <w:wordWrap/>
            <w:overflowPunct/>
            <w:topLinePunct w:val="0"/>
            <w:autoSpaceDE/>
            <w:autoSpaceDN/>
            <w:bidi w:val="0"/>
            <w:adjustRightInd/>
            <w:snapToGrid/>
            <w:textAlignment w:val="auto"/>
          </w:pPr>
          <w:r>
            <w:rPr>
              <w:color w:val="auto"/>
              <w:highlight w:val="none"/>
            </w:rPr>
            <w:fldChar w:fldCharType="begin"/>
          </w:r>
          <w:r>
            <w:rPr>
              <w:highlight w:val="none"/>
            </w:rPr>
            <w:instrText xml:space="preserve"> HYPERLINK \l _Toc27826 </w:instrText>
          </w:r>
          <w:r>
            <w:rPr>
              <w:highlight w:val="none"/>
            </w:rPr>
            <w:fldChar w:fldCharType="separate"/>
          </w:r>
          <w:r>
            <w:rPr>
              <w:rFonts w:hint="eastAsia" w:ascii="楷体_GB2312" w:hAnsi="楷体_GB2312" w:eastAsia="楷体_GB2312" w:cs="楷体_GB2312"/>
              <w:bCs/>
              <w:kern w:val="2"/>
              <w:szCs w:val="32"/>
              <w:lang w:val="zh-CN" w:eastAsia="zh-CN" w:bidi="ar-SA"/>
            </w:rPr>
            <w:t>（</w:t>
          </w:r>
          <w:r>
            <w:rPr>
              <w:rFonts w:hint="eastAsia" w:ascii="楷体_GB2312" w:hAnsi="楷体_GB2312" w:eastAsia="楷体_GB2312" w:cs="楷体_GB2312"/>
              <w:bCs/>
              <w:kern w:val="2"/>
              <w:szCs w:val="32"/>
              <w:lang w:val="en-US" w:eastAsia="zh-CN" w:bidi="ar-SA"/>
            </w:rPr>
            <w:t>四）年度主要工作任务</w:t>
          </w:r>
          <w:r>
            <w:tab/>
          </w:r>
          <w:r>
            <w:fldChar w:fldCharType="begin"/>
          </w:r>
          <w:r>
            <w:instrText xml:space="preserve"> PAGEREF _Toc27826 \h </w:instrText>
          </w:r>
          <w:r>
            <w:fldChar w:fldCharType="separate"/>
          </w:r>
          <w:r>
            <w:t>31</w:t>
          </w:r>
          <w:r>
            <w:fldChar w:fldCharType="end"/>
          </w:r>
          <w:r>
            <w:rPr>
              <w:color w:val="auto"/>
              <w:highlight w:val="none"/>
            </w:rPr>
            <w:fldChar w:fldCharType="end"/>
          </w:r>
        </w:p>
        <w:p>
          <w:pPr>
            <w:pStyle w:val="7"/>
            <w:keepNext w:val="0"/>
            <w:keepLines w:val="0"/>
            <w:pageBreakBefore w:val="0"/>
            <w:widowControl w:val="0"/>
            <w:tabs>
              <w:tab w:val="right" w:leader="dot" w:pos="8306"/>
              <w:tab w:val="clear" w:pos="8296"/>
            </w:tabs>
            <w:kinsoku/>
            <w:wordWrap/>
            <w:overflowPunct/>
            <w:topLinePunct w:val="0"/>
            <w:autoSpaceDE/>
            <w:autoSpaceDN/>
            <w:bidi w:val="0"/>
            <w:adjustRightInd/>
            <w:snapToGrid/>
            <w:textAlignment w:val="auto"/>
          </w:pPr>
          <w:r>
            <w:rPr>
              <w:color w:val="auto"/>
              <w:highlight w:val="none"/>
            </w:rPr>
            <w:fldChar w:fldCharType="begin"/>
          </w:r>
          <w:r>
            <w:rPr>
              <w:highlight w:val="none"/>
            </w:rPr>
            <w:instrText xml:space="preserve"> HYPERLINK \l _Toc16851 </w:instrText>
          </w:r>
          <w:r>
            <w:rPr>
              <w:highlight w:val="none"/>
            </w:rPr>
            <w:fldChar w:fldCharType="separate"/>
          </w:r>
          <w:r>
            <w:rPr>
              <w:rFonts w:hint="default" w:ascii="楷体_GB2312" w:hAnsi="楷体_GB2312" w:eastAsia="楷体_GB2312" w:cs="楷体_GB2312"/>
              <w:bCs/>
              <w:kern w:val="2"/>
              <w:szCs w:val="32"/>
              <w:lang w:val="zh-CN" w:eastAsia="zh-CN" w:bidi="ar-SA"/>
            </w:rPr>
            <w:t>（五）部门整体支出绩效目标</w:t>
          </w:r>
          <w:r>
            <w:tab/>
          </w:r>
          <w:r>
            <w:fldChar w:fldCharType="begin"/>
          </w:r>
          <w:r>
            <w:instrText xml:space="preserve"> PAGEREF _Toc16851 \h </w:instrText>
          </w:r>
          <w:r>
            <w:fldChar w:fldCharType="separate"/>
          </w:r>
          <w:r>
            <w:t>35</w:t>
          </w:r>
          <w:r>
            <w:fldChar w:fldCharType="end"/>
          </w:r>
          <w:r>
            <w:rPr>
              <w:color w:val="auto"/>
              <w:highlight w:val="none"/>
            </w:rPr>
            <w:fldChar w:fldCharType="end"/>
          </w:r>
        </w:p>
        <w:p>
          <w:pPr>
            <w:pStyle w:val="12"/>
            <w:keepNext w:val="0"/>
            <w:keepLines w:val="0"/>
            <w:pageBreakBefore w:val="0"/>
            <w:widowControl w:val="0"/>
            <w:tabs>
              <w:tab w:val="right" w:leader="dot" w:pos="8306"/>
              <w:tab w:val="clear" w:pos="8296"/>
            </w:tabs>
            <w:kinsoku/>
            <w:wordWrap/>
            <w:overflowPunct/>
            <w:topLinePunct w:val="0"/>
            <w:autoSpaceDE/>
            <w:autoSpaceDN/>
            <w:bidi w:val="0"/>
            <w:adjustRightInd/>
            <w:snapToGrid/>
            <w:textAlignment w:val="auto"/>
          </w:pPr>
          <w:r>
            <w:rPr>
              <w:color w:val="auto"/>
              <w:highlight w:val="none"/>
            </w:rPr>
            <w:fldChar w:fldCharType="begin"/>
          </w:r>
          <w:r>
            <w:rPr>
              <w:highlight w:val="none"/>
            </w:rPr>
            <w:instrText xml:space="preserve"> HYPERLINK \l _Toc26320 </w:instrText>
          </w:r>
          <w:r>
            <w:rPr>
              <w:highlight w:val="none"/>
            </w:rPr>
            <w:fldChar w:fldCharType="separate"/>
          </w:r>
          <w:r>
            <w:rPr>
              <w:rFonts w:hint="default" w:ascii="黑体" w:hAnsi="黑体" w:eastAsia="黑体" w:cs="黑体"/>
              <w:szCs w:val="32"/>
              <w:lang w:val="zh-CN"/>
            </w:rPr>
            <w:t>二、部门财政资金收支情况</w:t>
          </w:r>
          <w:r>
            <w:tab/>
          </w:r>
          <w:r>
            <w:fldChar w:fldCharType="begin"/>
          </w:r>
          <w:r>
            <w:instrText xml:space="preserve"> PAGEREF _Toc26320 \h </w:instrText>
          </w:r>
          <w:r>
            <w:fldChar w:fldCharType="separate"/>
          </w:r>
          <w:r>
            <w:t>36</w:t>
          </w:r>
          <w:r>
            <w:fldChar w:fldCharType="end"/>
          </w:r>
          <w:r>
            <w:rPr>
              <w:color w:val="auto"/>
              <w:highlight w:val="none"/>
            </w:rPr>
            <w:fldChar w:fldCharType="end"/>
          </w:r>
        </w:p>
        <w:p>
          <w:pPr>
            <w:pStyle w:val="7"/>
            <w:keepNext w:val="0"/>
            <w:keepLines w:val="0"/>
            <w:pageBreakBefore w:val="0"/>
            <w:widowControl w:val="0"/>
            <w:tabs>
              <w:tab w:val="right" w:leader="dot" w:pos="8306"/>
              <w:tab w:val="clear" w:pos="8296"/>
            </w:tabs>
            <w:kinsoku/>
            <w:wordWrap/>
            <w:overflowPunct/>
            <w:topLinePunct w:val="0"/>
            <w:autoSpaceDE/>
            <w:autoSpaceDN/>
            <w:bidi w:val="0"/>
            <w:adjustRightInd/>
            <w:snapToGrid/>
            <w:textAlignment w:val="auto"/>
          </w:pPr>
          <w:r>
            <w:rPr>
              <w:color w:val="auto"/>
              <w:highlight w:val="none"/>
            </w:rPr>
            <w:fldChar w:fldCharType="begin"/>
          </w:r>
          <w:r>
            <w:rPr>
              <w:highlight w:val="none"/>
            </w:rPr>
            <w:instrText xml:space="preserve"> HYPERLINK \l _Toc24811 </w:instrText>
          </w:r>
          <w:r>
            <w:rPr>
              <w:highlight w:val="none"/>
            </w:rPr>
            <w:fldChar w:fldCharType="separate"/>
          </w:r>
          <w:r>
            <w:rPr>
              <w:rFonts w:hint="default" w:ascii="楷体_GB2312" w:hAnsi="楷体_GB2312" w:eastAsia="楷体_GB2312" w:cs="楷体_GB2312"/>
              <w:bCs/>
              <w:szCs w:val="32"/>
              <w:lang w:val="zh-CN"/>
            </w:rPr>
            <w:t>（一）部门财政资金收入情况</w:t>
          </w:r>
          <w:r>
            <w:tab/>
          </w:r>
          <w:r>
            <w:fldChar w:fldCharType="begin"/>
          </w:r>
          <w:r>
            <w:instrText xml:space="preserve"> PAGEREF _Toc24811 \h </w:instrText>
          </w:r>
          <w:r>
            <w:fldChar w:fldCharType="separate"/>
          </w:r>
          <w:r>
            <w:t>36</w:t>
          </w:r>
          <w:r>
            <w:fldChar w:fldCharType="end"/>
          </w:r>
          <w:r>
            <w:rPr>
              <w:color w:val="auto"/>
              <w:highlight w:val="none"/>
            </w:rPr>
            <w:fldChar w:fldCharType="end"/>
          </w:r>
        </w:p>
        <w:p>
          <w:pPr>
            <w:pStyle w:val="7"/>
            <w:keepNext w:val="0"/>
            <w:keepLines w:val="0"/>
            <w:pageBreakBefore w:val="0"/>
            <w:widowControl w:val="0"/>
            <w:tabs>
              <w:tab w:val="right" w:leader="dot" w:pos="8306"/>
              <w:tab w:val="clear" w:pos="8296"/>
            </w:tabs>
            <w:kinsoku/>
            <w:wordWrap/>
            <w:overflowPunct/>
            <w:topLinePunct w:val="0"/>
            <w:autoSpaceDE/>
            <w:autoSpaceDN/>
            <w:bidi w:val="0"/>
            <w:adjustRightInd/>
            <w:snapToGrid/>
            <w:textAlignment w:val="auto"/>
          </w:pPr>
          <w:r>
            <w:rPr>
              <w:color w:val="auto"/>
              <w:highlight w:val="none"/>
            </w:rPr>
            <w:fldChar w:fldCharType="begin"/>
          </w:r>
          <w:r>
            <w:rPr>
              <w:highlight w:val="none"/>
            </w:rPr>
            <w:instrText xml:space="preserve"> HYPERLINK \l _Toc29911 </w:instrText>
          </w:r>
          <w:r>
            <w:rPr>
              <w:highlight w:val="none"/>
            </w:rPr>
            <w:fldChar w:fldCharType="separate"/>
          </w:r>
          <w:r>
            <w:rPr>
              <w:rFonts w:hint="default" w:ascii="楷体_GB2312" w:hAnsi="楷体_GB2312" w:eastAsia="楷体_GB2312" w:cs="楷体_GB2312"/>
              <w:bCs/>
              <w:szCs w:val="32"/>
              <w:lang w:val="zh-CN"/>
            </w:rPr>
            <w:t>（二）部门财政资金支出情况</w:t>
          </w:r>
          <w:r>
            <w:tab/>
          </w:r>
          <w:r>
            <w:fldChar w:fldCharType="begin"/>
          </w:r>
          <w:r>
            <w:instrText xml:space="preserve"> PAGEREF _Toc29911 \h </w:instrText>
          </w:r>
          <w:r>
            <w:fldChar w:fldCharType="separate"/>
          </w:r>
          <w:r>
            <w:t>36</w:t>
          </w:r>
          <w:r>
            <w:fldChar w:fldCharType="end"/>
          </w:r>
          <w:r>
            <w:rPr>
              <w:color w:val="auto"/>
              <w:highlight w:val="none"/>
            </w:rPr>
            <w:fldChar w:fldCharType="end"/>
          </w:r>
        </w:p>
        <w:p>
          <w:pPr>
            <w:pStyle w:val="7"/>
            <w:keepNext w:val="0"/>
            <w:keepLines w:val="0"/>
            <w:pageBreakBefore w:val="0"/>
            <w:widowControl w:val="0"/>
            <w:tabs>
              <w:tab w:val="right" w:leader="dot" w:pos="8306"/>
              <w:tab w:val="clear" w:pos="8296"/>
            </w:tabs>
            <w:kinsoku/>
            <w:wordWrap/>
            <w:overflowPunct/>
            <w:topLinePunct w:val="0"/>
            <w:autoSpaceDE/>
            <w:autoSpaceDN/>
            <w:bidi w:val="0"/>
            <w:adjustRightInd/>
            <w:snapToGrid/>
            <w:textAlignment w:val="auto"/>
          </w:pPr>
          <w:r>
            <w:rPr>
              <w:color w:val="auto"/>
              <w:highlight w:val="none"/>
            </w:rPr>
            <w:fldChar w:fldCharType="begin"/>
          </w:r>
          <w:r>
            <w:rPr>
              <w:highlight w:val="none"/>
            </w:rPr>
            <w:instrText xml:space="preserve"> HYPERLINK \l _Toc14856 </w:instrText>
          </w:r>
          <w:r>
            <w:rPr>
              <w:highlight w:val="none"/>
            </w:rPr>
            <w:fldChar w:fldCharType="separate"/>
          </w:r>
          <w:r>
            <w:rPr>
              <w:rFonts w:hint="default" w:ascii="楷体_GB2312" w:hAnsi="楷体_GB2312" w:eastAsia="楷体_GB2312" w:cs="楷体_GB2312"/>
              <w:bCs/>
              <w:kern w:val="2"/>
              <w:szCs w:val="32"/>
              <w:lang w:val="zh-CN" w:eastAsia="zh-CN" w:bidi="ar-SA"/>
            </w:rPr>
            <w:t>（三）部门财政资金结余结转情况</w:t>
          </w:r>
          <w:r>
            <w:tab/>
          </w:r>
          <w:r>
            <w:fldChar w:fldCharType="begin"/>
          </w:r>
          <w:r>
            <w:instrText xml:space="preserve"> PAGEREF _Toc14856 \h </w:instrText>
          </w:r>
          <w:r>
            <w:fldChar w:fldCharType="separate"/>
          </w:r>
          <w:r>
            <w:t>36</w:t>
          </w:r>
          <w:r>
            <w:fldChar w:fldCharType="end"/>
          </w:r>
          <w:r>
            <w:rPr>
              <w:color w:val="auto"/>
              <w:highlight w:val="none"/>
            </w:rPr>
            <w:fldChar w:fldCharType="end"/>
          </w:r>
        </w:p>
        <w:p>
          <w:pPr>
            <w:pStyle w:val="12"/>
            <w:keepNext w:val="0"/>
            <w:keepLines w:val="0"/>
            <w:pageBreakBefore w:val="0"/>
            <w:widowControl w:val="0"/>
            <w:tabs>
              <w:tab w:val="right" w:leader="dot" w:pos="8306"/>
              <w:tab w:val="clear" w:pos="8296"/>
            </w:tabs>
            <w:kinsoku/>
            <w:wordWrap/>
            <w:overflowPunct/>
            <w:topLinePunct w:val="0"/>
            <w:autoSpaceDE/>
            <w:autoSpaceDN/>
            <w:bidi w:val="0"/>
            <w:adjustRightInd/>
            <w:snapToGrid/>
            <w:textAlignment w:val="auto"/>
          </w:pPr>
          <w:r>
            <w:rPr>
              <w:color w:val="auto"/>
              <w:highlight w:val="none"/>
            </w:rPr>
            <w:fldChar w:fldCharType="begin"/>
          </w:r>
          <w:r>
            <w:rPr>
              <w:highlight w:val="none"/>
            </w:rPr>
            <w:instrText xml:space="preserve"> HYPERLINK \l _Toc4230 </w:instrText>
          </w:r>
          <w:r>
            <w:rPr>
              <w:highlight w:val="none"/>
            </w:rPr>
            <w:fldChar w:fldCharType="separate"/>
          </w:r>
          <w:r>
            <w:rPr>
              <w:rFonts w:hint="eastAsia" w:ascii="黑体" w:hAnsi="黑体" w:eastAsia="黑体" w:cs="黑体"/>
              <w:szCs w:val="32"/>
              <w:lang w:val="zh-CN"/>
            </w:rPr>
            <w:t>三、</w:t>
          </w:r>
          <w:r>
            <w:rPr>
              <w:rFonts w:hint="eastAsia" w:ascii="黑体" w:hAnsi="黑体" w:eastAsia="黑体" w:cs="黑体"/>
              <w:kern w:val="0"/>
              <w:szCs w:val="32"/>
              <w:highlight w:val="none"/>
              <w:shd w:val="clear" w:color="auto" w:fill="FFFFFF"/>
            </w:rPr>
            <w:t>部门整体绩效</w:t>
          </w:r>
          <w:r>
            <w:rPr>
              <w:rFonts w:hint="eastAsia" w:ascii="黑体" w:hAnsi="黑体" w:eastAsia="黑体" w:cs="黑体"/>
              <w:kern w:val="0"/>
              <w:szCs w:val="32"/>
              <w:highlight w:val="none"/>
              <w:shd w:val="clear" w:color="auto" w:fill="FFFFFF"/>
              <w:lang w:eastAsia="zh-CN"/>
            </w:rPr>
            <w:t>分析</w:t>
          </w:r>
          <w:r>
            <w:rPr>
              <w:rFonts w:hint="eastAsia" w:ascii="黑体" w:hAnsi="黑体" w:eastAsia="黑体" w:cs="黑体"/>
              <w:szCs w:val="32"/>
              <w:lang w:val="zh-CN"/>
            </w:rPr>
            <w:t>情况</w:t>
          </w:r>
          <w:r>
            <w:tab/>
          </w:r>
          <w:r>
            <w:fldChar w:fldCharType="begin"/>
          </w:r>
          <w:r>
            <w:instrText xml:space="preserve"> PAGEREF _Toc4230 \h </w:instrText>
          </w:r>
          <w:r>
            <w:fldChar w:fldCharType="separate"/>
          </w:r>
          <w:r>
            <w:t>36</w:t>
          </w:r>
          <w:r>
            <w:fldChar w:fldCharType="end"/>
          </w:r>
          <w:r>
            <w:rPr>
              <w:color w:val="auto"/>
              <w:highlight w:val="none"/>
            </w:rPr>
            <w:fldChar w:fldCharType="end"/>
          </w:r>
        </w:p>
        <w:p>
          <w:pPr>
            <w:pStyle w:val="7"/>
            <w:keepNext w:val="0"/>
            <w:keepLines w:val="0"/>
            <w:pageBreakBefore w:val="0"/>
            <w:widowControl w:val="0"/>
            <w:tabs>
              <w:tab w:val="right" w:leader="dot" w:pos="8306"/>
              <w:tab w:val="clear" w:pos="8296"/>
            </w:tabs>
            <w:kinsoku/>
            <w:wordWrap/>
            <w:overflowPunct/>
            <w:topLinePunct w:val="0"/>
            <w:autoSpaceDE/>
            <w:autoSpaceDN/>
            <w:bidi w:val="0"/>
            <w:adjustRightInd/>
            <w:snapToGrid/>
            <w:textAlignment w:val="auto"/>
          </w:pPr>
          <w:r>
            <w:rPr>
              <w:color w:val="auto"/>
              <w:highlight w:val="none"/>
            </w:rPr>
            <w:fldChar w:fldCharType="begin"/>
          </w:r>
          <w:r>
            <w:rPr>
              <w:highlight w:val="none"/>
            </w:rPr>
            <w:instrText xml:space="preserve"> HYPERLINK \l _Toc24588 </w:instrText>
          </w:r>
          <w:r>
            <w:rPr>
              <w:highlight w:val="none"/>
            </w:rPr>
            <w:fldChar w:fldCharType="separate"/>
          </w:r>
          <w:r>
            <w:rPr>
              <w:rFonts w:hint="eastAsia" w:ascii="楷体_GB2312" w:hAnsi="楷体_GB2312" w:eastAsia="楷体_GB2312" w:cs="楷体_GB2312"/>
              <w:bCs/>
              <w:kern w:val="2"/>
              <w:szCs w:val="32"/>
              <w:lang w:val="zh-CN" w:eastAsia="zh-CN" w:bidi="ar-SA"/>
            </w:rPr>
            <w:t>（一）部门预算项目绩效分析</w:t>
          </w:r>
          <w:r>
            <w:tab/>
          </w:r>
          <w:r>
            <w:fldChar w:fldCharType="begin"/>
          </w:r>
          <w:r>
            <w:instrText xml:space="preserve"> PAGEREF _Toc24588 \h </w:instrText>
          </w:r>
          <w:r>
            <w:fldChar w:fldCharType="separate"/>
          </w:r>
          <w:r>
            <w:t>36</w:t>
          </w:r>
          <w:r>
            <w:fldChar w:fldCharType="end"/>
          </w:r>
          <w:r>
            <w:rPr>
              <w:color w:val="auto"/>
              <w:highlight w:val="none"/>
            </w:rPr>
            <w:fldChar w:fldCharType="end"/>
          </w:r>
        </w:p>
        <w:p>
          <w:pPr>
            <w:pStyle w:val="7"/>
            <w:keepNext w:val="0"/>
            <w:keepLines w:val="0"/>
            <w:pageBreakBefore w:val="0"/>
            <w:widowControl w:val="0"/>
            <w:tabs>
              <w:tab w:val="right" w:leader="dot" w:pos="8306"/>
              <w:tab w:val="clear" w:pos="8296"/>
            </w:tabs>
            <w:kinsoku/>
            <w:wordWrap/>
            <w:overflowPunct/>
            <w:topLinePunct w:val="0"/>
            <w:autoSpaceDE/>
            <w:autoSpaceDN/>
            <w:bidi w:val="0"/>
            <w:adjustRightInd/>
            <w:snapToGrid/>
            <w:textAlignment w:val="auto"/>
          </w:pPr>
          <w:r>
            <w:rPr>
              <w:color w:val="auto"/>
              <w:highlight w:val="none"/>
            </w:rPr>
            <w:fldChar w:fldCharType="begin"/>
          </w:r>
          <w:r>
            <w:rPr>
              <w:highlight w:val="none"/>
            </w:rPr>
            <w:instrText xml:space="preserve"> HYPERLINK \l _Toc26856 </w:instrText>
          </w:r>
          <w:r>
            <w:rPr>
              <w:highlight w:val="none"/>
            </w:rPr>
            <w:fldChar w:fldCharType="separate"/>
          </w:r>
          <w:r>
            <w:rPr>
              <w:rFonts w:hint="eastAsia" w:ascii="楷体_GB2312" w:hAnsi="楷体_GB2312" w:eastAsia="楷体_GB2312" w:cs="楷体_GB2312"/>
              <w:bCs/>
              <w:kern w:val="2"/>
              <w:szCs w:val="32"/>
              <w:lang w:val="zh-CN" w:eastAsia="zh-CN" w:bidi="ar-SA"/>
            </w:rPr>
            <w:t>（二）部门整体履职绩效分析</w:t>
          </w:r>
          <w:r>
            <w:tab/>
          </w:r>
          <w:r>
            <w:fldChar w:fldCharType="begin"/>
          </w:r>
          <w:r>
            <w:instrText xml:space="preserve"> PAGEREF _Toc26856 \h </w:instrText>
          </w:r>
          <w:r>
            <w:fldChar w:fldCharType="separate"/>
          </w:r>
          <w:r>
            <w:t>37</w:t>
          </w:r>
          <w:r>
            <w:fldChar w:fldCharType="end"/>
          </w:r>
          <w:r>
            <w:rPr>
              <w:color w:val="auto"/>
              <w:highlight w:val="none"/>
            </w:rPr>
            <w:fldChar w:fldCharType="end"/>
          </w:r>
        </w:p>
        <w:p>
          <w:pPr>
            <w:pStyle w:val="7"/>
            <w:keepNext w:val="0"/>
            <w:keepLines w:val="0"/>
            <w:pageBreakBefore w:val="0"/>
            <w:widowControl w:val="0"/>
            <w:tabs>
              <w:tab w:val="right" w:leader="dot" w:pos="8306"/>
              <w:tab w:val="clear" w:pos="8296"/>
            </w:tabs>
            <w:kinsoku/>
            <w:wordWrap/>
            <w:overflowPunct/>
            <w:topLinePunct w:val="0"/>
            <w:autoSpaceDE/>
            <w:autoSpaceDN/>
            <w:bidi w:val="0"/>
            <w:adjustRightInd/>
            <w:snapToGrid/>
            <w:textAlignment w:val="auto"/>
          </w:pPr>
          <w:r>
            <w:rPr>
              <w:color w:val="auto"/>
              <w:highlight w:val="none"/>
            </w:rPr>
            <w:fldChar w:fldCharType="begin"/>
          </w:r>
          <w:r>
            <w:rPr>
              <w:highlight w:val="none"/>
            </w:rPr>
            <w:instrText xml:space="preserve"> HYPERLINK \l _Toc22207 </w:instrText>
          </w:r>
          <w:r>
            <w:rPr>
              <w:highlight w:val="none"/>
            </w:rPr>
            <w:fldChar w:fldCharType="separate"/>
          </w:r>
          <w:r>
            <w:rPr>
              <w:rFonts w:hint="eastAsia" w:ascii="楷体_GB2312" w:hAnsi="楷体_GB2312" w:eastAsia="楷体_GB2312" w:cs="楷体_GB2312"/>
              <w:bCs/>
              <w:kern w:val="2"/>
              <w:szCs w:val="32"/>
              <w:lang w:val="zh-CN" w:eastAsia="zh-CN" w:bidi="ar-SA"/>
            </w:rPr>
            <w:t>（三）结果应用情况</w:t>
          </w:r>
          <w:r>
            <w:tab/>
          </w:r>
          <w:r>
            <w:fldChar w:fldCharType="begin"/>
          </w:r>
          <w:r>
            <w:instrText xml:space="preserve"> PAGEREF _Toc22207 \h </w:instrText>
          </w:r>
          <w:r>
            <w:fldChar w:fldCharType="separate"/>
          </w:r>
          <w:r>
            <w:t>38</w:t>
          </w:r>
          <w:r>
            <w:fldChar w:fldCharType="end"/>
          </w:r>
          <w:r>
            <w:rPr>
              <w:color w:val="auto"/>
              <w:highlight w:val="none"/>
            </w:rPr>
            <w:fldChar w:fldCharType="end"/>
          </w:r>
        </w:p>
        <w:p>
          <w:pPr>
            <w:pStyle w:val="7"/>
            <w:keepNext w:val="0"/>
            <w:keepLines w:val="0"/>
            <w:pageBreakBefore w:val="0"/>
            <w:widowControl w:val="0"/>
            <w:tabs>
              <w:tab w:val="right" w:leader="dot" w:pos="8306"/>
              <w:tab w:val="clear" w:pos="8296"/>
            </w:tabs>
            <w:kinsoku/>
            <w:wordWrap/>
            <w:overflowPunct/>
            <w:topLinePunct w:val="0"/>
            <w:autoSpaceDE/>
            <w:autoSpaceDN/>
            <w:bidi w:val="0"/>
            <w:adjustRightInd/>
            <w:snapToGrid/>
            <w:textAlignment w:val="auto"/>
          </w:pPr>
          <w:r>
            <w:rPr>
              <w:color w:val="auto"/>
              <w:highlight w:val="none"/>
            </w:rPr>
            <w:fldChar w:fldCharType="begin"/>
          </w:r>
          <w:r>
            <w:rPr>
              <w:highlight w:val="none"/>
            </w:rPr>
            <w:instrText xml:space="preserve"> HYPERLINK \l _Toc26597 </w:instrText>
          </w:r>
          <w:r>
            <w:rPr>
              <w:highlight w:val="none"/>
            </w:rPr>
            <w:fldChar w:fldCharType="separate"/>
          </w:r>
          <w:r>
            <w:rPr>
              <w:rFonts w:hint="eastAsia" w:ascii="楷体_GB2312" w:hAnsi="楷体_GB2312" w:eastAsia="楷体_GB2312" w:cs="楷体_GB2312"/>
              <w:bCs/>
              <w:kern w:val="2"/>
              <w:szCs w:val="32"/>
              <w:lang w:val="en-US" w:eastAsia="zh-CN" w:bidi="ar-SA"/>
            </w:rPr>
            <w:t>（四）自评</w:t>
          </w:r>
          <w:r>
            <w:rPr>
              <w:rFonts w:hint="default" w:ascii="楷体_GB2312" w:hAnsi="楷体_GB2312" w:eastAsia="楷体_GB2312" w:cs="楷体_GB2312"/>
              <w:bCs/>
              <w:kern w:val="2"/>
              <w:szCs w:val="32"/>
              <w:lang w:val="en-US" w:eastAsia="zh-CN" w:bidi="ar-SA"/>
            </w:rPr>
            <w:t>绩效</w:t>
          </w:r>
          <w:r>
            <w:rPr>
              <w:rFonts w:hint="eastAsia" w:ascii="楷体_GB2312" w:hAnsi="楷体_GB2312" w:eastAsia="楷体_GB2312" w:cs="楷体_GB2312"/>
              <w:bCs/>
              <w:kern w:val="2"/>
              <w:szCs w:val="32"/>
              <w:lang w:val="en-US" w:eastAsia="zh-CN" w:bidi="ar-SA"/>
            </w:rPr>
            <w:t>质量</w:t>
          </w:r>
          <w:r>
            <w:rPr>
              <w:rFonts w:hint="default" w:ascii="楷体_GB2312" w:hAnsi="楷体_GB2312" w:eastAsia="楷体_GB2312" w:cs="楷体_GB2312"/>
              <w:bCs/>
              <w:kern w:val="2"/>
              <w:szCs w:val="32"/>
              <w:lang w:val="en-US" w:eastAsia="zh-CN" w:bidi="ar-SA"/>
            </w:rPr>
            <w:t>情况</w:t>
          </w:r>
          <w:r>
            <w:tab/>
          </w:r>
          <w:r>
            <w:fldChar w:fldCharType="begin"/>
          </w:r>
          <w:r>
            <w:instrText xml:space="preserve"> PAGEREF _Toc26597 \h </w:instrText>
          </w:r>
          <w:r>
            <w:fldChar w:fldCharType="separate"/>
          </w:r>
          <w:r>
            <w:t>38</w:t>
          </w:r>
          <w:r>
            <w:fldChar w:fldCharType="end"/>
          </w:r>
          <w:r>
            <w:rPr>
              <w:color w:val="auto"/>
              <w:highlight w:val="none"/>
            </w:rPr>
            <w:fldChar w:fldCharType="end"/>
          </w:r>
        </w:p>
        <w:p>
          <w:pPr>
            <w:pStyle w:val="12"/>
            <w:keepNext w:val="0"/>
            <w:keepLines w:val="0"/>
            <w:pageBreakBefore w:val="0"/>
            <w:widowControl w:val="0"/>
            <w:tabs>
              <w:tab w:val="right" w:leader="dot" w:pos="8306"/>
              <w:tab w:val="clear" w:pos="8296"/>
            </w:tabs>
            <w:kinsoku/>
            <w:wordWrap/>
            <w:overflowPunct/>
            <w:topLinePunct w:val="0"/>
            <w:autoSpaceDE/>
            <w:autoSpaceDN/>
            <w:bidi w:val="0"/>
            <w:adjustRightInd/>
            <w:snapToGrid/>
            <w:textAlignment w:val="auto"/>
          </w:pPr>
          <w:r>
            <w:rPr>
              <w:color w:val="auto"/>
              <w:highlight w:val="none"/>
            </w:rPr>
            <w:fldChar w:fldCharType="begin"/>
          </w:r>
          <w:r>
            <w:rPr>
              <w:highlight w:val="none"/>
            </w:rPr>
            <w:instrText xml:space="preserve"> HYPERLINK \l _Toc2210 </w:instrText>
          </w:r>
          <w:r>
            <w:rPr>
              <w:highlight w:val="none"/>
            </w:rPr>
            <w:fldChar w:fldCharType="separate"/>
          </w:r>
          <w:r>
            <w:rPr>
              <w:rFonts w:hint="eastAsia" w:ascii="黑体" w:hAnsi="黑体" w:eastAsia="黑体" w:cs="黑体"/>
              <w:szCs w:val="32"/>
              <w:lang w:val="en-US" w:eastAsia="zh-CN"/>
            </w:rPr>
            <w:t>四、</w:t>
          </w:r>
          <w:r>
            <w:rPr>
              <w:rFonts w:hint="default" w:ascii="黑体" w:hAnsi="黑体" w:eastAsia="黑体" w:cs="黑体"/>
              <w:szCs w:val="32"/>
              <w:lang w:val="en-US" w:eastAsia="zh-CN"/>
            </w:rPr>
            <w:t>评价结论及建议</w:t>
          </w:r>
          <w:r>
            <w:tab/>
          </w:r>
          <w:r>
            <w:fldChar w:fldCharType="begin"/>
          </w:r>
          <w:r>
            <w:instrText xml:space="preserve"> PAGEREF _Toc2210 \h </w:instrText>
          </w:r>
          <w:r>
            <w:fldChar w:fldCharType="separate"/>
          </w:r>
          <w:r>
            <w:t>38</w:t>
          </w:r>
          <w:r>
            <w:fldChar w:fldCharType="end"/>
          </w:r>
          <w:r>
            <w:rPr>
              <w:color w:val="auto"/>
              <w:highlight w:val="none"/>
            </w:rPr>
            <w:fldChar w:fldCharType="end"/>
          </w:r>
        </w:p>
        <w:p>
          <w:pPr>
            <w:pStyle w:val="7"/>
            <w:keepNext w:val="0"/>
            <w:keepLines w:val="0"/>
            <w:pageBreakBefore w:val="0"/>
            <w:widowControl w:val="0"/>
            <w:tabs>
              <w:tab w:val="right" w:leader="dot" w:pos="8306"/>
              <w:tab w:val="clear" w:pos="8296"/>
            </w:tabs>
            <w:kinsoku/>
            <w:wordWrap/>
            <w:overflowPunct/>
            <w:topLinePunct w:val="0"/>
            <w:autoSpaceDE/>
            <w:autoSpaceDN/>
            <w:bidi w:val="0"/>
            <w:adjustRightInd/>
            <w:snapToGrid/>
            <w:textAlignment w:val="auto"/>
          </w:pPr>
          <w:r>
            <w:rPr>
              <w:color w:val="auto"/>
              <w:highlight w:val="none"/>
            </w:rPr>
            <w:fldChar w:fldCharType="begin"/>
          </w:r>
          <w:r>
            <w:rPr>
              <w:highlight w:val="none"/>
            </w:rPr>
            <w:instrText xml:space="preserve"> HYPERLINK \l _Toc15696 </w:instrText>
          </w:r>
          <w:r>
            <w:rPr>
              <w:highlight w:val="none"/>
            </w:rPr>
            <w:fldChar w:fldCharType="separate"/>
          </w:r>
          <w:r>
            <w:rPr>
              <w:rFonts w:hint="default" w:ascii="楷体_GB2312" w:hAnsi="楷体_GB2312" w:eastAsia="楷体_GB2312" w:cs="楷体_GB2312"/>
              <w:bCs/>
              <w:szCs w:val="32"/>
              <w:lang w:val="zh-CN"/>
            </w:rPr>
            <w:t>（一）</w:t>
          </w:r>
          <w:r>
            <w:rPr>
              <w:rFonts w:hint="default" w:ascii="楷体_GB2312" w:hAnsi="楷体_GB2312" w:eastAsia="楷体_GB2312" w:cs="楷体_GB2312"/>
              <w:bCs/>
              <w:szCs w:val="32"/>
              <w:lang w:val="en-US" w:eastAsia="zh-CN"/>
            </w:rPr>
            <w:t>评价结论</w:t>
          </w:r>
          <w:r>
            <w:tab/>
          </w:r>
          <w:r>
            <w:fldChar w:fldCharType="begin"/>
          </w:r>
          <w:r>
            <w:instrText xml:space="preserve"> PAGEREF _Toc15696 \h </w:instrText>
          </w:r>
          <w:r>
            <w:fldChar w:fldCharType="separate"/>
          </w:r>
          <w:r>
            <w:t>38</w:t>
          </w:r>
          <w:r>
            <w:fldChar w:fldCharType="end"/>
          </w:r>
          <w:r>
            <w:rPr>
              <w:color w:val="auto"/>
              <w:highlight w:val="none"/>
            </w:rPr>
            <w:fldChar w:fldCharType="end"/>
          </w:r>
        </w:p>
        <w:p>
          <w:pPr>
            <w:pStyle w:val="7"/>
            <w:keepNext w:val="0"/>
            <w:keepLines w:val="0"/>
            <w:pageBreakBefore w:val="0"/>
            <w:widowControl w:val="0"/>
            <w:tabs>
              <w:tab w:val="right" w:leader="dot" w:pos="8306"/>
              <w:tab w:val="clear" w:pos="8296"/>
            </w:tabs>
            <w:kinsoku/>
            <w:wordWrap/>
            <w:overflowPunct/>
            <w:topLinePunct w:val="0"/>
            <w:autoSpaceDE/>
            <w:autoSpaceDN/>
            <w:bidi w:val="0"/>
            <w:adjustRightInd/>
            <w:snapToGrid/>
            <w:textAlignment w:val="auto"/>
          </w:pPr>
          <w:r>
            <w:rPr>
              <w:color w:val="auto"/>
              <w:highlight w:val="none"/>
            </w:rPr>
            <w:fldChar w:fldCharType="begin"/>
          </w:r>
          <w:r>
            <w:rPr>
              <w:highlight w:val="none"/>
            </w:rPr>
            <w:instrText xml:space="preserve"> HYPERLINK \l _Toc24645 </w:instrText>
          </w:r>
          <w:r>
            <w:rPr>
              <w:highlight w:val="none"/>
            </w:rPr>
            <w:fldChar w:fldCharType="separate"/>
          </w:r>
          <w:r>
            <w:rPr>
              <w:rFonts w:hint="default" w:ascii="楷体_GB2312" w:hAnsi="楷体_GB2312" w:eastAsia="楷体_GB2312" w:cs="楷体_GB2312"/>
              <w:bCs/>
              <w:szCs w:val="32"/>
              <w:lang w:val="zh-CN"/>
            </w:rPr>
            <w:t>（</w:t>
          </w:r>
          <w:r>
            <w:rPr>
              <w:rFonts w:hint="eastAsia" w:ascii="楷体_GB2312" w:hAnsi="楷体_GB2312" w:eastAsia="楷体_GB2312" w:cs="楷体_GB2312"/>
              <w:bCs/>
              <w:szCs w:val="32"/>
              <w:lang w:val="zh-CN"/>
            </w:rPr>
            <w:t>二</w:t>
          </w:r>
          <w:r>
            <w:rPr>
              <w:rFonts w:hint="default" w:ascii="楷体_GB2312" w:hAnsi="楷体_GB2312" w:eastAsia="楷体_GB2312" w:cs="楷体_GB2312"/>
              <w:bCs/>
              <w:szCs w:val="32"/>
              <w:lang w:val="zh-CN"/>
            </w:rPr>
            <w:t>）</w:t>
          </w:r>
          <w:r>
            <w:rPr>
              <w:rFonts w:hint="default" w:ascii="楷体_GB2312" w:hAnsi="楷体_GB2312" w:eastAsia="楷体_GB2312" w:cs="楷体_GB2312"/>
              <w:bCs/>
              <w:szCs w:val="32"/>
              <w:lang w:val="en-US" w:eastAsia="zh-CN"/>
            </w:rPr>
            <w:t>存在问题</w:t>
          </w:r>
          <w:r>
            <w:tab/>
          </w:r>
          <w:r>
            <w:fldChar w:fldCharType="begin"/>
          </w:r>
          <w:r>
            <w:instrText xml:space="preserve"> PAGEREF _Toc24645 \h </w:instrText>
          </w:r>
          <w:r>
            <w:fldChar w:fldCharType="separate"/>
          </w:r>
          <w:r>
            <w:t>39</w:t>
          </w:r>
          <w:r>
            <w:fldChar w:fldCharType="end"/>
          </w:r>
          <w:r>
            <w:rPr>
              <w:color w:val="auto"/>
              <w:highlight w:val="none"/>
            </w:rPr>
            <w:fldChar w:fldCharType="end"/>
          </w:r>
        </w:p>
        <w:p>
          <w:pPr>
            <w:pStyle w:val="7"/>
            <w:keepNext w:val="0"/>
            <w:keepLines w:val="0"/>
            <w:pageBreakBefore w:val="0"/>
            <w:widowControl w:val="0"/>
            <w:tabs>
              <w:tab w:val="right" w:leader="dot" w:pos="8306"/>
              <w:tab w:val="clear" w:pos="8296"/>
            </w:tabs>
            <w:kinsoku/>
            <w:wordWrap/>
            <w:overflowPunct/>
            <w:topLinePunct w:val="0"/>
            <w:autoSpaceDE/>
            <w:autoSpaceDN/>
            <w:bidi w:val="0"/>
            <w:adjustRightInd/>
            <w:snapToGrid/>
            <w:textAlignment w:val="auto"/>
          </w:pPr>
          <w:r>
            <w:rPr>
              <w:color w:val="auto"/>
              <w:highlight w:val="none"/>
            </w:rPr>
            <w:fldChar w:fldCharType="begin"/>
          </w:r>
          <w:r>
            <w:rPr>
              <w:highlight w:val="none"/>
            </w:rPr>
            <w:instrText xml:space="preserve"> HYPERLINK \l _Toc25432 </w:instrText>
          </w:r>
          <w:r>
            <w:rPr>
              <w:highlight w:val="none"/>
            </w:rPr>
            <w:fldChar w:fldCharType="separate"/>
          </w:r>
          <w:r>
            <w:rPr>
              <w:rFonts w:hint="default" w:ascii="楷体_GB2312" w:hAnsi="楷体_GB2312" w:eastAsia="楷体_GB2312" w:cs="楷体_GB2312"/>
              <w:bCs/>
              <w:szCs w:val="32"/>
              <w:lang w:val="zh-CN"/>
            </w:rPr>
            <w:t>（</w:t>
          </w:r>
          <w:r>
            <w:rPr>
              <w:rFonts w:hint="eastAsia" w:ascii="楷体_GB2312" w:hAnsi="楷体_GB2312" w:eastAsia="楷体_GB2312" w:cs="楷体_GB2312"/>
              <w:bCs/>
              <w:szCs w:val="32"/>
              <w:lang w:val="zh-CN"/>
            </w:rPr>
            <w:t>三</w:t>
          </w:r>
          <w:r>
            <w:rPr>
              <w:rFonts w:hint="default" w:ascii="楷体_GB2312" w:hAnsi="楷体_GB2312" w:eastAsia="楷体_GB2312" w:cs="楷体_GB2312"/>
              <w:bCs/>
              <w:szCs w:val="32"/>
              <w:lang w:val="zh-CN"/>
            </w:rPr>
            <w:t>）</w:t>
          </w:r>
          <w:r>
            <w:rPr>
              <w:rFonts w:hint="default" w:ascii="楷体_GB2312" w:hAnsi="楷体_GB2312" w:eastAsia="楷体_GB2312" w:cs="楷体_GB2312"/>
              <w:bCs/>
              <w:szCs w:val="32"/>
              <w:lang w:val="en-US" w:eastAsia="zh-CN"/>
            </w:rPr>
            <w:t>相关建议</w:t>
          </w:r>
          <w:r>
            <w:tab/>
          </w:r>
          <w:r>
            <w:fldChar w:fldCharType="begin"/>
          </w:r>
          <w:r>
            <w:instrText xml:space="preserve"> PAGEREF _Toc25432 \h </w:instrText>
          </w:r>
          <w:r>
            <w:fldChar w:fldCharType="separate"/>
          </w:r>
          <w:r>
            <w:t>39</w:t>
          </w:r>
          <w:r>
            <w:fldChar w:fldCharType="end"/>
          </w:r>
          <w:r>
            <w:rPr>
              <w:color w:val="auto"/>
              <w:highlight w:val="none"/>
            </w:rPr>
            <w:fldChar w:fldCharType="end"/>
          </w:r>
        </w:p>
        <w:p>
          <w:pPr>
            <w:pStyle w:val="12"/>
            <w:keepNext w:val="0"/>
            <w:keepLines w:val="0"/>
            <w:pageBreakBefore w:val="0"/>
            <w:widowControl w:val="0"/>
            <w:tabs>
              <w:tab w:val="right" w:leader="dot" w:pos="8306"/>
              <w:tab w:val="clear" w:pos="8296"/>
            </w:tabs>
            <w:kinsoku/>
            <w:wordWrap/>
            <w:overflowPunct/>
            <w:topLinePunct w:val="0"/>
            <w:autoSpaceDE/>
            <w:autoSpaceDN/>
            <w:bidi w:val="0"/>
            <w:adjustRightInd/>
            <w:snapToGrid/>
            <w:textAlignment w:val="auto"/>
          </w:pPr>
          <w:r>
            <w:rPr>
              <w:color w:val="auto"/>
              <w:highlight w:val="none"/>
            </w:rPr>
            <w:fldChar w:fldCharType="begin"/>
          </w:r>
          <w:r>
            <w:rPr>
              <w:highlight w:val="none"/>
            </w:rPr>
            <w:instrText xml:space="preserve"> HYPERLINK \l _Toc18807 </w:instrText>
          </w:r>
          <w:r>
            <w:rPr>
              <w:highlight w:val="none"/>
            </w:rPr>
            <w:fldChar w:fldCharType="separate"/>
          </w:r>
          <w:r>
            <w:rPr>
              <w:rFonts w:hint="eastAsia" w:ascii="黑体" w:hAnsi="黑体" w:eastAsia="黑体" w:cs="黑体"/>
              <w:kern w:val="2"/>
              <w:szCs w:val="44"/>
              <w:highlight w:val="none"/>
              <w:lang w:val="en-US" w:eastAsia="zh-CN" w:bidi="ar-SA"/>
            </w:rPr>
            <w:t>巴中市巴州区应急管理局</w:t>
          </w:r>
          <w:r>
            <w:rPr>
              <w:color w:val="auto"/>
              <w:highlight w:val="none"/>
            </w:rPr>
            <w:fldChar w:fldCharType="end"/>
          </w:r>
          <w:r>
            <w:rPr>
              <w:color w:val="auto"/>
              <w:highlight w:val="none"/>
            </w:rPr>
            <w:fldChar w:fldCharType="begin"/>
          </w:r>
          <w:r>
            <w:rPr>
              <w:highlight w:val="none"/>
            </w:rPr>
            <w:instrText xml:space="preserve"> HYPERLINK \l _Toc28551 </w:instrText>
          </w:r>
          <w:r>
            <w:rPr>
              <w:highlight w:val="none"/>
            </w:rPr>
            <w:fldChar w:fldCharType="separate"/>
          </w:r>
          <w:r>
            <w:rPr>
              <w:rFonts w:hint="eastAsia" w:ascii="黑体" w:hAnsi="黑体" w:eastAsia="黑体" w:cs="黑体"/>
              <w:kern w:val="2"/>
              <w:szCs w:val="44"/>
              <w:highlight w:val="none"/>
              <w:lang w:val="en-US" w:eastAsia="zh-CN" w:bidi="ar-SA"/>
            </w:rPr>
            <w:t>2022年冬春救助资金项目支出绩效自评报告</w:t>
          </w:r>
          <w:r>
            <w:tab/>
          </w:r>
          <w:r>
            <w:fldChar w:fldCharType="begin"/>
          </w:r>
          <w:r>
            <w:instrText xml:space="preserve"> PAGEREF _Toc28551 \h </w:instrText>
          </w:r>
          <w:r>
            <w:fldChar w:fldCharType="separate"/>
          </w:r>
          <w:r>
            <w:t>40</w:t>
          </w:r>
          <w:r>
            <w:fldChar w:fldCharType="end"/>
          </w:r>
          <w:r>
            <w:rPr>
              <w:color w:val="auto"/>
              <w:highlight w:val="none"/>
            </w:rPr>
            <w:fldChar w:fldCharType="end"/>
          </w:r>
        </w:p>
        <w:p>
          <w:pPr>
            <w:pStyle w:val="12"/>
            <w:keepNext w:val="0"/>
            <w:keepLines w:val="0"/>
            <w:pageBreakBefore w:val="0"/>
            <w:widowControl w:val="0"/>
            <w:tabs>
              <w:tab w:val="right" w:leader="dot" w:pos="8306"/>
              <w:tab w:val="clear" w:pos="8296"/>
            </w:tabs>
            <w:kinsoku/>
            <w:wordWrap/>
            <w:overflowPunct/>
            <w:topLinePunct w:val="0"/>
            <w:autoSpaceDE/>
            <w:autoSpaceDN/>
            <w:bidi w:val="0"/>
            <w:adjustRightInd/>
            <w:snapToGrid/>
            <w:textAlignment w:val="auto"/>
          </w:pPr>
          <w:r>
            <w:rPr>
              <w:color w:val="auto"/>
              <w:highlight w:val="none"/>
            </w:rPr>
            <w:fldChar w:fldCharType="begin"/>
          </w:r>
          <w:r>
            <w:rPr>
              <w:highlight w:val="none"/>
            </w:rPr>
            <w:instrText xml:space="preserve"> HYPERLINK \l _Toc16580 </w:instrText>
          </w:r>
          <w:r>
            <w:rPr>
              <w:highlight w:val="none"/>
            </w:rPr>
            <w:fldChar w:fldCharType="separate"/>
          </w:r>
          <w:r>
            <w:rPr>
              <w:rFonts w:hint="eastAsia" w:ascii="黑体" w:hAnsi="宋体" w:eastAsia="黑体" w:cs="Times New Roman"/>
              <w:szCs w:val="32"/>
              <w:highlight w:val="none"/>
            </w:rPr>
            <w:t>一、</w:t>
          </w:r>
          <w:r>
            <w:rPr>
              <w:rFonts w:hint="eastAsia" w:ascii="黑体" w:hAnsi="宋体" w:eastAsia="黑体" w:cs="Times New Roman"/>
              <w:szCs w:val="32"/>
              <w:highlight w:val="none"/>
              <w:lang w:val="zh-CN"/>
            </w:rPr>
            <w:t>项目概况</w:t>
          </w:r>
          <w:r>
            <w:tab/>
          </w:r>
          <w:r>
            <w:fldChar w:fldCharType="begin"/>
          </w:r>
          <w:r>
            <w:instrText xml:space="preserve"> PAGEREF _Toc16580 \h </w:instrText>
          </w:r>
          <w:r>
            <w:fldChar w:fldCharType="separate"/>
          </w:r>
          <w:r>
            <w:t>40</w:t>
          </w:r>
          <w:r>
            <w:fldChar w:fldCharType="end"/>
          </w:r>
          <w:r>
            <w:rPr>
              <w:color w:val="auto"/>
              <w:highlight w:val="none"/>
            </w:rPr>
            <w:fldChar w:fldCharType="end"/>
          </w:r>
        </w:p>
        <w:p>
          <w:pPr>
            <w:pStyle w:val="7"/>
            <w:keepNext w:val="0"/>
            <w:keepLines w:val="0"/>
            <w:pageBreakBefore w:val="0"/>
            <w:widowControl w:val="0"/>
            <w:tabs>
              <w:tab w:val="right" w:leader="dot" w:pos="8306"/>
              <w:tab w:val="clear" w:pos="8296"/>
            </w:tabs>
            <w:kinsoku/>
            <w:wordWrap/>
            <w:overflowPunct/>
            <w:topLinePunct w:val="0"/>
            <w:autoSpaceDE/>
            <w:autoSpaceDN/>
            <w:bidi w:val="0"/>
            <w:adjustRightInd/>
            <w:snapToGrid/>
            <w:textAlignment w:val="auto"/>
          </w:pPr>
          <w:r>
            <w:rPr>
              <w:color w:val="auto"/>
              <w:highlight w:val="none"/>
            </w:rPr>
            <w:fldChar w:fldCharType="begin"/>
          </w:r>
          <w:r>
            <w:rPr>
              <w:highlight w:val="none"/>
            </w:rPr>
            <w:instrText xml:space="preserve"> HYPERLINK \l _Toc23731 </w:instrText>
          </w:r>
          <w:r>
            <w:rPr>
              <w:highlight w:val="none"/>
            </w:rPr>
            <w:fldChar w:fldCharType="separate"/>
          </w:r>
          <w:r>
            <w:rPr>
              <w:rFonts w:hint="eastAsia" w:ascii="楷体_GB2312" w:hAnsi="宋体" w:eastAsia="楷体_GB2312" w:cs="Times New Roman"/>
              <w:szCs w:val="32"/>
              <w:highlight w:val="none"/>
              <w:lang w:val="zh-CN"/>
            </w:rPr>
            <w:t>（一）项目基本情况</w:t>
          </w:r>
          <w:r>
            <w:tab/>
          </w:r>
          <w:r>
            <w:fldChar w:fldCharType="begin"/>
          </w:r>
          <w:r>
            <w:instrText xml:space="preserve"> PAGEREF _Toc23731 \h </w:instrText>
          </w:r>
          <w:r>
            <w:fldChar w:fldCharType="separate"/>
          </w:r>
          <w:r>
            <w:t>40</w:t>
          </w:r>
          <w:r>
            <w:fldChar w:fldCharType="end"/>
          </w:r>
          <w:r>
            <w:rPr>
              <w:color w:val="auto"/>
              <w:highlight w:val="none"/>
            </w:rPr>
            <w:fldChar w:fldCharType="end"/>
          </w:r>
        </w:p>
        <w:p>
          <w:pPr>
            <w:pStyle w:val="7"/>
            <w:keepNext w:val="0"/>
            <w:keepLines w:val="0"/>
            <w:pageBreakBefore w:val="0"/>
            <w:widowControl w:val="0"/>
            <w:tabs>
              <w:tab w:val="right" w:leader="dot" w:pos="8306"/>
              <w:tab w:val="clear" w:pos="8296"/>
            </w:tabs>
            <w:kinsoku/>
            <w:wordWrap/>
            <w:overflowPunct/>
            <w:topLinePunct w:val="0"/>
            <w:autoSpaceDE/>
            <w:autoSpaceDN/>
            <w:bidi w:val="0"/>
            <w:adjustRightInd/>
            <w:snapToGrid/>
            <w:textAlignment w:val="auto"/>
          </w:pPr>
          <w:r>
            <w:rPr>
              <w:color w:val="auto"/>
              <w:highlight w:val="none"/>
            </w:rPr>
            <w:fldChar w:fldCharType="begin"/>
          </w:r>
          <w:r>
            <w:rPr>
              <w:highlight w:val="none"/>
            </w:rPr>
            <w:instrText xml:space="preserve"> HYPERLINK \l _Toc3106 </w:instrText>
          </w:r>
          <w:r>
            <w:rPr>
              <w:highlight w:val="none"/>
            </w:rPr>
            <w:fldChar w:fldCharType="separate"/>
          </w:r>
          <w:r>
            <w:rPr>
              <w:rFonts w:hint="eastAsia" w:ascii="楷体_GB2312" w:hAnsi="宋体" w:eastAsia="楷体_GB2312" w:cs="Times New Roman"/>
              <w:szCs w:val="32"/>
              <w:highlight w:val="none"/>
              <w:lang w:val="zh-CN"/>
            </w:rPr>
            <w:t>（二）项目绩效目标</w:t>
          </w:r>
          <w:r>
            <w:tab/>
          </w:r>
          <w:r>
            <w:fldChar w:fldCharType="begin"/>
          </w:r>
          <w:r>
            <w:instrText xml:space="preserve"> PAGEREF _Toc3106 \h </w:instrText>
          </w:r>
          <w:r>
            <w:fldChar w:fldCharType="separate"/>
          </w:r>
          <w:r>
            <w:t>40</w:t>
          </w:r>
          <w:r>
            <w:fldChar w:fldCharType="end"/>
          </w:r>
          <w:r>
            <w:rPr>
              <w:color w:val="auto"/>
              <w:highlight w:val="none"/>
            </w:rPr>
            <w:fldChar w:fldCharType="end"/>
          </w:r>
        </w:p>
        <w:p>
          <w:pPr>
            <w:pStyle w:val="7"/>
            <w:keepNext w:val="0"/>
            <w:keepLines w:val="0"/>
            <w:pageBreakBefore w:val="0"/>
            <w:widowControl w:val="0"/>
            <w:tabs>
              <w:tab w:val="right" w:leader="dot" w:pos="8306"/>
              <w:tab w:val="clear" w:pos="8296"/>
            </w:tabs>
            <w:kinsoku/>
            <w:wordWrap/>
            <w:overflowPunct/>
            <w:topLinePunct w:val="0"/>
            <w:autoSpaceDE/>
            <w:autoSpaceDN/>
            <w:bidi w:val="0"/>
            <w:adjustRightInd/>
            <w:snapToGrid/>
            <w:textAlignment w:val="auto"/>
          </w:pPr>
          <w:r>
            <w:rPr>
              <w:color w:val="auto"/>
              <w:highlight w:val="none"/>
            </w:rPr>
            <w:fldChar w:fldCharType="begin"/>
          </w:r>
          <w:r>
            <w:rPr>
              <w:highlight w:val="none"/>
            </w:rPr>
            <w:instrText xml:space="preserve"> HYPERLINK \l _Toc7571 </w:instrText>
          </w:r>
          <w:r>
            <w:rPr>
              <w:highlight w:val="none"/>
            </w:rPr>
            <w:fldChar w:fldCharType="separate"/>
          </w:r>
          <w:r>
            <w:rPr>
              <w:rFonts w:hint="eastAsia" w:ascii="楷体_GB2312" w:hAnsi="宋体" w:eastAsia="楷体_GB2312" w:cs="Times New Roman"/>
              <w:szCs w:val="32"/>
              <w:highlight w:val="none"/>
              <w:lang w:val="zh-CN"/>
            </w:rPr>
            <w:t>（三）项目自评步骤及方法</w:t>
          </w:r>
          <w:r>
            <w:tab/>
          </w:r>
          <w:r>
            <w:fldChar w:fldCharType="begin"/>
          </w:r>
          <w:r>
            <w:instrText xml:space="preserve"> PAGEREF _Toc7571 \h </w:instrText>
          </w:r>
          <w:r>
            <w:fldChar w:fldCharType="separate"/>
          </w:r>
          <w:r>
            <w:t>41</w:t>
          </w:r>
          <w:r>
            <w:fldChar w:fldCharType="end"/>
          </w:r>
          <w:r>
            <w:rPr>
              <w:color w:val="auto"/>
              <w:highlight w:val="none"/>
            </w:rPr>
            <w:fldChar w:fldCharType="end"/>
          </w:r>
        </w:p>
        <w:p>
          <w:pPr>
            <w:pStyle w:val="12"/>
            <w:keepNext w:val="0"/>
            <w:keepLines w:val="0"/>
            <w:pageBreakBefore w:val="0"/>
            <w:widowControl w:val="0"/>
            <w:tabs>
              <w:tab w:val="right" w:leader="dot" w:pos="8306"/>
              <w:tab w:val="clear" w:pos="8296"/>
            </w:tabs>
            <w:kinsoku/>
            <w:wordWrap/>
            <w:overflowPunct/>
            <w:topLinePunct w:val="0"/>
            <w:autoSpaceDE/>
            <w:autoSpaceDN/>
            <w:bidi w:val="0"/>
            <w:adjustRightInd/>
            <w:snapToGrid/>
            <w:textAlignment w:val="auto"/>
          </w:pPr>
          <w:r>
            <w:rPr>
              <w:color w:val="auto"/>
              <w:highlight w:val="none"/>
            </w:rPr>
            <w:fldChar w:fldCharType="begin"/>
          </w:r>
          <w:r>
            <w:rPr>
              <w:highlight w:val="none"/>
            </w:rPr>
            <w:instrText xml:space="preserve"> HYPERLINK \l _Toc19895 </w:instrText>
          </w:r>
          <w:r>
            <w:rPr>
              <w:highlight w:val="none"/>
            </w:rPr>
            <w:fldChar w:fldCharType="separate"/>
          </w:r>
          <w:r>
            <w:rPr>
              <w:rFonts w:hint="eastAsia" w:ascii="黑体" w:hAnsi="宋体" w:eastAsia="黑体" w:cs="Times New Roman"/>
              <w:szCs w:val="32"/>
              <w:highlight w:val="none"/>
            </w:rPr>
            <w:t>二、项目资金申报及使用情况</w:t>
          </w:r>
          <w:r>
            <w:tab/>
          </w:r>
          <w:r>
            <w:fldChar w:fldCharType="begin"/>
          </w:r>
          <w:r>
            <w:instrText xml:space="preserve"> PAGEREF _Toc19895 \h </w:instrText>
          </w:r>
          <w:r>
            <w:fldChar w:fldCharType="separate"/>
          </w:r>
          <w:r>
            <w:t>41</w:t>
          </w:r>
          <w:r>
            <w:fldChar w:fldCharType="end"/>
          </w:r>
          <w:r>
            <w:rPr>
              <w:color w:val="auto"/>
              <w:highlight w:val="none"/>
            </w:rPr>
            <w:fldChar w:fldCharType="end"/>
          </w:r>
        </w:p>
        <w:p>
          <w:pPr>
            <w:pStyle w:val="7"/>
            <w:keepNext w:val="0"/>
            <w:keepLines w:val="0"/>
            <w:pageBreakBefore w:val="0"/>
            <w:widowControl w:val="0"/>
            <w:tabs>
              <w:tab w:val="right" w:leader="dot" w:pos="8306"/>
              <w:tab w:val="clear" w:pos="8296"/>
            </w:tabs>
            <w:kinsoku/>
            <w:wordWrap/>
            <w:overflowPunct/>
            <w:topLinePunct w:val="0"/>
            <w:autoSpaceDE/>
            <w:autoSpaceDN/>
            <w:bidi w:val="0"/>
            <w:adjustRightInd/>
            <w:snapToGrid/>
            <w:textAlignment w:val="auto"/>
          </w:pPr>
          <w:r>
            <w:rPr>
              <w:color w:val="auto"/>
              <w:highlight w:val="none"/>
            </w:rPr>
            <w:fldChar w:fldCharType="begin"/>
          </w:r>
          <w:r>
            <w:rPr>
              <w:highlight w:val="none"/>
            </w:rPr>
            <w:instrText xml:space="preserve"> HYPERLINK \l _Toc27168 </w:instrText>
          </w:r>
          <w:r>
            <w:rPr>
              <w:highlight w:val="none"/>
            </w:rPr>
            <w:fldChar w:fldCharType="separate"/>
          </w:r>
          <w:r>
            <w:rPr>
              <w:rFonts w:hint="eastAsia" w:ascii="楷体_GB2312" w:hAnsi="宋体" w:eastAsia="楷体_GB2312" w:cs="Times New Roman"/>
              <w:szCs w:val="32"/>
              <w:highlight w:val="none"/>
              <w:lang w:val="zh-CN"/>
            </w:rPr>
            <w:t>（一）项目资金申报及批复情况</w:t>
          </w:r>
          <w:r>
            <w:tab/>
          </w:r>
          <w:r>
            <w:fldChar w:fldCharType="begin"/>
          </w:r>
          <w:r>
            <w:instrText xml:space="preserve"> PAGEREF _Toc27168 \h </w:instrText>
          </w:r>
          <w:r>
            <w:fldChar w:fldCharType="separate"/>
          </w:r>
          <w:r>
            <w:t>41</w:t>
          </w:r>
          <w:r>
            <w:fldChar w:fldCharType="end"/>
          </w:r>
          <w:r>
            <w:rPr>
              <w:color w:val="auto"/>
              <w:highlight w:val="none"/>
            </w:rPr>
            <w:fldChar w:fldCharType="end"/>
          </w:r>
        </w:p>
        <w:p>
          <w:pPr>
            <w:pStyle w:val="7"/>
            <w:keepNext w:val="0"/>
            <w:keepLines w:val="0"/>
            <w:pageBreakBefore w:val="0"/>
            <w:widowControl w:val="0"/>
            <w:tabs>
              <w:tab w:val="right" w:leader="dot" w:pos="8306"/>
              <w:tab w:val="clear" w:pos="8296"/>
            </w:tabs>
            <w:kinsoku/>
            <w:wordWrap/>
            <w:overflowPunct/>
            <w:topLinePunct w:val="0"/>
            <w:autoSpaceDE/>
            <w:autoSpaceDN/>
            <w:bidi w:val="0"/>
            <w:adjustRightInd/>
            <w:snapToGrid/>
            <w:textAlignment w:val="auto"/>
          </w:pPr>
          <w:r>
            <w:rPr>
              <w:color w:val="auto"/>
              <w:highlight w:val="none"/>
            </w:rPr>
            <w:fldChar w:fldCharType="begin"/>
          </w:r>
          <w:r>
            <w:rPr>
              <w:highlight w:val="none"/>
            </w:rPr>
            <w:instrText xml:space="preserve"> HYPERLINK \l _Toc14031 </w:instrText>
          </w:r>
          <w:r>
            <w:rPr>
              <w:highlight w:val="none"/>
            </w:rPr>
            <w:fldChar w:fldCharType="separate"/>
          </w:r>
          <w:r>
            <w:rPr>
              <w:rFonts w:hint="eastAsia" w:ascii="楷体_GB2312" w:hAnsi="宋体" w:eastAsia="楷体_GB2312" w:cs="Times New Roman"/>
              <w:szCs w:val="32"/>
              <w:highlight w:val="none"/>
              <w:lang w:val="zh-CN"/>
            </w:rPr>
            <w:t>（二）资金计划、到位及使用情况</w:t>
          </w:r>
          <w:r>
            <w:tab/>
          </w:r>
          <w:r>
            <w:fldChar w:fldCharType="begin"/>
          </w:r>
          <w:r>
            <w:instrText xml:space="preserve"> PAGEREF _Toc14031 \h </w:instrText>
          </w:r>
          <w:r>
            <w:fldChar w:fldCharType="separate"/>
          </w:r>
          <w:r>
            <w:t>41</w:t>
          </w:r>
          <w:r>
            <w:fldChar w:fldCharType="end"/>
          </w:r>
          <w:r>
            <w:rPr>
              <w:color w:val="auto"/>
              <w:highlight w:val="none"/>
            </w:rPr>
            <w:fldChar w:fldCharType="end"/>
          </w:r>
        </w:p>
        <w:p>
          <w:pPr>
            <w:pStyle w:val="7"/>
            <w:keepNext w:val="0"/>
            <w:keepLines w:val="0"/>
            <w:pageBreakBefore w:val="0"/>
            <w:widowControl w:val="0"/>
            <w:tabs>
              <w:tab w:val="right" w:leader="dot" w:pos="8306"/>
              <w:tab w:val="clear" w:pos="8296"/>
            </w:tabs>
            <w:kinsoku/>
            <w:wordWrap/>
            <w:overflowPunct/>
            <w:topLinePunct w:val="0"/>
            <w:autoSpaceDE/>
            <w:autoSpaceDN/>
            <w:bidi w:val="0"/>
            <w:adjustRightInd/>
            <w:snapToGrid/>
            <w:textAlignment w:val="auto"/>
          </w:pPr>
          <w:r>
            <w:rPr>
              <w:color w:val="auto"/>
              <w:highlight w:val="none"/>
            </w:rPr>
            <w:fldChar w:fldCharType="begin"/>
          </w:r>
          <w:r>
            <w:rPr>
              <w:highlight w:val="none"/>
            </w:rPr>
            <w:instrText xml:space="preserve"> HYPERLINK \l _Toc17825 </w:instrText>
          </w:r>
          <w:r>
            <w:rPr>
              <w:highlight w:val="none"/>
            </w:rPr>
            <w:fldChar w:fldCharType="separate"/>
          </w:r>
          <w:r>
            <w:rPr>
              <w:rFonts w:hint="eastAsia" w:ascii="楷体_GB2312" w:hAnsi="宋体" w:eastAsia="楷体_GB2312" w:cs="Times New Roman"/>
              <w:szCs w:val="32"/>
              <w:highlight w:val="none"/>
              <w:lang w:val="zh-CN"/>
            </w:rPr>
            <w:t>（三）项目财务管理情况</w:t>
          </w:r>
          <w:r>
            <w:tab/>
          </w:r>
          <w:r>
            <w:fldChar w:fldCharType="begin"/>
          </w:r>
          <w:r>
            <w:instrText xml:space="preserve"> PAGEREF _Toc17825 \h </w:instrText>
          </w:r>
          <w:r>
            <w:fldChar w:fldCharType="separate"/>
          </w:r>
          <w:r>
            <w:t>42</w:t>
          </w:r>
          <w:r>
            <w:fldChar w:fldCharType="end"/>
          </w:r>
          <w:r>
            <w:rPr>
              <w:color w:val="auto"/>
              <w:highlight w:val="none"/>
            </w:rPr>
            <w:fldChar w:fldCharType="end"/>
          </w:r>
        </w:p>
        <w:p>
          <w:pPr>
            <w:pStyle w:val="12"/>
            <w:keepNext w:val="0"/>
            <w:keepLines w:val="0"/>
            <w:pageBreakBefore w:val="0"/>
            <w:widowControl w:val="0"/>
            <w:tabs>
              <w:tab w:val="right" w:leader="dot" w:pos="8306"/>
              <w:tab w:val="clear" w:pos="8296"/>
            </w:tabs>
            <w:kinsoku/>
            <w:wordWrap/>
            <w:overflowPunct/>
            <w:topLinePunct w:val="0"/>
            <w:autoSpaceDE/>
            <w:autoSpaceDN/>
            <w:bidi w:val="0"/>
            <w:adjustRightInd/>
            <w:snapToGrid/>
            <w:textAlignment w:val="auto"/>
          </w:pPr>
          <w:r>
            <w:rPr>
              <w:color w:val="auto"/>
              <w:highlight w:val="none"/>
            </w:rPr>
            <w:fldChar w:fldCharType="begin"/>
          </w:r>
          <w:r>
            <w:rPr>
              <w:highlight w:val="none"/>
            </w:rPr>
            <w:instrText xml:space="preserve"> HYPERLINK \l _Toc14971 </w:instrText>
          </w:r>
          <w:r>
            <w:rPr>
              <w:highlight w:val="none"/>
            </w:rPr>
            <w:fldChar w:fldCharType="separate"/>
          </w:r>
          <w:r>
            <w:rPr>
              <w:rFonts w:hint="eastAsia" w:ascii="黑体" w:hAnsi="宋体" w:eastAsia="黑体" w:cs="Times New Roman"/>
              <w:szCs w:val="32"/>
              <w:highlight w:val="none"/>
            </w:rPr>
            <w:t>三、项目实施及管理情况</w:t>
          </w:r>
          <w:r>
            <w:tab/>
          </w:r>
          <w:r>
            <w:fldChar w:fldCharType="begin"/>
          </w:r>
          <w:r>
            <w:instrText xml:space="preserve"> PAGEREF _Toc14971 \h </w:instrText>
          </w:r>
          <w:r>
            <w:fldChar w:fldCharType="separate"/>
          </w:r>
          <w:r>
            <w:t>42</w:t>
          </w:r>
          <w:r>
            <w:fldChar w:fldCharType="end"/>
          </w:r>
          <w:r>
            <w:rPr>
              <w:color w:val="auto"/>
              <w:highlight w:val="none"/>
            </w:rPr>
            <w:fldChar w:fldCharType="end"/>
          </w:r>
        </w:p>
        <w:p>
          <w:pPr>
            <w:pStyle w:val="7"/>
            <w:keepNext w:val="0"/>
            <w:keepLines w:val="0"/>
            <w:pageBreakBefore w:val="0"/>
            <w:widowControl w:val="0"/>
            <w:tabs>
              <w:tab w:val="right" w:leader="dot" w:pos="8306"/>
              <w:tab w:val="clear" w:pos="8296"/>
            </w:tabs>
            <w:kinsoku/>
            <w:wordWrap/>
            <w:overflowPunct/>
            <w:topLinePunct w:val="0"/>
            <w:autoSpaceDE/>
            <w:autoSpaceDN/>
            <w:bidi w:val="0"/>
            <w:adjustRightInd/>
            <w:snapToGrid/>
            <w:textAlignment w:val="auto"/>
          </w:pPr>
          <w:r>
            <w:rPr>
              <w:color w:val="auto"/>
              <w:highlight w:val="none"/>
            </w:rPr>
            <w:fldChar w:fldCharType="begin"/>
          </w:r>
          <w:r>
            <w:rPr>
              <w:highlight w:val="none"/>
            </w:rPr>
            <w:instrText xml:space="preserve"> HYPERLINK \l _Toc14374 </w:instrText>
          </w:r>
          <w:r>
            <w:rPr>
              <w:highlight w:val="none"/>
            </w:rPr>
            <w:fldChar w:fldCharType="separate"/>
          </w:r>
          <w:r>
            <w:rPr>
              <w:rFonts w:hint="eastAsia" w:ascii="楷体_GB2312" w:hAnsi="宋体" w:eastAsia="楷体_GB2312" w:cs="Times New Roman"/>
              <w:szCs w:val="32"/>
              <w:highlight w:val="none"/>
              <w:lang w:val="zh-CN"/>
            </w:rPr>
            <w:t>（一）项目组织架构及实施流程</w:t>
          </w:r>
          <w:r>
            <w:tab/>
          </w:r>
          <w:r>
            <w:fldChar w:fldCharType="begin"/>
          </w:r>
          <w:r>
            <w:instrText xml:space="preserve"> PAGEREF _Toc14374 \h </w:instrText>
          </w:r>
          <w:r>
            <w:fldChar w:fldCharType="separate"/>
          </w:r>
          <w:r>
            <w:t>42</w:t>
          </w:r>
          <w:r>
            <w:fldChar w:fldCharType="end"/>
          </w:r>
          <w:r>
            <w:rPr>
              <w:color w:val="auto"/>
              <w:highlight w:val="none"/>
            </w:rPr>
            <w:fldChar w:fldCharType="end"/>
          </w:r>
        </w:p>
        <w:p>
          <w:pPr>
            <w:pStyle w:val="7"/>
            <w:keepNext w:val="0"/>
            <w:keepLines w:val="0"/>
            <w:pageBreakBefore w:val="0"/>
            <w:widowControl w:val="0"/>
            <w:tabs>
              <w:tab w:val="right" w:leader="dot" w:pos="8306"/>
              <w:tab w:val="clear" w:pos="8296"/>
            </w:tabs>
            <w:kinsoku/>
            <w:wordWrap/>
            <w:overflowPunct/>
            <w:topLinePunct w:val="0"/>
            <w:autoSpaceDE/>
            <w:autoSpaceDN/>
            <w:bidi w:val="0"/>
            <w:adjustRightInd/>
            <w:snapToGrid/>
            <w:textAlignment w:val="auto"/>
          </w:pPr>
          <w:r>
            <w:rPr>
              <w:color w:val="auto"/>
              <w:highlight w:val="none"/>
            </w:rPr>
            <w:fldChar w:fldCharType="begin"/>
          </w:r>
          <w:r>
            <w:rPr>
              <w:highlight w:val="none"/>
            </w:rPr>
            <w:instrText xml:space="preserve"> HYPERLINK \l _Toc10731 </w:instrText>
          </w:r>
          <w:r>
            <w:rPr>
              <w:highlight w:val="none"/>
            </w:rPr>
            <w:fldChar w:fldCharType="separate"/>
          </w:r>
          <w:r>
            <w:rPr>
              <w:rFonts w:hint="eastAsia" w:ascii="楷体_GB2312" w:hAnsi="宋体" w:eastAsia="楷体_GB2312" w:cs="Times New Roman"/>
              <w:szCs w:val="32"/>
              <w:highlight w:val="none"/>
              <w:lang w:val="zh-CN"/>
            </w:rPr>
            <w:t>（二）项目管理情况</w:t>
          </w:r>
          <w:r>
            <w:tab/>
          </w:r>
          <w:r>
            <w:fldChar w:fldCharType="begin"/>
          </w:r>
          <w:r>
            <w:instrText xml:space="preserve"> PAGEREF _Toc10731 \h </w:instrText>
          </w:r>
          <w:r>
            <w:fldChar w:fldCharType="separate"/>
          </w:r>
          <w:r>
            <w:t>42</w:t>
          </w:r>
          <w:r>
            <w:fldChar w:fldCharType="end"/>
          </w:r>
          <w:r>
            <w:rPr>
              <w:color w:val="auto"/>
              <w:highlight w:val="none"/>
            </w:rPr>
            <w:fldChar w:fldCharType="end"/>
          </w:r>
        </w:p>
        <w:p>
          <w:pPr>
            <w:pStyle w:val="7"/>
            <w:keepNext w:val="0"/>
            <w:keepLines w:val="0"/>
            <w:pageBreakBefore w:val="0"/>
            <w:widowControl w:val="0"/>
            <w:tabs>
              <w:tab w:val="right" w:leader="dot" w:pos="8306"/>
              <w:tab w:val="clear" w:pos="8296"/>
            </w:tabs>
            <w:kinsoku/>
            <w:wordWrap/>
            <w:overflowPunct/>
            <w:topLinePunct w:val="0"/>
            <w:autoSpaceDE/>
            <w:autoSpaceDN/>
            <w:bidi w:val="0"/>
            <w:adjustRightInd/>
            <w:snapToGrid/>
            <w:textAlignment w:val="auto"/>
          </w:pPr>
          <w:r>
            <w:rPr>
              <w:color w:val="auto"/>
              <w:highlight w:val="none"/>
            </w:rPr>
            <w:fldChar w:fldCharType="begin"/>
          </w:r>
          <w:r>
            <w:rPr>
              <w:highlight w:val="none"/>
            </w:rPr>
            <w:instrText xml:space="preserve"> HYPERLINK \l _Toc22015 </w:instrText>
          </w:r>
          <w:r>
            <w:rPr>
              <w:highlight w:val="none"/>
            </w:rPr>
            <w:fldChar w:fldCharType="separate"/>
          </w:r>
          <w:r>
            <w:rPr>
              <w:rFonts w:hint="eastAsia" w:ascii="楷体_GB2312" w:hAnsi="宋体" w:eastAsia="楷体_GB2312" w:cs="Times New Roman"/>
              <w:szCs w:val="32"/>
              <w:highlight w:val="none"/>
              <w:lang w:val="zh-CN"/>
            </w:rPr>
            <w:t>（三）项目监管情况</w:t>
          </w:r>
          <w:r>
            <w:tab/>
          </w:r>
          <w:r>
            <w:fldChar w:fldCharType="begin"/>
          </w:r>
          <w:r>
            <w:instrText xml:space="preserve"> PAGEREF _Toc22015 \h </w:instrText>
          </w:r>
          <w:r>
            <w:fldChar w:fldCharType="separate"/>
          </w:r>
          <w:r>
            <w:t>42</w:t>
          </w:r>
          <w:r>
            <w:fldChar w:fldCharType="end"/>
          </w:r>
          <w:r>
            <w:rPr>
              <w:color w:val="auto"/>
              <w:highlight w:val="none"/>
            </w:rPr>
            <w:fldChar w:fldCharType="end"/>
          </w:r>
        </w:p>
        <w:p>
          <w:pPr>
            <w:pStyle w:val="12"/>
            <w:keepNext w:val="0"/>
            <w:keepLines w:val="0"/>
            <w:pageBreakBefore w:val="0"/>
            <w:widowControl w:val="0"/>
            <w:tabs>
              <w:tab w:val="right" w:leader="dot" w:pos="8306"/>
              <w:tab w:val="clear" w:pos="8296"/>
            </w:tabs>
            <w:kinsoku/>
            <w:wordWrap/>
            <w:overflowPunct/>
            <w:topLinePunct w:val="0"/>
            <w:autoSpaceDE/>
            <w:autoSpaceDN/>
            <w:bidi w:val="0"/>
            <w:adjustRightInd/>
            <w:snapToGrid/>
            <w:textAlignment w:val="auto"/>
          </w:pPr>
          <w:r>
            <w:rPr>
              <w:color w:val="auto"/>
              <w:highlight w:val="none"/>
            </w:rPr>
            <w:fldChar w:fldCharType="begin"/>
          </w:r>
          <w:r>
            <w:rPr>
              <w:highlight w:val="none"/>
            </w:rPr>
            <w:instrText xml:space="preserve"> HYPERLINK \l _Toc18572 </w:instrText>
          </w:r>
          <w:r>
            <w:rPr>
              <w:highlight w:val="none"/>
            </w:rPr>
            <w:fldChar w:fldCharType="separate"/>
          </w:r>
          <w:r>
            <w:rPr>
              <w:rFonts w:hint="eastAsia" w:ascii="黑体" w:hAnsi="宋体" w:eastAsia="黑体" w:cs="Times New Roman"/>
              <w:szCs w:val="32"/>
              <w:highlight w:val="none"/>
            </w:rPr>
            <w:t>四、项目绩效情况</w:t>
          </w:r>
          <w:r>
            <w:tab/>
          </w:r>
          <w:r>
            <w:fldChar w:fldCharType="begin"/>
          </w:r>
          <w:r>
            <w:instrText xml:space="preserve"> PAGEREF _Toc18572 \h </w:instrText>
          </w:r>
          <w:r>
            <w:fldChar w:fldCharType="separate"/>
          </w:r>
          <w:r>
            <w:t>42</w:t>
          </w:r>
          <w:r>
            <w:fldChar w:fldCharType="end"/>
          </w:r>
          <w:r>
            <w:rPr>
              <w:color w:val="auto"/>
              <w:highlight w:val="none"/>
            </w:rPr>
            <w:fldChar w:fldCharType="end"/>
          </w:r>
        </w:p>
        <w:p>
          <w:pPr>
            <w:pStyle w:val="7"/>
            <w:keepNext w:val="0"/>
            <w:keepLines w:val="0"/>
            <w:pageBreakBefore w:val="0"/>
            <w:widowControl w:val="0"/>
            <w:tabs>
              <w:tab w:val="right" w:leader="dot" w:pos="8306"/>
              <w:tab w:val="clear" w:pos="8296"/>
            </w:tabs>
            <w:kinsoku/>
            <w:wordWrap/>
            <w:overflowPunct/>
            <w:topLinePunct w:val="0"/>
            <w:autoSpaceDE/>
            <w:autoSpaceDN/>
            <w:bidi w:val="0"/>
            <w:adjustRightInd/>
            <w:snapToGrid/>
            <w:textAlignment w:val="auto"/>
          </w:pPr>
          <w:r>
            <w:rPr>
              <w:color w:val="auto"/>
              <w:highlight w:val="none"/>
            </w:rPr>
            <w:fldChar w:fldCharType="begin"/>
          </w:r>
          <w:r>
            <w:rPr>
              <w:highlight w:val="none"/>
            </w:rPr>
            <w:instrText xml:space="preserve"> HYPERLINK \l _Toc23478 </w:instrText>
          </w:r>
          <w:r>
            <w:rPr>
              <w:highlight w:val="none"/>
            </w:rPr>
            <w:fldChar w:fldCharType="separate"/>
          </w:r>
          <w:r>
            <w:rPr>
              <w:rFonts w:hint="eastAsia" w:ascii="楷体_GB2312" w:hAnsi="宋体" w:eastAsia="楷体_GB2312" w:cs="Times New Roman"/>
              <w:szCs w:val="32"/>
              <w:highlight w:val="none"/>
              <w:lang w:val="zh-CN"/>
            </w:rPr>
            <w:t>（一）项目完成情况</w:t>
          </w:r>
          <w:r>
            <w:tab/>
          </w:r>
          <w:r>
            <w:fldChar w:fldCharType="begin"/>
          </w:r>
          <w:r>
            <w:instrText xml:space="preserve"> PAGEREF _Toc23478 \h </w:instrText>
          </w:r>
          <w:r>
            <w:fldChar w:fldCharType="separate"/>
          </w:r>
          <w:r>
            <w:t>42</w:t>
          </w:r>
          <w:r>
            <w:fldChar w:fldCharType="end"/>
          </w:r>
          <w:r>
            <w:rPr>
              <w:color w:val="auto"/>
              <w:highlight w:val="none"/>
            </w:rPr>
            <w:fldChar w:fldCharType="end"/>
          </w:r>
        </w:p>
        <w:p>
          <w:pPr>
            <w:pStyle w:val="7"/>
            <w:keepNext w:val="0"/>
            <w:keepLines w:val="0"/>
            <w:pageBreakBefore w:val="0"/>
            <w:widowControl w:val="0"/>
            <w:tabs>
              <w:tab w:val="right" w:leader="dot" w:pos="8306"/>
              <w:tab w:val="clear" w:pos="8296"/>
            </w:tabs>
            <w:kinsoku/>
            <w:wordWrap/>
            <w:overflowPunct/>
            <w:topLinePunct w:val="0"/>
            <w:autoSpaceDE/>
            <w:autoSpaceDN/>
            <w:bidi w:val="0"/>
            <w:adjustRightInd/>
            <w:snapToGrid/>
            <w:textAlignment w:val="auto"/>
          </w:pPr>
          <w:r>
            <w:rPr>
              <w:color w:val="auto"/>
              <w:highlight w:val="none"/>
            </w:rPr>
            <w:fldChar w:fldCharType="begin"/>
          </w:r>
          <w:r>
            <w:rPr>
              <w:highlight w:val="none"/>
            </w:rPr>
            <w:instrText xml:space="preserve"> HYPERLINK \l _Toc13364 </w:instrText>
          </w:r>
          <w:r>
            <w:rPr>
              <w:highlight w:val="none"/>
            </w:rPr>
            <w:fldChar w:fldCharType="separate"/>
          </w:r>
          <w:r>
            <w:rPr>
              <w:rFonts w:hint="eastAsia" w:ascii="楷体_GB2312" w:hAnsi="宋体" w:eastAsia="楷体_GB2312" w:cs="Times New Roman"/>
              <w:szCs w:val="32"/>
              <w:highlight w:val="none"/>
              <w:lang w:val="zh-CN"/>
            </w:rPr>
            <w:t>（二）项目效益情况</w:t>
          </w:r>
          <w:r>
            <w:tab/>
          </w:r>
          <w:r>
            <w:fldChar w:fldCharType="begin"/>
          </w:r>
          <w:r>
            <w:instrText xml:space="preserve"> PAGEREF _Toc13364 \h </w:instrText>
          </w:r>
          <w:r>
            <w:fldChar w:fldCharType="separate"/>
          </w:r>
          <w:r>
            <w:t>42</w:t>
          </w:r>
          <w:r>
            <w:fldChar w:fldCharType="end"/>
          </w:r>
          <w:r>
            <w:rPr>
              <w:color w:val="auto"/>
              <w:highlight w:val="none"/>
            </w:rPr>
            <w:fldChar w:fldCharType="end"/>
          </w:r>
        </w:p>
        <w:p>
          <w:pPr>
            <w:pStyle w:val="12"/>
            <w:keepNext w:val="0"/>
            <w:keepLines w:val="0"/>
            <w:pageBreakBefore w:val="0"/>
            <w:widowControl w:val="0"/>
            <w:tabs>
              <w:tab w:val="right" w:leader="dot" w:pos="8306"/>
              <w:tab w:val="clear" w:pos="8296"/>
            </w:tabs>
            <w:kinsoku/>
            <w:wordWrap/>
            <w:overflowPunct/>
            <w:topLinePunct w:val="0"/>
            <w:autoSpaceDE/>
            <w:autoSpaceDN/>
            <w:bidi w:val="0"/>
            <w:adjustRightInd/>
            <w:snapToGrid/>
            <w:textAlignment w:val="auto"/>
          </w:pPr>
          <w:r>
            <w:rPr>
              <w:color w:val="auto"/>
              <w:highlight w:val="none"/>
            </w:rPr>
            <w:fldChar w:fldCharType="begin"/>
          </w:r>
          <w:r>
            <w:rPr>
              <w:highlight w:val="none"/>
            </w:rPr>
            <w:instrText xml:space="preserve"> HYPERLINK \l _Toc20307 </w:instrText>
          </w:r>
          <w:r>
            <w:rPr>
              <w:highlight w:val="none"/>
            </w:rPr>
            <w:fldChar w:fldCharType="separate"/>
          </w:r>
          <w:r>
            <w:rPr>
              <w:rFonts w:hint="eastAsia" w:ascii="黑体" w:hAnsi="宋体" w:eastAsia="黑体" w:cs="Times New Roman"/>
              <w:szCs w:val="32"/>
              <w:highlight w:val="none"/>
            </w:rPr>
            <w:t>五、评价结论及建议</w:t>
          </w:r>
          <w:r>
            <w:tab/>
          </w:r>
          <w:r>
            <w:fldChar w:fldCharType="begin"/>
          </w:r>
          <w:r>
            <w:instrText xml:space="preserve"> PAGEREF _Toc20307 \h </w:instrText>
          </w:r>
          <w:r>
            <w:fldChar w:fldCharType="separate"/>
          </w:r>
          <w:r>
            <w:t>42</w:t>
          </w:r>
          <w:r>
            <w:fldChar w:fldCharType="end"/>
          </w:r>
          <w:r>
            <w:rPr>
              <w:color w:val="auto"/>
              <w:highlight w:val="none"/>
            </w:rPr>
            <w:fldChar w:fldCharType="end"/>
          </w:r>
        </w:p>
        <w:p>
          <w:pPr>
            <w:pStyle w:val="7"/>
            <w:keepNext w:val="0"/>
            <w:keepLines w:val="0"/>
            <w:pageBreakBefore w:val="0"/>
            <w:widowControl w:val="0"/>
            <w:tabs>
              <w:tab w:val="right" w:leader="dot" w:pos="8306"/>
              <w:tab w:val="clear" w:pos="8296"/>
            </w:tabs>
            <w:kinsoku/>
            <w:wordWrap/>
            <w:overflowPunct/>
            <w:topLinePunct w:val="0"/>
            <w:autoSpaceDE/>
            <w:autoSpaceDN/>
            <w:bidi w:val="0"/>
            <w:adjustRightInd/>
            <w:snapToGrid/>
            <w:textAlignment w:val="auto"/>
          </w:pPr>
          <w:r>
            <w:rPr>
              <w:color w:val="auto"/>
              <w:highlight w:val="none"/>
            </w:rPr>
            <w:fldChar w:fldCharType="begin"/>
          </w:r>
          <w:r>
            <w:rPr>
              <w:highlight w:val="none"/>
            </w:rPr>
            <w:instrText xml:space="preserve"> HYPERLINK \l _Toc7921 </w:instrText>
          </w:r>
          <w:r>
            <w:rPr>
              <w:highlight w:val="none"/>
            </w:rPr>
            <w:fldChar w:fldCharType="separate"/>
          </w:r>
          <w:r>
            <w:rPr>
              <w:rFonts w:hint="eastAsia" w:ascii="楷体_GB2312" w:hAnsi="宋体" w:eastAsia="楷体_GB2312" w:cs="Times New Roman"/>
              <w:szCs w:val="32"/>
              <w:highlight w:val="none"/>
              <w:lang w:val="zh-CN"/>
            </w:rPr>
            <w:t>（一）评价结论</w:t>
          </w:r>
          <w:r>
            <w:tab/>
          </w:r>
          <w:r>
            <w:fldChar w:fldCharType="begin"/>
          </w:r>
          <w:r>
            <w:instrText xml:space="preserve"> PAGEREF _Toc7921 \h </w:instrText>
          </w:r>
          <w:r>
            <w:fldChar w:fldCharType="separate"/>
          </w:r>
          <w:r>
            <w:t>42</w:t>
          </w:r>
          <w:r>
            <w:fldChar w:fldCharType="end"/>
          </w:r>
          <w:r>
            <w:rPr>
              <w:color w:val="auto"/>
              <w:highlight w:val="none"/>
            </w:rPr>
            <w:fldChar w:fldCharType="end"/>
          </w:r>
        </w:p>
        <w:p>
          <w:pPr>
            <w:pStyle w:val="7"/>
            <w:keepNext w:val="0"/>
            <w:keepLines w:val="0"/>
            <w:pageBreakBefore w:val="0"/>
            <w:widowControl w:val="0"/>
            <w:tabs>
              <w:tab w:val="right" w:leader="dot" w:pos="8306"/>
              <w:tab w:val="clear" w:pos="8296"/>
            </w:tabs>
            <w:kinsoku/>
            <w:wordWrap/>
            <w:overflowPunct/>
            <w:topLinePunct w:val="0"/>
            <w:autoSpaceDE/>
            <w:autoSpaceDN/>
            <w:bidi w:val="0"/>
            <w:adjustRightInd/>
            <w:snapToGrid/>
            <w:textAlignment w:val="auto"/>
          </w:pPr>
          <w:r>
            <w:rPr>
              <w:color w:val="auto"/>
              <w:highlight w:val="none"/>
            </w:rPr>
            <w:fldChar w:fldCharType="begin"/>
          </w:r>
          <w:r>
            <w:rPr>
              <w:highlight w:val="none"/>
            </w:rPr>
            <w:instrText xml:space="preserve"> HYPERLINK \l _Toc13845 </w:instrText>
          </w:r>
          <w:r>
            <w:rPr>
              <w:highlight w:val="none"/>
            </w:rPr>
            <w:fldChar w:fldCharType="separate"/>
          </w:r>
          <w:r>
            <w:rPr>
              <w:rFonts w:hint="eastAsia" w:ascii="楷体_GB2312" w:hAnsi="宋体" w:eastAsia="楷体_GB2312" w:cs="Times New Roman"/>
              <w:szCs w:val="32"/>
              <w:highlight w:val="none"/>
              <w:lang w:val="zh-CN"/>
            </w:rPr>
            <w:t>（二）存在的问题</w:t>
          </w:r>
          <w:r>
            <w:tab/>
          </w:r>
          <w:r>
            <w:fldChar w:fldCharType="begin"/>
          </w:r>
          <w:r>
            <w:instrText xml:space="preserve"> PAGEREF _Toc13845 \h </w:instrText>
          </w:r>
          <w:r>
            <w:fldChar w:fldCharType="separate"/>
          </w:r>
          <w:r>
            <w:t>43</w:t>
          </w:r>
          <w:r>
            <w:fldChar w:fldCharType="end"/>
          </w:r>
          <w:r>
            <w:rPr>
              <w:color w:val="auto"/>
              <w:highlight w:val="none"/>
            </w:rPr>
            <w:fldChar w:fldCharType="end"/>
          </w:r>
        </w:p>
        <w:p>
          <w:pPr>
            <w:pStyle w:val="7"/>
            <w:keepNext w:val="0"/>
            <w:keepLines w:val="0"/>
            <w:pageBreakBefore w:val="0"/>
            <w:widowControl w:val="0"/>
            <w:tabs>
              <w:tab w:val="right" w:leader="dot" w:pos="8306"/>
              <w:tab w:val="clear" w:pos="8296"/>
            </w:tabs>
            <w:kinsoku/>
            <w:wordWrap/>
            <w:overflowPunct/>
            <w:topLinePunct w:val="0"/>
            <w:autoSpaceDE/>
            <w:autoSpaceDN/>
            <w:bidi w:val="0"/>
            <w:adjustRightInd/>
            <w:snapToGrid/>
            <w:textAlignment w:val="auto"/>
          </w:pPr>
          <w:r>
            <w:rPr>
              <w:color w:val="auto"/>
              <w:highlight w:val="none"/>
            </w:rPr>
            <w:fldChar w:fldCharType="begin"/>
          </w:r>
          <w:r>
            <w:rPr>
              <w:highlight w:val="none"/>
            </w:rPr>
            <w:instrText xml:space="preserve"> HYPERLINK \l _Toc24162 </w:instrText>
          </w:r>
          <w:r>
            <w:rPr>
              <w:highlight w:val="none"/>
            </w:rPr>
            <w:fldChar w:fldCharType="separate"/>
          </w:r>
          <w:r>
            <w:rPr>
              <w:rFonts w:hint="eastAsia" w:ascii="楷体_GB2312" w:hAnsi="宋体" w:eastAsia="楷体_GB2312" w:cs="Times New Roman"/>
              <w:szCs w:val="32"/>
              <w:highlight w:val="none"/>
              <w:lang w:val="zh-CN"/>
            </w:rPr>
            <w:t>（三）相关建议</w:t>
          </w:r>
          <w:r>
            <w:tab/>
          </w:r>
          <w:r>
            <w:fldChar w:fldCharType="begin"/>
          </w:r>
          <w:r>
            <w:instrText xml:space="preserve"> PAGEREF _Toc24162 \h </w:instrText>
          </w:r>
          <w:r>
            <w:fldChar w:fldCharType="separate"/>
          </w:r>
          <w:r>
            <w:t>43</w:t>
          </w:r>
          <w:r>
            <w:fldChar w:fldCharType="end"/>
          </w:r>
          <w:r>
            <w:rPr>
              <w:color w:val="auto"/>
              <w:highlight w:val="none"/>
            </w:rPr>
            <w:fldChar w:fldCharType="end"/>
          </w:r>
        </w:p>
        <w:p>
          <w:pPr>
            <w:pStyle w:val="11"/>
            <w:keepNext w:val="0"/>
            <w:keepLines w:val="0"/>
            <w:pageBreakBefore w:val="0"/>
            <w:widowControl w:val="0"/>
            <w:tabs>
              <w:tab w:val="right" w:leader="dot" w:pos="8306"/>
              <w:tab w:val="clear" w:pos="8296"/>
            </w:tabs>
            <w:kinsoku/>
            <w:wordWrap/>
            <w:overflowPunct/>
            <w:topLinePunct w:val="0"/>
            <w:autoSpaceDE/>
            <w:autoSpaceDN/>
            <w:bidi w:val="0"/>
            <w:adjustRightInd/>
            <w:snapToGrid/>
            <w:spacing w:before="0"/>
            <w:jc w:val="both"/>
            <w:textAlignment w:val="auto"/>
          </w:pPr>
          <w:r>
            <w:rPr>
              <w:color w:val="auto"/>
              <w:highlight w:val="none"/>
            </w:rPr>
            <w:fldChar w:fldCharType="begin"/>
          </w:r>
          <w:r>
            <w:rPr>
              <w:highlight w:val="none"/>
            </w:rPr>
            <w:instrText xml:space="preserve"> HYPERLINK \l _Toc23865 </w:instrText>
          </w:r>
          <w:r>
            <w:rPr>
              <w:highlight w:val="none"/>
            </w:rPr>
            <w:fldChar w:fldCharType="separate"/>
          </w:r>
          <w:r>
            <w:rPr>
              <w:rFonts w:hint="eastAsia" w:ascii="黑体" w:hAnsi="黑体" w:eastAsia="黑体"/>
              <w:szCs w:val="44"/>
              <w:highlight w:val="none"/>
            </w:rPr>
            <w:t>第</w:t>
          </w:r>
          <w:r>
            <w:rPr>
              <w:rFonts w:hint="eastAsia" w:ascii="黑体" w:hAnsi="黑体" w:eastAsia="黑体"/>
              <w:highlight w:val="none"/>
            </w:rPr>
            <w:t>五部分 附表</w:t>
          </w:r>
          <w:r>
            <w:tab/>
          </w:r>
          <w:r>
            <w:fldChar w:fldCharType="begin"/>
          </w:r>
          <w:r>
            <w:instrText xml:space="preserve"> PAGEREF _Toc23865 \h </w:instrText>
          </w:r>
          <w:r>
            <w:fldChar w:fldCharType="separate"/>
          </w:r>
          <w:r>
            <w:t>44</w:t>
          </w:r>
          <w:r>
            <w:fldChar w:fldCharType="end"/>
          </w:r>
          <w:r>
            <w:rPr>
              <w:color w:val="auto"/>
              <w:highlight w:val="none"/>
            </w:rPr>
            <w:fldChar w:fldCharType="end"/>
          </w:r>
        </w:p>
        <w:p>
          <w:pPr>
            <w:pStyle w:val="12"/>
            <w:keepNext w:val="0"/>
            <w:keepLines w:val="0"/>
            <w:pageBreakBefore w:val="0"/>
            <w:widowControl w:val="0"/>
            <w:tabs>
              <w:tab w:val="right" w:leader="dot" w:pos="8306"/>
              <w:tab w:val="clear" w:pos="8296"/>
            </w:tabs>
            <w:kinsoku/>
            <w:wordWrap/>
            <w:overflowPunct/>
            <w:topLinePunct w:val="0"/>
            <w:autoSpaceDE/>
            <w:autoSpaceDN/>
            <w:bidi w:val="0"/>
            <w:adjustRightInd/>
            <w:snapToGrid/>
            <w:textAlignment w:val="auto"/>
          </w:pPr>
          <w:r>
            <w:rPr>
              <w:color w:val="auto"/>
              <w:highlight w:val="none"/>
            </w:rPr>
            <w:fldChar w:fldCharType="begin"/>
          </w:r>
          <w:r>
            <w:rPr>
              <w:highlight w:val="none"/>
            </w:rPr>
            <w:instrText xml:space="preserve"> HYPERLINK \l _Toc30380 </w:instrText>
          </w:r>
          <w:r>
            <w:rPr>
              <w:highlight w:val="none"/>
            </w:rPr>
            <w:fldChar w:fldCharType="separate"/>
          </w:r>
          <w:r>
            <w:rPr>
              <w:rFonts w:hint="eastAsia" w:ascii="仿宋" w:hAnsi="仿宋" w:eastAsia="仿宋"/>
              <w:highlight w:val="none"/>
            </w:rPr>
            <w:t>一、收</w:t>
          </w:r>
          <w:r>
            <w:rPr>
              <w:rFonts w:hint="eastAsia" w:ascii="仿宋" w:hAnsi="仿宋" w:eastAsia="仿宋"/>
              <w:bCs w:val="0"/>
              <w:highlight w:val="none"/>
            </w:rPr>
            <w:t>入支出决算总表</w:t>
          </w:r>
          <w:r>
            <w:tab/>
          </w:r>
          <w:r>
            <w:fldChar w:fldCharType="begin"/>
          </w:r>
          <w:r>
            <w:instrText xml:space="preserve"> PAGEREF _Toc30380 \h </w:instrText>
          </w:r>
          <w:r>
            <w:fldChar w:fldCharType="separate"/>
          </w:r>
          <w:r>
            <w:t>44</w:t>
          </w:r>
          <w:r>
            <w:fldChar w:fldCharType="end"/>
          </w:r>
          <w:r>
            <w:rPr>
              <w:color w:val="auto"/>
              <w:highlight w:val="none"/>
            </w:rPr>
            <w:fldChar w:fldCharType="end"/>
          </w:r>
        </w:p>
        <w:p>
          <w:pPr>
            <w:pStyle w:val="12"/>
            <w:keepNext w:val="0"/>
            <w:keepLines w:val="0"/>
            <w:pageBreakBefore w:val="0"/>
            <w:widowControl w:val="0"/>
            <w:tabs>
              <w:tab w:val="right" w:leader="dot" w:pos="8306"/>
              <w:tab w:val="clear" w:pos="8296"/>
            </w:tabs>
            <w:kinsoku/>
            <w:wordWrap/>
            <w:overflowPunct/>
            <w:topLinePunct w:val="0"/>
            <w:autoSpaceDE/>
            <w:autoSpaceDN/>
            <w:bidi w:val="0"/>
            <w:adjustRightInd/>
            <w:snapToGrid/>
            <w:textAlignment w:val="auto"/>
          </w:pPr>
          <w:r>
            <w:rPr>
              <w:color w:val="auto"/>
              <w:highlight w:val="none"/>
            </w:rPr>
            <w:fldChar w:fldCharType="begin"/>
          </w:r>
          <w:r>
            <w:rPr>
              <w:highlight w:val="none"/>
            </w:rPr>
            <w:instrText xml:space="preserve"> HYPERLINK \l _Toc12510 </w:instrText>
          </w:r>
          <w:r>
            <w:rPr>
              <w:highlight w:val="none"/>
            </w:rPr>
            <w:fldChar w:fldCharType="separate"/>
          </w:r>
          <w:r>
            <w:rPr>
              <w:rFonts w:hint="eastAsia" w:ascii="仿宋" w:hAnsi="仿宋" w:eastAsia="仿宋"/>
              <w:highlight w:val="none"/>
            </w:rPr>
            <w:t>二、收</w:t>
          </w:r>
          <w:r>
            <w:rPr>
              <w:rFonts w:hint="eastAsia" w:ascii="仿宋" w:hAnsi="仿宋" w:eastAsia="仿宋"/>
              <w:bCs w:val="0"/>
              <w:highlight w:val="none"/>
            </w:rPr>
            <w:t>入决算表</w:t>
          </w:r>
          <w:r>
            <w:tab/>
          </w:r>
          <w:r>
            <w:fldChar w:fldCharType="begin"/>
          </w:r>
          <w:r>
            <w:instrText xml:space="preserve"> PAGEREF _Toc12510 \h </w:instrText>
          </w:r>
          <w:r>
            <w:fldChar w:fldCharType="separate"/>
          </w:r>
          <w:r>
            <w:t>44</w:t>
          </w:r>
          <w:r>
            <w:fldChar w:fldCharType="end"/>
          </w:r>
          <w:r>
            <w:rPr>
              <w:color w:val="auto"/>
              <w:highlight w:val="none"/>
            </w:rPr>
            <w:fldChar w:fldCharType="end"/>
          </w:r>
        </w:p>
        <w:p>
          <w:pPr>
            <w:pStyle w:val="12"/>
            <w:keepNext w:val="0"/>
            <w:keepLines w:val="0"/>
            <w:pageBreakBefore w:val="0"/>
            <w:widowControl w:val="0"/>
            <w:tabs>
              <w:tab w:val="right" w:leader="dot" w:pos="8306"/>
              <w:tab w:val="clear" w:pos="8296"/>
            </w:tabs>
            <w:kinsoku/>
            <w:wordWrap/>
            <w:overflowPunct/>
            <w:topLinePunct w:val="0"/>
            <w:autoSpaceDE/>
            <w:autoSpaceDN/>
            <w:bidi w:val="0"/>
            <w:adjustRightInd/>
            <w:snapToGrid/>
            <w:textAlignment w:val="auto"/>
          </w:pPr>
          <w:r>
            <w:rPr>
              <w:color w:val="auto"/>
              <w:highlight w:val="none"/>
            </w:rPr>
            <w:fldChar w:fldCharType="begin"/>
          </w:r>
          <w:r>
            <w:rPr>
              <w:highlight w:val="none"/>
            </w:rPr>
            <w:instrText xml:space="preserve"> HYPERLINK \l _Toc21848 </w:instrText>
          </w:r>
          <w:r>
            <w:rPr>
              <w:highlight w:val="none"/>
            </w:rPr>
            <w:fldChar w:fldCharType="separate"/>
          </w:r>
          <w:r>
            <w:rPr>
              <w:rFonts w:hint="eastAsia" w:ascii="仿宋" w:hAnsi="仿宋" w:eastAsia="仿宋"/>
              <w:bCs w:val="0"/>
              <w:highlight w:val="none"/>
            </w:rPr>
            <w:t>三、</w:t>
          </w:r>
          <w:r>
            <w:rPr>
              <w:rFonts w:hint="eastAsia" w:ascii="仿宋" w:hAnsi="仿宋" w:eastAsia="仿宋"/>
              <w:highlight w:val="none"/>
            </w:rPr>
            <w:t>支</w:t>
          </w:r>
          <w:r>
            <w:rPr>
              <w:rFonts w:hint="eastAsia" w:ascii="仿宋" w:hAnsi="仿宋" w:eastAsia="仿宋"/>
              <w:bCs w:val="0"/>
              <w:highlight w:val="none"/>
            </w:rPr>
            <w:t>出决算表</w:t>
          </w:r>
          <w:r>
            <w:tab/>
          </w:r>
          <w:r>
            <w:fldChar w:fldCharType="begin"/>
          </w:r>
          <w:r>
            <w:instrText xml:space="preserve"> PAGEREF _Toc21848 \h </w:instrText>
          </w:r>
          <w:r>
            <w:fldChar w:fldCharType="separate"/>
          </w:r>
          <w:r>
            <w:t>44</w:t>
          </w:r>
          <w:r>
            <w:fldChar w:fldCharType="end"/>
          </w:r>
          <w:r>
            <w:rPr>
              <w:color w:val="auto"/>
              <w:highlight w:val="none"/>
            </w:rPr>
            <w:fldChar w:fldCharType="end"/>
          </w:r>
        </w:p>
        <w:p>
          <w:pPr>
            <w:pStyle w:val="12"/>
            <w:keepNext w:val="0"/>
            <w:keepLines w:val="0"/>
            <w:pageBreakBefore w:val="0"/>
            <w:widowControl w:val="0"/>
            <w:tabs>
              <w:tab w:val="right" w:leader="dot" w:pos="8306"/>
              <w:tab w:val="clear" w:pos="8296"/>
            </w:tabs>
            <w:kinsoku/>
            <w:wordWrap/>
            <w:overflowPunct/>
            <w:topLinePunct w:val="0"/>
            <w:autoSpaceDE/>
            <w:autoSpaceDN/>
            <w:bidi w:val="0"/>
            <w:adjustRightInd/>
            <w:snapToGrid/>
            <w:textAlignment w:val="auto"/>
          </w:pPr>
          <w:r>
            <w:rPr>
              <w:color w:val="auto"/>
              <w:highlight w:val="none"/>
            </w:rPr>
            <w:fldChar w:fldCharType="begin"/>
          </w:r>
          <w:r>
            <w:rPr>
              <w:highlight w:val="none"/>
            </w:rPr>
            <w:instrText xml:space="preserve"> HYPERLINK \l _Toc31396 </w:instrText>
          </w:r>
          <w:r>
            <w:rPr>
              <w:highlight w:val="none"/>
            </w:rPr>
            <w:fldChar w:fldCharType="separate"/>
          </w:r>
          <w:r>
            <w:rPr>
              <w:rFonts w:hint="eastAsia" w:ascii="仿宋" w:hAnsi="仿宋" w:eastAsia="仿宋"/>
              <w:bCs w:val="0"/>
              <w:highlight w:val="none"/>
            </w:rPr>
            <w:t>四、</w:t>
          </w:r>
          <w:r>
            <w:rPr>
              <w:rFonts w:hint="eastAsia" w:ascii="仿宋" w:hAnsi="仿宋" w:eastAsia="仿宋"/>
              <w:highlight w:val="none"/>
            </w:rPr>
            <w:t>财</w:t>
          </w:r>
          <w:r>
            <w:rPr>
              <w:rFonts w:hint="eastAsia" w:ascii="仿宋" w:hAnsi="仿宋" w:eastAsia="仿宋"/>
              <w:bCs w:val="0"/>
              <w:highlight w:val="none"/>
            </w:rPr>
            <w:t>政拨款收入支出决算总表</w:t>
          </w:r>
          <w:r>
            <w:tab/>
          </w:r>
          <w:r>
            <w:fldChar w:fldCharType="begin"/>
          </w:r>
          <w:r>
            <w:instrText xml:space="preserve"> PAGEREF _Toc31396 \h </w:instrText>
          </w:r>
          <w:r>
            <w:fldChar w:fldCharType="separate"/>
          </w:r>
          <w:r>
            <w:t>44</w:t>
          </w:r>
          <w:r>
            <w:fldChar w:fldCharType="end"/>
          </w:r>
          <w:r>
            <w:rPr>
              <w:color w:val="auto"/>
              <w:highlight w:val="none"/>
            </w:rPr>
            <w:fldChar w:fldCharType="end"/>
          </w:r>
        </w:p>
        <w:p>
          <w:pPr>
            <w:pStyle w:val="12"/>
            <w:keepNext w:val="0"/>
            <w:keepLines w:val="0"/>
            <w:pageBreakBefore w:val="0"/>
            <w:widowControl w:val="0"/>
            <w:tabs>
              <w:tab w:val="right" w:leader="dot" w:pos="8306"/>
              <w:tab w:val="clear" w:pos="8296"/>
            </w:tabs>
            <w:kinsoku/>
            <w:wordWrap/>
            <w:overflowPunct/>
            <w:topLinePunct w:val="0"/>
            <w:autoSpaceDE/>
            <w:autoSpaceDN/>
            <w:bidi w:val="0"/>
            <w:adjustRightInd/>
            <w:snapToGrid/>
            <w:textAlignment w:val="auto"/>
          </w:pPr>
          <w:r>
            <w:rPr>
              <w:color w:val="auto"/>
              <w:highlight w:val="none"/>
            </w:rPr>
            <w:fldChar w:fldCharType="begin"/>
          </w:r>
          <w:r>
            <w:rPr>
              <w:highlight w:val="none"/>
            </w:rPr>
            <w:instrText xml:space="preserve"> HYPERLINK \l _Toc28357 </w:instrText>
          </w:r>
          <w:r>
            <w:rPr>
              <w:highlight w:val="none"/>
            </w:rPr>
            <w:fldChar w:fldCharType="separate"/>
          </w:r>
          <w:r>
            <w:rPr>
              <w:rFonts w:hint="eastAsia" w:ascii="仿宋" w:hAnsi="仿宋" w:eastAsia="仿宋"/>
              <w:bCs w:val="0"/>
              <w:highlight w:val="none"/>
            </w:rPr>
            <w:t>五、</w:t>
          </w:r>
          <w:r>
            <w:rPr>
              <w:rFonts w:hint="eastAsia" w:ascii="仿宋" w:hAnsi="仿宋" w:eastAsia="仿宋"/>
              <w:highlight w:val="none"/>
            </w:rPr>
            <w:t>财</w:t>
          </w:r>
          <w:r>
            <w:rPr>
              <w:rFonts w:hint="eastAsia" w:ascii="仿宋" w:hAnsi="仿宋" w:eastAsia="仿宋"/>
              <w:bCs w:val="0"/>
              <w:highlight w:val="none"/>
            </w:rPr>
            <w:t>政拨款支出决算明细表</w:t>
          </w:r>
          <w:r>
            <w:tab/>
          </w:r>
          <w:r>
            <w:fldChar w:fldCharType="begin"/>
          </w:r>
          <w:r>
            <w:instrText xml:space="preserve"> PAGEREF _Toc28357 \h </w:instrText>
          </w:r>
          <w:r>
            <w:fldChar w:fldCharType="separate"/>
          </w:r>
          <w:r>
            <w:t>44</w:t>
          </w:r>
          <w:r>
            <w:fldChar w:fldCharType="end"/>
          </w:r>
          <w:r>
            <w:rPr>
              <w:color w:val="auto"/>
              <w:highlight w:val="none"/>
            </w:rPr>
            <w:fldChar w:fldCharType="end"/>
          </w:r>
        </w:p>
        <w:p>
          <w:pPr>
            <w:pStyle w:val="12"/>
            <w:keepNext w:val="0"/>
            <w:keepLines w:val="0"/>
            <w:pageBreakBefore w:val="0"/>
            <w:widowControl w:val="0"/>
            <w:tabs>
              <w:tab w:val="right" w:leader="dot" w:pos="8306"/>
              <w:tab w:val="clear" w:pos="8296"/>
            </w:tabs>
            <w:kinsoku/>
            <w:wordWrap/>
            <w:overflowPunct/>
            <w:topLinePunct w:val="0"/>
            <w:autoSpaceDE/>
            <w:autoSpaceDN/>
            <w:bidi w:val="0"/>
            <w:adjustRightInd/>
            <w:snapToGrid/>
            <w:textAlignment w:val="auto"/>
          </w:pPr>
          <w:r>
            <w:rPr>
              <w:color w:val="auto"/>
              <w:highlight w:val="none"/>
            </w:rPr>
            <w:fldChar w:fldCharType="begin"/>
          </w:r>
          <w:r>
            <w:rPr>
              <w:highlight w:val="none"/>
            </w:rPr>
            <w:instrText xml:space="preserve"> HYPERLINK \l _Toc20933 </w:instrText>
          </w:r>
          <w:r>
            <w:rPr>
              <w:highlight w:val="none"/>
            </w:rPr>
            <w:fldChar w:fldCharType="separate"/>
          </w:r>
          <w:r>
            <w:rPr>
              <w:rFonts w:hint="eastAsia" w:ascii="仿宋" w:hAnsi="仿宋" w:eastAsia="仿宋"/>
              <w:bCs w:val="0"/>
              <w:highlight w:val="none"/>
            </w:rPr>
            <w:t>六、</w:t>
          </w:r>
          <w:r>
            <w:rPr>
              <w:rFonts w:hint="eastAsia" w:ascii="仿宋" w:hAnsi="仿宋" w:eastAsia="仿宋"/>
              <w:highlight w:val="none"/>
            </w:rPr>
            <w:t>一</w:t>
          </w:r>
          <w:r>
            <w:rPr>
              <w:rFonts w:hint="eastAsia" w:ascii="仿宋" w:hAnsi="仿宋" w:eastAsia="仿宋"/>
              <w:bCs w:val="0"/>
              <w:highlight w:val="none"/>
            </w:rPr>
            <w:t>般公共预算财政拨款支出决算表</w:t>
          </w:r>
          <w:r>
            <w:tab/>
          </w:r>
          <w:r>
            <w:fldChar w:fldCharType="begin"/>
          </w:r>
          <w:r>
            <w:instrText xml:space="preserve"> PAGEREF _Toc20933 \h </w:instrText>
          </w:r>
          <w:r>
            <w:fldChar w:fldCharType="separate"/>
          </w:r>
          <w:r>
            <w:t>44</w:t>
          </w:r>
          <w:r>
            <w:fldChar w:fldCharType="end"/>
          </w:r>
          <w:r>
            <w:rPr>
              <w:color w:val="auto"/>
              <w:highlight w:val="none"/>
            </w:rPr>
            <w:fldChar w:fldCharType="end"/>
          </w:r>
        </w:p>
        <w:p>
          <w:pPr>
            <w:pStyle w:val="12"/>
            <w:keepNext w:val="0"/>
            <w:keepLines w:val="0"/>
            <w:pageBreakBefore w:val="0"/>
            <w:widowControl w:val="0"/>
            <w:tabs>
              <w:tab w:val="right" w:leader="dot" w:pos="8306"/>
              <w:tab w:val="clear" w:pos="8296"/>
            </w:tabs>
            <w:kinsoku/>
            <w:wordWrap/>
            <w:overflowPunct/>
            <w:topLinePunct w:val="0"/>
            <w:autoSpaceDE/>
            <w:autoSpaceDN/>
            <w:bidi w:val="0"/>
            <w:adjustRightInd/>
            <w:snapToGrid/>
            <w:textAlignment w:val="auto"/>
          </w:pPr>
          <w:r>
            <w:rPr>
              <w:color w:val="auto"/>
              <w:highlight w:val="none"/>
            </w:rPr>
            <w:fldChar w:fldCharType="begin"/>
          </w:r>
          <w:r>
            <w:rPr>
              <w:highlight w:val="none"/>
            </w:rPr>
            <w:instrText xml:space="preserve"> HYPERLINK \l _Toc26699 </w:instrText>
          </w:r>
          <w:r>
            <w:rPr>
              <w:highlight w:val="none"/>
            </w:rPr>
            <w:fldChar w:fldCharType="separate"/>
          </w:r>
          <w:r>
            <w:rPr>
              <w:rFonts w:hint="eastAsia" w:ascii="仿宋" w:hAnsi="仿宋" w:eastAsia="仿宋"/>
              <w:bCs w:val="0"/>
              <w:highlight w:val="none"/>
            </w:rPr>
            <w:t>七、</w:t>
          </w:r>
          <w:r>
            <w:rPr>
              <w:rFonts w:hint="eastAsia" w:ascii="仿宋" w:hAnsi="仿宋" w:eastAsia="仿宋"/>
              <w:highlight w:val="none"/>
            </w:rPr>
            <w:t>一</w:t>
          </w:r>
          <w:r>
            <w:rPr>
              <w:rFonts w:hint="eastAsia" w:ascii="仿宋" w:hAnsi="仿宋" w:eastAsia="仿宋"/>
              <w:bCs w:val="0"/>
              <w:highlight w:val="none"/>
            </w:rPr>
            <w:t>般公共预算财政拨款支出决算明细表</w:t>
          </w:r>
          <w:r>
            <w:tab/>
          </w:r>
          <w:r>
            <w:fldChar w:fldCharType="begin"/>
          </w:r>
          <w:r>
            <w:instrText xml:space="preserve"> PAGEREF _Toc26699 \h </w:instrText>
          </w:r>
          <w:r>
            <w:fldChar w:fldCharType="separate"/>
          </w:r>
          <w:r>
            <w:t>44</w:t>
          </w:r>
          <w:r>
            <w:fldChar w:fldCharType="end"/>
          </w:r>
          <w:r>
            <w:rPr>
              <w:color w:val="auto"/>
              <w:highlight w:val="none"/>
            </w:rPr>
            <w:fldChar w:fldCharType="end"/>
          </w:r>
        </w:p>
        <w:p>
          <w:pPr>
            <w:pStyle w:val="12"/>
            <w:keepNext w:val="0"/>
            <w:keepLines w:val="0"/>
            <w:pageBreakBefore w:val="0"/>
            <w:widowControl w:val="0"/>
            <w:tabs>
              <w:tab w:val="right" w:leader="dot" w:pos="8306"/>
              <w:tab w:val="clear" w:pos="8296"/>
            </w:tabs>
            <w:kinsoku/>
            <w:wordWrap/>
            <w:overflowPunct/>
            <w:topLinePunct w:val="0"/>
            <w:autoSpaceDE/>
            <w:autoSpaceDN/>
            <w:bidi w:val="0"/>
            <w:adjustRightInd/>
            <w:snapToGrid/>
            <w:textAlignment w:val="auto"/>
          </w:pPr>
          <w:r>
            <w:rPr>
              <w:color w:val="auto"/>
              <w:highlight w:val="none"/>
            </w:rPr>
            <w:fldChar w:fldCharType="begin"/>
          </w:r>
          <w:r>
            <w:rPr>
              <w:highlight w:val="none"/>
            </w:rPr>
            <w:instrText xml:space="preserve"> HYPERLINK \l _Toc11547 </w:instrText>
          </w:r>
          <w:r>
            <w:rPr>
              <w:highlight w:val="none"/>
            </w:rPr>
            <w:fldChar w:fldCharType="separate"/>
          </w:r>
          <w:r>
            <w:rPr>
              <w:rFonts w:hint="eastAsia" w:ascii="仿宋" w:hAnsi="仿宋" w:eastAsia="仿宋"/>
              <w:bCs w:val="0"/>
              <w:highlight w:val="none"/>
            </w:rPr>
            <w:t>八、</w:t>
          </w:r>
          <w:r>
            <w:rPr>
              <w:rFonts w:hint="eastAsia" w:ascii="仿宋" w:hAnsi="仿宋" w:eastAsia="仿宋"/>
              <w:highlight w:val="none"/>
            </w:rPr>
            <w:t>一</w:t>
          </w:r>
          <w:r>
            <w:rPr>
              <w:rFonts w:hint="eastAsia" w:ascii="仿宋" w:hAnsi="仿宋" w:eastAsia="仿宋"/>
              <w:bCs w:val="0"/>
              <w:highlight w:val="none"/>
            </w:rPr>
            <w:t>般公共预算财政拨款基本支出决算表</w:t>
          </w:r>
          <w:r>
            <w:tab/>
          </w:r>
          <w:r>
            <w:fldChar w:fldCharType="begin"/>
          </w:r>
          <w:r>
            <w:instrText xml:space="preserve"> PAGEREF _Toc11547 \h </w:instrText>
          </w:r>
          <w:r>
            <w:fldChar w:fldCharType="separate"/>
          </w:r>
          <w:r>
            <w:t>44</w:t>
          </w:r>
          <w:r>
            <w:fldChar w:fldCharType="end"/>
          </w:r>
          <w:r>
            <w:rPr>
              <w:color w:val="auto"/>
              <w:highlight w:val="none"/>
            </w:rPr>
            <w:fldChar w:fldCharType="end"/>
          </w:r>
        </w:p>
        <w:p>
          <w:pPr>
            <w:pStyle w:val="12"/>
            <w:keepNext w:val="0"/>
            <w:keepLines w:val="0"/>
            <w:pageBreakBefore w:val="0"/>
            <w:widowControl w:val="0"/>
            <w:tabs>
              <w:tab w:val="right" w:leader="dot" w:pos="8306"/>
              <w:tab w:val="clear" w:pos="8296"/>
            </w:tabs>
            <w:kinsoku/>
            <w:wordWrap/>
            <w:overflowPunct/>
            <w:topLinePunct w:val="0"/>
            <w:autoSpaceDE/>
            <w:autoSpaceDN/>
            <w:bidi w:val="0"/>
            <w:adjustRightInd/>
            <w:snapToGrid/>
            <w:textAlignment w:val="auto"/>
          </w:pPr>
          <w:r>
            <w:rPr>
              <w:color w:val="auto"/>
              <w:highlight w:val="none"/>
            </w:rPr>
            <w:fldChar w:fldCharType="begin"/>
          </w:r>
          <w:r>
            <w:rPr>
              <w:highlight w:val="none"/>
            </w:rPr>
            <w:instrText xml:space="preserve"> HYPERLINK \l _Toc12471 </w:instrText>
          </w:r>
          <w:r>
            <w:rPr>
              <w:highlight w:val="none"/>
            </w:rPr>
            <w:fldChar w:fldCharType="separate"/>
          </w:r>
          <w:r>
            <w:rPr>
              <w:rFonts w:hint="eastAsia" w:ascii="仿宋" w:hAnsi="仿宋" w:eastAsia="仿宋"/>
              <w:bCs w:val="0"/>
              <w:highlight w:val="none"/>
            </w:rPr>
            <w:t>九、</w:t>
          </w:r>
          <w:r>
            <w:rPr>
              <w:rFonts w:hint="eastAsia" w:ascii="仿宋" w:hAnsi="仿宋" w:eastAsia="仿宋"/>
              <w:highlight w:val="none"/>
            </w:rPr>
            <w:t>一</w:t>
          </w:r>
          <w:r>
            <w:rPr>
              <w:rFonts w:hint="eastAsia" w:ascii="仿宋" w:hAnsi="仿宋" w:eastAsia="仿宋"/>
              <w:bCs w:val="0"/>
              <w:highlight w:val="none"/>
            </w:rPr>
            <w:t>般公共预算财政拨款项目支出决算表</w:t>
          </w:r>
          <w:r>
            <w:tab/>
          </w:r>
          <w:r>
            <w:fldChar w:fldCharType="begin"/>
          </w:r>
          <w:r>
            <w:instrText xml:space="preserve"> PAGEREF _Toc12471 \h </w:instrText>
          </w:r>
          <w:r>
            <w:fldChar w:fldCharType="separate"/>
          </w:r>
          <w:r>
            <w:t>44</w:t>
          </w:r>
          <w:r>
            <w:fldChar w:fldCharType="end"/>
          </w:r>
          <w:r>
            <w:rPr>
              <w:color w:val="auto"/>
              <w:highlight w:val="none"/>
            </w:rPr>
            <w:fldChar w:fldCharType="end"/>
          </w:r>
        </w:p>
        <w:p>
          <w:pPr>
            <w:pStyle w:val="12"/>
            <w:keepNext w:val="0"/>
            <w:keepLines w:val="0"/>
            <w:pageBreakBefore w:val="0"/>
            <w:widowControl w:val="0"/>
            <w:tabs>
              <w:tab w:val="right" w:leader="dot" w:pos="8306"/>
              <w:tab w:val="clear" w:pos="8296"/>
            </w:tabs>
            <w:kinsoku/>
            <w:wordWrap/>
            <w:overflowPunct/>
            <w:topLinePunct w:val="0"/>
            <w:autoSpaceDE/>
            <w:autoSpaceDN/>
            <w:bidi w:val="0"/>
            <w:adjustRightInd/>
            <w:snapToGrid/>
            <w:textAlignment w:val="auto"/>
          </w:pPr>
          <w:r>
            <w:rPr>
              <w:color w:val="auto"/>
              <w:highlight w:val="none"/>
            </w:rPr>
            <w:fldChar w:fldCharType="begin"/>
          </w:r>
          <w:r>
            <w:rPr>
              <w:highlight w:val="none"/>
            </w:rPr>
            <w:instrText xml:space="preserve"> HYPERLINK \l _Toc11819 </w:instrText>
          </w:r>
          <w:r>
            <w:rPr>
              <w:highlight w:val="none"/>
            </w:rPr>
            <w:fldChar w:fldCharType="separate"/>
          </w:r>
          <w:r>
            <w:rPr>
              <w:rFonts w:hint="eastAsia" w:ascii="仿宋" w:hAnsi="仿宋" w:eastAsia="仿宋"/>
              <w:bCs w:val="0"/>
              <w:highlight w:val="none"/>
            </w:rPr>
            <w:t>十、</w:t>
          </w:r>
          <w:r>
            <w:rPr>
              <w:rFonts w:hint="eastAsia" w:ascii="仿宋" w:hAnsi="仿宋" w:eastAsia="仿宋"/>
              <w:highlight w:val="none"/>
            </w:rPr>
            <w:t>政</w:t>
          </w:r>
          <w:r>
            <w:rPr>
              <w:rFonts w:hint="eastAsia" w:ascii="仿宋" w:hAnsi="仿宋" w:eastAsia="仿宋"/>
              <w:bCs w:val="0"/>
              <w:highlight w:val="none"/>
            </w:rPr>
            <w:t>府性基金预算财政拨款收入支出决算表</w:t>
          </w:r>
          <w:r>
            <w:tab/>
          </w:r>
          <w:r>
            <w:fldChar w:fldCharType="begin"/>
          </w:r>
          <w:r>
            <w:instrText xml:space="preserve"> PAGEREF _Toc11819 \h </w:instrText>
          </w:r>
          <w:r>
            <w:fldChar w:fldCharType="separate"/>
          </w:r>
          <w:r>
            <w:t>44</w:t>
          </w:r>
          <w:r>
            <w:fldChar w:fldCharType="end"/>
          </w:r>
          <w:r>
            <w:rPr>
              <w:color w:val="auto"/>
              <w:highlight w:val="none"/>
            </w:rPr>
            <w:fldChar w:fldCharType="end"/>
          </w:r>
        </w:p>
        <w:p>
          <w:pPr>
            <w:pStyle w:val="12"/>
            <w:keepNext w:val="0"/>
            <w:keepLines w:val="0"/>
            <w:pageBreakBefore w:val="0"/>
            <w:widowControl w:val="0"/>
            <w:tabs>
              <w:tab w:val="right" w:leader="dot" w:pos="8306"/>
              <w:tab w:val="clear" w:pos="8296"/>
            </w:tabs>
            <w:kinsoku/>
            <w:wordWrap/>
            <w:overflowPunct/>
            <w:topLinePunct w:val="0"/>
            <w:autoSpaceDE/>
            <w:autoSpaceDN/>
            <w:bidi w:val="0"/>
            <w:adjustRightInd/>
            <w:snapToGrid/>
            <w:textAlignment w:val="auto"/>
          </w:pPr>
          <w:r>
            <w:rPr>
              <w:color w:val="auto"/>
              <w:highlight w:val="none"/>
            </w:rPr>
            <w:fldChar w:fldCharType="begin"/>
          </w:r>
          <w:r>
            <w:rPr>
              <w:highlight w:val="none"/>
            </w:rPr>
            <w:instrText xml:space="preserve"> HYPERLINK \l _Toc24997 </w:instrText>
          </w:r>
          <w:r>
            <w:rPr>
              <w:highlight w:val="none"/>
            </w:rPr>
            <w:fldChar w:fldCharType="separate"/>
          </w:r>
          <w:r>
            <w:rPr>
              <w:rFonts w:hint="eastAsia" w:ascii="仿宋" w:hAnsi="仿宋" w:eastAsia="仿宋"/>
              <w:bCs w:val="0"/>
              <w:highlight w:val="none"/>
            </w:rPr>
            <w:t>十一、</w:t>
          </w:r>
          <w:r>
            <w:rPr>
              <w:rFonts w:hint="eastAsia" w:ascii="仿宋" w:hAnsi="仿宋" w:eastAsia="仿宋"/>
              <w:highlight w:val="none"/>
            </w:rPr>
            <w:t>国</w:t>
          </w:r>
          <w:r>
            <w:rPr>
              <w:rFonts w:hint="eastAsia" w:ascii="仿宋" w:hAnsi="仿宋" w:eastAsia="仿宋"/>
              <w:bCs w:val="0"/>
              <w:highlight w:val="none"/>
            </w:rPr>
            <w:t>有资本经营预算</w:t>
          </w:r>
          <w:r>
            <w:rPr>
              <w:rFonts w:hint="eastAsia" w:ascii="仿宋" w:hAnsi="仿宋" w:eastAsia="仿宋"/>
              <w:bCs w:val="0"/>
              <w:highlight w:val="none"/>
              <w:lang w:eastAsia="zh-CN"/>
            </w:rPr>
            <w:t>财政拨款收入</w:t>
          </w:r>
          <w:r>
            <w:rPr>
              <w:rFonts w:hint="eastAsia" w:ascii="仿宋" w:hAnsi="仿宋" w:eastAsia="仿宋"/>
              <w:bCs w:val="0"/>
              <w:highlight w:val="none"/>
            </w:rPr>
            <w:t>支出决算表</w:t>
          </w:r>
          <w:r>
            <w:tab/>
          </w:r>
          <w:r>
            <w:fldChar w:fldCharType="begin"/>
          </w:r>
          <w:r>
            <w:instrText xml:space="preserve"> PAGEREF _Toc24997 \h </w:instrText>
          </w:r>
          <w:r>
            <w:fldChar w:fldCharType="separate"/>
          </w:r>
          <w:r>
            <w:t>44</w:t>
          </w:r>
          <w:r>
            <w:fldChar w:fldCharType="end"/>
          </w:r>
          <w:r>
            <w:rPr>
              <w:color w:val="auto"/>
              <w:highlight w:val="none"/>
            </w:rPr>
            <w:fldChar w:fldCharType="end"/>
          </w:r>
        </w:p>
        <w:p>
          <w:pPr>
            <w:pStyle w:val="12"/>
            <w:keepNext w:val="0"/>
            <w:keepLines w:val="0"/>
            <w:pageBreakBefore w:val="0"/>
            <w:widowControl w:val="0"/>
            <w:tabs>
              <w:tab w:val="right" w:leader="dot" w:pos="8306"/>
              <w:tab w:val="clear" w:pos="8296"/>
            </w:tabs>
            <w:kinsoku/>
            <w:wordWrap/>
            <w:overflowPunct/>
            <w:topLinePunct w:val="0"/>
            <w:autoSpaceDE/>
            <w:autoSpaceDN/>
            <w:bidi w:val="0"/>
            <w:adjustRightInd/>
            <w:snapToGrid/>
            <w:textAlignment w:val="auto"/>
          </w:pPr>
          <w:r>
            <w:rPr>
              <w:color w:val="auto"/>
              <w:highlight w:val="none"/>
            </w:rPr>
            <w:fldChar w:fldCharType="begin"/>
          </w:r>
          <w:r>
            <w:rPr>
              <w:highlight w:val="none"/>
            </w:rPr>
            <w:instrText xml:space="preserve"> HYPERLINK \l _Toc13738 </w:instrText>
          </w:r>
          <w:r>
            <w:rPr>
              <w:highlight w:val="none"/>
            </w:rPr>
            <w:fldChar w:fldCharType="separate"/>
          </w:r>
          <w:r>
            <w:rPr>
              <w:rFonts w:hint="eastAsia" w:ascii="仿宋" w:hAnsi="仿宋" w:eastAsia="仿宋"/>
              <w:bCs w:val="0"/>
              <w:highlight w:val="none"/>
            </w:rPr>
            <w:t>十二、</w:t>
          </w:r>
          <w:r>
            <w:rPr>
              <w:rFonts w:hint="eastAsia" w:ascii="仿宋" w:hAnsi="仿宋" w:eastAsia="仿宋"/>
              <w:bCs w:val="0"/>
              <w:highlight w:val="none"/>
              <w:lang w:eastAsia="zh-CN"/>
            </w:rPr>
            <w:t>国有资本经营预算财政拨款支出决算表</w:t>
          </w:r>
          <w:r>
            <w:tab/>
          </w:r>
          <w:r>
            <w:fldChar w:fldCharType="begin"/>
          </w:r>
          <w:r>
            <w:instrText xml:space="preserve"> PAGEREF _Toc13738 \h </w:instrText>
          </w:r>
          <w:r>
            <w:fldChar w:fldCharType="separate"/>
          </w:r>
          <w:r>
            <w:t>44</w:t>
          </w:r>
          <w:r>
            <w:fldChar w:fldCharType="end"/>
          </w:r>
          <w:r>
            <w:rPr>
              <w:color w:val="auto"/>
              <w:highlight w:val="none"/>
            </w:rPr>
            <w:fldChar w:fldCharType="end"/>
          </w:r>
        </w:p>
        <w:p>
          <w:pPr>
            <w:pStyle w:val="12"/>
            <w:keepNext w:val="0"/>
            <w:keepLines w:val="0"/>
            <w:pageBreakBefore w:val="0"/>
            <w:widowControl w:val="0"/>
            <w:tabs>
              <w:tab w:val="right" w:leader="dot" w:pos="8306"/>
              <w:tab w:val="clear" w:pos="8296"/>
            </w:tabs>
            <w:kinsoku/>
            <w:wordWrap/>
            <w:overflowPunct/>
            <w:topLinePunct w:val="0"/>
            <w:autoSpaceDE/>
            <w:autoSpaceDN/>
            <w:bidi w:val="0"/>
            <w:adjustRightInd/>
            <w:snapToGrid/>
            <w:textAlignment w:val="auto"/>
          </w:pPr>
          <w:r>
            <w:rPr>
              <w:color w:val="auto"/>
              <w:highlight w:val="none"/>
            </w:rPr>
            <w:fldChar w:fldCharType="begin"/>
          </w:r>
          <w:r>
            <w:rPr>
              <w:highlight w:val="none"/>
            </w:rPr>
            <w:instrText xml:space="preserve"> HYPERLINK \l _Toc22637 </w:instrText>
          </w:r>
          <w:r>
            <w:rPr>
              <w:highlight w:val="none"/>
            </w:rPr>
            <w:fldChar w:fldCharType="separate"/>
          </w:r>
          <w:r>
            <w:rPr>
              <w:rFonts w:hint="eastAsia" w:ascii="仿宋" w:hAnsi="仿宋" w:eastAsia="仿宋"/>
              <w:bCs w:val="0"/>
              <w:highlight w:val="none"/>
            </w:rPr>
            <w:t>十三、</w:t>
          </w:r>
          <w:r>
            <w:rPr>
              <w:rFonts w:hint="eastAsia" w:ascii="仿宋" w:hAnsi="仿宋" w:eastAsia="仿宋"/>
              <w:bCs w:val="0"/>
              <w:highlight w:val="none"/>
              <w:lang w:eastAsia="zh-CN"/>
            </w:rPr>
            <w:t>财政拨款“三公”经费支出决算表</w:t>
          </w:r>
          <w:r>
            <w:tab/>
          </w:r>
          <w:r>
            <w:fldChar w:fldCharType="begin"/>
          </w:r>
          <w:r>
            <w:instrText xml:space="preserve"> PAGEREF _Toc22637 \h </w:instrText>
          </w:r>
          <w:r>
            <w:fldChar w:fldCharType="separate"/>
          </w:r>
          <w:r>
            <w:t>44</w:t>
          </w:r>
          <w:r>
            <w:fldChar w:fldCharType="end"/>
          </w:r>
          <w:r>
            <w:rPr>
              <w:color w:val="auto"/>
              <w:highlight w:val="none"/>
            </w:rPr>
            <w:fldChar w:fldCharType="end"/>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center"/>
            <w:textAlignment w:val="auto"/>
            <w:rPr>
              <w:rFonts w:hint="eastAsia" w:ascii="黑体" w:hAnsi="黑体" w:eastAsia="黑体"/>
              <w:b w:val="0"/>
              <w:color w:val="auto"/>
              <w:highlight w:val="none"/>
            </w:rPr>
          </w:pPr>
          <w:r>
            <w:rPr>
              <w:color w:val="auto"/>
              <w:highlight w:val="none"/>
            </w:rPr>
            <w:fldChar w:fldCharType="end"/>
          </w:r>
          <w:bookmarkStart w:id="22" w:name="_Toc15377196"/>
          <w:bookmarkStart w:id="23" w:name="_Toc15396599"/>
          <w:bookmarkStart w:id="24" w:name="_Toc8214"/>
        </w:p>
      </w:sdtContent>
    </w:sdt>
    <w:p>
      <w:pPr>
        <w:pStyle w:val="3"/>
        <w:jc w:val="center"/>
        <w:rPr>
          <w:rFonts w:hint="eastAsia" w:ascii="黑体" w:hAnsi="黑体" w:eastAsia="黑体"/>
          <w:b w:val="0"/>
          <w:color w:val="auto"/>
          <w:highlight w:val="none"/>
        </w:rPr>
      </w:pPr>
    </w:p>
    <w:p>
      <w:pPr>
        <w:rPr>
          <w:rFonts w:hint="eastAsia" w:ascii="黑体" w:hAnsi="黑体" w:eastAsia="黑体"/>
          <w:b w:val="0"/>
          <w:color w:val="auto"/>
          <w:highlight w:val="none"/>
        </w:rPr>
      </w:pPr>
    </w:p>
    <w:p>
      <w:pPr>
        <w:pStyle w:val="2"/>
        <w:rPr>
          <w:rFonts w:hint="eastAsia" w:ascii="黑体" w:hAnsi="黑体" w:eastAsia="黑体"/>
          <w:b w:val="0"/>
          <w:color w:val="auto"/>
          <w:highlight w:val="none"/>
        </w:rPr>
      </w:pPr>
    </w:p>
    <w:p>
      <w:pPr>
        <w:pStyle w:val="2"/>
        <w:rPr>
          <w:rFonts w:hint="eastAsia" w:ascii="黑体" w:hAnsi="黑体" w:eastAsia="黑体"/>
          <w:b w:val="0"/>
          <w:color w:val="auto"/>
          <w:highlight w:val="none"/>
        </w:rPr>
      </w:pPr>
    </w:p>
    <w:p>
      <w:pPr>
        <w:pStyle w:val="2"/>
        <w:rPr>
          <w:rFonts w:hint="eastAsia" w:ascii="黑体" w:hAnsi="黑体" w:eastAsia="黑体"/>
          <w:b w:val="0"/>
          <w:color w:val="auto"/>
          <w:highlight w:val="none"/>
        </w:rPr>
      </w:pPr>
    </w:p>
    <w:p>
      <w:pPr>
        <w:pStyle w:val="2"/>
        <w:rPr>
          <w:rFonts w:hint="eastAsia" w:ascii="黑体" w:hAnsi="黑体" w:eastAsia="黑体"/>
          <w:b w:val="0"/>
          <w:color w:val="auto"/>
          <w:highlight w:val="none"/>
        </w:rPr>
      </w:pPr>
    </w:p>
    <w:p>
      <w:pPr>
        <w:pStyle w:val="2"/>
        <w:rPr>
          <w:rFonts w:hint="eastAsia" w:ascii="黑体" w:hAnsi="黑体" w:eastAsia="黑体"/>
          <w:b w:val="0"/>
          <w:color w:val="auto"/>
          <w:highlight w:val="none"/>
        </w:rPr>
      </w:pPr>
    </w:p>
    <w:p>
      <w:pPr>
        <w:pStyle w:val="2"/>
        <w:rPr>
          <w:rFonts w:hint="eastAsia" w:ascii="黑体" w:hAnsi="黑体" w:eastAsia="黑体"/>
          <w:b w:val="0"/>
          <w:color w:val="auto"/>
          <w:highlight w:val="none"/>
        </w:rPr>
      </w:pPr>
    </w:p>
    <w:p>
      <w:pPr>
        <w:pStyle w:val="2"/>
        <w:rPr>
          <w:rFonts w:hint="eastAsia" w:ascii="黑体" w:hAnsi="黑体" w:eastAsia="黑体"/>
          <w:b w:val="0"/>
          <w:color w:val="auto"/>
          <w:highlight w:val="none"/>
        </w:rPr>
      </w:pPr>
    </w:p>
    <w:p>
      <w:pPr>
        <w:pStyle w:val="2"/>
        <w:rPr>
          <w:rFonts w:hint="eastAsia" w:ascii="黑体" w:hAnsi="黑体" w:eastAsia="黑体"/>
          <w:b w:val="0"/>
          <w:color w:val="auto"/>
          <w:highlight w:val="none"/>
        </w:rPr>
      </w:pPr>
    </w:p>
    <w:p>
      <w:pPr>
        <w:pStyle w:val="2"/>
        <w:rPr>
          <w:rFonts w:hint="eastAsia" w:ascii="黑体" w:hAnsi="黑体" w:eastAsia="黑体"/>
          <w:b w:val="0"/>
          <w:color w:val="auto"/>
          <w:highlight w:val="none"/>
        </w:rPr>
      </w:pPr>
    </w:p>
    <w:p>
      <w:pPr>
        <w:pStyle w:val="2"/>
        <w:rPr>
          <w:rFonts w:hint="eastAsia" w:ascii="黑体" w:hAnsi="黑体" w:eastAsia="黑体"/>
          <w:b w:val="0"/>
          <w:color w:val="auto"/>
          <w:highlight w:val="none"/>
        </w:rPr>
      </w:pPr>
    </w:p>
    <w:p>
      <w:pPr>
        <w:pStyle w:val="2"/>
        <w:rPr>
          <w:rFonts w:hint="eastAsia" w:ascii="黑体" w:hAnsi="黑体" w:eastAsia="黑体"/>
          <w:b w:val="0"/>
          <w:color w:val="auto"/>
          <w:highlight w:val="none"/>
        </w:rPr>
      </w:pPr>
    </w:p>
    <w:p>
      <w:pPr>
        <w:pStyle w:val="2"/>
        <w:rPr>
          <w:rFonts w:hint="eastAsia" w:ascii="黑体" w:hAnsi="黑体" w:eastAsia="黑体"/>
          <w:b w:val="0"/>
          <w:color w:val="auto"/>
          <w:highlight w:val="none"/>
        </w:rPr>
      </w:pPr>
    </w:p>
    <w:p>
      <w:pPr>
        <w:pStyle w:val="3"/>
        <w:pageBreakBefore w:val="0"/>
        <w:wordWrap/>
        <w:overflowPunct/>
        <w:topLinePunct w:val="0"/>
        <w:bidi w:val="0"/>
        <w:jc w:val="center"/>
        <w:outlineLvl w:val="0"/>
        <w:rPr>
          <w:rFonts w:ascii="黑体" w:eastAsia="黑体"/>
          <w:color w:val="auto"/>
          <w:sz w:val="32"/>
          <w:szCs w:val="32"/>
          <w:highlight w:val="none"/>
        </w:rPr>
      </w:pPr>
      <w:bookmarkStart w:id="25" w:name="_Toc16728"/>
      <w:r>
        <w:rPr>
          <w:rFonts w:hint="eastAsia" w:ascii="黑体" w:hAnsi="黑体" w:eastAsia="黑体"/>
          <w:b w:val="0"/>
          <w:color w:val="auto"/>
          <w:highlight w:val="none"/>
        </w:rPr>
        <w:t xml:space="preserve">第一部分 </w:t>
      </w:r>
      <w:r>
        <w:rPr>
          <w:rStyle w:val="27"/>
          <w:rFonts w:hint="eastAsia" w:ascii="黑体" w:hAnsi="黑体" w:eastAsia="黑体"/>
          <w:b w:val="0"/>
          <w:bCs w:val="0"/>
          <w:color w:val="auto"/>
          <w:highlight w:val="none"/>
        </w:rPr>
        <w:t>部门概况</w:t>
      </w:r>
      <w:bookmarkEnd w:id="22"/>
      <w:bookmarkEnd w:id="23"/>
      <w:bookmarkEnd w:id="24"/>
      <w:bookmarkEnd w:id="25"/>
    </w:p>
    <w:p>
      <w:pPr>
        <w:pStyle w:val="4"/>
        <w:keepNext/>
        <w:keepLines/>
        <w:pageBreakBefore w:val="0"/>
        <w:widowControl w:val="0"/>
        <w:kinsoku/>
        <w:wordWrap/>
        <w:overflowPunct/>
        <w:topLinePunct w:val="0"/>
        <w:autoSpaceDE/>
        <w:autoSpaceDN/>
        <w:bidi w:val="0"/>
        <w:adjustRightInd/>
        <w:snapToGrid/>
        <w:spacing w:before="140" w:after="140" w:line="560" w:lineRule="exact"/>
        <w:textAlignment w:val="auto"/>
        <w:rPr>
          <w:rStyle w:val="28"/>
          <w:rFonts w:ascii="仿宋" w:hAnsi="仿宋" w:eastAsia="仿宋"/>
          <w:b w:val="0"/>
          <w:bCs w:val="0"/>
          <w:color w:val="auto"/>
          <w:highlight w:val="none"/>
        </w:rPr>
      </w:pPr>
      <w:bookmarkStart w:id="26" w:name="_Toc15377197"/>
      <w:bookmarkStart w:id="27" w:name="_Toc15396600"/>
      <w:bookmarkStart w:id="28" w:name="_Toc15526"/>
      <w:r>
        <w:rPr>
          <w:rFonts w:hint="eastAsia" w:ascii="黑体" w:hAnsi="黑体" w:eastAsia="黑体"/>
          <w:b w:val="0"/>
          <w:color w:val="auto"/>
          <w:highlight w:val="none"/>
        </w:rPr>
        <w:t>一、</w:t>
      </w:r>
      <w:bookmarkEnd w:id="26"/>
      <w:bookmarkEnd w:id="27"/>
      <w:r>
        <w:rPr>
          <w:rFonts w:hint="eastAsia" w:ascii="黑体" w:hAnsi="黑体" w:eastAsia="黑体"/>
          <w:b w:val="0"/>
          <w:color w:val="auto"/>
          <w:highlight w:val="none"/>
        </w:rPr>
        <w:t>基</w:t>
      </w:r>
      <w:r>
        <w:rPr>
          <w:rStyle w:val="28"/>
          <w:rFonts w:hint="eastAsia" w:ascii="黑体" w:hAnsi="黑体" w:eastAsia="黑体"/>
          <w:b w:val="0"/>
          <w:bCs w:val="0"/>
          <w:color w:val="auto"/>
          <w:highlight w:val="none"/>
        </w:rPr>
        <w:t>本职能及主要工作</w:t>
      </w:r>
      <w:bookmarkEnd w:id="28"/>
    </w:p>
    <w:p>
      <w:pPr>
        <w:pStyle w:val="2"/>
        <w:pageBreakBefore w:val="0"/>
        <w:wordWrap/>
        <w:overflowPunct/>
        <w:topLinePunct w:val="0"/>
        <w:bidi w:val="0"/>
        <w:adjustRightInd w:val="0"/>
        <w:snapToGrid w:val="0"/>
        <w:spacing w:before="93" w:line="560" w:lineRule="exact"/>
        <w:ind w:firstLine="675" w:firstLineChars="210"/>
        <w:outlineLvl w:val="2"/>
        <w:rPr>
          <w:rFonts w:hint="eastAsia" w:ascii="仿宋" w:hAnsi="仿宋" w:eastAsia="仿宋"/>
          <w:b/>
          <w:bCs w:val="0"/>
          <w:color w:val="auto"/>
          <w:sz w:val="32"/>
          <w:szCs w:val="32"/>
          <w:highlight w:val="none"/>
        </w:rPr>
      </w:pPr>
      <w:bookmarkStart w:id="29" w:name="_Toc15378445"/>
      <w:bookmarkStart w:id="30" w:name="_Toc31273"/>
      <w:bookmarkStart w:id="31" w:name="_Toc15377198"/>
      <w:r>
        <w:rPr>
          <w:rFonts w:hint="eastAsia" w:ascii="仿宋" w:hAnsi="仿宋" w:eastAsia="仿宋"/>
          <w:b/>
          <w:bCs w:val="0"/>
          <w:color w:val="auto"/>
          <w:sz w:val="32"/>
          <w:szCs w:val="32"/>
          <w:highlight w:val="none"/>
        </w:rPr>
        <w:t>（一）主要职能</w:t>
      </w:r>
      <w:bookmarkEnd w:id="29"/>
      <w:bookmarkEnd w:id="30"/>
      <w:bookmarkEnd w:id="31"/>
    </w:p>
    <w:p>
      <w:pPr>
        <w:pStyle w:val="2"/>
        <w:keepNext w:val="0"/>
        <w:keepLines w:val="0"/>
        <w:pageBreakBefore w:val="0"/>
        <w:widowControl w:val="0"/>
        <w:kinsoku/>
        <w:wordWrap/>
        <w:overflowPunct/>
        <w:topLinePunct w:val="0"/>
        <w:autoSpaceDE/>
        <w:autoSpaceDN/>
        <w:bidi w:val="0"/>
        <w:adjustRightInd w:val="0"/>
        <w:snapToGrid w:val="0"/>
        <w:spacing w:beforeLines="0" w:line="560" w:lineRule="exact"/>
        <w:ind w:firstLine="672" w:firstLineChars="210"/>
        <w:textAlignment w:val="auto"/>
        <w:outlineLvl w:val="2"/>
        <w:rPr>
          <w:rFonts w:hint="eastAsia" w:ascii="仿宋" w:hAnsi="仿宋" w:eastAsia="仿宋"/>
          <w:bCs/>
          <w:color w:val="auto"/>
          <w:sz w:val="32"/>
          <w:szCs w:val="32"/>
          <w:highlight w:val="none"/>
        </w:rPr>
      </w:pPr>
      <w:bookmarkStart w:id="32" w:name="_Toc8881"/>
      <w:bookmarkStart w:id="33" w:name="_Toc4682"/>
      <w:bookmarkStart w:id="34" w:name="_Toc24229"/>
      <w:bookmarkStart w:id="35" w:name="_Toc20750"/>
      <w:r>
        <w:rPr>
          <w:rFonts w:hint="eastAsia" w:ascii="仿宋" w:hAnsi="仿宋" w:eastAsia="仿宋"/>
          <w:bCs/>
          <w:color w:val="auto"/>
          <w:sz w:val="32"/>
          <w:szCs w:val="32"/>
          <w:highlight w:val="none"/>
        </w:rPr>
        <w:t>1.负责应急管理工作，组织和指导各地、各部门应对安全生产类、自然灾害类等突发事件和综合防灾减灾救灾工作</w:t>
      </w:r>
      <w:r>
        <w:rPr>
          <w:rFonts w:hint="eastAsia" w:ascii="仿宋" w:hAnsi="仿宋" w:eastAsia="仿宋"/>
          <w:bCs/>
          <w:color w:val="auto"/>
          <w:sz w:val="32"/>
          <w:szCs w:val="32"/>
          <w:highlight w:val="none"/>
          <w:lang w:eastAsia="zh-CN"/>
        </w:rPr>
        <w:t>；</w:t>
      </w:r>
      <w:r>
        <w:rPr>
          <w:rFonts w:hint="eastAsia" w:ascii="仿宋" w:hAnsi="仿宋" w:eastAsia="仿宋"/>
          <w:bCs/>
          <w:color w:val="auto"/>
          <w:sz w:val="32"/>
          <w:szCs w:val="32"/>
          <w:highlight w:val="none"/>
        </w:rPr>
        <w:t>负责工矿商贸、煤炭行业安全生产监督管理和安全生产综合监督管理工作。</w:t>
      </w:r>
      <w:bookmarkEnd w:id="32"/>
      <w:bookmarkEnd w:id="33"/>
      <w:bookmarkEnd w:id="34"/>
      <w:bookmarkEnd w:id="35"/>
    </w:p>
    <w:p>
      <w:pPr>
        <w:pStyle w:val="2"/>
        <w:keepNext w:val="0"/>
        <w:keepLines w:val="0"/>
        <w:pageBreakBefore w:val="0"/>
        <w:widowControl w:val="0"/>
        <w:kinsoku/>
        <w:wordWrap/>
        <w:overflowPunct/>
        <w:topLinePunct w:val="0"/>
        <w:autoSpaceDE/>
        <w:autoSpaceDN/>
        <w:bidi w:val="0"/>
        <w:adjustRightInd w:val="0"/>
        <w:snapToGrid w:val="0"/>
        <w:spacing w:beforeLines="0" w:line="560" w:lineRule="exact"/>
        <w:ind w:firstLine="672" w:firstLineChars="210"/>
        <w:textAlignment w:val="auto"/>
        <w:outlineLvl w:val="2"/>
        <w:rPr>
          <w:rFonts w:hint="eastAsia" w:ascii="仿宋" w:hAnsi="仿宋" w:eastAsia="仿宋"/>
          <w:bCs/>
          <w:color w:val="auto"/>
          <w:sz w:val="32"/>
          <w:szCs w:val="32"/>
          <w:highlight w:val="none"/>
        </w:rPr>
      </w:pPr>
      <w:bookmarkStart w:id="36" w:name="_Toc21091"/>
      <w:bookmarkStart w:id="37" w:name="_Toc31238"/>
      <w:bookmarkStart w:id="38" w:name="_Toc10411"/>
      <w:bookmarkStart w:id="39" w:name="_Toc1287"/>
      <w:r>
        <w:rPr>
          <w:rFonts w:hint="eastAsia" w:ascii="仿宋" w:hAnsi="仿宋" w:eastAsia="仿宋"/>
          <w:bCs/>
          <w:color w:val="auto"/>
          <w:sz w:val="32"/>
          <w:szCs w:val="32"/>
          <w:highlight w:val="none"/>
        </w:rPr>
        <w:t>2.拟订应急管理、安全生产等政策措施，组织编制应急体系建设、安全生产和综合防灾减灾规划。</w:t>
      </w:r>
      <w:bookmarkEnd w:id="36"/>
      <w:bookmarkEnd w:id="37"/>
      <w:bookmarkEnd w:id="38"/>
      <w:bookmarkEnd w:id="39"/>
    </w:p>
    <w:p>
      <w:pPr>
        <w:pStyle w:val="2"/>
        <w:keepNext w:val="0"/>
        <w:keepLines w:val="0"/>
        <w:pageBreakBefore w:val="0"/>
        <w:widowControl w:val="0"/>
        <w:kinsoku/>
        <w:wordWrap/>
        <w:overflowPunct/>
        <w:topLinePunct w:val="0"/>
        <w:autoSpaceDE/>
        <w:autoSpaceDN/>
        <w:bidi w:val="0"/>
        <w:adjustRightInd w:val="0"/>
        <w:snapToGrid w:val="0"/>
        <w:spacing w:beforeLines="0" w:line="560" w:lineRule="exact"/>
        <w:ind w:firstLine="672" w:firstLineChars="210"/>
        <w:textAlignment w:val="auto"/>
        <w:outlineLvl w:val="2"/>
        <w:rPr>
          <w:rFonts w:hint="eastAsia" w:ascii="仿宋" w:hAnsi="仿宋" w:eastAsia="仿宋"/>
          <w:bCs/>
          <w:color w:val="auto"/>
          <w:sz w:val="32"/>
          <w:szCs w:val="32"/>
          <w:highlight w:val="none"/>
        </w:rPr>
      </w:pPr>
      <w:bookmarkStart w:id="40" w:name="_Toc15808"/>
      <w:bookmarkStart w:id="41" w:name="_Toc17113"/>
      <w:bookmarkStart w:id="42" w:name="_Toc9414"/>
      <w:bookmarkStart w:id="43" w:name="_Toc19023"/>
      <w:r>
        <w:rPr>
          <w:rFonts w:hint="eastAsia" w:ascii="仿宋" w:hAnsi="仿宋" w:eastAsia="仿宋"/>
          <w:bCs/>
          <w:color w:val="auto"/>
          <w:sz w:val="32"/>
          <w:szCs w:val="32"/>
          <w:highlight w:val="none"/>
        </w:rPr>
        <w:t>3.负责组织、指导应急预案体系建设，建立完善事故灾难和自然灾害分级应对制度，牵头组织编制综合应急防灾减灾预案和安全生产类、自然灾害类专项预案，综合协调应急预案衔接工作，组织开展预案演练并落实，推动应急避难设施建设。</w:t>
      </w:r>
      <w:bookmarkEnd w:id="40"/>
      <w:bookmarkEnd w:id="41"/>
      <w:bookmarkEnd w:id="42"/>
      <w:bookmarkEnd w:id="43"/>
    </w:p>
    <w:p>
      <w:pPr>
        <w:pStyle w:val="2"/>
        <w:keepNext w:val="0"/>
        <w:keepLines w:val="0"/>
        <w:pageBreakBefore w:val="0"/>
        <w:widowControl w:val="0"/>
        <w:kinsoku/>
        <w:wordWrap/>
        <w:overflowPunct/>
        <w:topLinePunct w:val="0"/>
        <w:autoSpaceDE/>
        <w:autoSpaceDN/>
        <w:bidi w:val="0"/>
        <w:adjustRightInd w:val="0"/>
        <w:snapToGrid w:val="0"/>
        <w:spacing w:beforeLines="0" w:line="560" w:lineRule="exact"/>
        <w:ind w:firstLine="672" w:firstLineChars="210"/>
        <w:textAlignment w:val="auto"/>
        <w:outlineLvl w:val="2"/>
        <w:rPr>
          <w:rFonts w:hint="eastAsia" w:ascii="仿宋" w:hAnsi="仿宋" w:eastAsia="仿宋"/>
          <w:bCs/>
          <w:color w:val="auto"/>
          <w:sz w:val="32"/>
          <w:szCs w:val="32"/>
          <w:highlight w:val="none"/>
        </w:rPr>
      </w:pPr>
      <w:bookmarkStart w:id="44" w:name="_Toc64"/>
      <w:bookmarkStart w:id="45" w:name="_Toc24957"/>
      <w:bookmarkStart w:id="46" w:name="_Toc5600"/>
      <w:bookmarkStart w:id="47" w:name="_Toc30025"/>
      <w:r>
        <w:rPr>
          <w:rFonts w:hint="eastAsia" w:ascii="仿宋" w:hAnsi="仿宋" w:eastAsia="仿宋"/>
          <w:bCs/>
          <w:color w:val="auto"/>
          <w:sz w:val="32"/>
          <w:szCs w:val="32"/>
          <w:highlight w:val="none"/>
        </w:rPr>
        <w:t>4.牵头建立统一的应急管理信息系统，负责信息传输渠道的规划和布局，建立监测预警和灾情报告制度，健全自然灾害信息资源获取和共享机制，依法统一发布灾情。</w:t>
      </w:r>
      <w:bookmarkEnd w:id="44"/>
      <w:bookmarkEnd w:id="45"/>
      <w:bookmarkEnd w:id="46"/>
      <w:bookmarkEnd w:id="47"/>
    </w:p>
    <w:p>
      <w:pPr>
        <w:pStyle w:val="2"/>
        <w:keepNext w:val="0"/>
        <w:keepLines w:val="0"/>
        <w:pageBreakBefore w:val="0"/>
        <w:widowControl w:val="0"/>
        <w:kinsoku/>
        <w:wordWrap/>
        <w:overflowPunct/>
        <w:topLinePunct w:val="0"/>
        <w:autoSpaceDE/>
        <w:autoSpaceDN/>
        <w:bidi w:val="0"/>
        <w:adjustRightInd w:val="0"/>
        <w:snapToGrid w:val="0"/>
        <w:spacing w:beforeLines="0" w:line="560" w:lineRule="exact"/>
        <w:ind w:firstLine="672" w:firstLineChars="210"/>
        <w:textAlignment w:val="auto"/>
        <w:outlineLvl w:val="2"/>
        <w:rPr>
          <w:rFonts w:hint="eastAsia" w:ascii="仿宋" w:hAnsi="仿宋" w:eastAsia="仿宋"/>
          <w:bCs/>
          <w:color w:val="auto"/>
          <w:sz w:val="32"/>
          <w:szCs w:val="32"/>
          <w:highlight w:val="none"/>
        </w:rPr>
      </w:pPr>
      <w:bookmarkStart w:id="48" w:name="_Toc1334"/>
      <w:bookmarkStart w:id="49" w:name="_Toc30873"/>
      <w:bookmarkStart w:id="50" w:name="_Toc30335"/>
      <w:bookmarkStart w:id="51" w:name="_Toc26775"/>
      <w:r>
        <w:rPr>
          <w:rFonts w:hint="eastAsia" w:ascii="仿宋" w:hAnsi="仿宋" w:eastAsia="仿宋"/>
          <w:bCs/>
          <w:color w:val="auto"/>
          <w:sz w:val="32"/>
          <w:szCs w:val="32"/>
          <w:highlight w:val="none"/>
        </w:rPr>
        <w:t>5.负责组织、指导、协调安全生产类、自然灾害类等突发事件应急救援，承担全区应对一般及以上灾害指挥部工作，综合研判突发事件发展态势并提出应对建议，负责组织一般及以上灾害应急处置工作。</w:t>
      </w:r>
      <w:bookmarkEnd w:id="48"/>
      <w:bookmarkEnd w:id="49"/>
      <w:bookmarkEnd w:id="50"/>
      <w:bookmarkEnd w:id="51"/>
    </w:p>
    <w:p>
      <w:pPr>
        <w:pStyle w:val="2"/>
        <w:keepNext w:val="0"/>
        <w:keepLines w:val="0"/>
        <w:pageBreakBefore w:val="0"/>
        <w:widowControl w:val="0"/>
        <w:kinsoku/>
        <w:wordWrap/>
        <w:overflowPunct/>
        <w:topLinePunct w:val="0"/>
        <w:autoSpaceDE/>
        <w:autoSpaceDN/>
        <w:bidi w:val="0"/>
        <w:adjustRightInd w:val="0"/>
        <w:snapToGrid w:val="0"/>
        <w:spacing w:beforeLines="0" w:line="560" w:lineRule="exact"/>
        <w:ind w:firstLine="672" w:firstLineChars="210"/>
        <w:textAlignment w:val="auto"/>
        <w:outlineLvl w:val="2"/>
        <w:rPr>
          <w:rFonts w:hint="eastAsia" w:ascii="仿宋" w:hAnsi="仿宋" w:eastAsia="仿宋"/>
          <w:bCs/>
          <w:color w:val="auto"/>
          <w:sz w:val="32"/>
          <w:szCs w:val="32"/>
          <w:highlight w:val="none"/>
        </w:rPr>
      </w:pPr>
      <w:bookmarkStart w:id="52" w:name="_Toc27629"/>
      <w:bookmarkStart w:id="53" w:name="_Toc21840"/>
      <w:bookmarkStart w:id="54" w:name="_Toc19529"/>
      <w:bookmarkStart w:id="55" w:name="_Toc17387"/>
      <w:r>
        <w:rPr>
          <w:rFonts w:hint="eastAsia" w:ascii="仿宋" w:hAnsi="仿宋" w:eastAsia="仿宋"/>
          <w:bCs/>
          <w:color w:val="auto"/>
          <w:sz w:val="32"/>
          <w:szCs w:val="32"/>
          <w:highlight w:val="none"/>
        </w:rPr>
        <w:t>6.统一协调指挥各类应急专业队伍，建立应急协调联动机制，推进指挥平台对接，提请衔接解放军和武警部队参与应急救援工作。</w:t>
      </w:r>
      <w:bookmarkEnd w:id="52"/>
      <w:bookmarkEnd w:id="53"/>
      <w:bookmarkEnd w:id="54"/>
      <w:bookmarkEnd w:id="55"/>
    </w:p>
    <w:p>
      <w:pPr>
        <w:pStyle w:val="2"/>
        <w:keepNext w:val="0"/>
        <w:keepLines w:val="0"/>
        <w:pageBreakBefore w:val="0"/>
        <w:widowControl w:val="0"/>
        <w:kinsoku/>
        <w:wordWrap/>
        <w:overflowPunct/>
        <w:topLinePunct w:val="0"/>
        <w:autoSpaceDE/>
        <w:autoSpaceDN/>
        <w:bidi w:val="0"/>
        <w:adjustRightInd w:val="0"/>
        <w:snapToGrid w:val="0"/>
        <w:spacing w:beforeLines="0" w:line="560" w:lineRule="exact"/>
        <w:ind w:firstLine="672" w:firstLineChars="210"/>
        <w:textAlignment w:val="auto"/>
        <w:outlineLvl w:val="2"/>
        <w:rPr>
          <w:rFonts w:hint="eastAsia" w:ascii="仿宋" w:hAnsi="仿宋" w:eastAsia="仿宋"/>
          <w:bCs/>
          <w:color w:val="auto"/>
          <w:sz w:val="32"/>
          <w:szCs w:val="32"/>
          <w:highlight w:val="none"/>
        </w:rPr>
      </w:pPr>
      <w:bookmarkStart w:id="56" w:name="_Toc7273"/>
      <w:bookmarkStart w:id="57" w:name="_Toc27049"/>
      <w:bookmarkStart w:id="58" w:name="_Toc1557"/>
      <w:bookmarkStart w:id="59" w:name="_Toc10132"/>
      <w:r>
        <w:rPr>
          <w:rFonts w:hint="eastAsia" w:ascii="仿宋" w:hAnsi="仿宋" w:eastAsia="仿宋"/>
          <w:bCs/>
          <w:color w:val="auto"/>
          <w:sz w:val="32"/>
          <w:szCs w:val="32"/>
          <w:highlight w:val="none"/>
        </w:rPr>
        <w:t>7.按照国家相关政策和规定负责消防、森林火灾扑救、抗洪抢险、地震和地质灾害救援、生产安全事故救援等专业应急救援力量建设，依法依规统筹指导各地各部门及社会应急救援力量和应急保障能力建设。</w:t>
      </w:r>
      <w:bookmarkEnd w:id="56"/>
      <w:bookmarkEnd w:id="57"/>
      <w:bookmarkEnd w:id="58"/>
      <w:bookmarkEnd w:id="59"/>
    </w:p>
    <w:p>
      <w:pPr>
        <w:pStyle w:val="2"/>
        <w:keepNext w:val="0"/>
        <w:keepLines w:val="0"/>
        <w:pageBreakBefore w:val="0"/>
        <w:widowControl w:val="0"/>
        <w:kinsoku/>
        <w:wordWrap/>
        <w:overflowPunct/>
        <w:topLinePunct w:val="0"/>
        <w:autoSpaceDE/>
        <w:autoSpaceDN/>
        <w:bidi w:val="0"/>
        <w:adjustRightInd w:val="0"/>
        <w:snapToGrid w:val="0"/>
        <w:spacing w:beforeLines="0" w:line="560" w:lineRule="exact"/>
        <w:ind w:firstLine="672" w:firstLineChars="210"/>
        <w:textAlignment w:val="auto"/>
        <w:outlineLvl w:val="2"/>
        <w:rPr>
          <w:rFonts w:hint="eastAsia" w:ascii="仿宋" w:hAnsi="仿宋" w:eastAsia="仿宋"/>
          <w:bCs/>
          <w:color w:val="auto"/>
          <w:sz w:val="32"/>
          <w:szCs w:val="32"/>
          <w:highlight w:val="none"/>
        </w:rPr>
      </w:pPr>
      <w:bookmarkStart w:id="60" w:name="_Toc29937"/>
      <w:bookmarkStart w:id="61" w:name="_Toc25660"/>
      <w:bookmarkStart w:id="62" w:name="_Toc2688"/>
      <w:bookmarkStart w:id="63" w:name="_Toc16608"/>
      <w:r>
        <w:rPr>
          <w:rFonts w:hint="eastAsia" w:ascii="仿宋" w:hAnsi="仿宋" w:eastAsia="仿宋"/>
          <w:bCs/>
          <w:color w:val="auto"/>
          <w:sz w:val="32"/>
          <w:szCs w:val="32"/>
          <w:highlight w:val="none"/>
        </w:rPr>
        <w:t>8.按照国家相关政策和省委省政府、市委市政府、区委区政府相关规定负责消防工作，组织和指导消防监督、火灾预防、火灾扑救等工作。</w:t>
      </w:r>
      <w:bookmarkEnd w:id="60"/>
      <w:bookmarkEnd w:id="61"/>
      <w:bookmarkEnd w:id="62"/>
      <w:bookmarkEnd w:id="63"/>
    </w:p>
    <w:p>
      <w:pPr>
        <w:pStyle w:val="2"/>
        <w:keepNext w:val="0"/>
        <w:keepLines w:val="0"/>
        <w:pageBreakBefore w:val="0"/>
        <w:widowControl w:val="0"/>
        <w:kinsoku/>
        <w:wordWrap/>
        <w:overflowPunct/>
        <w:topLinePunct w:val="0"/>
        <w:autoSpaceDE/>
        <w:autoSpaceDN/>
        <w:bidi w:val="0"/>
        <w:adjustRightInd w:val="0"/>
        <w:snapToGrid w:val="0"/>
        <w:spacing w:beforeLines="0" w:line="560" w:lineRule="exact"/>
        <w:ind w:firstLine="672" w:firstLineChars="210"/>
        <w:textAlignment w:val="auto"/>
        <w:outlineLvl w:val="2"/>
        <w:rPr>
          <w:rFonts w:hint="eastAsia" w:ascii="仿宋" w:hAnsi="仿宋" w:eastAsia="仿宋"/>
          <w:bCs/>
          <w:color w:val="auto"/>
          <w:sz w:val="32"/>
          <w:szCs w:val="32"/>
          <w:highlight w:val="none"/>
        </w:rPr>
      </w:pPr>
      <w:bookmarkStart w:id="64" w:name="_Toc8448"/>
      <w:bookmarkStart w:id="65" w:name="_Toc12187"/>
      <w:bookmarkStart w:id="66" w:name="_Toc23492"/>
      <w:bookmarkStart w:id="67" w:name="_Toc22570"/>
      <w:r>
        <w:rPr>
          <w:rFonts w:hint="eastAsia" w:ascii="仿宋" w:hAnsi="仿宋" w:eastAsia="仿宋"/>
          <w:bCs/>
          <w:color w:val="auto"/>
          <w:sz w:val="32"/>
          <w:szCs w:val="32"/>
          <w:highlight w:val="none"/>
        </w:rPr>
        <w:t>9.负责自然灾害综合监测预警工作，承担自然灾害综合风险评估工作，指导协调森林火灾、水旱灾害、地震和地质灾害等防治工作。</w:t>
      </w:r>
      <w:bookmarkEnd w:id="64"/>
      <w:bookmarkEnd w:id="65"/>
      <w:bookmarkEnd w:id="66"/>
      <w:bookmarkEnd w:id="67"/>
    </w:p>
    <w:p>
      <w:pPr>
        <w:pStyle w:val="2"/>
        <w:keepNext w:val="0"/>
        <w:keepLines w:val="0"/>
        <w:pageBreakBefore w:val="0"/>
        <w:widowControl w:val="0"/>
        <w:kinsoku/>
        <w:wordWrap/>
        <w:overflowPunct/>
        <w:topLinePunct w:val="0"/>
        <w:autoSpaceDE/>
        <w:autoSpaceDN/>
        <w:bidi w:val="0"/>
        <w:adjustRightInd w:val="0"/>
        <w:snapToGrid w:val="0"/>
        <w:spacing w:beforeLines="0" w:line="560" w:lineRule="exact"/>
        <w:ind w:firstLine="672" w:firstLineChars="210"/>
        <w:textAlignment w:val="auto"/>
        <w:outlineLvl w:val="2"/>
        <w:rPr>
          <w:rFonts w:hint="eastAsia" w:ascii="仿宋" w:hAnsi="仿宋" w:eastAsia="仿宋"/>
          <w:bCs/>
          <w:color w:val="auto"/>
          <w:sz w:val="32"/>
          <w:szCs w:val="32"/>
          <w:highlight w:val="none"/>
        </w:rPr>
      </w:pPr>
      <w:bookmarkStart w:id="68" w:name="_Toc10448"/>
      <w:bookmarkStart w:id="69" w:name="_Toc17066"/>
      <w:bookmarkStart w:id="70" w:name="_Toc9295"/>
      <w:bookmarkStart w:id="71" w:name="_Toc20735"/>
      <w:r>
        <w:rPr>
          <w:rFonts w:hint="eastAsia" w:ascii="仿宋" w:hAnsi="仿宋" w:eastAsia="仿宋"/>
          <w:bCs/>
          <w:color w:val="auto"/>
          <w:sz w:val="32"/>
          <w:szCs w:val="32"/>
          <w:highlight w:val="none"/>
        </w:rPr>
        <w:t>10.负责组织、协调灾害救助工作，组织和指导灾情核查、损失评估、救灾捐赠工作，管理、分配中央、省、市下拨及区级救灾款物并监督使用。</w:t>
      </w:r>
      <w:bookmarkEnd w:id="68"/>
      <w:bookmarkEnd w:id="69"/>
      <w:bookmarkEnd w:id="70"/>
      <w:bookmarkEnd w:id="71"/>
    </w:p>
    <w:p>
      <w:pPr>
        <w:pStyle w:val="2"/>
        <w:keepNext w:val="0"/>
        <w:keepLines w:val="0"/>
        <w:pageBreakBefore w:val="0"/>
        <w:widowControl w:val="0"/>
        <w:kinsoku/>
        <w:wordWrap/>
        <w:overflowPunct/>
        <w:topLinePunct w:val="0"/>
        <w:autoSpaceDE/>
        <w:autoSpaceDN/>
        <w:bidi w:val="0"/>
        <w:adjustRightInd w:val="0"/>
        <w:snapToGrid w:val="0"/>
        <w:spacing w:beforeLines="0" w:line="560" w:lineRule="exact"/>
        <w:ind w:firstLine="672" w:firstLineChars="210"/>
        <w:textAlignment w:val="auto"/>
        <w:outlineLvl w:val="2"/>
        <w:rPr>
          <w:rFonts w:hint="eastAsia" w:ascii="仿宋" w:hAnsi="仿宋" w:eastAsia="仿宋"/>
          <w:bCs/>
          <w:color w:val="auto"/>
          <w:sz w:val="32"/>
          <w:szCs w:val="32"/>
          <w:highlight w:val="none"/>
        </w:rPr>
      </w:pPr>
      <w:bookmarkStart w:id="72" w:name="_Toc9882"/>
      <w:bookmarkStart w:id="73" w:name="_Toc30377"/>
      <w:bookmarkStart w:id="74" w:name="_Toc22101"/>
      <w:bookmarkStart w:id="75" w:name="_Toc10581"/>
      <w:r>
        <w:rPr>
          <w:rFonts w:hint="eastAsia" w:ascii="仿宋" w:hAnsi="仿宋" w:eastAsia="仿宋"/>
          <w:bCs/>
          <w:color w:val="auto"/>
          <w:sz w:val="32"/>
          <w:szCs w:val="32"/>
          <w:highlight w:val="none"/>
        </w:rPr>
        <w:t>11.依法承担区政府安全生产综合监督管理责任，指导协调、监督检查区级有关部门和各乡镇（街道）安全生产工作，组织开展安全生产巡查、考核工作。</w:t>
      </w:r>
      <w:bookmarkEnd w:id="72"/>
      <w:bookmarkEnd w:id="73"/>
      <w:bookmarkEnd w:id="74"/>
      <w:bookmarkEnd w:id="75"/>
    </w:p>
    <w:p>
      <w:pPr>
        <w:pStyle w:val="2"/>
        <w:keepNext w:val="0"/>
        <w:keepLines w:val="0"/>
        <w:pageBreakBefore w:val="0"/>
        <w:widowControl w:val="0"/>
        <w:kinsoku/>
        <w:wordWrap/>
        <w:overflowPunct/>
        <w:topLinePunct w:val="0"/>
        <w:autoSpaceDE/>
        <w:autoSpaceDN/>
        <w:bidi w:val="0"/>
        <w:adjustRightInd w:val="0"/>
        <w:snapToGrid w:val="0"/>
        <w:spacing w:beforeLines="0" w:line="560" w:lineRule="exact"/>
        <w:ind w:firstLine="672" w:firstLineChars="210"/>
        <w:textAlignment w:val="auto"/>
        <w:outlineLvl w:val="2"/>
        <w:rPr>
          <w:rFonts w:hint="eastAsia" w:ascii="仿宋" w:hAnsi="仿宋" w:eastAsia="仿宋"/>
          <w:bCs/>
          <w:color w:val="auto"/>
          <w:sz w:val="32"/>
          <w:szCs w:val="32"/>
          <w:highlight w:val="none"/>
        </w:rPr>
      </w:pPr>
      <w:bookmarkStart w:id="76" w:name="_Toc508"/>
      <w:bookmarkStart w:id="77" w:name="_Toc27923"/>
      <w:bookmarkStart w:id="78" w:name="_Toc6975"/>
      <w:bookmarkStart w:id="79" w:name="_Toc6911"/>
      <w:r>
        <w:rPr>
          <w:rFonts w:hint="eastAsia" w:ascii="仿宋" w:hAnsi="仿宋" w:eastAsia="仿宋"/>
          <w:bCs/>
          <w:color w:val="auto"/>
          <w:sz w:val="32"/>
          <w:szCs w:val="32"/>
          <w:highlight w:val="none"/>
        </w:rPr>
        <w:t>12.按照分级、属地原则，依法监督检查工矿商贸生产经营单位贯彻执行安全生产法律法规情况及其安全生产条件和有关设备（特种设备除外）、材料、劳动防护用品的安全生产管理工作。协助市应急管理局做好中央、省、市在巴州区工矿商贸企业安全生产监督管理工作。负责危险化学品安全监督管理综合工资和烟花爆竹安全生产监督管理工作。</w:t>
      </w:r>
      <w:bookmarkEnd w:id="76"/>
      <w:bookmarkEnd w:id="77"/>
      <w:bookmarkEnd w:id="78"/>
      <w:bookmarkEnd w:id="79"/>
    </w:p>
    <w:p>
      <w:pPr>
        <w:pStyle w:val="2"/>
        <w:keepNext w:val="0"/>
        <w:keepLines w:val="0"/>
        <w:pageBreakBefore w:val="0"/>
        <w:widowControl w:val="0"/>
        <w:kinsoku/>
        <w:wordWrap/>
        <w:overflowPunct/>
        <w:topLinePunct w:val="0"/>
        <w:autoSpaceDE/>
        <w:autoSpaceDN/>
        <w:bidi w:val="0"/>
        <w:adjustRightInd w:val="0"/>
        <w:snapToGrid w:val="0"/>
        <w:spacing w:beforeLines="0" w:line="560" w:lineRule="exact"/>
        <w:ind w:firstLine="672" w:firstLineChars="210"/>
        <w:textAlignment w:val="auto"/>
        <w:outlineLvl w:val="2"/>
        <w:rPr>
          <w:rFonts w:hint="eastAsia" w:ascii="仿宋" w:hAnsi="仿宋" w:eastAsia="仿宋"/>
          <w:bCs/>
          <w:color w:val="auto"/>
          <w:sz w:val="32"/>
          <w:szCs w:val="32"/>
          <w:highlight w:val="none"/>
        </w:rPr>
      </w:pPr>
      <w:bookmarkStart w:id="80" w:name="_Toc29765"/>
      <w:bookmarkStart w:id="81" w:name="_Toc1233"/>
      <w:bookmarkStart w:id="82" w:name="_Toc447"/>
      <w:bookmarkStart w:id="83" w:name="_Toc19568"/>
      <w:r>
        <w:rPr>
          <w:rFonts w:hint="eastAsia" w:ascii="仿宋" w:hAnsi="仿宋" w:eastAsia="仿宋"/>
          <w:bCs/>
          <w:color w:val="auto"/>
          <w:sz w:val="32"/>
          <w:szCs w:val="32"/>
          <w:highlight w:val="none"/>
        </w:rPr>
        <w:t>13.按权限承担非煤矿山、危险化学品、非药品类易制毒化学品和烟花爆竹等生产经营（批发）单位安全生产准入管理工作，承担烟花爆竹经营（零售）单位安全生产准入管理职责。</w:t>
      </w:r>
      <w:bookmarkEnd w:id="80"/>
      <w:bookmarkEnd w:id="81"/>
      <w:bookmarkEnd w:id="82"/>
      <w:bookmarkEnd w:id="83"/>
    </w:p>
    <w:p>
      <w:pPr>
        <w:pStyle w:val="2"/>
        <w:keepNext w:val="0"/>
        <w:keepLines w:val="0"/>
        <w:pageBreakBefore w:val="0"/>
        <w:widowControl w:val="0"/>
        <w:kinsoku/>
        <w:wordWrap/>
        <w:overflowPunct/>
        <w:topLinePunct w:val="0"/>
        <w:autoSpaceDE/>
        <w:autoSpaceDN/>
        <w:bidi w:val="0"/>
        <w:adjustRightInd w:val="0"/>
        <w:snapToGrid w:val="0"/>
        <w:spacing w:beforeLines="0" w:line="560" w:lineRule="exact"/>
        <w:ind w:firstLine="672" w:firstLineChars="210"/>
        <w:textAlignment w:val="auto"/>
        <w:outlineLvl w:val="2"/>
        <w:rPr>
          <w:rFonts w:hint="eastAsia" w:ascii="仿宋" w:hAnsi="仿宋" w:eastAsia="仿宋"/>
          <w:bCs/>
          <w:color w:val="auto"/>
          <w:sz w:val="32"/>
          <w:szCs w:val="32"/>
          <w:highlight w:val="none"/>
        </w:rPr>
      </w:pPr>
      <w:bookmarkStart w:id="84" w:name="_Toc18450"/>
      <w:bookmarkStart w:id="85" w:name="_Toc30229"/>
      <w:bookmarkStart w:id="86" w:name="_Toc7161"/>
      <w:bookmarkStart w:id="87" w:name="_Toc383"/>
      <w:r>
        <w:rPr>
          <w:rFonts w:hint="eastAsia" w:ascii="仿宋" w:hAnsi="仿宋" w:eastAsia="仿宋"/>
          <w:bCs/>
          <w:color w:val="auto"/>
          <w:sz w:val="32"/>
          <w:szCs w:val="32"/>
          <w:highlight w:val="none"/>
        </w:rPr>
        <w:t>14.拟定煤炭产业发展计划并组织实施，按权限审核、上报煤炭项目并负责建设管理。负责煤炭生产协调和监督管理，煤炭行业结构调整和产业升级，负责辖区内煤矿瓦斯等级鉴定的监管监察工作。</w:t>
      </w:r>
      <w:bookmarkEnd w:id="84"/>
      <w:bookmarkEnd w:id="85"/>
      <w:bookmarkEnd w:id="86"/>
      <w:bookmarkEnd w:id="87"/>
    </w:p>
    <w:p>
      <w:pPr>
        <w:pStyle w:val="2"/>
        <w:keepNext w:val="0"/>
        <w:keepLines w:val="0"/>
        <w:pageBreakBefore w:val="0"/>
        <w:widowControl w:val="0"/>
        <w:kinsoku/>
        <w:wordWrap/>
        <w:overflowPunct/>
        <w:topLinePunct w:val="0"/>
        <w:autoSpaceDE/>
        <w:autoSpaceDN/>
        <w:bidi w:val="0"/>
        <w:adjustRightInd w:val="0"/>
        <w:snapToGrid w:val="0"/>
        <w:spacing w:beforeLines="0" w:line="560" w:lineRule="exact"/>
        <w:ind w:firstLine="672" w:firstLineChars="210"/>
        <w:textAlignment w:val="auto"/>
        <w:outlineLvl w:val="2"/>
        <w:rPr>
          <w:rFonts w:hint="eastAsia" w:ascii="仿宋" w:hAnsi="仿宋" w:eastAsia="仿宋"/>
          <w:bCs/>
          <w:color w:val="auto"/>
          <w:sz w:val="32"/>
          <w:szCs w:val="32"/>
          <w:highlight w:val="none"/>
        </w:rPr>
      </w:pPr>
      <w:bookmarkStart w:id="88" w:name="_Toc25826"/>
      <w:bookmarkStart w:id="89" w:name="_Toc15490"/>
      <w:bookmarkStart w:id="90" w:name="_Toc23500"/>
      <w:bookmarkStart w:id="91" w:name="_Toc12318"/>
      <w:r>
        <w:rPr>
          <w:rFonts w:hint="eastAsia" w:ascii="仿宋" w:hAnsi="仿宋" w:eastAsia="仿宋"/>
          <w:bCs/>
          <w:color w:val="auto"/>
          <w:sz w:val="32"/>
          <w:szCs w:val="32"/>
          <w:highlight w:val="none"/>
        </w:rPr>
        <w:t>15.承担煤矿安全生产监督管理责任，依法监督检查煤矿企业贯彻执行安全生产法律法规情况及其安全生产条件和有关设备（特种设备除外）、材料、劳动防护用品的安全生产管理工作，负责组织、指导煤矿企业安全专项整治、安全标准化、瓦斯和水害及相关安全科技发展工作。</w:t>
      </w:r>
      <w:bookmarkEnd w:id="88"/>
      <w:bookmarkEnd w:id="89"/>
      <w:bookmarkEnd w:id="90"/>
      <w:bookmarkEnd w:id="91"/>
    </w:p>
    <w:p>
      <w:pPr>
        <w:pStyle w:val="2"/>
        <w:keepNext w:val="0"/>
        <w:keepLines w:val="0"/>
        <w:pageBreakBefore w:val="0"/>
        <w:widowControl w:val="0"/>
        <w:kinsoku/>
        <w:wordWrap/>
        <w:overflowPunct/>
        <w:topLinePunct w:val="0"/>
        <w:autoSpaceDE/>
        <w:autoSpaceDN/>
        <w:bidi w:val="0"/>
        <w:adjustRightInd w:val="0"/>
        <w:snapToGrid w:val="0"/>
        <w:spacing w:beforeLines="0" w:line="560" w:lineRule="exact"/>
        <w:ind w:firstLine="672" w:firstLineChars="210"/>
        <w:textAlignment w:val="auto"/>
        <w:outlineLvl w:val="2"/>
        <w:rPr>
          <w:rFonts w:hint="eastAsia" w:ascii="仿宋" w:hAnsi="仿宋" w:eastAsia="仿宋"/>
          <w:bCs/>
          <w:color w:val="auto"/>
          <w:sz w:val="32"/>
          <w:szCs w:val="32"/>
          <w:highlight w:val="none"/>
        </w:rPr>
      </w:pPr>
      <w:bookmarkStart w:id="92" w:name="_Toc15677"/>
      <w:bookmarkStart w:id="93" w:name="_Toc3970"/>
      <w:bookmarkStart w:id="94" w:name="_Toc18880"/>
      <w:bookmarkStart w:id="95" w:name="_Toc32016"/>
      <w:r>
        <w:rPr>
          <w:rFonts w:hint="eastAsia" w:ascii="仿宋" w:hAnsi="仿宋" w:eastAsia="仿宋"/>
          <w:bCs/>
          <w:color w:val="auto"/>
          <w:sz w:val="32"/>
          <w:szCs w:val="32"/>
          <w:highlight w:val="none"/>
        </w:rPr>
        <w:t>16.依法组织、指导生产安全事故调查处理，监督事故查处和责任追究落实情况。组织开展自然灾害类突发事件的调查评估工作。</w:t>
      </w:r>
      <w:bookmarkEnd w:id="92"/>
      <w:bookmarkEnd w:id="93"/>
      <w:bookmarkEnd w:id="94"/>
      <w:bookmarkEnd w:id="95"/>
    </w:p>
    <w:p>
      <w:pPr>
        <w:pStyle w:val="2"/>
        <w:keepNext w:val="0"/>
        <w:keepLines w:val="0"/>
        <w:pageBreakBefore w:val="0"/>
        <w:widowControl w:val="0"/>
        <w:kinsoku/>
        <w:wordWrap/>
        <w:overflowPunct/>
        <w:topLinePunct w:val="0"/>
        <w:autoSpaceDE/>
        <w:autoSpaceDN/>
        <w:bidi w:val="0"/>
        <w:adjustRightInd w:val="0"/>
        <w:snapToGrid w:val="0"/>
        <w:spacing w:beforeLines="0" w:line="560" w:lineRule="exact"/>
        <w:ind w:firstLine="672" w:firstLineChars="210"/>
        <w:textAlignment w:val="auto"/>
        <w:outlineLvl w:val="2"/>
        <w:rPr>
          <w:rFonts w:hint="eastAsia" w:ascii="仿宋" w:hAnsi="仿宋" w:eastAsia="仿宋"/>
          <w:bCs/>
          <w:color w:val="auto"/>
          <w:sz w:val="32"/>
          <w:szCs w:val="32"/>
          <w:highlight w:val="none"/>
        </w:rPr>
      </w:pPr>
      <w:bookmarkStart w:id="96" w:name="_Toc380"/>
      <w:bookmarkStart w:id="97" w:name="_Toc1246"/>
      <w:bookmarkStart w:id="98" w:name="_Toc11472"/>
      <w:bookmarkStart w:id="99" w:name="_Toc1340"/>
      <w:r>
        <w:rPr>
          <w:rFonts w:hint="eastAsia" w:ascii="仿宋" w:hAnsi="仿宋" w:eastAsia="仿宋"/>
          <w:bCs/>
          <w:color w:val="auto"/>
          <w:sz w:val="32"/>
          <w:szCs w:val="32"/>
          <w:highlight w:val="none"/>
        </w:rPr>
        <w:t>17.开展应急管理和安全生产方面的交流与合作，组织参与安全生产类、自然灾害类等突发事件的跨区域救援工作。</w:t>
      </w:r>
      <w:bookmarkEnd w:id="96"/>
      <w:bookmarkEnd w:id="97"/>
      <w:bookmarkEnd w:id="98"/>
      <w:bookmarkEnd w:id="99"/>
    </w:p>
    <w:p>
      <w:pPr>
        <w:pStyle w:val="2"/>
        <w:keepNext w:val="0"/>
        <w:keepLines w:val="0"/>
        <w:pageBreakBefore w:val="0"/>
        <w:widowControl w:val="0"/>
        <w:kinsoku/>
        <w:wordWrap/>
        <w:overflowPunct/>
        <w:topLinePunct w:val="0"/>
        <w:autoSpaceDE/>
        <w:autoSpaceDN/>
        <w:bidi w:val="0"/>
        <w:adjustRightInd w:val="0"/>
        <w:snapToGrid w:val="0"/>
        <w:spacing w:beforeLines="0" w:line="560" w:lineRule="exact"/>
        <w:ind w:firstLine="672" w:firstLineChars="210"/>
        <w:textAlignment w:val="auto"/>
        <w:outlineLvl w:val="2"/>
        <w:rPr>
          <w:rFonts w:hint="eastAsia" w:ascii="仿宋" w:hAnsi="仿宋" w:eastAsia="仿宋"/>
          <w:bCs/>
          <w:color w:val="auto"/>
          <w:sz w:val="32"/>
          <w:szCs w:val="32"/>
          <w:highlight w:val="none"/>
        </w:rPr>
      </w:pPr>
      <w:bookmarkStart w:id="100" w:name="_Toc32701"/>
      <w:bookmarkStart w:id="101" w:name="_Toc30243"/>
      <w:bookmarkStart w:id="102" w:name="_Toc7495"/>
      <w:bookmarkStart w:id="103" w:name="_Toc29539"/>
      <w:r>
        <w:rPr>
          <w:rFonts w:hint="eastAsia" w:ascii="仿宋" w:hAnsi="仿宋" w:eastAsia="仿宋"/>
          <w:bCs/>
          <w:color w:val="auto"/>
          <w:sz w:val="32"/>
          <w:szCs w:val="32"/>
          <w:highlight w:val="none"/>
        </w:rPr>
        <w:t>18.制定应急物资储备和应急救援装备规划并组织实施，会同区发展和改革局等部门建立健全应急物资信息平台和调拨制度，在救灾时统一调度。</w:t>
      </w:r>
      <w:bookmarkEnd w:id="100"/>
      <w:bookmarkEnd w:id="101"/>
      <w:bookmarkEnd w:id="102"/>
      <w:bookmarkEnd w:id="103"/>
    </w:p>
    <w:p>
      <w:pPr>
        <w:pStyle w:val="2"/>
        <w:keepNext w:val="0"/>
        <w:keepLines w:val="0"/>
        <w:pageBreakBefore w:val="0"/>
        <w:widowControl w:val="0"/>
        <w:kinsoku/>
        <w:wordWrap/>
        <w:overflowPunct/>
        <w:topLinePunct w:val="0"/>
        <w:autoSpaceDE/>
        <w:autoSpaceDN/>
        <w:bidi w:val="0"/>
        <w:adjustRightInd w:val="0"/>
        <w:snapToGrid w:val="0"/>
        <w:spacing w:beforeLines="0" w:line="560" w:lineRule="exact"/>
        <w:ind w:firstLine="672" w:firstLineChars="210"/>
        <w:textAlignment w:val="auto"/>
        <w:outlineLvl w:val="2"/>
        <w:rPr>
          <w:rFonts w:hint="eastAsia" w:ascii="仿宋" w:hAnsi="仿宋" w:eastAsia="仿宋"/>
          <w:bCs/>
          <w:color w:val="auto"/>
          <w:sz w:val="32"/>
          <w:szCs w:val="32"/>
          <w:highlight w:val="none"/>
        </w:rPr>
      </w:pPr>
      <w:bookmarkStart w:id="104" w:name="_Toc19243"/>
      <w:bookmarkStart w:id="105" w:name="_Toc6389"/>
      <w:bookmarkStart w:id="106" w:name="_Toc23964"/>
      <w:bookmarkStart w:id="107" w:name="_Toc23000"/>
      <w:r>
        <w:rPr>
          <w:rFonts w:hint="eastAsia" w:ascii="仿宋" w:hAnsi="仿宋" w:eastAsia="仿宋"/>
          <w:bCs/>
          <w:color w:val="auto"/>
          <w:sz w:val="32"/>
          <w:szCs w:val="32"/>
          <w:highlight w:val="none"/>
        </w:rPr>
        <w:t>19.负责应急管理、安全生产宣传教育和培训工作，组织和指导应急管理、安全生产的科学技术研究、推广应用和信息化建设工作。</w:t>
      </w:r>
      <w:bookmarkEnd w:id="104"/>
      <w:bookmarkEnd w:id="105"/>
      <w:bookmarkEnd w:id="106"/>
      <w:bookmarkEnd w:id="107"/>
    </w:p>
    <w:p>
      <w:pPr>
        <w:pStyle w:val="2"/>
        <w:keepNext w:val="0"/>
        <w:keepLines w:val="0"/>
        <w:pageBreakBefore w:val="0"/>
        <w:widowControl w:val="0"/>
        <w:kinsoku/>
        <w:wordWrap/>
        <w:overflowPunct/>
        <w:topLinePunct w:val="0"/>
        <w:autoSpaceDE/>
        <w:autoSpaceDN/>
        <w:bidi w:val="0"/>
        <w:adjustRightInd w:val="0"/>
        <w:snapToGrid w:val="0"/>
        <w:spacing w:beforeLines="0" w:line="560" w:lineRule="exact"/>
        <w:ind w:firstLine="672" w:firstLineChars="210"/>
        <w:textAlignment w:val="auto"/>
        <w:outlineLvl w:val="2"/>
        <w:rPr>
          <w:rFonts w:hint="eastAsia" w:ascii="仿宋" w:hAnsi="仿宋" w:eastAsia="仿宋"/>
          <w:bCs/>
          <w:color w:val="auto"/>
          <w:sz w:val="32"/>
          <w:szCs w:val="32"/>
          <w:highlight w:val="none"/>
        </w:rPr>
      </w:pPr>
      <w:bookmarkStart w:id="108" w:name="_Toc1258"/>
      <w:bookmarkStart w:id="109" w:name="_Toc2915"/>
      <w:bookmarkStart w:id="110" w:name="_Toc19600"/>
      <w:bookmarkStart w:id="111" w:name="_Toc24770"/>
      <w:r>
        <w:rPr>
          <w:rFonts w:hint="eastAsia" w:ascii="仿宋" w:hAnsi="仿宋" w:eastAsia="仿宋"/>
          <w:bCs/>
          <w:color w:val="auto"/>
          <w:sz w:val="32"/>
          <w:szCs w:val="32"/>
          <w:highlight w:val="none"/>
        </w:rPr>
        <w:t>20.承担职责范围内的职业健康、生态环境保护、审批服务便民化工作。</w:t>
      </w:r>
      <w:bookmarkEnd w:id="108"/>
      <w:bookmarkEnd w:id="109"/>
      <w:bookmarkEnd w:id="110"/>
      <w:bookmarkEnd w:id="111"/>
    </w:p>
    <w:p>
      <w:pPr>
        <w:pStyle w:val="2"/>
        <w:keepNext w:val="0"/>
        <w:keepLines w:val="0"/>
        <w:pageBreakBefore w:val="0"/>
        <w:widowControl w:val="0"/>
        <w:kinsoku/>
        <w:wordWrap/>
        <w:overflowPunct/>
        <w:topLinePunct w:val="0"/>
        <w:autoSpaceDE/>
        <w:autoSpaceDN/>
        <w:bidi w:val="0"/>
        <w:adjustRightInd w:val="0"/>
        <w:snapToGrid w:val="0"/>
        <w:spacing w:beforeLines="0" w:line="560" w:lineRule="exact"/>
        <w:ind w:firstLine="672" w:firstLineChars="210"/>
        <w:textAlignment w:val="auto"/>
        <w:outlineLvl w:val="2"/>
        <w:rPr>
          <w:rFonts w:hint="eastAsia" w:ascii="仿宋" w:hAnsi="仿宋" w:eastAsia="仿宋"/>
          <w:bCs/>
          <w:color w:val="auto"/>
          <w:sz w:val="32"/>
          <w:szCs w:val="32"/>
          <w:highlight w:val="none"/>
        </w:rPr>
      </w:pPr>
      <w:bookmarkStart w:id="112" w:name="_Toc21715"/>
      <w:bookmarkStart w:id="113" w:name="_Toc2537"/>
      <w:bookmarkStart w:id="114" w:name="_Toc7608"/>
      <w:bookmarkStart w:id="115" w:name="_Toc6411"/>
      <w:r>
        <w:rPr>
          <w:rFonts w:hint="eastAsia" w:ascii="仿宋" w:hAnsi="仿宋" w:eastAsia="仿宋"/>
          <w:bCs/>
          <w:color w:val="auto"/>
          <w:sz w:val="32"/>
          <w:szCs w:val="32"/>
          <w:highlight w:val="none"/>
        </w:rPr>
        <w:t>21.完成区委和区政府交办的其他任务。</w:t>
      </w:r>
      <w:bookmarkEnd w:id="112"/>
      <w:bookmarkEnd w:id="113"/>
      <w:bookmarkEnd w:id="114"/>
      <w:bookmarkEnd w:id="115"/>
    </w:p>
    <w:p>
      <w:pPr>
        <w:pStyle w:val="2"/>
        <w:keepNext w:val="0"/>
        <w:keepLines w:val="0"/>
        <w:pageBreakBefore w:val="0"/>
        <w:widowControl w:val="0"/>
        <w:kinsoku/>
        <w:wordWrap/>
        <w:overflowPunct/>
        <w:topLinePunct w:val="0"/>
        <w:autoSpaceDE/>
        <w:autoSpaceDN/>
        <w:bidi w:val="0"/>
        <w:adjustRightInd w:val="0"/>
        <w:snapToGrid w:val="0"/>
        <w:spacing w:beforeLines="0" w:line="560" w:lineRule="exact"/>
        <w:ind w:firstLine="672" w:firstLineChars="210"/>
        <w:textAlignment w:val="auto"/>
        <w:outlineLvl w:val="2"/>
        <w:rPr>
          <w:rFonts w:hint="eastAsia" w:ascii="仿宋" w:hAnsi="仿宋" w:eastAsia="仿宋"/>
          <w:bCs/>
          <w:color w:val="auto"/>
          <w:sz w:val="32"/>
          <w:szCs w:val="32"/>
          <w:highlight w:val="none"/>
        </w:rPr>
      </w:pPr>
      <w:bookmarkStart w:id="116" w:name="_Toc27755"/>
      <w:bookmarkStart w:id="117" w:name="_Toc14904"/>
      <w:bookmarkStart w:id="118" w:name="_Toc26053"/>
      <w:bookmarkStart w:id="119" w:name="_Toc8947"/>
      <w:r>
        <w:rPr>
          <w:rFonts w:hint="eastAsia" w:ascii="仿宋" w:hAnsi="仿宋" w:eastAsia="仿宋"/>
          <w:bCs/>
          <w:color w:val="auto"/>
          <w:sz w:val="32"/>
          <w:szCs w:val="32"/>
          <w:highlight w:val="none"/>
        </w:rPr>
        <w:t>22.职能转变。加强、优化、统筹应急能力建设，构建统一领导、权责一致、权威高效的应急能力体系，推动形成统一指挥、专长兼备、反应灵敏、上下联动、平战结合的中国特色应急管理体制。一是坚持以防为主、防抗救结合，坚持常态减灾和非常态救灾相统一，努力实现从注重灾后救助向注重灾前预防转变，从应对单一灾种向综合减灾转变，从减少灾害损失向减轻灾害风险转变，提高全区应急管理水平和防灾减灾救灾能力，防范化解重特大安全风险。二是坚持以人为本，把确保人民群众生命安全放在首位，确保受灾群众基本生活，加强应急预案演练，增强全民防灾减灾意识，提升公众知识普及和自救互救技能，切实减少人员伤亡和财产损失。三是树立安全发展理念，坚持生命至上、安全第一，完善安全生产责任制，坚决遏制重特大安全事故。</w:t>
      </w:r>
      <w:bookmarkEnd w:id="116"/>
      <w:bookmarkEnd w:id="117"/>
      <w:bookmarkEnd w:id="118"/>
      <w:bookmarkEnd w:id="119"/>
    </w:p>
    <w:p>
      <w:pPr>
        <w:pStyle w:val="2"/>
        <w:keepNext w:val="0"/>
        <w:keepLines w:val="0"/>
        <w:pageBreakBefore w:val="0"/>
        <w:widowControl w:val="0"/>
        <w:kinsoku/>
        <w:wordWrap/>
        <w:overflowPunct/>
        <w:topLinePunct w:val="0"/>
        <w:autoSpaceDE/>
        <w:autoSpaceDN/>
        <w:bidi w:val="0"/>
        <w:adjustRightInd w:val="0"/>
        <w:snapToGrid w:val="0"/>
        <w:spacing w:beforeLines="0" w:line="560" w:lineRule="exact"/>
        <w:ind w:firstLine="672" w:firstLineChars="210"/>
        <w:textAlignment w:val="auto"/>
        <w:outlineLvl w:val="2"/>
        <w:rPr>
          <w:rFonts w:hint="eastAsia" w:ascii="仿宋" w:hAnsi="仿宋" w:eastAsia="仿宋"/>
          <w:bCs/>
          <w:color w:val="auto"/>
          <w:sz w:val="32"/>
          <w:szCs w:val="32"/>
          <w:highlight w:val="none"/>
        </w:rPr>
      </w:pPr>
      <w:bookmarkStart w:id="120" w:name="_Toc24472"/>
      <w:bookmarkStart w:id="121" w:name="_Toc6999"/>
      <w:bookmarkStart w:id="122" w:name="_Toc7360"/>
      <w:bookmarkStart w:id="123" w:name="_Toc21281"/>
      <w:r>
        <w:rPr>
          <w:rFonts w:hint="eastAsia" w:ascii="仿宋" w:hAnsi="仿宋" w:eastAsia="仿宋"/>
          <w:bCs/>
          <w:color w:val="auto"/>
          <w:sz w:val="32"/>
          <w:szCs w:val="32"/>
          <w:highlight w:val="none"/>
        </w:rPr>
        <w:t>23.有关职责分工。</w:t>
      </w:r>
      <w:bookmarkEnd w:id="120"/>
      <w:bookmarkEnd w:id="121"/>
      <w:bookmarkEnd w:id="122"/>
      <w:bookmarkEnd w:id="123"/>
    </w:p>
    <w:p>
      <w:pPr>
        <w:pStyle w:val="2"/>
        <w:keepNext w:val="0"/>
        <w:keepLines w:val="0"/>
        <w:pageBreakBefore w:val="0"/>
        <w:widowControl w:val="0"/>
        <w:kinsoku/>
        <w:wordWrap/>
        <w:overflowPunct/>
        <w:topLinePunct w:val="0"/>
        <w:autoSpaceDE/>
        <w:autoSpaceDN/>
        <w:bidi w:val="0"/>
        <w:adjustRightInd w:val="0"/>
        <w:snapToGrid w:val="0"/>
        <w:spacing w:beforeLines="0" w:line="560" w:lineRule="exact"/>
        <w:ind w:firstLine="672" w:firstLineChars="210"/>
        <w:textAlignment w:val="auto"/>
        <w:outlineLvl w:val="2"/>
        <w:rPr>
          <w:rFonts w:hint="eastAsia" w:ascii="仿宋" w:hAnsi="仿宋" w:eastAsia="仿宋"/>
          <w:bCs/>
          <w:color w:val="auto"/>
          <w:sz w:val="32"/>
          <w:szCs w:val="32"/>
          <w:highlight w:val="none"/>
        </w:rPr>
      </w:pPr>
      <w:bookmarkStart w:id="124" w:name="_Toc10335"/>
      <w:bookmarkStart w:id="125" w:name="_Toc201"/>
      <w:bookmarkStart w:id="126" w:name="_Toc17753"/>
      <w:bookmarkStart w:id="127" w:name="_Toc26201"/>
      <w:r>
        <w:rPr>
          <w:rFonts w:hint="eastAsia" w:ascii="仿宋" w:hAnsi="仿宋" w:eastAsia="仿宋"/>
          <w:bCs/>
          <w:color w:val="auto"/>
          <w:sz w:val="32"/>
          <w:szCs w:val="32"/>
          <w:highlight w:val="none"/>
        </w:rPr>
        <w:t>1.在安全生产监督管理方面的职责分工。</w:t>
      </w:r>
      <w:bookmarkEnd w:id="124"/>
      <w:bookmarkEnd w:id="125"/>
      <w:bookmarkEnd w:id="126"/>
      <w:bookmarkEnd w:id="127"/>
    </w:p>
    <w:p>
      <w:pPr>
        <w:pStyle w:val="2"/>
        <w:keepNext w:val="0"/>
        <w:keepLines w:val="0"/>
        <w:pageBreakBefore w:val="0"/>
        <w:widowControl w:val="0"/>
        <w:kinsoku/>
        <w:wordWrap/>
        <w:overflowPunct/>
        <w:topLinePunct w:val="0"/>
        <w:autoSpaceDE/>
        <w:autoSpaceDN/>
        <w:bidi w:val="0"/>
        <w:adjustRightInd w:val="0"/>
        <w:snapToGrid w:val="0"/>
        <w:spacing w:beforeLines="0" w:line="560" w:lineRule="exact"/>
        <w:ind w:firstLine="672" w:firstLineChars="210"/>
        <w:textAlignment w:val="auto"/>
        <w:outlineLvl w:val="2"/>
        <w:rPr>
          <w:rFonts w:hint="eastAsia" w:ascii="仿宋" w:hAnsi="仿宋" w:eastAsia="仿宋"/>
          <w:bCs/>
          <w:color w:val="auto"/>
          <w:sz w:val="32"/>
          <w:szCs w:val="32"/>
          <w:highlight w:val="none"/>
        </w:rPr>
      </w:pPr>
      <w:bookmarkStart w:id="128" w:name="_Toc13970"/>
      <w:bookmarkStart w:id="129" w:name="_Toc22837"/>
      <w:bookmarkStart w:id="130" w:name="_Toc12831"/>
      <w:bookmarkStart w:id="131" w:name="_Toc22809"/>
      <w:r>
        <w:rPr>
          <w:rFonts w:hint="eastAsia" w:ascii="仿宋" w:hAnsi="仿宋" w:eastAsia="仿宋"/>
          <w:bCs/>
          <w:color w:val="auto"/>
          <w:sz w:val="32"/>
          <w:szCs w:val="32"/>
          <w:highlight w:val="none"/>
        </w:rPr>
        <w:t>按照“管行业必须管安全、管业务必须管安全、管生产经营必须管安全”的原则，区应急管理局承担安全生产综合监督管理职责；区应急管理局和其他负有安全生产监督管理职责的区级有关部门，依法依规承担相关行业领域安全生产监督管理职责。</w:t>
      </w:r>
      <w:bookmarkEnd w:id="128"/>
      <w:bookmarkEnd w:id="129"/>
      <w:bookmarkEnd w:id="130"/>
      <w:bookmarkEnd w:id="131"/>
    </w:p>
    <w:p>
      <w:pPr>
        <w:pStyle w:val="2"/>
        <w:keepNext w:val="0"/>
        <w:keepLines w:val="0"/>
        <w:pageBreakBefore w:val="0"/>
        <w:widowControl w:val="0"/>
        <w:kinsoku/>
        <w:wordWrap/>
        <w:overflowPunct/>
        <w:topLinePunct w:val="0"/>
        <w:autoSpaceDE/>
        <w:autoSpaceDN/>
        <w:bidi w:val="0"/>
        <w:adjustRightInd w:val="0"/>
        <w:snapToGrid w:val="0"/>
        <w:spacing w:beforeLines="0" w:line="560" w:lineRule="exact"/>
        <w:ind w:firstLine="672" w:firstLineChars="210"/>
        <w:textAlignment w:val="auto"/>
        <w:outlineLvl w:val="2"/>
        <w:rPr>
          <w:rFonts w:hint="eastAsia" w:ascii="仿宋" w:hAnsi="仿宋" w:eastAsia="仿宋"/>
          <w:bCs/>
          <w:color w:val="auto"/>
          <w:sz w:val="32"/>
          <w:szCs w:val="32"/>
          <w:highlight w:val="none"/>
        </w:rPr>
      </w:pPr>
      <w:bookmarkStart w:id="132" w:name="_Toc9232"/>
      <w:bookmarkStart w:id="133" w:name="_Toc3096"/>
      <w:bookmarkStart w:id="134" w:name="_Toc2696"/>
      <w:bookmarkStart w:id="135" w:name="_Toc29838"/>
      <w:r>
        <w:rPr>
          <w:rFonts w:hint="eastAsia" w:ascii="仿宋" w:hAnsi="仿宋" w:eastAsia="仿宋"/>
          <w:bCs/>
          <w:color w:val="auto"/>
          <w:sz w:val="32"/>
          <w:szCs w:val="32"/>
          <w:highlight w:val="none"/>
        </w:rPr>
        <w:t>2.在自然灾害防救方面的职责分工。</w:t>
      </w:r>
      <w:bookmarkEnd w:id="132"/>
      <w:bookmarkEnd w:id="133"/>
      <w:bookmarkEnd w:id="134"/>
      <w:bookmarkEnd w:id="135"/>
    </w:p>
    <w:p>
      <w:pPr>
        <w:pStyle w:val="2"/>
        <w:keepNext w:val="0"/>
        <w:keepLines w:val="0"/>
        <w:pageBreakBefore w:val="0"/>
        <w:widowControl w:val="0"/>
        <w:kinsoku/>
        <w:wordWrap/>
        <w:overflowPunct/>
        <w:topLinePunct w:val="0"/>
        <w:autoSpaceDE/>
        <w:autoSpaceDN/>
        <w:bidi w:val="0"/>
        <w:adjustRightInd w:val="0"/>
        <w:snapToGrid w:val="0"/>
        <w:spacing w:beforeLines="0" w:line="560" w:lineRule="exact"/>
        <w:ind w:firstLine="672" w:firstLineChars="210"/>
        <w:textAlignment w:val="auto"/>
        <w:outlineLvl w:val="2"/>
        <w:rPr>
          <w:rFonts w:hint="eastAsia" w:ascii="仿宋" w:hAnsi="仿宋" w:eastAsia="仿宋"/>
          <w:bCs/>
          <w:color w:val="auto"/>
          <w:sz w:val="32"/>
          <w:szCs w:val="32"/>
          <w:highlight w:val="none"/>
        </w:rPr>
      </w:pPr>
      <w:bookmarkStart w:id="136" w:name="_Toc24132"/>
      <w:bookmarkStart w:id="137" w:name="_Toc31657"/>
      <w:bookmarkStart w:id="138" w:name="_Toc28109"/>
      <w:bookmarkStart w:id="139" w:name="_Toc7235"/>
      <w:r>
        <w:rPr>
          <w:rFonts w:hint="eastAsia" w:ascii="仿宋" w:hAnsi="仿宋" w:eastAsia="仿宋"/>
          <w:bCs/>
          <w:color w:val="auto"/>
          <w:sz w:val="32"/>
          <w:szCs w:val="32"/>
          <w:highlight w:val="none"/>
        </w:rPr>
        <w:t>区应急管理局与市自然资源和规划局巴州分局、区水利局、区农业农村局（区林业局）等部门要做到各司其职、无缝对接。区应急管理局负责统一组织、统一指挥、统一协调自然灾害类突发事件应急救援救灾工作。市自然资源和规划局巴州分局、区水利局、区农业农村局（区林业局）依法依规承担相关行业领域的灾害监测、预警、防治工作及抢险救援的技术保障工作。</w:t>
      </w:r>
      <w:bookmarkEnd w:id="136"/>
      <w:bookmarkEnd w:id="137"/>
      <w:bookmarkEnd w:id="138"/>
      <w:bookmarkEnd w:id="139"/>
    </w:p>
    <w:p>
      <w:pPr>
        <w:pStyle w:val="2"/>
        <w:keepNext w:val="0"/>
        <w:keepLines w:val="0"/>
        <w:pageBreakBefore w:val="0"/>
        <w:widowControl w:val="0"/>
        <w:kinsoku/>
        <w:wordWrap/>
        <w:overflowPunct/>
        <w:topLinePunct w:val="0"/>
        <w:autoSpaceDE/>
        <w:autoSpaceDN/>
        <w:bidi w:val="0"/>
        <w:adjustRightInd w:val="0"/>
        <w:snapToGrid w:val="0"/>
        <w:spacing w:beforeLines="0" w:line="560" w:lineRule="exact"/>
        <w:ind w:firstLine="672" w:firstLineChars="210"/>
        <w:textAlignment w:val="auto"/>
        <w:outlineLvl w:val="2"/>
        <w:rPr>
          <w:rFonts w:hint="eastAsia" w:ascii="仿宋" w:hAnsi="仿宋" w:eastAsia="仿宋"/>
          <w:bCs/>
          <w:color w:val="auto"/>
          <w:sz w:val="32"/>
          <w:szCs w:val="32"/>
          <w:highlight w:val="none"/>
        </w:rPr>
      </w:pPr>
      <w:bookmarkStart w:id="140" w:name="_Toc1741"/>
      <w:bookmarkStart w:id="141" w:name="_Toc7737"/>
      <w:bookmarkStart w:id="142" w:name="_Toc25709"/>
      <w:bookmarkStart w:id="143" w:name="_Toc30548"/>
      <w:r>
        <w:rPr>
          <w:rFonts w:hint="eastAsia" w:ascii="仿宋" w:hAnsi="仿宋" w:eastAsia="仿宋"/>
          <w:bCs/>
          <w:color w:val="auto"/>
          <w:sz w:val="32"/>
          <w:szCs w:val="32"/>
          <w:highlight w:val="none"/>
        </w:rPr>
        <w:t>（1）区应急管理局负责牵头组织编制全区综合应急防灾减灾预案和安全生产类、自然灾害类专项预案，承担应急预案衔接工作，组织开展预案演练并落实。按照分级负责的原则，组织、指导自然灾害类应急救援救灾；组织、协调一般灾害应急救援工作，并按权限作出决定；承担全区应对一般及以上灾害指挥部工作，负责组织一般及以上灾害应急处置工作。组织编制全区综合防灾减灾规划，指导、协调有关部门森林火灾、水旱灾害、地震和地质灾害等防治工作；会同市自然资源和规划局巴州分局、区水利局、区农业农村局（区林业局）、区气象局等有关部门建立统一的应急管理信息平台，建立监测预警和灾情报告制度，健全自然灾害信息资源获取和共享机制，依法统一发布灾情、发布森林火险信息。组织开展多灾种和灾害链综合监测预警，承担自然灾害综合风险评估工作。</w:t>
      </w:r>
      <w:bookmarkEnd w:id="140"/>
      <w:bookmarkEnd w:id="141"/>
      <w:bookmarkEnd w:id="142"/>
      <w:bookmarkEnd w:id="143"/>
    </w:p>
    <w:p>
      <w:pPr>
        <w:pStyle w:val="2"/>
        <w:keepNext w:val="0"/>
        <w:keepLines w:val="0"/>
        <w:pageBreakBefore w:val="0"/>
        <w:widowControl w:val="0"/>
        <w:kinsoku/>
        <w:wordWrap/>
        <w:overflowPunct/>
        <w:topLinePunct w:val="0"/>
        <w:autoSpaceDE/>
        <w:autoSpaceDN/>
        <w:bidi w:val="0"/>
        <w:adjustRightInd w:val="0"/>
        <w:snapToGrid w:val="0"/>
        <w:spacing w:beforeLines="0" w:line="560" w:lineRule="exact"/>
        <w:ind w:firstLine="672" w:firstLineChars="210"/>
        <w:textAlignment w:val="auto"/>
        <w:outlineLvl w:val="2"/>
        <w:rPr>
          <w:rFonts w:hint="eastAsia" w:ascii="仿宋" w:hAnsi="仿宋" w:eastAsia="仿宋"/>
          <w:bCs/>
          <w:color w:val="auto"/>
          <w:sz w:val="32"/>
          <w:szCs w:val="32"/>
          <w:highlight w:val="none"/>
        </w:rPr>
      </w:pPr>
      <w:bookmarkStart w:id="144" w:name="_Toc10802"/>
      <w:bookmarkStart w:id="145" w:name="_Toc1265"/>
      <w:bookmarkStart w:id="146" w:name="_Toc11637"/>
      <w:bookmarkStart w:id="147" w:name="_Toc28226"/>
      <w:r>
        <w:rPr>
          <w:rFonts w:hint="eastAsia" w:ascii="仿宋" w:hAnsi="仿宋" w:eastAsia="仿宋"/>
          <w:bCs/>
          <w:color w:val="auto"/>
          <w:sz w:val="32"/>
          <w:szCs w:val="32"/>
          <w:highlight w:val="none"/>
        </w:rPr>
        <w:t>（2）市自然资源和规划局巴州分局负责落实综合防灾减灾规划相关要求，组织编制并实施地质灾害防治规划和防护标准；组织、指导、协调和监督地质灾害调查评价及隐患的普查、详查、排查；组织、指导开展群测群防、专业监测和预报预警等工作，组织、指导开展地质灾害工程治理工作；承担地质灾害应急救援的技术保障工作。</w:t>
      </w:r>
      <w:bookmarkEnd w:id="144"/>
      <w:bookmarkEnd w:id="145"/>
      <w:bookmarkEnd w:id="146"/>
      <w:bookmarkEnd w:id="147"/>
    </w:p>
    <w:p>
      <w:pPr>
        <w:pStyle w:val="2"/>
        <w:keepNext w:val="0"/>
        <w:keepLines w:val="0"/>
        <w:pageBreakBefore w:val="0"/>
        <w:widowControl w:val="0"/>
        <w:kinsoku/>
        <w:wordWrap/>
        <w:overflowPunct/>
        <w:topLinePunct w:val="0"/>
        <w:autoSpaceDE/>
        <w:autoSpaceDN/>
        <w:bidi w:val="0"/>
        <w:adjustRightInd w:val="0"/>
        <w:snapToGrid w:val="0"/>
        <w:spacing w:beforeLines="0" w:line="560" w:lineRule="exact"/>
        <w:ind w:firstLine="672" w:firstLineChars="210"/>
        <w:textAlignment w:val="auto"/>
        <w:outlineLvl w:val="2"/>
        <w:rPr>
          <w:rFonts w:hint="eastAsia" w:ascii="仿宋" w:hAnsi="仿宋" w:eastAsia="仿宋"/>
          <w:bCs/>
          <w:color w:val="auto"/>
          <w:sz w:val="32"/>
          <w:szCs w:val="32"/>
          <w:highlight w:val="none"/>
        </w:rPr>
      </w:pPr>
      <w:bookmarkStart w:id="148" w:name="_Toc13575"/>
      <w:bookmarkStart w:id="149" w:name="_Toc16824"/>
      <w:bookmarkStart w:id="150" w:name="_Toc16130"/>
      <w:bookmarkStart w:id="151" w:name="_Toc24856"/>
      <w:r>
        <w:rPr>
          <w:rFonts w:hint="eastAsia" w:ascii="仿宋" w:hAnsi="仿宋" w:eastAsia="仿宋"/>
          <w:bCs/>
          <w:color w:val="auto"/>
          <w:sz w:val="32"/>
          <w:szCs w:val="32"/>
          <w:highlight w:val="none"/>
        </w:rPr>
        <w:t>（3）区水利局负责落实综合防灾减灾规划相关要求，组织编制并实施洪水干旱灾害防治规划和防护标准；承担水情旱情监测预警工作；组织编制区内河流、湖泊、塘库堰和水工程的防御洪水、抗御旱灾调度和应急水量调度方案，按程序报批并组织实施；承担防御洪水应急抢险技术保障工作。</w:t>
      </w:r>
      <w:bookmarkEnd w:id="148"/>
      <w:bookmarkEnd w:id="149"/>
      <w:bookmarkEnd w:id="150"/>
      <w:bookmarkEnd w:id="151"/>
    </w:p>
    <w:p>
      <w:pPr>
        <w:pStyle w:val="2"/>
        <w:keepNext w:val="0"/>
        <w:keepLines w:val="0"/>
        <w:pageBreakBefore w:val="0"/>
        <w:widowControl w:val="0"/>
        <w:kinsoku/>
        <w:wordWrap/>
        <w:overflowPunct/>
        <w:topLinePunct w:val="0"/>
        <w:autoSpaceDE/>
        <w:autoSpaceDN/>
        <w:bidi w:val="0"/>
        <w:adjustRightInd w:val="0"/>
        <w:snapToGrid w:val="0"/>
        <w:spacing w:beforeLines="0" w:line="560" w:lineRule="exact"/>
        <w:ind w:firstLine="672" w:firstLineChars="210"/>
        <w:textAlignment w:val="auto"/>
        <w:outlineLvl w:val="2"/>
        <w:rPr>
          <w:rFonts w:hint="eastAsia" w:ascii="仿宋" w:hAnsi="仿宋" w:eastAsia="仿宋"/>
          <w:bCs/>
          <w:color w:val="auto"/>
          <w:sz w:val="32"/>
          <w:szCs w:val="32"/>
          <w:highlight w:val="none"/>
        </w:rPr>
      </w:pPr>
      <w:bookmarkStart w:id="152" w:name="_Toc6570"/>
      <w:bookmarkStart w:id="153" w:name="_Toc21050"/>
      <w:bookmarkStart w:id="154" w:name="_Toc31187"/>
      <w:bookmarkStart w:id="155" w:name="_Toc11257"/>
      <w:r>
        <w:rPr>
          <w:rFonts w:hint="eastAsia" w:ascii="仿宋" w:hAnsi="仿宋" w:eastAsia="仿宋"/>
          <w:bCs/>
          <w:color w:val="auto"/>
          <w:sz w:val="32"/>
          <w:szCs w:val="32"/>
          <w:highlight w:val="none"/>
        </w:rPr>
        <w:t>（4）区农业农村局（区林业局）负责落实综合防灾减灾规划相关要求，组织编制并实施森林火灾防治规划和防护标准；组织和指导开展防火巡护、火源管理、防火设施建设等工作；负责森林火情监测预警、火灾预防工作，发送森林火险信息；组织和指导全区开展防火宣传教育、督促检查等森林防火工作；负责森林专业防火队伍组建管理；负责未达到森林火灾应急预案中启动应急响应条件的初期火情火灾处置；牵头组织森林火灾损失评估等工作。</w:t>
      </w:r>
      <w:bookmarkEnd w:id="152"/>
      <w:bookmarkEnd w:id="153"/>
      <w:bookmarkEnd w:id="154"/>
      <w:bookmarkEnd w:id="155"/>
    </w:p>
    <w:p>
      <w:pPr>
        <w:pStyle w:val="2"/>
        <w:keepNext w:val="0"/>
        <w:keepLines w:val="0"/>
        <w:pageBreakBefore w:val="0"/>
        <w:widowControl w:val="0"/>
        <w:kinsoku/>
        <w:wordWrap/>
        <w:overflowPunct/>
        <w:topLinePunct w:val="0"/>
        <w:autoSpaceDE/>
        <w:autoSpaceDN/>
        <w:bidi w:val="0"/>
        <w:adjustRightInd w:val="0"/>
        <w:snapToGrid w:val="0"/>
        <w:spacing w:beforeLines="0" w:line="560" w:lineRule="exact"/>
        <w:ind w:firstLine="672" w:firstLineChars="210"/>
        <w:textAlignment w:val="auto"/>
        <w:outlineLvl w:val="2"/>
        <w:rPr>
          <w:rFonts w:hint="eastAsia" w:ascii="仿宋" w:hAnsi="仿宋" w:eastAsia="仿宋"/>
          <w:bCs/>
          <w:color w:val="auto"/>
          <w:sz w:val="32"/>
          <w:szCs w:val="32"/>
          <w:highlight w:val="none"/>
        </w:rPr>
      </w:pPr>
      <w:bookmarkStart w:id="156" w:name="_Toc2442"/>
      <w:bookmarkStart w:id="157" w:name="_Toc13939"/>
      <w:bookmarkStart w:id="158" w:name="_Toc13122"/>
      <w:bookmarkStart w:id="159" w:name="_Toc30960"/>
      <w:r>
        <w:rPr>
          <w:rFonts w:hint="eastAsia" w:ascii="仿宋" w:hAnsi="仿宋" w:eastAsia="仿宋"/>
          <w:bCs/>
          <w:color w:val="auto"/>
          <w:sz w:val="32"/>
          <w:szCs w:val="32"/>
          <w:highlight w:val="none"/>
        </w:rPr>
        <w:t>（5）必要时，市自然资源和规划局巴州分局、区水利局、区农业农村局（区林业局）等部门可以提请区应急管理局，以区应急指挥机构名义部署相关防治工作。</w:t>
      </w:r>
      <w:bookmarkEnd w:id="156"/>
      <w:bookmarkEnd w:id="157"/>
      <w:bookmarkEnd w:id="158"/>
      <w:bookmarkEnd w:id="159"/>
    </w:p>
    <w:p>
      <w:pPr>
        <w:pStyle w:val="2"/>
        <w:keepNext w:val="0"/>
        <w:keepLines w:val="0"/>
        <w:pageBreakBefore w:val="0"/>
        <w:widowControl w:val="0"/>
        <w:kinsoku/>
        <w:wordWrap/>
        <w:overflowPunct/>
        <w:topLinePunct w:val="0"/>
        <w:autoSpaceDE/>
        <w:autoSpaceDN/>
        <w:bidi w:val="0"/>
        <w:adjustRightInd w:val="0"/>
        <w:snapToGrid w:val="0"/>
        <w:spacing w:beforeLines="0" w:line="560" w:lineRule="exact"/>
        <w:ind w:firstLine="672" w:firstLineChars="210"/>
        <w:textAlignment w:val="auto"/>
        <w:outlineLvl w:val="2"/>
        <w:rPr>
          <w:rFonts w:hint="eastAsia" w:ascii="仿宋" w:hAnsi="仿宋" w:eastAsia="仿宋"/>
          <w:bCs/>
          <w:color w:val="auto"/>
          <w:sz w:val="32"/>
          <w:szCs w:val="32"/>
          <w:highlight w:val="none"/>
        </w:rPr>
      </w:pPr>
      <w:bookmarkStart w:id="160" w:name="_Toc21578"/>
      <w:bookmarkStart w:id="161" w:name="_Toc6781"/>
      <w:bookmarkStart w:id="162" w:name="_Toc19599"/>
      <w:bookmarkStart w:id="163" w:name="_Toc2511"/>
      <w:r>
        <w:rPr>
          <w:rFonts w:hint="eastAsia" w:ascii="仿宋" w:hAnsi="仿宋" w:eastAsia="仿宋"/>
          <w:bCs/>
          <w:color w:val="auto"/>
          <w:sz w:val="32"/>
          <w:szCs w:val="32"/>
          <w:highlight w:val="none"/>
        </w:rPr>
        <w:t>3.在救灾物资储备方面的职责分工。</w:t>
      </w:r>
      <w:bookmarkEnd w:id="160"/>
      <w:bookmarkEnd w:id="161"/>
      <w:bookmarkEnd w:id="162"/>
      <w:bookmarkEnd w:id="163"/>
    </w:p>
    <w:p>
      <w:pPr>
        <w:pStyle w:val="2"/>
        <w:keepNext w:val="0"/>
        <w:keepLines w:val="0"/>
        <w:pageBreakBefore w:val="0"/>
        <w:widowControl w:val="0"/>
        <w:kinsoku/>
        <w:wordWrap/>
        <w:overflowPunct/>
        <w:topLinePunct w:val="0"/>
        <w:autoSpaceDE/>
        <w:autoSpaceDN/>
        <w:bidi w:val="0"/>
        <w:adjustRightInd w:val="0"/>
        <w:snapToGrid w:val="0"/>
        <w:spacing w:beforeLines="0" w:line="560" w:lineRule="exact"/>
        <w:ind w:firstLine="672" w:firstLineChars="210"/>
        <w:textAlignment w:val="auto"/>
        <w:outlineLvl w:val="2"/>
        <w:rPr>
          <w:rFonts w:hint="eastAsia" w:ascii="仿宋" w:hAnsi="仿宋" w:eastAsia="仿宋"/>
          <w:bCs/>
          <w:color w:val="auto"/>
          <w:sz w:val="32"/>
          <w:szCs w:val="32"/>
          <w:highlight w:val="none"/>
        </w:rPr>
      </w:pPr>
      <w:bookmarkStart w:id="164" w:name="_Toc30372"/>
      <w:bookmarkStart w:id="165" w:name="_Toc2859"/>
      <w:bookmarkStart w:id="166" w:name="_Toc23299"/>
      <w:bookmarkStart w:id="167" w:name="_Toc18327"/>
      <w:r>
        <w:rPr>
          <w:rFonts w:hint="eastAsia" w:ascii="仿宋" w:hAnsi="仿宋" w:eastAsia="仿宋"/>
          <w:bCs/>
          <w:color w:val="auto"/>
          <w:sz w:val="32"/>
          <w:szCs w:val="32"/>
          <w:highlight w:val="none"/>
        </w:rPr>
        <w:t>（1）区应急管理局负责提出区级救灾物资的储备需求和动用决策，组织编制区级救灾物资储备规划、品种目录和标准，会同区发展和改革局等部门确定年度购置计划，根据需要下达动用指令。</w:t>
      </w:r>
      <w:bookmarkEnd w:id="164"/>
      <w:bookmarkEnd w:id="165"/>
      <w:bookmarkEnd w:id="166"/>
      <w:bookmarkEnd w:id="167"/>
    </w:p>
    <w:p>
      <w:pPr>
        <w:pStyle w:val="2"/>
        <w:keepNext w:val="0"/>
        <w:keepLines w:val="0"/>
        <w:pageBreakBefore w:val="0"/>
        <w:widowControl w:val="0"/>
        <w:kinsoku/>
        <w:wordWrap/>
        <w:overflowPunct/>
        <w:topLinePunct w:val="0"/>
        <w:autoSpaceDE/>
        <w:autoSpaceDN/>
        <w:bidi w:val="0"/>
        <w:adjustRightInd w:val="0"/>
        <w:snapToGrid w:val="0"/>
        <w:spacing w:beforeLines="0" w:line="560" w:lineRule="exact"/>
        <w:ind w:firstLine="672" w:firstLineChars="210"/>
        <w:textAlignment w:val="auto"/>
        <w:outlineLvl w:val="2"/>
        <w:rPr>
          <w:rFonts w:hint="eastAsia" w:ascii="仿宋" w:hAnsi="仿宋" w:eastAsia="仿宋"/>
          <w:bCs/>
          <w:color w:val="auto"/>
          <w:sz w:val="32"/>
          <w:szCs w:val="32"/>
          <w:highlight w:val="none"/>
        </w:rPr>
      </w:pPr>
      <w:bookmarkStart w:id="168" w:name="_Toc7337"/>
      <w:bookmarkStart w:id="169" w:name="_Toc1883"/>
      <w:bookmarkStart w:id="170" w:name="_Toc19818"/>
      <w:bookmarkStart w:id="171" w:name="_Toc27705"/>
      <w:r>
        <w:rPr>
          <w:rFonts w:hint="eastAsia" w:ascii="仿宋" w:hAnsi="仿宋" w:eastAsia="仿宋"/>
          <w:bCs/>
          <w:color w:val="auto"/>
          <w:sz w:val="32"/>
          <w:szCs w:val="32"/>
          <w:highlight w:val="none"/>
        </w:rPr>
        <w:t>（2）区发展和改革局根据区级救灾物资储备规划、品种目录和标准、年度购置计划，负责区级救灾物资收储、轮换和日常管理，根据区应急管理局动用指令按程序组织调拨。</w:t>
      </w:r>
      <w:bookmarkEnd w:id="168"/>
      <w:bookmarkEnd w:id="169"/>
      <w:bookmarkEnd w:id="170"/>
      <w:bookmarkEnd w:id="171"/>
    </w:p>
    <w:p>
      <w:pPr>
        <w:pStyle w:val="2"/>
        <w:keepNext w:val="0"/>
        <w:keepLines w:val="0"/>
        <w:pageBreakBefore w:val="0"/>
        <w:widowControl w:val="0"/>
        <w:kinsoku/>
        <w:wordWrap/>
        <w:overflowPunct/>
        <w:topLinePunct w:val="0"/>
        <w:autoSpaceDE/>
        <w:autoSpaceDN/>
        <w:bidi w:val="0"/>
        <w:adjustRightInd w:val="0"/>
        <w:snapToGrid w:val="0"/>
        <w:spacing w:beforeLines="0" w:line="560" w:lineRule="exact"/>
        <w:ind w:firstLine="675" w:firstLineChars="210"/>
        <w:textAlignment w:val="auto"/>
        <w:outlineLvl w:val="2"/>
        <w:rPr>
          <w:rFonts w:hint="eastAsia" w:ascii="仿宋" w:hAnsi="仿宋" w:eastAsia="仿宋"/>
          <w:b/>
          <w:bCs w:val="0"/>
          <w:color w:val="auto"/>
          <w:sz w:val="32"/>
          <w:szCs w:val="32"/>
          <w:highlight w:val="none"/>
        </w:rPr>
      </w:pPr>
      <w:bookmarkStart w:id="172" w:name="_Toc15378446"/>
      <w:bookmarkStart w:id="173" w:name="_Toc15377199"/>
      <w:bookmarkStart w:id="174" w:name="_Toc19870"/>
      <w:r>
        <w:rPr>
          <w:rFonts w:hint="eastAsia" w:ascii="仿宋" w:hAnsi="仿宋" w:eastAsia="仿宋"/>
          <w:b/>
          <w:bCs w:val="0"/>
          <w:color w:val="auto"/>
          <w:sz w:val="32"/>
          <w:szCs w:val="32"/>
          <w:highlight w:val="none"/>
        </w:rPr>
        <w:t>（二）</w:t>
      </w:r>
      <w:r>
        <w:rPr>
          <w:rFonts w:ascii="仿宋" w:hAnsi="仿宋" w:eastAsia="仿宋"/>
          <w:b/>
          <w:bCs w:val="0"/>
          <w:color w:val="auto"/>
          <w:sz w:val="32"/>
          <w:szCs w:val="32"/>
          <w:highlight w:val="none"/>
        </w:rPr>
        <w:t>20</w:t>
      </w:r>
      <w:r>
        <w:rPr>
          <w:rFonts w:hint="eastAsia" w:ascii="仿宋" w:hAnsi="仿宋" w:eastAsia="仿宋"/>
          <w:b/>
          <w:bCs w:val="0"/>
          <w:color w:val="auto"/>
          <w:sz w:val="32"/>
          <w:szCs w:val="32"/>
          <w:highlight w:val="none"/>
          <w:lang w:val="en-US" w:eastAsia="zh-CN"/>
        </w:rPr>
        <w:t>22</w:t>
      </w:r>
      <w:r>
        <w:rPr>
          <w:rFonts w:hint="eastAsia" w:ascii="仿宋" w:hAnsi="仿宋" w:eastAsia="仿宋"/>
          <w:b/>
          <w:bCs w:val="0"/>
          <w:color w:val="auto"/>
          <w:sz w:val="32"/>
          <w:szCs w:val="32"/>
          <w:highlight w:val="none"/>
        </w:rPr>
        <w:t>年重点工作完成情况</w:t>
      </w:r>
      <w:bookmarkEnd w:id="172"/>
      <w:bookmarkEnd w:id="173"/>
      <w:bookmarkEnd w:id="174"/>
    </w:p>
    <w:p>
      <w:pPr>
        <w:pStyle w:val="2"/>
        <w:keepNext w:val="0"/>
        <w:keepLines w:val="0"/>
        <w:pageBreakBefore w:val="0"/>
        <w:widowControl w:val="0"/>
        <w:kinsoku/>
        <w:wordWrap/>
        <w:overflowPunct/>
        <w:topLinePunct w:val="0"/>
        <w:autoSpaceDE/>
        <w:autoSpaceDN/>
        <w:bidi w:val="0"/>
        <w:adjustRightInd w:val="0"/>
        <w:snapToGrid w:val="0"/>
        <w:spacing w:beforeLines="0" w:line="560" w:lineRule="exact"/>
        <w:ind w:firstLine="672" w:firstLineChars="210"/>
        <w:textAlignment w:val="auto"/>
        <w:outlineLvl w:val="2"/>
        <w:rPr>
          <w:rFonts w:hint="eastAsia" w:ascii="仿宋" w:hAnsi="仿宋" w:eastAsia="仿宋" w:cs="Times New Roman"/>
          <w:bCs/>
          <w:color w:val="auto"/>
          <w:sz w:val="32"/>
          <w:szCs w:val="32"/>
          <w:highlight w:val="none"/>
        </w:rPr>
      </w:pPr>
      <w:bookmarkStart w:id="175" w:name="_Toc2069"/>
      <w:bookmarkStart w:id="176" w:name="_Toc22963"/>
      <w:bookmarkStart w:id="177" w:name="_Toc31820"/>
      <w:bookmarkStart w:id="178" w:name="_Toc29861"/>
      <w:r>
        <w:rPr>
          <w:rFonts w:hint="eastAsia" w:ascii="仿宋" w:hAnsi="仿宋" w:eastAsia="仿宋" w:cs="Times New Roman"/>
          <w:bCs/>
          <w:color w:val="auto"/>
          <w:sz w:val="32"/>
          <w:szCs w:val="32"/>
          <w:highlight w:val="none"/>
        </w:rPr>
        <w:t>2022年以来，巴州区应急管理局坚持以习近平新时代中国特色社会主义思想为指导，深入学习贯彻党的二十大</w:t>
      </w:r>
      <w:r>
        <w:rPr>
          <w:rFonts w:hint="eastAsia" w:ascii="仿宋" w:hAnsi="仿宋" w:eastAsia="仿宋" w:cs="Times New Roman"/>
          <w:bCs/>
          <w:color w:val="auto"/>
          <w:sz w:val="32"/>
          <w:szCs w:val="32"/>
          <w:highlight w:val="none"/>
          <w:lang w:eastAsia="zh-CN"/>
        </w:rPr>
        <w:t>精神</w:t>
      </w:r>
      <w:r>
        <w:rPr>
          <w:rFonts w:hint="eastAsia" w:ascii="仿宋" w:hAnsi="仿宋" w:eastAsia="仿宋" w:cs="Times New Roman"/>
          <w:bCs/>
          <w:color w:val="auto"/>
          <w:sz w:val="32"/>
          <w:szCs w:val="32"/>
          <w:highlight w:val="none"/>
        </w:rPr>
        <w:t>，以及省委十一届十一次全会、省第十二次党代会、市委五届四次全会、区委六届四次全会精神，不断增强“四个意识”、坚定“四个自信”、做到“两个维护”，紧紧围绕区委、区政府重点工作安排，牢守安全生产基本盘、严格规范执法行为、建立健全应急管理体系、提升应急救援能力，有力有效完成了各项工作任务，为推动巴州区经济社会高质量发展提供了坚实的安全保障。</w:t>
      </w:r>
      <w:bookmarkEnd w:id="175"/>
      <w:bookmarkEnd w:id="176"/>
      <w:bookmarkEnd w:id="177"/>
      <w:bookmarkEnd w:id="178"/>
    </w:p>
    <w:p>
      <w:pPr>
        <w:pStyle w:val="2"/>
        <w:pageBreakBefore w:val="0"/>
        <w:wordWrap/>
        <w:overflowPunct/>
        <w:topLinePunct w:val="0"/>
        <w:bidi w:val="0"/>
        <w:adjustRightInd w:val="0"/>
        <w:snapToGrid w:val="0"/>
        <w:spacing w:before="93" w:line="560" w:lineRule="exact"/>
        <w:ind w:firstLine="672" w:firstLineChars="210"/>
        <w:outlineLvl w:val="2"/>
        <w:rPr>
          <w:rFonts w:hint="eastAsia" w:ascii="仿宋" w:hAnsi="仿宋" w:eastAsia="仿宋" w:cs="Times New Roman"/>
          <w:bCs/>
          <w:color w:val="auto"/>
          <w:sz w:val="32"/>
          <w:szCs w:val="32"/>
          <w:highlight w:val="none"/>
        </w:rPr>
      </w:pPr>
      <w:bookmarkStart w:id="179" w:name="_Toc12955"/>
      <w:bookmarkStart w:id="180" w:name="_Toc10688"/>
      <w:bookmarkStart w:id="181" w:name="_Toc28738"/>
      <w:bookmarkStart w:id="182" w:name="_Toc22346"/>
      <w:r>
        <w:rPr>
          <w:rFonts w:hint="eastAsia" w:ascii="仿宋" w:hAnsi="仿宋" w:eastAsia="仿宋" w:cs="Times New Roman"/>
          <w:bCs/>
          <w:color w:val="auto"/>
          <w:sz w:val="32"/>
          <w:szCs w:val="32"/>
          <w:highlight w:val="none"/>
          <w:lang w:val="en-US" w:eastAsia="zh-CN"/>
        </w:rPr>
        <w:t>一是</w:t>
      </w:r>
      <w:r>
        <w:rPr>
          <w:rFonts w:hint="eastAsia" w:ascii="仿宋" w:hAnsi="仿宋" w:eastAsia="仿宋" w:cs="Times New Roman"/>
          <w:bCs/>
          <w:color w:val="auto"/>
          <w:sz w:val="32"/>
          <w:szCs w:val="32"/>
          <w:highlight w:val="none"/>
        </w:rPr>
        <w:t>党建铸魂，加强队伍思想政治建设</w:t>
      </w:r>
      <w:bookmarkEnd w:id="179"/>
      <w:bookmarkEnd w:id="180"/>
      <w:bookmarkEnd w:id="181"/>
      <w:bookmarkEnd w:id="182"/>
      <w:r>
        <w:rPr>
          <w:rFonts w:hint="eastAsia" w:ascii="仿宋" w:hAnsi="仿宋" w:eastAsia="仿宋" w:cs="Times New Roman"/>
          <w:bCs/>
          <w:color w:val="auto"/>
          <w:sz w:val="32"/>
          <w:szCs w:val="32"/>
          <w:highlight w:val="none"/>
          <w:lang w:eastAsia="zh-CN"/>
        </w:rPr>
        <w:t>。</w:t>
      </w:r>
      <w:bookmarkStart w:id="183" w:name="_Toc7849"/>
      <w:bookmarkStart w:id="184" w:name="_Toc8648"/>
      <w:bookmarkStart w:id="185" w:name="_Toc13826"/>
      <w:bookmarkStart w:id="186" w:name="_Toc31241"/>
      <w:r>
        <w:rPr>
          <w:rFonts w:hint="eastAsia" w:ascii="仿宋" w:hAnsi="仿宋" w:eastAsia="仿宋" w:cs="Times New Roman"/>
          <w:bCs/>
          <w:color w:val="auto"/>
          <w:sz w:val="32"/>
          <w:szCs w:val="32"/>
          <w:highlight w:val="none"/>
        </w:rPr>
        <w:t>全面落实党建主体和意识形态责任，认真贯彻落实党中央和省、市、区委关于意识形态工作的决策部署和指示精神，持续深入学习贯彻党</w:t>
      </w:r>
      <w:r>
        <w:rPr>
          <w:rFonts w:hint="eastAsia" w:ascii="仿宋" w:hAnsi="仿宋" w:eastAsia="仿宋" w:cs="Times New Roman"/>
          <w:bCs/>
          <w:color w:val="auto"/>
          <w:sz w:val="32"/>
          <w:szCs w:val="32"/>
          <w:highlight w:val="none"/>
          <w:lang w:eastAsia="zh-CN"/>
        </w:rPr>
        <w:t>的</w:t>
      </w:r>
      <w:r>
        <w:rPr>
          <w:rFonts w:hint="eastAsia" w:ascii="仿宋" w:hAnsi="仿宋" w:eastAsia="仿宋" w:cs="Times New Roman"/>
          <w:bCs/>
          <w:color w:val="auto"/>
          <w:sz w:val="32"/>
          <w:szCs w:val="32"/>
          <w:highlight w:val="none"/>
        </w:rPr>
        <w:t>二十大精神，组织专题学习3次，宣讲活动5次；积极搭建“党建+应急管理”主题党日学习活动，严格落实“三会一课”等党内生活制度，一年来，中心组共组织集体学习8次；党委（扩大）会议理论学习16次；党员学习会议15次；职工会议学习20次；全面落实党风廉政建设主体责任，深入贯彻落实中央八项规定精神、省市区各项规定，组织开展警示教育活动4次，开展集中谈心谈话5次，对“搭车旅游”等问题专项排查整治，着力构建不想腐、不能腐、不敢腐的制度机制，坚决纠正不作为、慢作为、乱作为等行为。</w:t>
      </w:r>
      <w:bookmarkEnd w:id="183"/>
      <w:bookmarkEnd w:id="184"/>
      <w:bookmarkEnd w:id="185"/>
      <w:bookmarkEnd w:id="186"/>
    </w:p>
    <w:p>
      <w:pPr>
        <w:pStyle w:val="2"/>
        <w:pageBreakBefore w:val="0"/>
        <w:wordWrap/>
        <w:overflowPunct/>
        <w:topLinePunct w:val="0"/>
        <w:bidi w:val="0"/>
        <w:adjustRightInd w:val="0"/>
        <w:snapToGrid w:val="0"/>
        <w:spacing w:before="93" w:line="560" w:lineRule="exact"/>
        <w:ind w:firstLine="672" w:firstLineChars="210"/>
        <w:outlineLvl w:val="2"/>
        <w:rPr>
          <w:rFonts w:hint="eastAsia" w:ascii="仿宋" w:hAnsi="仿宋" w:eastAsia="仿宋" w:cs="Times New Roman"/>
          <w:bCs/>
          <w:color w:val="auto"/>
          <w:sz w:val="32"/>
          <w:szCs w:val="32"/>
          <w:highlight w:val="none"/>
        </w:rPr>
      </w:pPr>
      <w:bookmarkStart w:id="187" w:name="_Toc21124"/>
      <w:bookmarkStart w:id="188" w:name="_Toc29543"/>
      <w:bookmarkStart w:id="189" w:name="_Toc3857"/>
      <w:bookmarkStart w:id="190" w:name="_Toc3302"/>
      <w:r>
        <w:rPr>
          <w:rFonts w:hint="eastAsia" w:ascii="仿宋" w:hAnsi="仿宋" w:eastAsia="仿宋" w:cs="Times New Roman"/>
          <w:bCs/>
          <w:color w:val="auto"/>
          <w:sz w:val="32"/>
          <w:szCs w:val="32"/>
          <w:highlight w:val="none"/>
          <w:lang w:val="en-US" w:eastAsia="zh-CN"/>
        </w:rPr>
        <w:t>二</w:t>
      </w:r>
      <w:r>
        <w:rPr>
          <w:rFonts w:hint="eastAsia" w:ascii="仿宋" w:hAnsi="仿宋" w:eastAsia="仿宋" w:cs="Times New Roman"/>
          <w:bCs/>
          <w:color w:val="auto"/>
          <w:sz w:val="32"/>
          <w:szCs w:val="32"/>
          <w:highlight w:val="none"/>
          <w:lang w:eastAsia="zh-CN"/>
        </w:rPr>
        <w:t>是</w:t>
      </w:r>
      <w:r>
        <w:rPr>
          <w:rFonts w:hint="eastAsia" w:ascii="仿宋" w:hAnsi="仿宋" w:eastAsia="仿宋" w:cs="Times New Roman"/>
          <w:bCs/>
          <w:color w:val="auto"/>
          <w:sz w:val="32"/>
          <w:szCs w:val="32"/>
          <w:highlight w:val="none"/>
        </w:rPr>
        <w:t>责任当先，全面抓实安全生产工作</w:t>
      </w:r>
      <w:bookmarkEnd w:id="187"/>
      <w:bookmarkEnd w:id="188"/>
      <w:bookmarkEnd w:id="189"/>
      <w:bookmarkEnd w:id="190"/>
      <w:bookmarkStart w:id="191" w:name="_Toc6460"/>
      <w:bookmarkStart w:id="192" w:name="_Toc15270"/>
      <w:bookmarkStart w:id="193" w:name="_Toc20087"/>
      <w:bookmarkStart w:id="194" w:name="_Toc7798"/>
      <w:r>
        <w:rPr>
          <w:rFonts w:hint="eastAsia" w:ascii="仿宋" w:hAnsi="仿宋" w:eastAsia="仿宋" w:cs="Times New Roman"/>
          <w:bCs/>
          <w:color w:val="auto"/>
          <w:sz w:val="32"/>
          <w:szCs w:val="32"/>
          <w:highlight w:val="none"/>
          <w:lang w:eastAsia="zh-CN"/>
        </w:rPr>
        <w:t>。</w:t>
      </w:r>
      <w:r>
        <w:rPr>
          <w:rFonts w:hint="eastAsia" w:ascii="仿宋" w:hAnsi="仿宋" w:eastAsia="仿宋" w:cs="Times New Roman"/>
          <w:bCs/>
          <w:color w:val="auto"/>
          <w:sz w:val="32"/>
          <w:szCs w:val="32"/>
          <w:highlight w:val="none"/>
        </w:rPr>
        <w:t>深入学习贯彻落实国务院安全生产15条硬措施，制定了我区的具体实施方案，确定了24项重点工作，按进度有序推进；牵头开展安全生产大检查，今年来，围绕危化、道路、工贸、建筑等23个重点行业领域，共排查企业1278家，发现安全隐患1978处，整改1523处，限期整改55处，立案查处36件；紧盯党的二十大、省党代会、节假日等特殊时段，组织各地各部门有序开展专项检查和隐患整改，为维护全区社会大局稳定提供了有力的组织保障；坚持问题导向，今年来，我区迎接省级督察检查3次，检查部门、企业14家，发现问题隐患共计40项，以全面整改完成。迎接市安办安全生产专项督查8次，发现问题隐患83条，目前整改82项，余1项限期整改中，整改完成率98.8%。</w:t>
      </w:r>
      <w:bookmarkEnd w:id="191"/>
      <w:bookmarkEnd w:id="192"/>
      <w:bookmarkEnd w:id="193"/>
      <w:bookmarkEnd w:id="194"/>
    </w:p>
    <w:p>
      <w:pPr>
        <w:pStyle w:val="2"/>
        <w:pageBreakBefore w:val="0"/>
        <w:wordWrap/>
        <w:overflowPunct/>
        <w:topLinePunct w:val="0"/>
        <w:bidi w:val="0"/>
        <w:adjustRightInd w:val="0"/>
        <w:snapToGrid w:val="0"/>
        <w:spacing w:before="93" w:line="560" w:lineRule="exact"/>
        <w:ind w:firstLine="672" w:firstLineChars="210"/>
        <w:outlineLvl w:val="2"/>
        <w:rPr>
          <w:rFonts w:hint="eastAsia" w:ascii="仿宋" w:hAnsi="仿宋" w:eastAsia="仿宋" w:cs="Times New Roman"/>
          <w:bCs/>
          <w:color w:val="auto"/>
          <w:sz w:val="32"/>
          <w:szCs w:val="32"/>
          <w:highlight w:val="none"/>
        </w:rPr>
      </w:pPr>
      <w:bookmarkStart w:id="195" w:name="_Toc32573"/>
      <w:bookmarkStart w:id="196" w:name="_Toc15088"/>
      <w:bookmarkStart w:id="197" w:name="_Toc1533"/>
      <w:bookmarkStart w:id="198" w:name="_Toc6399"/>
      <w:r>
        <w:rPr>
          <w:rFonts w:hint="eastAsia" w:ascii="仿宋" w:hAnsi="仿宋" w:eastAsia="仿宋" w:cs="Times New Roman"/>
          <w:bCs/>
          <w:color w:val="auto"/>
          <w:sz w:val="32"/>
          <w:szCs w:val="32"/>
          <w:highlight w:val="none"/>
          <w:lang w:val="en-US" w:eastAsia="zh-CN"/>
        </w:rPr>
        <w:t>三</w:t>
      </w:r>
      <w:r>
        <w:rPr>
          <w:rFonts w:hint="eastAsia" w:ascii="仿宋" w:hAnsi="仿宋" w:eastAsia="仿宋" w:cs="Times New Roman"/>
          <w:bCs/>
          <w:color w:val="auto"/>
          <w:sz w:val="32"/>
          <w:szCs w:val="32"/>
          <w:highlight w:val="none"/>
          <w:lang w:eastAsia="zh-CN"/>
        </w:rPr>
        <w:t>是</w:t>
      </w:r>
      <w:r>
        <w:rPr>
          <w:rFonts w:hint="eastAsia" w:ascii="仿宋" w:hAnsi="仿宋" w:eastAsia="仿宋" w:cs="Times New Roman"/>
          <w:bCs/>
          <w:color w:val="auto"/>
          <w:sz w:val="32"/>
          <w:szCs w:val="32"/>
          <w:highlight w:val="none"/>
        </w:rPr>
        <w:t>科学施策，提升应急救援能力水平</w:t>
      </w:r>
      <w:bookmarkEnd w:id="195"/>
      <w:bookmarkEnd w:id="196"/>
      <w:bookmarkEnd w:id="197"/>
      <w:bookmarkEnd w:id="198"/>
      <w:bookmarkStart w:id="199" w:name="_Toc4075"/>
      <w:bookmarkStart w:id="200" w:name="_Toc29348"/>
      <w:bookmarkStart w:id="201" w:name="_Toc15863"/>
      <w:bookmarkStart w:id="202" w:name="_Toc12970"/>
      <w:r>
        <w:rPr>
          <w:rFonts w:hint="eastAsia" w:ascii="仿宋" w:hAnsi="仿宋" w:eastAsia="仿宋" w:cs="Times New Roman"/>
          <w:bCs/>
          <w:color w:val="auto"/>
          <w:sz w:val="32"/>
          <w:szCs w:val="32"/>
          <w:highlight w:val="none"/>
          <w:lang w:eastAsia="zh-CN"/>
        </w:rPr>
        <w:t>。</w:t>
      </w:r>
      <w:r>
        <w:rPr>
          <w:rFonts w:hint="eastAsia" w:ascii="仿宋" w:hAnsi="仿宋" w:eastAsia="仿宋" w:cs="Times New Roman"/>
          <w:bCs/>
          <w:color w:val="auto"/>
          <w:sz w:val="32"/>
          <w:szCs w:val="32"/>
          <w:highlight w:val="none"/>
        </w:rPr>
        <w:t>修订完善全区总体应急预案1个，完成区级专项预案34个，全区预案体系基本完善；按照“练为战”的原则，今年来，组织指导各单位开展应急演练130余次；持续推进基层应急救援队伍“四队同建”，开展对22个乡镇救助中队、296个村（社区）应急救援站评估验收工作，全区城区初步实现15分钟应急救援圈，原片区中心镇30分钟应急救援圈基本形成；与仪陇、南江、平昌等周边地区签订区域框架合作协议，区域协调联动机制逐渐完善；在化成镇探索建立“一图三网”基层应急管理工作机制，为基层应急救援能力提升开拓新思路。完成天马山森林康养发展片区等2个片区的应急体系专项规划，曾口三产融合发展片区等3个片区应急体系专项规划已完成编制送审，切实提高片区应急能力。</w:t>
      </w:r>
      <w:bookmarkEnd w:id="199"/>
      <w:bookmarkEnd w:id="200"/>
      <w:bookmarkEnd w:id="201"/>
      <w:bookmarkEnd w:id="202"/>
    </w:p>
    <w:p>
      <w:pPr>
        <w:pStyle w:val="2"/>
        <w:pageBreakBefore w:val="0"/>
        <w:wordWrap/>
        <w:overflowPunct/>
        <w:topLinePunct w:val="0"/>
        <w:bidi w:val="0"/>
        <w:adjustRightInd w:val="0"/>
        <w:snapToGrid w:val="0"/>
        <w:spacing w:before="93" w:line="560" w:lineRule="exact"/>
        <w:ind w:firstLine="672" w:firstLineChars="210"/>
        <w:outlineLvl w:val="2"/>
        <w:rPr>
          <w:rFonts w:hint="eastAsia" w:ascii="仿宋" w:hAnsi="仿宋" w:eastAsia="仿宋" w:cs="Times New Roman"/>
          <w:bCs/>
          <w:color w:val="auto"/>
          <w:sz w:val="32"/>
          <w:szCs w:val="32"/>
          <w:highlight w:val="none"/>
        </w:rPr>
      </w:pPr>
      <w:bookmarkStart w:id="203" w:name="_Toc576"/>
      <w:bookmarkStart w:id="204" w:name="_Toc7356"/>
      <w:bookmarkStart w:id="205" w:name="_Toc4180"/>
      <w:bookmarkStart w:id="206" w:name="_Toc17673"/>
      <w:r>
        <w:rPr>
          <w:rFonts w:hint="eastAsia" w:ascii="仿宋" w:hAnsi="仿宋" w:eastAsia="仿宋" w:cs="Times New Roman"/>
          <w:bCs/>
          <w:color w:val="auto"/>
          <w:sz w:val="32"/>
          <w:szCs w:val="32"/>
          <w:highlight w:val="none"/>
          <w:lang w:val="en-US" w:eastAsia="zh-CN"/>
        </w:rPr>
        <w:t>四</w:t>
      </w:r>
      <w:r>
        <w:rPr>
          <w:rFonts w:hint="eastAsia" w:ascii="仿宋" w:hAnsi="仿宋" w:eastAsia="仿宋" w:cs="Times New Roman"/>
          <w:bCs/>
          <w:color w:val="auto"/>
          <w:sz w:val="32"/>
          <w:szCs w:val="32"/>
          <w:highlight w:val="none"/>
          <w:lang w:eastAsia="zh-CN"/>
        </w:rPr>
        <w:t>是</w:t>
      </w:r>
      <w:r>
        <w:rPr>
          <w:rFonts w:hint="eastAsia" w:ascii="仿宋" w:hAnsi="仿宋" w:eastAsia="仿宋" w:cs="Times New Roman"/>
          <w:bCs/>
          <w:color w:val="auto"/>
          <w:sz w:val="32"/>
          <w:szCs w:val="32"/>
          <w:highlight w:val="none"/>
        </w:rPr>
        <w:t>以人为本，提高防灾减灾应对效能</w:t>
      </w:r>
      <w:bookmarkEnd w:id="203"/>
      <w:bookmarkEnd w:id="204"/>
      <w:bookmarkEnd w:id="205"/>
      <w:bookmarkEnd w:id="206"/>
      <w:bookmarkStart w:id="207" w:name="_Toc14547"/>
      <w:bookmarkStart w:id="208" w:name="_Toc5382"/>
      <w:bookmarkStart w:id="209" w:name="_Toc10383"/>
      <w:bookmarkStart w:id="210" w:name="_Toc15929"/>
      <w:r>
        <w:rPr>
          <w:rFonts w:hint="eastAsia" w:ascii="仿宋" w:hAnsi="仿宋" w:eastAsia="仿宋" w:cs="Times New Roman"/>
          <w:bCs/>
          <w:color w:val="auto"/>
          <w:sz w:val="32"/>
          <w:szCs w:val="32"/>
          <w:highlight w:val="none"/>
          <w:lang w:eastAsia="zh-CN"/>
        </w:rPr>
        <w:t>。</w:t>
      </w:r>
      <w:r>
        <w:rPr>
          <w:rFonts w:hint="eastAsia" w:ascii="仿宋" w:hAnsi="仿宋" w:eastAsia="仿宋" w:cs="Times New Roman"/>
          <w:bCs/>
          <w:color w:val="auto"/>
          <w:sz w:val="32"/>
          <w:szCs w:val="32"/>
          <w:highlight w:val="none"/>
        </w:rPr>
        <w:t>积极开展省级安全社区创建工作，完成省级安全社区申报1个，完成省级安全社区复评1个，组织开展全国减灾示范社区创建工作，实地指导创建工作4次；全面完成巴州区第一次全国自然灾害综合风险普查，修改、核查数据700余条；召开全区队伍建设推进会，更新全区救援队伍人员组成、核心装备、专家队伍信息1530条，添置各类救援装备3200余件；完成全区冬春生活救助资金发放工作，共救助人口26352人，并对资金使用进行督查；规范灾情管理，督促各乡镇更新灾害信息员，开展灾情报送业务培训2次；坚持三级带班、24小时应急值班制度，提前预警，高效救援，今年来，转发预警信息15余条，专人深入22个乡镇，核实灾险情500余处，成功应对8次自然灾害，无人员伤亡，最大限度降低灾害损失。</w:t>
      </w:r>
      <w:bookmarkEnd w:id="207"/>
      <w:bookmarkEnd w:id="208"/>
      <w:bookmarkEnd w:id="209"/>
      <w:bookmarkEnd w:id="210"/>
    </w:p>
    <w:p>
      <w:pPr>
        <w:pStyle w:val="2"/>
        <w:pageBreakBefore w:val="0"/>
        <w:wordWrap/>
        <w:overflowPunct/>
        <w:topLinePunct w:val="0"/>
        <w:bidi w:val="0"/>
        <w:adjustRightInd w:val="0"/>
        <w:snapToGrid w:val="0"/>
        <w:spacing w:before="93" w:line="560" w:lineRule="exact"/>
        <w:ind w:firstLine="672" w:firstLineChars="210"/>
        <w:outlineLvl w:val="2"/>
        <w:rPr>
          <w:rFonts w:hint="eastAsia" w:ascii="仿宋" w:hAnsi="仿宋" w:eastAsia="仿宋" w:cs="Times New Roman"/>
          <w:bCs/>
          <w:color w:val="auto"/>
          <w:sz w:val="32"/>
          <w:szCs w:val="32"/>
          <w:highlight w:val="none"/>
        </w:rPr>
      </w:pPr>
      <w:bookmarkStart w:id="211" w:name="_Toc15441"/>
      <w:bookmarkStart w:id="212" w:name="_Toc18915"/>
      <w:bookmarkStart w:id="213" w:name="_Toc30550"/>
      <w:bookmarkStart w:id="214" w:name="_Toc5744"/>
      <w:r>
        <w:rPr>
          <w:rFonts w:hint="eastAsia" w:ascii="仿宋" w:hAnsi="仿宋" w:eastAsia="仿宋" w:cs="Times New Roman"/>
          <w:bCs/>
          <w:color w:val="auto"/>
          <w:sz w:val="32"/>
          <w:szCs w:val="32"/>
          <w:highlight w:val="none"/>
          <w:lang w:val="en-US" w:eastAsia="zh-CN"/>
        </w:rPr>
        <w:t>五</w:t>
      </w:r>
      <w:r>
        <w:rPr>
          <w:rFonts w:hint="eastAsia" w:ascii="仿宋" w:hAnsi="仿宋" w:eastAsia="仿宋" w:cs="Times New Roman"/>
          <w:bCs/>
          <w:color w:val="auto"/>
          <w:sz w:val="32"/>
          <w:szCs w:val="32"/>
          <w:highlight w:val="none"/>
          <w:lang w:eastAsia="zh-CN"/>
        </w:rPr>
        <w:t>是</w:t>
      </w:r>
      <w:r>
        <w:rPr>
          <w:rFonts w:hint="eastAsia" w:ascii="仿宋" w:hAnsi="仿宋" w:eastAsia="仿宋" w:cs="Times New Roman"/>
          <w:bCs/>
          <w:color w:val="auto"/>
          <w:sz w:val="32"/>
          <w:szCs w:val="32"/>
          <w:highlight w:val="none"/>
        </w:rPr>
        <w:t>先试先行，推进法治化执法体系建设</w:t>
      </w:r>
      <w:bookmarkEnd w:id="211"/>
      <w:bookmarkEnd w:id="212"/>
      <w:bookmarkEnd w:id="213"/>
      <w:bookmarkEnd w:id="214"/>
      <w:bookmarkStart w:id="215" w:name="_Toc3173"/>
      <w:bookmarkStart w:id="216" w:name="_Toc3530"/>
      <w:bookmarkStart w:id="217" w:name="_Toc13386"/>
      <w:bookmarkStart w:id="218" w:name="_Toc1125"/>
      <w:r>
        <w:rPr>
          <w:rFonts w:hint="eastAsia" w:ascii="仿宋" w:hAnsi="仿宋" w:eastAsia="仿宋" w:cs="Times New Roman"/>
          <w:bCs/>
          <w:color w:val="auto"/>
          <w:sz w:val="32"/>
          <w:szCs w:val="32"/>
          <w:highlight w:val="none"/>
          <w:lang w:eastAsia="zh-CN"/>
        </w:rPr>
        <w:t>。</w:t>
      </w:r>
      <w:r>
        <w:rPr>
          <w:rFonts w:hint="eastAsia" w:ascii="仿宋" w:hAnsi="仿宋" w:eastAsia="仿宋" w:cs="Times New Roman"/>
          <w:bCs/>
          <w:color w:val="auto"/>
          <w:sz w:val="32"/>
          <w:szCs w:val="32"/>
          <w:highlight w:val="none"/>
        </w:rPr>
        <w:t>印发了《应急管理行政执法规范化建设实施方案》，探索出了“七化”建设模式，积极对接编制部门，区编委会已出台《关于深化巴州区应急管理综合行政执法改革的通知》，明确了“局队合一”的管理体制，初步完成由单一的安全生产监察执法向综合性应急管理行政执法的转变，相关工作经验在全市安全生产大检查推进会上交流发言；结合“护安2022”专项行动，派出执法人员118人次，检查企业29家，发现隐患31条，其中重大隐患1条，下达责令限期整改指令书9份，立案查处8起，处罚款28.5万元，有效震慑了非法违法行为。</w:t>
      </w:r>
      <w:bookmarkEnd w:id="215"/>
      <w:bookmarkEnd w:id="216"/>
      <w:bookmarkEnd w:id="217"/>
      <w:bookmarkEnd w:id="218"/>
    </w:p>
    <w:p>
      <w:pPr>
        <w:pStyle w:val="2"/>
        <w:pageBreakBefore w:val="0"/>
        <w:wordWrap/>
        <w:overflowPunct/>
        <w:topLinePunct w:val="0"/>
        <w:bidi w:val="0"/>
        <w:adjustRightInd w:val="0"/>
        <w:snapToGrid w:val="0"/>
        <w:spacing w:before="93" w:line="560" w:lineRule="exact"/>
        <w:ind w:firstLine="672" w:firstLineChars="210"/>
        <w:outlineLvl w:val="2"/>
        <w:rPr>
          <w:rFonts w:hint="eastAsia" w:ascii="仿宋" w:hAnsi="仿宋" w:eastAsia="仿宋" w:cs="Times New Roman"/>
          <w:bCs/>
          <w:color w:val="auto"/>
          <w:sz w:val="32"/>
          <w:szCs w:val="32"/>
          <w:highlight w:val="none"/>
        </w:rPr>
      </w:pPr>
      <w:bookmarkStart w:id="219" w:name="_Toc23537"/>
      <w:bookmarkStart w:id="220" w:name="_Toc10122"/>
      <w:bookmarkStart w:id="221" w:name="_Toc29318"/>
      <w:bookmarkStart w:id="222" w:name="_Toc20714"/>
      <w:r>
        <w:rPr>
          <w:rFonts w:hint="eastAsia" w:ascii="仿宋" w:hAnsi="仿宋" w:eastAsia="仿宋" w:cs="Times New Roman"/>
          <w:bCs/>
          <w:color w:val="auto"/>
          <w:sz w:val="32"/>
          <w:szCs w:val="32"/>
          <w:highlight w:val="none"/>
          <w:lang w:val="en-US" w:eastAsia="zh-CN"/>
        </w:rPr>
        <w:t>六</w:t>
      </w:r>
      <w:r>
        <w:rPr>
          <w:rFonts w:hint="eastAsia" w:ascii="仿宋" w:hAnsi="仿宋" w:eastAsia="仿宋" w:cs="Times New Roman"/>
          <w:bCs/>
          <w:color w:val="auto"/>
          <w:sz w:val="32"/>
          <w:szCs w:val="32"/>
          <w:highlight w:val="none"/>
          <w:lang w:eastAsia="zh-CN"/>
        </w:rPr>
        <w:t>是</w:t>
      </w:r>
      <w:r>
        <w:rPr>
          <w:rFonts w:hint="eastAsia" w:ascii="仿宋" w:hAnsi="仿宋" w:eastAsia="仿宋" w:cs="Times New Roman"/>
          <w:bCs/>
          <w:color w:val="auto"/>
          <w:sz w:val="32"/>
          <w:szCs w:val="32"/>
          <w:highlight w:val="none"/>
        </w:rPr>
        <w:t>多措并举，普及全民安全应急素养</w:t>
      </w:r>
      <w:bookmarkEnd w:id="219"/>
      <w:bookmarkEnd w:id="220"/>
      <w:bookmarkEnd w:id="221"/>
      <w:bookmarkEnd w:id="222"/>
      <w:bookmarkStart w:id="223" w:name="_Toc17846"/>
      <w:bookmarkStart w:id="224" w:name="_Toc32674"/>
      <w:bookmarkStart w:id="225" w:name="_Toc10846"/>
      <w:bookmarkStart w:id="226" w:name="_Toc31132"/>
      <w:r>
        <w:rPr>
          <w:rFonts w:hint="eastAsia" w:ascii="仿宋" w:hAnsi="仿宋" w:eastAsia="仿宋" w:cs="Times New Roman"/>
          <w:bCs/>
          <w:color w:val="auto"/>
          <w:sz w:val="32"/>
          <w:szCs w:val="32"/>
          <w:highlight w:val="none"/>
          <w:lang w:eastAsia="zh-CN"/>
        </w:rPr>
        <w:t>。</w:t>
      </w:r>
      <w:r>
        <w:rPr>
          <w:rFonts w:hint="eastAsia" w:ascii="仿宋" w:hAnsi="仿宋" w:eastAsia="仿宋" w:cs="Times New Roman"/>
          <w:bCs/>
          <w:color w:val="auto"/>
          <w:sz w:val="32"/>
          <w:szCs w:val="32"/>
          <w:highlight w:val="none"/>
        </w:rPr>
        <w:t>以安全宣传“五进”为抓手，以安全生产月、防灾减灾周等活动为载体，通过开展集中宣传、上门宣讲、知识竞赛、应急演练和公益短信等多种形式，大力宣传安全常识，营造关心安全生产、参与安全发展的浓厚舆论氛围，努力提升全社会整体安全水平。开展安全宣传进企业活动50余场次，义务安全宣传200余场，发放《遵守安全生产法，当好第一责任人》宣传海报2000余份，《安全生产法》9000余本，发送公益短信10万余条。</w:t>
      </w:r>
      <w:bookmarkEnd w:id="223"/>
      <w:bookmarkEnd w:id="224"/>
      <w:bookmarkEnd w:id="225"/>
      <w:bookmarkEnd w:id="226"/>
    </w:p>
    <w:p>
      <w:pPr>
        <w:pStyle w:val="4"/>
        <w:keepNext/>
        <w:keepLines/>
        <w:pageBreakBefore w:val="0"/>
        <w:widowControl w:val="0"/>
        <w:kinsoku/>
        <w:wordWrap/>
        <w:overflowPunct/>
        <w:topLinePunct w:val="0"/>
        <w:autoSpaceDE/>
        <w:autoSpaceDN/>
        <w:bidi w:val="0"/>
        <w:adjustRightInd/>
        <w:snapToGrid/>
        <w:spacing w:before="140" w:after="140" w:line="560" w:lineRule="exact"/>
        <w:textAlignment w:val="auto"/>
        <w:rPr>
          <w:rStyle w:val="28"/>
          <w:b w:val="0"/>
          <w:bCs w:val="0"/>
          <w:color w:val="auto"/>
          <w:highlight w:val="none"/>
        </w:rPr>
      </w:pPr>
      <w:bookmarkStart w:id="227" w:name="_Toc10365"/>
      <w:bookmarkStart w:id="228" w:name="_Toc15396601"/>
      <w:bookmarkStart w:id="229" w:name="_Toc15377200"/>
      <w:r>
        <w:rPr>
          <w:rFonts w:hint="eastAsia" w:ascii="黑体" w:eastAsia="黑体"/>
          <w:b w:val="0"/>
          <w:color w:val="auto"/>
          <w:highlight w:val="none"/>
        </w:rPr>
        <w:t>二、</w:t>
      </w:r>
      <w:r>
        <w:rPr>
          <w:rFonts w:hint="eastAsia" w:ascii="黑体" w:hAnsi="黑体" w:eastAsia="黑体"/>
          <w:b w:val="0"/>
          <w:color w:val="auto"/>
          <w:highlight w:val="none"/>
        </w:rPr>
        <w:t>机</w:t>
      </w:r>
      <w:r>
        <w:rPr>
          <w:rStyle w:val="28"/>
          <w:rFonts w:hint="eastAsia" w:ascii="黑体" w:hAnsi="黑体" w:eastAsia="黑体"/>
          <w:b w:val="0"/>
          <w:bCs w:val="0"/>
          <w:color w:val="auto"/>
          <w:highlight w:val="none"/>
        </w:rPr>
        <w:t>构设置</w:t>
      </w:r>
      <w:bookmarkEnd w:id="227"/>
      <w:bookmarkEnd w:id="228"/>
      <w:bookmarkEnd w:id="229"/>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56" w:firstLineChars="200"/>
        <w:jc w:val="left"/>
        <w:textAlignment w:val="baseline"/>
        <w:rPr>
          <w:rFonts w:hint="default" w:ascii="Times New Roman" w:hAnsi="Times New Roman" w:eastAsia="仿宋_GB2312" w:cs="Times New Roman"/>
          <w:spacing w:val="4"/>
          <w:sz w:val="32"/>
          <w:szCs w:val="32"/>
        </w:rPr>
      </w:pPr>
      <w:r>
        <w:rPr>
          <w:rFonts w:hint="default" w:ascii="Times New Roman" w:hAnsi="Times New Roman" w:eastAsia="仿宋_GB2312" w:cs="Times New Roman"/>
          <w:spacing w:val="4"/>
          <w:sz w:val="32"/>
          <w:szCs w:val="32"/>
          <w:lang w:val="en-US" w:eastAsia="zh-CN"/>
        </w:rPr>
        <w:t>巴中市巴州</w:t>
      </w:r>
      <w:r>
        <w:rPr>
          <w:rFonts w:hint="default" w:ascii="Times New Roman" w:hAnsi="Times New Roman" w:eastAsia="仿宋_GB2312" w:cs="Times New Roman"/>
          <w:spacing w:val="4"/>
          <w:sz w:val="32"/>
          <w:szCs w:val="32"/>
        </w:rPr>
        <w:t>区应急管理局</w:t>
      </w:r>
      <w:r>
        <w:rPr>
          <w:rFonts w:hint="default" w:ascii="Times New Roman" w:hAnsi="Times New Roman" w:eastAsia="仿宋_GB2312" w:cs="Times New Roman"/>
          <w:spacing w:val="4"/>
          <w:sz w:val="32"/>
          <w:szCs w:val="32"/>
          <w:lang w:val="en-US" w:eastAsia="zh-CN"/>
        </w:rPr>
        <w:t>属于行政单位，</w:t>
      </w:r>
      <w:r>
        <w:rPr>
          <w:rFonts w:hint="default" w:ascii="Times New Roman" w:hAnsi="Times New Roman" w:eastAsia="仿宋_GB2312" w:cs="Times New Roman"/>
          <w:spacing w:val="4"/>
          <w:sz w:val="32"/>
          <w:szCs w:val="32"/>
        </w:rPr>
        <w:t>下属二级预算单位3个，其中参照公务员法管理的事业单位1个，其他事业单位2个。</w:t>
      </w:r>
    </w:p>
    <w:p>
      <w:pPr>
        <w:pStyle w:val="2"/>
        <w:pageBreakBefore w:val="0"/>
        <w:wordWrap/>
        <w:overflowPunct/>
        <w:topLinePunct w:val="0"/>
        <w:bidi w:val="0"/>
        <w:adjustRightInd w:val="0"/>
        <w:snapToGrid w:val="0"/>
        <w:spacing w:before="93" w:line="560" w:lineRule="exact"/>
        <w:ind w:firstLine="672" w:firstLineChars="210"/>
        <w:rPr>
          <w:rFonts w:ascii="仿宋" w:hAnsi="仿宋" w:eastAsia="仿宋"/>
          <w:color w:val="auto"/>
          <w:sz w:val="32"/>
          <w:szCs w:val="32"/>
          <w:highlight w:val="none"/>
        </w:rPr>
      </w:pPr>
      <w:r>
        <w:rPr>
          <w:rFonts w:hint="eastAsia" w:ascii="仿宋" w:hAnsi="仿宋" w:eastAsia="仿宋"/>
          <w:color w:val="auto"/>
          <w:sz w:val="32"/>
          <w:szCs w:val="32"/>
          <w:highlight w:val="none"/>
        </w:rPr>
        <w:t>纳入</w:t>
      </w:r>
      <w:r>
        <w:rPr>
          <w:rFonts w:hint="default" w:ascii="Times New Roman" w:hAnsi="Times New Roman" w:eastAsia="仿宋_GB2312" w:cs="Times New Roman"/>
          <w:spacing w:val="4"/>
          <w:sz w:val="32"/>
          <w:szCs w:val="32"/>
          <w:lang w:val="en-US" w:eastAsia="zh-CN"/>
        </w:rPr>
        <w:t>巴中市巴州</w:t>
      </w:r>
      <w:r>
        <w:rPr>
          <w:rFonts w:hint="default" w:ascii="Times New Roman" w:hAnsi="Times New Roman" w:eastAsia="仿宋_GB2312" w:cs="Times New Roman"/>
          <w:spacing w:val="4"/>
          <w:sz w:val="32"/>
          <w:szCs w:val="32"/>
        </w:rPr>
        <w:t>区应急管理局</w:t>
      </w:r>
      <w:r>
        <w:rPr>
          <w:rFonts w:hint="eastAsia"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年度部门决算编制范围的二级预算单位包括：</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560" w:lineRule="exact"/>
        <w:ind w:firstLine="656" w:firstLineChars="200"/>
        <w:jc w:val="left"/>
        <w:textAlignment w:val="baseline"/>
        <w:rPr>
          <w:rFonts w:hint="default" w:ascii="Times New Roman" w:hAnsi="Times New Roman" w:eastAsia="仿宋_GB2312" w:cs="Times New Roman"/>
          <w:spacing w:val="4"/>
          <w:sz w:val="32"/>
          <w:szCs w:val="32"/>
        </w:rPr>
      </w:pPr>
      <w:r>
        <w:rPr>
          <w:rFonts w:hint="eastAsia" w:ascii="Times New Roman" w:hAnsi="Times New Roman" w:eastAsia="仿宋_GB2312" w:cs="Times New Roman"/>
          <w:spacing w:val="4"/>
          <w:sz w:val="32"/>
          <w:szCs w:val="32"/>
          <w:lang w:val="en-US" w:eastAsia="zh-CN"/>
        </w:rPr>
        <w:t>1.</w:t>
      </w:r>
      <w:r>
        <w:rPr>
          <w:rFonts w:hint="default" w:ascii="Times New Roman" w:hAnsi="Times New Roman" w:eastAsia="仿宋_GB2312" w:cs="Times New Roman"/>
          <w:spacing w:val="4"/>
          <w:sz w:val="32"/>
          <w:szCs w:val="32"/>
        </w:rPr>
        <w:t>巴中市巴州区安全生产执法监察大队</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560" w:lineRule="exact"/>
        <w:ind w:firstLine="656" w:firstLineChars="200"/>
        <w:jc w:val="left"/>
        <w:textAlignment w:val="baseline"/>
        <w:rPr>
          <w:rFonts w:hint="default" w:ascii="Times New Roman" w:hAnsi="Times New Roman" w:eastAsia="仿宋_GB2312" w:cs="Times New Roman"/>
          <w:spacing w:val="4"/>
          <w:sz w:val="32"/>
          <w:szCs w:val="32"/>
        </w:rPr>
      </w:pPr>
      <w:r>
        <w:rPr>
          <w:rFonts w:hint="eastAsia" w:ascii="Times New Roman" w:hAnsi="Times New Roman" w:eastAsia="仿宋_GB2312" w:cs="Times New Roman"/>
          <w:spacing w:val="4"/>
          <w:sz w:val="32"/>
          <w:szCs w:val="32"/>
          <w:lang w:val="en-US" w:eastAsia="zh-CN"/>
        </w:rPr>
        <w:t>2.</w:t>
      </w:r>
      <w:r>
        <w:rPr>
          <w:rFonts w:hint="default" w:ascii="Times New Roman" w:hAnsi="Times New Roman" w:eastAsia="仿宋_GB2312" w:cs="Times New Roman"/>
          <w:spacing w:val="4"/>
          <w:sz w:val="32"/>
          <w:szCs w:val="32"/>
        </w:rPr>
        <w:t>巴中市巴州区安全生产应急指挥保障中心</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560" w:lineRule="exact"/>
        <w:ind w:firstLine="656" w:firstLineChars="200"/>
        <w:jc w:val="left"/>
        <w:textAlignment w:val="baseline"/>
        <w:rPr>
          <w:rFonts w:hint="default" w:ascii="Times New Roman" w:hAnsi="Times New Roman" w:eastAsia="仿宋_GB2312" w:cs="Times New Roman"/>
          <w:spacing w:val="4"/>
          <w:sz w:val="32"/>
          <w:szCs w:val="32"/>
        </w:rPr>
      </w:pPr>
      <w:r>
        <w:rPr>
          <w:rFonts w:hint="eastAsia" w:ascii="Times New Roman" w:hAnsi="Times New Roman" w:eastAsia="仿宋_GB2312" w:cs="Times New Roman"/>
          <w:spacing w:val="4"/>
          <w:sz w:val="32"/>
          <w:szCs w:val="32"/>
          <w:lang w:val="en-US" w:eastAsia="zh-CN"/>
        </w:rPr>
        <w:t>3.</w:t>
      </w:r>
      <w:r>
        <w:rPr>
          <w:rFonts w:hint="default" w:ascii="Times New Roman" w:hAnsi="Times New Roman" w:eastAsia="仿宋_GB2312" w:cs="Times New Roman"/>
          <w:spacing w:val="4"/>
          <w:sz w:val="32"/>
          <w:szCs w:val="32"/>
        </w:rPr>
        <w:t>巴中市巴州区减灾中心</w:t>
      </w:r>
    </w:p>
    <w:p>
      <w:pPr>
        <w:pageBreakBefore w:val="0"/>
        <w:wordWrap/>
        <w:overflowPunct/>
        <w:topLinePunct w:val="0"/>
        <w:bidi w:val="0"/>
        <w:spacing w:line="560" w:lineRule="exact"/>
        <w:ind w:firstLine="800" w:firstLineChars="250"/>
        <w:rPr>
          <w:rFonts w:ascii="仿宋" w:hAnsi="仿宋" w:eastAsia="仿宋"/>
          <w:color w:val="auto"/>
          <w:sz w:val="32"/>
          <w:szCs w:val="32"/>
          <w:highlight w:val="none"/>
        </w:rPr>
      </w:pPr>
    </w:p>
    <w:p>
      <w:pPr>
        <w:ind w:firstLine="800" w:firstLineChars="250"/>
        <w:rPr>
          <w:rFonts w:ascii="仿宋" w:hAnsi="仿宋" w:eastAsia="仿宋"/>
          <w:color w:val="auto"/>
          <w:sz w:val="32"/>
          <w:szCs w:val="32"/>
          <w:highlight w:val="none"/>
        </w:rPr>
      </w:pPr>
    </w:p>
    <w:p>
      <w:pPr>
        <w:widowControl/>
        <w:jc w:val="left"/>
        <w:rPr>
          <w:rFonts w:ascii="仿宋" w:hAnsi="仿宋" w:eastAsia="仿宋"/>
          <w:color w:val="auto"/>
          <w:kern w:val="0"/>
          <w:sz w:val="32"/>
          <w:szCs w:val="32"/>
          <w:highlight w:val="none"/>
        </w:rPr>
      </w:pPr>
      <w:r>
        <w:rPr>
          <w:rFonts w:ascii="仿宋" w:hAnsi="仿宋" w:eastAsia="仿宋"/>
          <w:color w:val="auto"/>
          <w:sz w:val="32"/>
          <w:szCs w:val="32"/>
          <w:highlight w:val="none"/>
        </w:rPr>
        <w:br w:type="page"/>
      </w:r>
    </w:p>
    <w:p>
      <w:pPr>
        <w:pStyle w:val="3"/>
        <w:ind w:right="440"/>
        <w:jc w:val="center"/>
        <w:rPr>
          <w:color w:val="auto"/>
          <w:highlight w:val="none"/>
        </w:rPr>
      </w:pPr>
      <w:bookmarkStart w:id="230" w:name="_Toc15396602"/>
      <w:bookmarkStart w:id="231" w:name="_Toc20819"/>
      <w:bookmarkStart w:id="232" w:name="_Toc15377204"/>
      <w:bookmarkStart w:id="233" w:name="_Toc6486"/>
      <w:r>
        <w:rPr>
          <w:rFonts w:hint="eastAsia" w:ascii="黑体" w:hAnsi="黑体" w:eastAsia="黑体"/>
          <w:b w:val="0"/>
          <w:bCs/>
          <w:color w:val="auto"/>
          <w:highlight w:val="none"/>
        </w:rPr>
        <w:t xml:space="preserve">第二部分 </w:t>
      </w:r>
      <w:r>
        <w:rPr>
          <w:rFonts w:hint="eastAsia" w:ascii="黑体" w:hAnsi="黑体" w:eastAsia="黑体"/>
          <w:b w:val="0"/>
          <w:bCs/>
          <w:color w:val="auto"/>
          <w:highlight w:val="none"/>
          <w:lang w:val="en-US" w:eastAsia="zh-CN"/>
        </w:rPr>
        <w:t>2022年度</w:t>
      </w:r>
      <w:r>
        <w:rPr>
          <w:rStyle w:val="27"/>
          <w:rFonts w:hint="eastAsia" w:ascii="黑体" w:hAnsi="黑体" w:eastAsia="黑体"/>
          <w:b w:val="0"/>
          <w:bCs/>
          <w:color w:val="auto"/>
          <w:highlight w:val="none"/>
        </w:rPr>
        <w:t>部门决算情况说明</w:t>
      </w:r>
      <w:bookmarkEnd w:id="230"/>
      <w:bookmarkEnd w:id="231"/>
      <w:bookmarkEnd w:id="232"/>
      <w:bookmarkEnd w:id="233"/>
    </w:p>
    <w:p>
      <w:pPr>
        <w:pStyle w:val="26"/>
        <w:numPr>
          <w:ilvl w:val="0"/>
          <w:numId w:val="1"/>
        </w:numPr>
        <w:spacing w:line="600" w:lineRule="exact"/>
        <w:ind w:firstLineChars="0"/>
        <w:outlineLvl w:val="1"/>
        <w:rPr>
          <w:rStyle w:val="28"/>
          <w:rFonts w:ascii="黑体" w:hAnsi="黑体" w:eastAsia="黑体"/>
          <w:b w:val="0"/>
          <w:color w:val="auto"/>
          <w:highlight w:val="none"/>
        </w:rPr>
      </w:pPr>
      <w:bookmarkStart w:id="234" w:name="_Toc15396603"/>
      <w:bookmarkStart w:id="235" w:name="_Toc15377205"/>
      <w:bookmarkStart w:id="236" w:name="_Toc3855"/>
      <w:r>
        <w:rPr>
          <w:rFonts w:hint="eastAsia" w:ascii="黑体" w:hAnsi="黑体" w:eastAsia="黑体"/>
          <w:color w:val="auto"/>
          <w:sz w:val="32"/>
          <w:szCs w:val="32"/>
          <w:highlight w:val="none"/>
        </w:rPr>
        <w:t>收</w:t>
      </w:r>
      <w:r>
        <w:rPr>
          <w:rStyle w:val="28"/>
          <w:rFonts w:hint="eastAsia" w:ascii="黑体" w:hAnsi="黑体" w:eastAsia="黑体"/>
          <w:b w:val="0"/>
          <w:color w:val="auto"/>
          <w:highlight w:val="none"/>
        </w:rPr>
        <w:t>入支出决算总体情况说明</w:t>
      </w:r>
      <w:bookmarkEnd w:id="234"/>
      <w:bookmarkEnd w:id="235"/>
      <w:bookmarkEnd w:id="236"/>
    </w:p>
    <w:p>
      <w:pPr>
        <w:spacing w:line="600" w:lineRule="exact"/>
        <w:ind w:firstLine="640" w:firstLineChars="200"/>
        <w:rPr>
          <w:rFonts w:hint="default" w:ascii="仿宋" w:hAnsi="仿宋" w:eastAsia="仿宋" w:cs="Times New Roman"/>
          <w:color w:val="auto"/>
          <w:sz w:val="32"/>
          <w:szCs w:val="32"/>
          <w:highlight w:val="none"/>
          <w:lang w:val="en-US" w:eastAsia="zh-CN"/>
        </w:rPr>
      </w:pPr>
      <w:r>
        <w:rPr>
          <w:rFonts w:hint="default" w:ascii="仿宋" w:hAnsi="仿宋" w:eastAsia="仿宋" w:cs="Times New Roman"/>
          <w:color w:val="auto"/>
          <w:sz w:val="32"/>
          <w:szCs w:val="32"/>
          <w:highlight w:val="none"/>
        </w:rPr>
        <w:t>20</w:t>
      </w:r>
      <w:r>
        <w:rPr>
          <w:rFonts w:hint="default" w:ascii="仿宋" w:hAnsi="仿宋" w:eastAsia="仿宋" w:cs="Times New Roman"/>
          <w:color w:val="auto"/>
          <w:sz w:val="32"/>
          <w:szCs w:val="32"/>
          <w:highlight w:val="none"/>
          <w:lang w:val="en-US" w:eastAsia="zh-CN"/>
        </w:rPr>
        <w:t>22</w:t>
      </w:r>
      <w:r>
        <w:rPr>
          <w:rFonts w:hint="default" w:ascii="仿宋" w:hAnsi="仿宋" w:eastAsia="仿宋" w:cs="Times New Roman"/>
          <w:color w:val="auto"/>
          <w:sz w:val="32"/>
          <w:szCs w:val="32"/>
          <w:highlight w:val="none"/>
        </w:rPr>
        <w:t>年度收入总计</w:t>
      </w:r>
      <w:r>
        <w:rPr>
          <w:rFonts w:hint="eastAsia" w:ascii="仿宋" w:hAnsi="仿宋" w:eastAsia="仿宋"/>
          <w:color w:val="auto"/>
          <w:sz w:val="32"/>
          <w:szCs w:val="32"/>
          <w:highlight w:val="none"/>
        </w:rPr>
        <w:t>3475.07</w:t>
      </w:r>
      <w:r>
        <w:rPr>
          <w:rFonts w:hint="default" w:ascii="仿宋" w:hAnsi="仿宋" w:eastAsia="仿宋" w:cs="Times New Roman"/>
          <w:color w:val="auto"/>
          <w:sz w:val="32"/>
          <w:szCs w:val="32"/>
          <w:highlight w:val="none"/>
        </w:rPr>
        <w:t>万元、支出总计</w:t>
      </w:r>
      <w:r>
        <w:rPr>
          <w:rFonts w:hint="eastAsia" w:ascii="仿宋" w:hAnsi="仿宋" w:eastAsia="仿宋"/>
          <w:color w:val="auto"/>
          <w:sz w:val="32"/>
          <w:szCs w:val="32"/>
          <w:highlight w:val="none"/>
        </w:rPr>
        <w:t>3475.07</w:t>
      </w:r>
      <w:r>
        <w:rPr>
          <w:rFonts w:hint="default" w:ascii="仿宋" w:hAnsi="仿宋" w:eastAsia="仿宋" w:cs="Times New Roman"/>
          <w:color w:val="auto"/>
          <w:sz w:val="32"/>
          <w:szCs w:val="32"/>
          <w:highlight w:val="none"/>
        </w:rPr>
        <w:t>万元。与20</w:t>
      </w:r>
      <w:r>
        <w:rPr>
          <w:rFonts w:hint="default" w:ascii="仿宋" w:hAnsi="仿宋" w:eastAsia="仿宋" w:cs="Times New Roman"/>
          <w:color w:val="auto"/>
          <w:sz w:val="32"/>
          <w:szCs w:val="32"/>
          <w:highlight w:val="none"/>
          <w:lang w:val="en-US" w:eastAsia="zh-CN"/>
        </w:rPr>
        <w:t>21</w:t>
      </w:r>
      <w:r>
        <w:rPr>
          <w:rFonts w:hint="default" w:ascii="仿宋" w:hAnsi="仿宋" w:eastAsia="仿宋" w:cs="Times New Roman"/>
          <w:color w:val="auto"/>
          <w:sz w:val="32"/>
          <w:szCs w:val="32"/>
          <w:highlight w:val="none"/>
        </w:rPr>
        <w:t>年相比，20</w:t>
      </w:r>
      <w:r>
        <w:rPr>
          <w:rFonts w:hint="default" w:ascii="仿宋" w:hAnsi="仿宋" w:eastAsia="仿宋" w:cs="Times New Roman"/>
          <w:color w:val="auto"/>
          <w:sz w:val="32"/>
          <w:szCs w:val="32"/>
          <w:highlight w:val="none"/>
          <w:lang w:val="en-US" w:eastAsia="zh-CN"/>
        </w:rPr>
        <w:t>21</w:t>
      </w:r>
      <w:r>
        <w:rPr>
          <w:rFonts w:hint="default" w:ascii="仿宋" w:hAnsi="仿宋" w:eastAsia="仿宋" w:cs="Times New Roman"/>
          <w:color w:val="auto"/>
          <w:sz w:val="32"/>
          <w:szCs w:val="32"/>
          <w:highlight w:val="none"/>
        </w:rPr>
        <w:t>年度收入总计</w:t>
      </w:r>
      <w:r>
        <w:rPr>
          <w:rFonts w:hint="eastAsia" w:ascii="仿宋" w:hAnsi="仿宋" w:eastAsia="仿宋"/>
          <w:color w:val="auto"/>
          <w:sz w:val="32"/>
          <w:szCs w:val="32"/>
          <w:highlight w:val="none"/>
        </w:rPr>
        <w:t>1183.26</w:t>
      </w:r>
      <w:r>
        <w:rPr>
          <w:rFonts w:hint="default" w:ascii="仿宋" w:hAnsi="仿宋" w:eastAsia="仿宋" w:cs="Times New Roman"/>
          <w:color w:val="auto"/>
          <w:sz w:val="32"/>
          <w:szCs w:val="32"/>
          <w:highlight w:val="none"/>
        </w:rPr>
        <w:t>万元、支出总计</w:t>
      </w:r>
      <w:r>
        <w:rPr>
          <w:rFonts w:hint="eastAsia" w:ascii="仿宋" w:hAnsi="仿宋" w:eastAsia="仿宋"/>
          <w:color w:val="auto"/>
          <w:sz w:val="32"/>
          <w:szCs w:val="32"/>
          <w:highlight w:val="none"/>
        </w:rPr>
        <w:t>1183.26</w:t>
      </w:r>
      <w:r>
        <w:rPr>
          <w:rFonts w:hint="default" w:ascii="仿宋" w:hAnsi="仿宋" w:eastAsia="仿宋" w:cs="Times New Roman"/>
          <w:color w:val="auto"/>
          <w:sz w:val="32"/>
          <w:szCs w:val="32"/>
          <w:highlight w:val="none"/>
        </w:rPr>
        <w:t>万元，收入总计</w:t>
      </w:r>
      <w:r>
        <w:rPr>
          <w:rFonts w:hint="default" w:ascii="仿宋" w:hAnsi="仿宋" w:eastAsia="仿宋" w:cs="Times New Roman"/>
          <w:color w:val="auto"/>
          <w:sz w:val="32"/>
          <w:szCs w:val="32"/>
          <w:highlight w:val="none"/>
          <w:lang w:val="en-US" w:eastAsia="zh-CN"/>
        </w:rPr>
        <w:t>增加</w:t>
      </w:r>
      <w:r>
        <w:rPr>
          <w:rFonts w:hint="eastAsia" w:ascii="仿宋" w:hAnsi="仿宋" w:eastAsia="仿宋" w:cs="Times New Roman"/>
          <w:color w:val="auto"/>
          <w:sz w:val="32"/>
          <w:szCs w:val="32"/>
          <w:highlight w:val="none"/>
          <w:lang w:val="en-US" w:eastAsia="zh-CN"/>
        </w:rPr>
        <w:t>2291.81</w:t>
      </w:r>
      <w:r>
        <w:rPr>
          <w:rFonts w:hint="default" w:ascii="仿宋" w:hAnsi="仿宋" w:eastAsia="仿宋" w:cs="Times New Roman"/>
          <w:color w:val="auto"/>
          <w:sz w:val="32"/>
          <w:szCs w:val="32"/>
          <w:highlight w:val="none"/>
        </w:rPr>
        <w:t>万元，</w:t>
      </w:r>
      <w:r>
        <w:rPr>
          <w:rFonts w:hint="default" w:ascii="仿宋" w:hAnsi="仿宋" w:eastAsia="仿宋" w:cs="Times New Roman"/>
          <w:color w:val="auto"/>
          <w:sz w:val="32"/>
          <w:szCs w:val="32"/>
          <w:highlight w:val="none"/>
          <w:lang w:val="en-US" w:eastAsia="zh-CN"/>
        </w:rPr>
        <w:t>增长</w:t>
      </w:r>
      <w:r>
        <w:rPr>
          <w:rFonts w:hint="eastAsia" w:ascii="仿宋" w:hAnsi="仿宋" w:eastAsia="仿宋" w:cs="Times New Roman"/>
          <w:color w:val="auto"/>
          <w:sz w:val="32"/>
          <w:szCs w:val="32"/>
          <w:highlight w:val="none"/>
          <w:lang w:val="en-US" w:eastAsia="zh-CN"/>
        </w:rPr>
        <w:t>193.68</w:t>
      </w:r>
      <w:r>
        <w:rPr>
          <w:rFonts w:hint="default" w:ascii="仿宋" w:hAnsi="仿宋" w:eastAsia="仿宋" w:cs="Times New Roman"/>
          <w:color w:val="auto"/>
          <w:sz w:val="32"/>
          <w:szCs w:val="32"/>
          <w:highlight w:val="none"/>
          <w:lang w:val="en-US" w:eastAsia="zh-CN"/>
        </w:rPr>
        <w:t>%；支出总计增加</w:t>
      </w:r>
      <w:r>
        <w:rPr>
          <w:rFonts w:hint="eastAsia" w:ascii="仿宋" w:hAnsi="仿宋" w:eastAsia="仿宋" w:cs="Times New Roman"/>
          <w:color w:val="auto"/>
          <w:sz w:val="32"/>
          <w:szCs w:val="32"/>
          <w:highlight w:val="none"/>
          <w:lang w:val="en-US" w:eastAsia="zh-CN"/>
        </w:rPr>
        <w:t>2291.81</w:t>
      </w:r>
      <w:r>
        <w:rPr>
          <w:rFonts w:hint="default" w:ascii="仿宋" w:hAnsi="仿宋" w:eastAsia="仿宋" w:cs="Times New Roman"/>
          <w:color w:val="auto"/>
          <w:sz w:val="32"/>
          <w:szCs w:val="32"/>
          <w:highlight w:val="none"/>
        </w:rPr>
        <w:t>万元，</w:t>
      </w:r>
      <w:r>
        <w:rPr>
          <w:rFonts w:hint="default" w:ascii="仿宋" w:hAnsi="仿宋" w:eastAsia="仿宋" w:cs="Times New Roman"/>
          <w:color w:val="auto"/>
          <w:sz w:val="32"/>
          <w:szCs w:val="32"/>
          <w:highlight w:val="none"/>
          <w:lang w:val="en-US" w:eastAsia="zh-CN"/>
        </w:rPr>
        <w:t>增长</w:t>
      </w:r>
      <w:r>
        <w:rPr>
          <w:rFonts w:hint="eastAsia" w:ascii="仿宋" w:hAnsi="仿宋" w:eastAsia="仿宋" w:cs="Times New Roman"/>
          <w:color w:val="auto"/>
          <w:sz w:val="32"/>
          <w:szCs w:val="32"/>
          <w:highlight w:val="none"/>
          <w:lang w:val="en-US" w:eastAsia="zh-CN"/>
        </w:rPr>
        <w:t>193.68</w:t>
      </w:r>
      <w:r>
        <w:rPr>
          <w:rFonts w:hint="default" w:ascii="仿宋" w:hAnsi="仿宋" w:eastAsia="仿宋" w:cs="Times New Roman"/>
          <w:color w:val="auto"/>
          <w:sz w:val="32"/>
          <w:szCs w:val="32"/>
          <w:highlight w:val="none"/>
          <w:lang w:val="en-US" w:eastAsia="zh-CN"/>
        </w:rPr>
        <w:t>%。</w:t>
      </w:r>
      <w:r>
        <w:rPr>
          <w:rFonts w:hint="default" w:ascii="仿宋" w:hAnsi="仿宋" w:eastAsia="仿宋" w:cs="Times New Roman"/>
          <w:color w:val="auto"/>
          <w:sz w:val="32"/>
          <w:szCs w:val="32"/>
          <w:highlight w:val="none"/>
        </w:rPr>
        <w:t>其原因</w:t>
      </w:r>
      <w:r>
        <w:rPr>
          <w:rFonts w:hint="default" w:ascii="仿宋" w:hAnsi="仿宋" w:eastAsia="仿宋" w:cs="Times New Roman"/>
          <w:color w:val="auto"/>
          <w:sz w:val="32"/>
          <w:szCs w:val="32"/>
          <w:highlight w:val="none"/>
          <w:lang w:val="en-US" w:eastAsia="zh-CN"/>
        </w:rPr>
        <w:t>一是2022年</w:t>
      </w:r>
      <w:r>
        <w:rPr>
          <w:rFonts w:hint="eastAsia" w:ascii="仿宋" w:hAnsi="仿宋" w:eastAsia="仿宋" w:cs="Times New Roman"/>
          <w:color w:val="auto"/>
          <w:sz w:val="32"/>
          <w:szCs w:val="32"/>
          <w:highlight w:val="none"/>
          <w:lang w:val="en-US" w:eastAsia="zh-CN"/>
        </w:rPr>
        <w:t>中央自然灾害救灾资金及安全生产类项目资金增加</w:t>
      </w:r>
      <w:r>
        <w:rPr>
          <w:rFonts w:hint="default" w:ascii="仿宋" w:hAnsi="仿宋" w:eastAsia="仿宋" w:cs="Times New Roman"/>
          <w:color w:val="auto"/>
          <w:sz w:val="32"/>
          <w:szCs w:val="32"/>
          <w:highlight w:val="none"/>
          <w:lang w:val="en-US" w:eastAsia="zh-CN"/>
        </w:rPr>
        <w:t>；二是年度内人员新进、调资、晋升等人员经费增加。</w:t>
      </w:r>
    </w:p>
    <w:p>
      <w:pPr>
        <w:pStyle w:val="2"/>
        <w:jc w:val="center"/>
        <w:rPr>
          <w:rFonts w:hint="default"/>
          <w:lang w:val="en-US" w:eastAsia="zh-CN"/>
        </w:rPr>
      </w:pPr>
      <w:r>
        <w:drawing>
          <wp:inline distT="0" distB="0" distL="114300" distR="114300">
            <wp:extent cx="4657725" cy="2611755"/>
            <wp:effectExtent l="4445" t="5080" r="11430" b="12065"/>
            <wp:docPr id="1046"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spacing w:line="600" w:lineRule="exact"/>
        <w:ind w:firstLine="640" w:firstLineChars="200"/>
        <w:jc w:val="center"/>
        <w:rPr>
          <w:rFonts w:ascii="仿宋_GB2312" w:eastAsia="仿宋_GB2312"/>
          <w:color w:val="auto"/>
          <w:sz w:val="32"/>
          <w:szCs w:val="32"/>
          <w:highlight w:val="none"/>
        </w:rPr>
      </w:pPr>
      <w:r>
        <w:rPr>
          <w:rFonts w:hint="eastAsia" w:ascii="仿宋" w:hAnsi="仿宋" w:eastAsia="仿宋"/>
          <w:color w:val="auto"/>
          <w:sz w:val="32"/>
          <w:szCs w:val="32"/>
          <w:highlight w:val="none"/>
        </w:rPr>
        <w:t>图</w:t>
      </w:r>
      <w:r>
        <w:rPr>
          <w:rFonts w:ascii="仿宋" w:hAnsi="仿宋" w:eastAsia="仿宋"/>
          <w:color w:val="auto"/>
          <w:sz w:val="32"/>
          <w:szCs w:val="32"/>
          <w:highlight w:val="none"/>
        </w:rPr>
        <w:t>1</w:t>
      </w:r>
      <w:r>
        <w:rPr>
          <w:rFonts w:hint="eastAsia" w:ascii="仿宋" w:hAnsi="仿宋" w:eastAsia="仿宋"/>
          <w:color w:val="auto"/>
          <w:sz w:val="32"/>
          <w:szCs w:val="32"/>
          <w:highlight w:val="none"/>
        </w:rPr>
        <w:t>：收、支决算总计变动情况图</w:t>
      </w:r>
    </w:p>
    <w:p>
      <w:pPr>
        <w:pStyle w:val="26"/>
        <w:numPr>
          <w:ilvl w:val="0"/>
          <w:numId w:val="1"/>
        </w:numPr>
        <w:spacing w:line="600" w:lineRule="exact"/>
        <w:ind w:firstLineChars="0"/>
        <w:outlineLvl w:val="1"/>
        <w:rPr>
          <w:rStyle w:val="28"/>
          <w:rFonts w:ascii="黑体" w:hAnsi="黑体" w:eastAsia="黑体"/>
          <w:b w:val="0"/>
          <w:color w:val="auto"/>
          <w:highlight w:val="none"/>
        </w:rPr>
      </w:pPr>
      <w:bookmarkStart w:id="237" w:name="_Toc15396604"/>
      <w:bookmarkStart w:id="238" w:name="_Toc15377206"/>
      <w:bookmarkStart w:id="239" w:name="_Toc1489"/>
      <w:r>
        <w:rPr>
          <w:rFonts w:hint="eastAsia" w:ascii="黑体" w:hAnsi="黑体" w:eastAsia="黑体"/>
          <w:color w:val="auto"/>
          <w:sz w:val="32"/>
          <w:szCs w:val="32"/>
          <w:highlight w:val="none"/>
        </w:rPr>
        <w:t>收</w:t>
      </w:r>
      <w:r>
        <w:rPr>
          <w:rStyle w:val="28"/>
          <w:rFonts w:hint="eastAsia" w:ascii="黑体" w:hAnsi="黑体" w:eastAsia="黑体"/>
          <w:b w:val="0"/>
          <w:color w:val="auto"/>
          <w:highlight w:val="none"/>
        </w:rPr>
        <w:t>入决算情况说明</w:t>
      </w:r>
      <w:bookmarkEnd w:id="237"/>
      <w:bookmarkEnd w:id="238"/>
      <w:bookmarkEnd w:id="239"/>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1"/>
        <w:rPr>
          <w:rFonts w:hint="default" w:ascii="仿宋" w:hAnsi="仿宋" w:eastAsia="仿宋" w:cs="Times New Roman"/>
          <w:color w:val="auto"/>
          <w:sz w:val="32"/>
          <w:szCs w:val="32"/>
          <w:highlight w:val="none"/>
        </w:rPr>
      </w:pPr>
      <w:bookmarkStart w:id="240" w:name="_Toc14226"/>
      <w:bookmarkStart w:id="241" w:name="_Toc30384"/>
      <w:bookmarkStart w:id="242" w:name="_Toc24151"/>
      <w:bookmarkStart w:id="243" w:name="_Toc23951"/>
      <w:bookmarkStart w:id="244" w:name="_Toc27200"/>
      <w:bookmarkStart w:id="245" w:name="_Toc18333"/>
      <w:r>
        <w:rPr>
          <w:rFonts w:hint="default" w:ascii="仿宋" w:hAnsi="仿宋" w:eastAsia="仿宋" w:cs="Times New Roman"/>
          <w:color w:val="auto"/>
          <w:sz w:val="32"/>
          <w:szCs w:val="32"/>
          <w:highlight w:val="none"/>
        </w:rPr>
        <w:t>20</w:t>
      </w:r>
      <w:r>
        <w:rPr>
          <w:rFonts w:hint="default" w:ascii="仿宋" w:hAnsi="仿宋" w:eastAsia="仿宋" w:cs="Times New Roman"/>
          <w:color w:val="auto"/>
          <w:sz w:val="32"/>
          <w:szCs w:val="32"/>
          <w:highlight w:val="none"/>
          <w:lang w:val="en-US" w:eastAsia="zh-CN"/>
        </w:rPr>
        <w:t>22</w:t>
      </w:r>
      <w:r>
        <w:rPr>
          <w:rFonts w:hint="default" w:ascii="仿宋" w:hAnsi="仿宋" w:eastAsia="仿宋" w:cs="Times New Roman"/>
          <w:color w:val="auto"/>
          <w:sz w:val="32"/>
          <w:szCs w:val="32"/>
          <w:highlight w:val="none"/>
        </w:rPr>
        <w:t>年本年收入合计</w:t>
      </w:r>
      <w:r>
        <w:rPr>
          <w:rFonts w:hint="eastAsia" w:ascii="仿宋" w:hAnsi="仿宋" w:eastAsia="仿宋"/>
          <w:color w:val="auto"/>
          <w:sz w:val="32"/>
          <w:szCs w:val="32"/>
          <w:highlight w:val="none"/>
        </w:rPr>
        <w:t>3475.07</w:t>
      </w:r>
      <w:r>
        <w:rPr>
          <w:rFonts w:hint="default" w:ascii="仿宋" w:hAnsi="仿宋" w:eastAsia="仿宋" w:cs="Times New Roman"/>
          <w:color w:val="auto"/>
          <w:sz w:val="32"/>
          <w:szCs w:val="32"/>
          <w:highlight w:val="none"/>
        </w:rPr>
        <w:t>万元</w:t>
      </w:r>
      <w:r>
        <w:rPr>
          <w:rFonts w:hint="default" w:ascii="仿宋" w:hAnsi="仿宋" w:eastAsia="仿宋" w:cs="Times New Roman"/>
          <w:color w:val="auto"/>
          <w:sz w:val="32"/>
          <w:szCs w:val="32"/>
          <w:highlight w:val="none"/>
          <w:lang w:eastAsia="zh-CN"/>
        </w:rPr>
        <w:t>。</w:t>
      </w:r>
      <w:r>
        <w:rPr>
          <w:rFonts w:hint="default" w:ascii="仿宋" w:hAnsi="仿宋" w:eastAsia="仿宋" w:cs="Times New Roman"/>
          <w:color w:val="auto"/>
          <w:sz w:val="32"/>
          <w:szCs w:val="32"/>
          <w:highlight w:val="none"/>
        </w:rPr>
        <w:t>其中：一般公共预算财政拨款收入</w:t>
      </w:r>
      <w:r>
        <w:rPr>
          <w:rFonts w:hint="eastAsia" w:ascii="仿宋" w:hAnsi="仿宋" w:eastAsia="仿宋"/>
          <w:color w:val="auto"/>
          <w:sz w:val="32"/>
          <w:szCs w:val="32"/>
          <w:highlight w:val="none"/>
        </w:rPr>
        <w:t>3475.07</w:t>
      </w:r>
      <w:r>
        <w:rPr>
          <w:rFonts w:hint="default" w:ascii="仿宋" w:hAnsi="仿宋" w:eastAsia="仿宋" w:cs="Times New Roman"/>
          <w:color w:val="auto"/>
          <w:sz w:val="32"/>
          <w:szCs w:val="32"/>
          <w:highlight w:val="none"/>
        </w:rPr>
        <w:t>万元，占100%；政府性基金预算财政拨款收入0万元，占0%；上级补助收入0万元，占0%；事业收入0万元，占0%；经营收入0万元，占0%；附属单位上缴收入0万元，占0%；其他收入0万元，占0%。</w:t>
      </w:r>
      <w:bookmarkEnd w:id="240"/>
      <w:bookmarkEnd w:id="241"/>
      <w:bookmarkEnd w:id="242"/>
      <w:bookmarkEnd w:id="243"/>
      <w:bookmarkEnd w:id="244"/>
      <w:bookmarkEnd w:id="245"/>
    </w:p>
    <w:p>
      <w:pPr>
        <w:pStyle w:val="2"/>
        <w:jc w:val="center"/>
        <w:rPr>
          <w:rFonts w:hint="default"/>
        </w:rPr>
      </w:pPr>
      <w:r>
        <w:drawing>
          <wp:inline distT="0" distB="0" distL="114300" distR="114300">
            <wp:extent cx="4657725" cy="2649220"/>
            <wp:effectExtent l="4445" t="5080" r="11430" b="12700"/>
            <wp:docPr id="1047"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spacing w:line="600" w:lineRule="exact"/>
        <w:ind w:firstLine="2240" w:firstLineChars="700"/>
        <w:rPr>
          <w:rFonts w:ascii="仿宋_GB2312" w:eastAsia="仿宋_GB2312"/>
          <w:color w:val="auto"/>
          <w:sz w:val="32"/>
          <w:szCs w:val="32"/>
          <w:highlight w:val="none"/>
        </w:rPr>
      </w:pPr>
      <w:r>
        <w:rPr>
          <w:rFonts w:hint="eastAsia" w:ascii="仿宋" w:hAnsi="仿宋" w:eastAsia="仿宋"/>
          <w:color w:val="auto"/>
          <w:sz w:val="32"/>
          <w:szCs w:val="32"/>
          <w:highlight w:val="none"/>
        </w:rPr>
        <w:t>图2：收入决算结构图</w:t>
      </w:r>
    </w:p>
    <w:p>
      <w:pPr>
        <w:pStyle w:val="26"/>
        <w:numPr>
          <w:ilvl w:val="0"/>
          <w:numId w:val="1"/>
        </w:numPr>
        <w:spacing w:line="600" w:lineRule="exact"/>
        <w:ind w:firstLineChars="0"/>
        <w:outlineLvl w:val="1"/>
        <w:rPr>
          <w:rStyle w:val="28"/>
          <w:rFonts w:ascii="黑体" w:hAnsi="黑体" w:eastAsia="黑体"/>
          <w:b w:val="0"/>
          <w:color w:val="auto"/>
          <w:highlight w:val="none"/>
        </w:rPr>
      </w:pPr>
      <w:bookmarkStart w:id="246" w:name="_Toc11827"/>
      <w:bookmarkStart w:id="247" w:name="_Toc15396605"/>
      <w:bookmarkStart w:id="248" w:name="_Toc15377207"/>
      <w:r>
        <w:rPr>
          <w:rFonts w:hint="eastAsia" w:ascii="黑体" w:hAnsi="黑体" w:eastAsia="黑体"/>
          <w:color w:val="auto"/>
          <w:sz w:val="32"/>
          <w:szCs w:val="32"/>
          <w:highlight w:val="none"/>
        </w:rPr>
        <w:t>支</w:t>
      </w:r>
      <w:r>
        <w:rPr>
          <w:rStyle w:val="28"/>
          <w:rFonts w:hint="eastAsia" w:ascii="黑体" w:hAnsi="黑体" w:eastAsia="黑体"/>
          <w:b w:val="0"/>
          <w:color w:val="auto"/>
          <w:highlight w:val="none"/>
        </w:rPr>
        <w:t>出决算情况说明</w:t>
      </w:r>
      <w:bookmarkEnd w:id="246"/>
      <w:bookmarkEnd w:id="247"/>
      <w:bookmarkEnd w:id="248"/>
    </w:p>
    <w:p>
      <w:pPr>
        <w:spacing w:line="600" w:lineRule="exact"/>
        <w:ind w:firstLine="640" w:firstLineChars="200"/>
        <w:outlineLvl w:val="1"/>
        <w:rPr>
          <w:rFonts w:ascii="仿宋" w:hAnsi="仿宋" w:eastAsia="仿宋"/>
          <w:color w:val="auto"/>
          <w:sz w:val="32"/>
          <w:szCs w:val="32"/>
          <w:highlight w:val="none"/>
        </w:rPr>
      </w:pPr>
      <w:bookmarkStart w:id="249" w:name="_Toc30376"/>
      <w:bookmarkStart w:id="250" w:name="_Toc24963"/>
      <w:bookmarkStart w:id="251" w:name="_Toc26099"/>
      <w:bookmarkStart w:id="252" w:name="_Toc15847"/>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年本年支出合计</w:t>
      </w:r>
      <w:r>
        <w:rPr>
          <w:rFonts w:hint="eastAsia" w:ascii="仿宋" w:hAnsi="仿宋" w:eastAsia="仿宋"/>
          <w:color w:val="auto"/>
          <w:sz w:val="32"/>
          <w:szCs w:val="32"/>
          <w:highlight w:val="none"/>
          <w:lang w:val="en-US" w:eastAsia="zh-CN"/>
        </w:rPr>
        <w:t>3475.07</w:t>
      </w:r>
      <w:r>
        <w:rPr>
          <w:rFonts w:hint="eastAsia" w:ascii="仿宋" w:hAnsi="仿宋" w:eastAsia="仿宋"/>
          <w:color w:val="auto"/>
          <w:sz w:val="32"/>
          <w:szCs w:val="32"/>
          <w:highlight w:val="none"/>
        </w:rPr>
        <w:t>万元，其中：基本支出886.57万元，占</w:t>
      </w:r>
      <w:r>
        <w:rPr>
          <w:rFonts w:hint="eastAsia" w:ascii="仿宋" w:hAnsi="仿宋" w:eastAsia="仿宋"/>
          <w:color w:val="auto"/>
          <w:sz w:val="32"/>
          <w:szCs w:val="32"/>
          <w:highlight w:val="none"/>
          <w:lang w:val="en-US" w:eastAsia="zh-CN"/>
        </w:rPr>
        <w:t>25.51</w:t>
      </w:r>
      <w:r>
        <w:rPr>
          <w:rFonts w:ascii="仿宋" w:hAnsi="仿宋" w:eastAsia="仿宋"/>
          <w:color w:val="auto"/>
          <w:sz w:val="32"/>
          <w:szCs w:val="32"/>
          <w:highlight w:val="none"/>
        </w:rPr>
        <w:t>%</w:t>
      </w:r>
      <w:r>
        <w:rPr>
          <w:rFonts w:hint="eastAsia" w:ascii="仿宋" w:hAnsi="仿宋" w:eastAsia="仿宋"/>
          <w:color w:val="auto"/>
          <w:sz w:val="32"/>
          <w:szCs w:val="32"/>
          <w:highlight w:val="none"/>
        </w:rPr>
        <w:t>；项目支出2588.5万元，占</w:t>
      </w:r>
      <w:r>
        <w:rPr>
          <w:rFonts w:hint="eastAsia" w:ascii="仿宋" w:hAnsi="仿宋" w:eastAsia="仿宋"/>
          <w:color w:val="auto"/>
          <w:sz w:val="32"/>
          <w:szCs w:val="32"/>
          <w:highlight w:val="none"/>
          <w:lang w:val="en-US" w:eastAsia="zh-CN"/>
        </w:rPr>
        <w:t>74.49</w:t>
      </w:r>
      <w:r>
        <w:rPr>
          <w:rFonts w:ascii="仿宋" w:hAnsi="仿宋" w:eastAsia="仿宋"/>
          <w:color w:val="auto"/>
          <w:sz w:val="32"/>
          <w:szCs w:val="32"/>
          <w:highlight w:val="none"/>
        </w:rPr>
        <w:t>%</w:t>
      </w:r>
      <w:r>
        <w:rPr>
          <w:rFonts w:hint="eastAsia" w:ascii="仿宋" w:hAnsi="仿宋" w:eastAsia="仿宋"/>
          <w:color w:val="auto"/>
          <w:sz w:val="32"/>
          <w:szCs w:val="32"/>
          <w:highlight w:val="none"/>
        </w:rPr>
        <w:t>；上缴上级支出</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；经营支出</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；对附属单位补助支出</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bookmarkEnd w:id="249"/>
      <w:bookmarkEnd w:id="250"/>
      <w:bookmarkEnd w:id="251"/>
      <w:bookmarkEnd w:id="252"/>
    </w:p>
    <w:p>
      <w:pPr>
        <w:spacing w:line="240" w:lineRule="auto"/>
        <w:ind w:firstLine="0"/>
        <w:jc w:val="center"/>
        <w:rPr>
          <w:rFonts w:ascii="仿宋" w:hAnsi="仿宋" w:eastAsia="仿宋"/>
          <w:color w:val="auto"/>
          <w:sz w:val="32"/>
          <w:szCs w:val="32"/>
          <w:highlight w:val="none"/>
          <w:shd w:val="pct10" w:color="auto" w:fill="FFFFFF"/>
        </w:rPr>
      </w:pPr>
      <w:r>
        <w:drawing>
          <wp:inline distT="0" distB="0" distL="114300" distR="114300">
            <wp:extent cx="4657725" cy="2613660"/>
            <wp:effectExtent l="4445" t="5080" r="11430" b="10160"/>
            <wp:docPr id="1"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spacing w:line="600" w:lineRule="exact"/>
        <w:ind w:firstLine="640" w:firstLineChars="200"/>
        <w:jc w:val="center"/>
        <w:rPr>
          <w:rFonts w:hint="eastAsia" w:ascii="仿宋" w:hAnsi="仿宋" w:eastAsia="仿宋"/>
          <w:color w:val="auto"/>
          <w:sz w:val="32"/>
          <w:szCs w:val="32"/>
          <w:highlight w:val="none"/>
        </w:rPr>
      </w:pPr>
      <w:r>
        <w:rPr>
          <w:rFonts w:hint="eastAsia" w:ascii="仿宋" w:hAnsi="仿宋" w:eastAsia="仿宋"/>
          <w:color w:val="auto"/>
          <w:sz w:val="32"/>
          <w:szCs w:val="32"/>
          <w:highlight w:val="none"/>
        </w:rPr>
        <w:t>图3：支出决算结构图</w:t>
      </w:r>
    </w:p>
    <w:p>
      <w:pPr>
        <w:pStyle w:val="2"/>
      </w:pPr>
    </w:p>
    <w:p>
      <w:pPr>
        <w:spacing w:line="600" w:lineRule="exact"/>
        <w:ind w:firstLine="640" w:firstLineChars="200"/>
        <w:outlineLvl w:val="1"/>
        <w:rPr>
          <w:rStyle w:val="28"/>
          <w:rFonts w:ascii="黑体" w:hAnsi="黑体" w:eastAsia="黑体"/>
          <w:b w:val="0"/>
          <w:color w:val="auto"/>
          <w:highlight w:val="none"/>
        </w:rPr>
      </w:pPr>
      <w:bookmarkStart w:id="253" w:name="_Toc26469"/>
      <w:bookmarkStart w:id="254" w:name="_Toc15396606"/>
      <w:bookmarkStart w:id="255" w:name="_Toc15377208"/>
      <w:r>
        <w:rPr>
          <w:rFonts w:hint="eastAsia" w:ascii="黑体" w:hAnsi="黑体" w:eastAsia="黑体"/>
          <w:color w:val="auto"/>
          <w:sz w:val="32"/>
          <w:szCs w:val="32"/>
          <w:highlight w:val="none"/>
        </w:rPr>
        <w:t>四、财</w:t>
      </w:r>
      <w:r>
        <w:rPr>
          <w:rStyle w:val="28"/>
          <w:rFonts w:hint="eastAsia" w:ascii="黑体" w:hAnsi="黑体" w:eastAsia="黑体"/>
          <w:b w:val="0"/>
          <w:color w:val="auto"/>
          <w:highlight w:val="none"/>
        </w:rPr>
        <w:t>政拨款收入支出决算总体情况说明</w:t>
      </w:r>
      <w:bookmarkEnd w:id="253"/>
      <w:bookmarkEnd w:id="254"/>
      <w:bookmarkEnd w:id="255"/>
    </w:p>
    <w:p>
      <w:pPr>
        <w:spacing w:line="600" w:lineRule="exact"/>
        <w:ind w:firstLine="640" w:firstLineChars="200"/>
        <w:rPr>
          <w:rFonts w:ascii="仿宋" w:hAnsi="仿宋" w:eastAsia="仿宋"/>
          <w:color w:val="auto"/>
          <w:sz w:val="32"/>
          <w:szCs w:val="32"/>
          <w:highlight w:val="none"/>
        </w:rPr>
      </w:pPr>
      <w:r>
        <w:rPr>
          <w:rFonts w:hint="default" w:ascii="仿宋" w:hAnsi="仿宋" w:eastAsia="仿宋" w:cs="Times New Roman"/>
          <w:color w:val="auto"/>
          <w:sz w:val="32"/>
          <w:szCs w:val="32"/>
          <w:highlight w:val="none"/>
        </w:rPr>
        <w:t>20</w:t>
      </w:r>
      <w:r>
        <w:rPr>
          <w:rFonts w:hint="default" w:ascii="仿宋" w:hAnsi="仿宋" w:eastAsia="仿宋" w:cs="Times New Roman"/>
          <w:color w:val="auto"/>
          <w:sz w:val="32"/>
          <w:szCs w:val="32"/>
          <w:highlight w:val="none"/>
          <w:lang w:val="en-US" w:eastAsia="zh-CN"/>
        </w:rPr>
        <w:t>22</w:t>
      </w:r>
      <w:r>
        <w:rPr>
          <w:rFonts w:hint="default" w:ascii="仿宋" w:hAnsi="仿宋" w:eastAsia="仿宋" w:cs="Times New Roman"/>
          <w:color w:val="auto"/>
          <w:sz w:val="32"/>
          <w:szCs w:val="32"/>
          <w:highlight w:val="none"/>
        </w:rPr>
        <w:t>年度收入总计</w:t>
      </w:r>
      <w:r>
        <w:rPr>
          <w:rFonts w:hint="eastAsia" w:ascii="仿宋" w:hAnsi="仿宋" w:eastAsia="仿宋"/>
          <w:color w:val="auto"/>
          <w:sz w:val="32"/>
          <w:szCs w:val="32"/>
          <w:highlight w:val="none"/>
        </w:rPr>
        <w:t>3475.07</w:t>
      </w:r>
      <w:r>
        <w:rPr>
          <w:rFonts w:hint="default" w:ascii="仿宋" w:hAnsi="仿宋" w:eastAsia="仿宋" w:cs="Times New Roman"/>
          <w:color w:val="auto"/>
          <w:sz w:val="32"/>
          <w:szCs w:val="32"/>
          <w:highlight w:val="none"/>
        </w:rPr>
        <w:t>万元、支出总计</w:t>
      </w:r>
      <w:r>
        <w:rPr>
          <w:rFonts w:hint="eastAsia" w:ascii="仿宋" w:hAnsi="仿宋" w:eastAsia="仿宋"/>
          <w:color w:val="auto"/>
          <w:sz w:val="32"/>
          <w:szCs w:val="32"/>
          <w:highlight w:val="none"/>
        </w:rPr>
        <w:t>3475.07</w:t>
      </w:r>
      <w:r>
        <w:rPr>
          <w:rFonts w:hint="default" w:ascii="仿宋" w:hAnsi="仿宋" w:eastAsia="仿宋" w:cs="Times New Roman"/>
          <w:color w:val="auto"/>
          <w:sz w:val="32"/>
          <w:szCs w:val="32"/>
          <w:highlight w:val="none"/>
        </w:rPr>
        <w:t>万元。与20</w:t>
      </w:r>
      <w:r>
        <w:rPr>
          <w:rFonts w:hint="default" w:ascii="仿宋" w:hAnsi="仿宋" w:eastAsia="仿宋" w:cs="Times New Roman"/>
          <w:color w:val="auto"/>
          <w:sz w:val="32"/>
          <w:szCs w:val="32"/>
          <w:highlight w:val="none"/>
          <w:lang w:val="en-US" w:eastAsia="zh-CN"/>
        </w:rPr>
        <w:t>21</w:t>
      </w:r>
      <w:r>
        <w:rPr>
          <w:rFonts w:hint="default" w:ascii="仿宋" w:hAnsi="仿宋" w:eastAsia="仿宋" w:cs="Times New Roman"/>
          <w:color w:val="auto"/>
          <w:sz w:val="32"/>
          <w:szCs w:val="32"/>
          <w:highlight w:val="none"/>
        </w:rPr>
        <w:t>年相比，20</w:t>
      </w:r>
      <w:r>
        <w:rPr>
          <w:rFonts w:hint="default" w:ascii="仿宋" w:hAnsi="仿宋" w:eastAsia="仿宋" w:cs="Times New Roman"/>
          <w:color w:val="auto"/>
          <w:sz w:val="32"/>
          <w:szCs w:val="32"/>
          <w:highlight w:val="none"/>
          <w:lang w:val="en-US" w:eastAsia="zh-CN"/>
        </w:rPr>
        <w:t>21</w:t>
      </w:r>
      <w:r>
        <w:rPr>
          <w:rFonts w:hint="default" w:ascii="仿宋" w:hAnsi="仿宋" w:eastAsia="仿宋" w:cs="Times New Roman"/>
          <w:color w:val="auto"/>
          <w:sz w:val="32"/>
          <w:szCs w:val="32"/>
          <w:highlight w:val="none"/>
        </w:rPr>
        <w:t>年度收入总计</w:t>
      </w:r>
      <w:r>
        <w:rPr>
          <w:rFonts w:hint="eastAsia" w:ascii="仿宋" w:hAnsi="仿宋" w:eastAsia="仿宋"/>
          <w:color w:val="auto"/>
          <w:sz w:val="32"/>
          <w:szCs w:val="32"/>
          <w:highlight w:val="none"/>
        </w:rPr>
        <w:t>1183.26</w:t>
      </w:r>
      <w:r>
        <w:rPr>
          <w:rFonts w:hint="default" w:ascii="仿宋" w:hAnsi="仿宋" w:eastAsia="仿宋" w:cs="Times New Roman"/>
          <w:color w:val="auto"/>
          <w:sz w:val="32"/>
          <w:szCs w:val="32"/>
          <w:highlight w:val="none"/>
        </w:rPr>
        <w:t>万元、支出总计</w:t>
      </w:r>
      <w:r>
        <w:rPr>
          <w:rFonts w:hint="eastAsia" w:ascii="仿宋" w:hAnsi="仿宋" w:eastAsia="仿宋"/>
          <w:color w:val="auto"/>
          <w:sz w:val="32"/>
          <w:szCs w:val="32"/>
          <w:highlight w:val="none"/>
        </w:rPr>
        <w:t>1183.26</w:t>
      </w:r>
      <w:r>
        <w:rPr>
          <w:rFonts w:hint="default" w:ascii="仿宋" w:hAnsi="仿宋" w:eastAsia="仿宋" w:cs="Times New Roman"/>
          <w:color w:val="auto"/>
          <w:sz w:val="32"/>
          <w:szCs w:val="32"/>
          <w:highlight w:val="none"/>
        </w:rPr>
        <w:t>万元，收入总计</w:t>
      </w:r>
      <w:r>
        <w:rPr>
          <w:rFonts w:hint="default" w:ascii="仿宋" w:hAnsi="仿宋" w:eastAsia="仿宋" w:cs="Times New Roman"/>
          <w:color w:val="auto"/>
          <w:sz w:val="32"/>
          <w:szCs w:val="32"/>
          <w:highlight w:val="none"/>
          <w:lang w:val="en-US" w:eastAsia="zh-CN"/>
        </w:rPr>
        <w:t>增加</w:t>
      </w:r>
      <w:r>
        <w:rPr>
          <w:rFonts w:hint="eastAsia" w:ascii="仿宋" w:hAnsi="仿宋" w:eastAsia="仿宋" w:cs="Times New Roman"/>
          <w:color w:val="auto"/>
          <w:sz w:val="32"/>
          <w:szCs w:val="32"/>
          <w:highlight w:val="none"/>
          <w:lang w:val="en-US" w:eastAsia="zh-CN"/>
        </w:rPr>
        <w:t>2291.81</w:t>
      </w:r>
      <w:r>
        <w:rPr>
          <w:rFonts w:hint="default" w:ascii="仿宋" w:hAnsi="仿宋" w:eastAsia="仿宋" w:cs="Times New Roman"/>
          <w:color w:val="auto"/>
          <w:sz w:val="32"/>
          <w:szCs w:val="32"/>
          <w:highlight w:val="none"/>
        </w:rPr>
        <w:t>万元，</w:t>
      </w:r>
      <w:r>
        <w:rPr>
          <w:rFonts w:hint="default" w:ascii="仿宋" w:hAnsi="仿宋" w:eastAsia="仿宋" w:cs="Times New Roman"/>
          <w:color w:val="auto"/>
          <w:sz w:val="32"/>
          <w:szCs w:val="32"/>
          <w:highlight w:val="none"/>
          <w:lang w:val="en-US" w:eastAsia="zh-CN"/>
        </w:rPr>
        <w:t>增长</w:t>
      </w:r>
      <w:r>
        <w:rPr>
          <w:rFonts w:hint="eastAsia" w:ascii="仿宋" w:hAnsi="仿宋" w:eastAsia="仿宋" w:cs="Times New Roman"/>
          <w:color w:val="auto"/>
          <w:sz w:val="32"/>
          <w:szCs w:val="32"/>
          <w:highlight w:val="none"/>
          <w:lang w:val="en-US" w:eastAsia="zh-CN"/>
        </w:rPr>
        <w:t>193.68</w:t>
      </w:r>
      <w:r>
        <w:rPr>
          <w:rFonts w:hint="default" w:ascii="仿宋" w:hAnsi="仿宋" w:eastAsia="仿宋" w:cs="Times New Roman"/>
          <w:color w:val="auto"/>
          <w:sz w:val="32"/>
          <w:szCs w:val="32"/>
          <w:highlight w:val="none"/>
          <w:lang w:val="en-US" w:eastAsia="zh-CN"/>
        </w:rPr>
        <w:t>%；支出总计增加</w:t>
      </w:r>
      <w:r>
        <w:rPr>
          <w:rFonts w:hint="eastAsia" w:ascii="仿宋" w:hAnsi="仿宋" w:eastAsia="仿宋" w:cs="Times New Roman"/>
          <w:color w:val="auto"/>
          <w:sz w:val="32"/>
          <w:szCs w:val="32"/>
          <w:highlight w:val="none"/>
          <w:lang w:val="en-US" w:eastAsia="zh-CN"/>
        </w:rPr>
        <w:t>2291.81</w:t>
      </w:r>
      <w:r>
        <w:rPr>
          <w:rFonts w:hint="default" w:ascii="仿宋" w:hAnsi="仿宋" w:eastAsia="仿宋" w:cs="Times New Roman"/>
          <w:color w:val="auto"/>
          <w:sz w:val="32"/>
          <w:szCs w:val="32"/>
          <w:highlight w:val="none"/>
        </w:rPr>
        <w:t>万元，</w:t>
      </w:r>
      <w:r>
        <w:rPr>
          <w:rFonts w:hint="default" w:ascii="仿宋" w:hAnsi="仿宋" w:eastAsia="仿宋" w:cs="Times New Roman"/>
          <w:color w:val="auto"/>
          <w:sz w:val="32"/>
          <w:szCs w:val="32"/>
          <w:highlight w:val="none"/>
          <w:lang w:val="en-US" w:eastAsia="zh-CN"/>
        </w:rPr>
        <w:t>增长</w:t>
      </w:r>
      <w:r>
        <w:rPr>
          <w:rFonts w:hint="eastAsia" w:ascii="仿宋" w:hAnsi="仿宋" w:eastAsia="仿宋" w:cs="Times New Roman"/>
          <w:color w:val="auto"/>
          <w:sz w:val="32"/>
          <w:szCs w:val="32"/>
          <w:highlight w:val="none"/>
          <w:lang w:val="en-US" w:eastAsia="zh-CN"/>
        </w:rPr>
        <w:t>193.68</w:t>
      </w:r>
      <w:r>
        <w:rPr>
          <w:rFonts w:hint="default" w:ascii="仿宋" w:hAnsi="仿宋" w:eastAsia="仿宋" w:cs="Times New Roman"/>
          <w:color w:val="auto"/>
          <w:sz w:val="32"/>
          <w:szCs w:val="32"/>
          <w:highlight w:val="none"/>
          <w:lang w:val="en-US" w:eastAsia="zh-CN"/>
        </w:rPr>
        <w:t>%。</w:t>
      </w:r>
      <w:r>
        <w:rPr>
          <w:rFonts w:hint="default" w:ascii="仿宋" w:hAnsi="仿宋" w:eastAsia="仿宋" w:cs="Times New Roman"/>
          <w:color w:val="auto"/>
          <w:sz w:val="32"/>
          <w:szCs w:val="32"/>
          <w:highlight w:val="none"/>
        </w:rPr>
        <w:t>其原因</w:t>
      </w:r>
      <w:r>
        <w:rPr>
          <w:rFonts w:hint="default" w:ascii="仿宋" w:hAnsi="仿宋" w:eastAsia="仿宋" w:cs="Times New Roman"/>
          <w:color w:val="auto"/>
          <w:sz w:val="32"/>
          <w:szCs w:val="32"/>
          <w:highlight w:val="none"/>
          <w:lang w:val="en-US" w:eastAsia="zh-CN"/>
        </w:rPr>
        <w:t>一是2022年</w:t>
      </w:r>
      <w:r>
        <w:rPr>
          <w:rFonts w:hint="eastAsia" w:ascii="仿宋" w:hAnsi="仿宋" w:eastAsia="仿宋" w:cs="Times New Roman"/>
          <w:color w:val="auto"/>
          <w:sz w:val="32"/>
          <w:szCs w:val="32"/>
          <w:highlight w:val="none"/>
          <w:lang w:val="en-US" w:eastAsia="zh-CN"/>
        </w:rPr>
        <w:t>中央自然灾害救灾资金及安全生产类项目资金增加</w:t>
      </w:r>
      <w:r>
        <w:rPr>
          <w:rFonts w:hint="default" w:ascii="仿宋" w:hAnsi="仿宋" w:eastAsia="仿宋" w:cs="Times New Roman"/>
          <w:color w:val="auto"/>
          <w:sz w:val="32"/>
          <w:szCs w:val="32"/>
          <w:highlight w:val="none"/>
          <w:lang w:val="en-US" w:eastAsia="zh-CN"/>
        </w:rPr>
        <w:t>；二是年度内人员新进、调资、晋升等人员经费增加。</w:t>
      </w:r>
    </w:p>
    <w:p>
      <w:pPr>
        <w:pStyle w:val="2"/>
        <w:jc w:val="center"/>
        <w:rPr>
          <w:rFonts w:ascii="仿宋" w:hAnsi="仿宋" w:eastAsia="仿宋"/>
          <w:color w:val="auto"/>
          <w:sz w:val="32"/>
          <w:szCs w:val="32"/>
          <w:highlight w:val="none"/>
        </w:rPr>
      </w:pPr>
      <w:r>
        <w:drawing>
          <wp:inline distT="0" distB="0" distL="114300" distR="114300">
            <wp:extent cx="4657725" cy="3101975"/>
            <wp:effectExtent l="4445" t="5080" r="16510" b="17145"/>
            <wp:docPr id="1049"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spacing w:line="600" w:lineRule="exact"/>
        <w:ind w:firstLine="640" w:firstLineChars="200"/>
        <w:jc w:val="center"/>
        <w:rPr>
          <w:rFonts w:ascii="仿宋" w:hAnsi="仿宋" w:eastAsia="仿宋"/>
          <w:b/>
          <w:color w:val="auto"/>
          <w:sz w:val="32"/>
          <w:szCs w:val="32"/>
          <w:highlight w:val="none"/>
        </w:rPr>
      </w:pPr>
      <w:r>
        <w:rPr>
          <w:rFonts w:hint="eastAsia" w:ascii="仿宋" w:hAnsi="仿宋" w:eastAsia="仿宋"/>
          <w:color w:val="auto"/>
          <w:sz w:val="32"/>
          <w:szCs w:val="32"/>
          <w:highlight w:val="none"/>
        </w:rPr>
        <w:t>图4：财政拨款收、支决算总计变动情况</w:t>
      </w:r>
    </w:p>
    <w:p>
      <w:pPr>
        <w:spacing w:line="600" w:lineRule="exact"/>
        <w:ind w:firstLine="320" w:firstLineChars="100"/>
        <w:outlineLvl w:val="1"/>
        <w:rPr>
          <w:rStyle w:val="28"/>
          <w:rFonts w:ascii="黑体" w:hAnsi="黑体" w:eastAsia="黑体"/>
          <w:b w:val="0"/>
          <w:color w:val="auto"/>
          <w:highlight w:val="none"/>
        </w:rPr>
      </w:pPr>
      <w:bookmarkStart w:id="256" w:name="_Toc15396607"/>
      <w:bookmarkStart w:id="257" w:name="_Toc15377209"/>
      <w:bookmarkStart w:id="258" w:name="_Toc2550"/>
      <w:r>
        <w:rPr>
          <w:rFonts w:hint="eastAsia" w:ascii="黑体" w:hAnsi="黑体" w:eastAsia="黑体"/>
          <w:color w:val="auto"/>
          <w:sz w:val="32"/>
          <w:szCs w:val="32"/>
          <w:highlight w:val="none"/>
        </w:rPr>
        <w:t>五、</w:t>
      </w:r>
      <w:r>
        <w:rPr>
          <w:rFonts w:hint="eastAsia" w:ascii="黑体" w:hAnsi="黑体" w:eastAsia="黑体"/>
          <w:b/>
          <w:color w:val="auto"/>
          <w:sz w:val="32"/>
          <w:szCs w:val="32"/>
          <w:highlight w:val="none"/>
        </w:rPr>
        <w:t>一</w:t>
      </w:r>
      <w:r>
        <w:rPr>
          <w:rStyle w:val="28"/>
          <w:rFonts w:hint="eastAsia" w:ascii="黑体" w:hAnsi="黑体" w:eastAsia="黑体"/>
          <w:b w:val="0"/>
          <w:color w:val="auto"/>
          <w:highlight w:val="none"/>
        </w:rPr>
        <w:t>般公共预算财政拨款支出决算情况说明</w:t>
      </w:r>
      <w:bookmarkEnd w:id="256"/>
      <w:bookmarkEnd w:id="257"/>
      <w:bookmarkEnd w:id="258"/>
    </w:p>
    <w:p>
      <w:pPr>
        <w:spacing w:line="600" w:lineRule="exact"/>
        <w:ind w:firstLine="643" w:firstLineChars="200"/>
        <w:outlineLvl w:val="2"/>
        <w:rPr>
          <w:rFonts w:ascii="仿宋" w:hAnsi="仿宋" w:eastAsia="仿宋"/>
          <w:b/>
          <w:color w:val="auto"/>
          <w:sz w:val="32"/>
          <w:szCs w:val="32"/>
          <w:highlight w:val="none"/>
        </w:rPr>
      </w:pPr>
      <w:bookmarkStart w:id="259" w:name="_Toc15377210"/>
      <w:bookmarkStart w:id="260" w:name="_Toc23954"/>
      <w:r>
        <w:rPr>
          <w:rFonts w:hint="eastAsia" w:ascii="仿宋" w:hAnsi="仿宋" w:eastAsia="仿宋"/>
          <w:b/>
          <w:color w:val="auto"/>
          <w:sz w:val="32"/>
          <w:szCs w:val="32"/>
          <w:highlight w:val="none"/>
        </w:rPr>
        <w:t>（一）一般公共预算财政拨款支出决算总体情况</w:t>
      </w:r>
      <w:bookmarkEnd w:id="259"/>
      <w:bookmarkEnd w:id="260"/>
    </w:p>
    <w:p>
      <w:pPr>
        <w:spacing w:line="600" w:lineRule="exact"/>
        <w:ind w:firstLine="640" w:firstLineChars="200"/>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年一般公共预算财政拨款支出3475.07万元，占本年支出合计的100%。与</w:t>
      </w: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年1183.26</w:t>
      </w:r>
      <w:r>
        <w:rPr>
          <w:rFonts w:hint="eastAsia" w:ascii="仿宋" w:hAnsi="仿宋" w:eastAsia="仿宋"/>
          <w:color w:val="auto"/>
          <w:sz w:val="32"/>
          <w:szCs w:val="32"/>
          <w:highlight w:val="none"/>
          <w:lang w:val="en-US" w:eastAsia="zh-CN"/>
        </w:rPr>
        <w:t>万元</w:t>
      </w:r>
      <w:r>
        <w:rPr>
          <w:rFonts w:hint="eastAsia" w:ascii="仿宋" w:hAnsi="仿宋" w:eastAsia="仿宋"/>
          <w:color w:val="auto"/>
          <w:sz w:val="32"/>
          <w:szCs w:val="32"/>
          <w:highlight w:val="none"/>
        </w:rPr>
        <w:t>相比，一般公共预算财政拨款</w:t>
      </w:r>
      <w:r>
        <w:rPr>
          <w:rFonts w:hint="eastAsia" w:ascii="仿宋" w:hAnsi="仿宋" w:eastAsia="仿宋"/>
          <w:color w:val="auto"/>
          <w:sz w:val="32"/>
          <w:szCs w:val="32"/>
          <w:highlight w:val="none"/>
          <w:lang w:eastAsia="zh-CN"/>
        </w:rPr>
        <w:t>支出</w:t>
      </w:r>
      <w:r>
        <w:rPr>
          <w:rFonts w:hint="eastAsia" w:ascii="仿宋" w:hAnsi="仿宋" w:eastAsia="仿宋"/>
          <w:color w:val="auto"/>
          <w:sz w:val="32"/>
          <w:szCs w:val="32"/>
          <w:highlight w:val="none"/>
        </w:rPr>
        <w:t>增加</w:t>
      </w:r>
      <w:r>
        <w:rPr>
          <w:rFonts w:hint="eastAsia" w:ascii="仿宋" w:hAnsi="仿宋" w:eastAsia="仿宋" w:cs="Times New Roman"/>
          <w:color w:val="auto"/>
          <w:sz w:val="32"/>
          <w:szCs w:val="32"/>
          <w:highlight w:val="none"/>
          <w:lang w:val="en-US" w:eastAsia="zh-CN"/>
        </w:rPr>
        <w:t>2291.81</w:t>
      </w:r>
      <w:r>
        <w:rPr>
          <w:rFonts w:hint="eastAsia" w:ascii="仿宋" w:hAnsi="仿宋" w:eastAsia="仿宋"/>
          <w:color w:val="auto"/>
          <w:sz w:val="32"/>
          <w:szCs w:val="32"/>
          <w:highlight w:val="none"/>
        </w:rPr>
        <w:t>万元，增长</w:t>
      </w:r>
      <w:r>
        <w:rPr>
          <w:rFonts w:hint="eastAsia" w:ascii="仿宋" w:hAnsi="仿宋" w:eastAsia="仿宋" w:cs="Times New Roman"/>
          <w:color w:val="auto"/>
          <w:sz w:val="32"/>
          <w:szCs w:val="32"/>
          <w:highlight w:val="none"/>
          <w:lang w:val="en-US" w:eastAsia="zh-CN"/>
        </w:rPr>
        <w:t>193.68</w:t>
      </w:r>
      <w:r>
        <w:rPr>
          <w:rFonts w:ascii="仿宋" w:hAnsi="仿宋" w:eastAsia="仿宋"/>
          <w:color w:val="auto"/>
          <w:sz w:val="32"/>
          <w:szCs w:val="32"/>
          <w:highlight w:val="none"/>
        </w:rPr>
        <w:t>%</w:t>
      </w:r>
      <w:r>
        <w:rPr>
          <w:rFonts w:hint="eastAsia" w:ascii="仿宋" w:hAnsi="仿宋" w:eastAsia="仿宋"/>
          <w:color w:val="auto"/>
          <w:sz w:val="32"/>
          <w:szCs w:val="32"/>
          <w:highlight w:val="none"/>
        </w:rPr>
        <w:t>。主要变动原因</w:t>
      </w:r>
      <w:r>
        <w:rPr>
          <w:rFonts w:hint="eastAsia" w:ascii="仿宋" w:hAnsi="仿宋" w:eastAsia="仿宋"/>
          <w:color w:val="auto"/>
          <w:sz w:val="32"/>
          <w:szCs w:val="32"/>
          <w:highlight w:val="none"/>
          <w:lang w:eastAsia="zh-CN"/>
        </w:rPr>
        <w:t>：</w:t>
      </w:r>
      <w:r>
        <w:rPr>
          <w:rFonts w:hint="default" w:ascii="仿宋" w:hAnsi="仿宋" w:eastAsia="仿宋" w:cs="Times New Roman"/>
          <w:color w:val="auto"/>
          <w:sz w:val="32"/>
          <w:szCs w:val="32"/>
          <w:highlight w:val="none"/>
          <w:lang w:val="en-US" w:eastAsia="zh-CN"/>
        </w:rPr>
        <w:t>一是2022年</w:t>
      </w:r>
      <w:r>
        <w:rPr>
          <w:rFonts w:hint="eastAsia" w:ascii="仿宋" w:hAnsi="仿宋" w:eastAsia="仿宋" w:cs="Times New Roman"/>
          <w:color w:val="auto"/>
          <w:sz w:val="32"/>
          <w:szCs w:val="32"/>
          <w:highlight w:val="none"/>
          <w:lang w:val="en-US" w:eastAsia="zh-CN"/>
        </w:rPr>
        <w:t>中央自然灾害救灾资金及安全生产类项目资金增加</w:t>
      </w:r>
      <w:r>
        <w:rPr>
          <w:rFonts w:hint="default" w:ascii="仿宋" w:hAnsi="仿宋" w:eastAsia="仿宋" w:cs="Times New Roman"/>
          <w:color w:val="auto"/>
          <w:sz w:val="32"/>
          <w:szCs w:val="32"/>
          <w:highlight w:val="none"/>
          <w:lang w:val="en-US" w:eastAsia="zh-CN"/>
        </w:rPr>
        <w:t>；二是年度内人员新进、调资、晋升等人员经费增加。</w:t>
      </w:r>
    </w:p>
    <w:p>
      <w:pPr>
        <w:pStyle w:val="2"/>
        <w:jc w:val="center"/>
        <w:rPr>
          <w:rFonts w:ascii="仿宋" w:hAnsi="仿宋" w:eastAsia="仿宋"/>
          <w:color w:val="auto"/>
          <w:sz w:val="32"/>
          <w:szCs w:val="32"/>
          <w:highlight w:val="none"/>
        </w:rPr>
      </w:pPr>
      <w:r>
        <w:drawing>
          <wp:inline distT="0" distB="0" distL="114300" distR="114300">
            <wp:extent cx="4572000" cy="2908935"/>
            <wp:effectExtent l="4445" t="4445" r="10795" b="12700"/>
            <wp:docPr id="1078"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spacing w:line="600" w:lineRule="exact"/>
        <w:ind w:firstLine="960" w:firstLineChars="300"/>
        <w:rPr>
          <w:rFonts w:ascii="仿宋" w:hAnsi="仿宋" w:eastAsia="仿宋"/>
          <w:color w:val="auto"/>
          <w:sz w:val="32"/>
          <w:szCs w:val="32"/>
          <w:highlight w:val="none"/>
        </w:rPr>
      </w:pPr>
      <w:r>
        <w:rPr>
          <w:rFonts w:hint="eastAsia" w:ascii="仿宋" w:hAnsi="仿宋" w:eastAsia="仿宋"/>
          <w:color w:val="auto"/>
          <w:sz w:val="32"/>
          <w:szCs w:val="32"/>
          <w:highlight w:val="none"/>
        </w:rPr>
        <w:t>图5：一般公共预算财政拨款支出决算变动情况</w:t>
      </w:r>
    </w:p>
    <w:p>
      <w:pPr>
        <w:spacing w:line="600" w:lineRule="exact"/>
        <w:ind w:firstLine="643" w:firstLineChars="200"/>
        <w:outlineLvl w:val="2"/>
        <w:rPr>
          <w:rFonts w:ascii="仿宋" w:hAnsi="仿宋" w:eastAsia="仿宋"/>
          <w:b/>
          <w:color w:val="auto"/>
          <w:sz w:val="32"/>
          <w:szCs w:val="32"/>
          <w:highlight w:val="none"/>
        </w:rPr>
      </w:pPr>
      <w:bookmarkStart w:id="261" w:name="_Toc15377211"/>
      <w:bookmarkStart w:id="262" w:name="_Toc10117"/>
      <w:r>
        <w:rPr>
          <w:rFonts w:hint="eastAsia" w:ascii="仿宋" w:hAnsi="仿宋" w:eastAsia="仿宋"/>
          <w:b/>
          <w:color w:val="auto"/>
          <w:sz w:val="32"/>
          <w:szCs w:val="32"/>
          <w:highlight w:val="none"/>
        </w:rPr>
        <w:t>（二）一般公共预算财政拨款支出决算结构情况</w:t>
      </w:r>
      <w:bookmarkEnd w:id="261"/>
      <w:bookmarkEnd w:id="262"/>
    </w:p>
    <w:p>
      <w:pPr>
        <w:spacing w:line="600" w:lineRule="exact"/>
        <w:ind w:firstLine="640"/>
        <w:rPr>
          <w:rFonts w:hint="eastAsia"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年一般公共预算财政拨款支出</w:t>
      </w:r>
      <w:r>
        <w:rPr>
          <w:rFonts w:hint="eastAsia" w:ascii="仿宋" w:hAnsi="仿宋" w:eastAsia="仿宋"/>
          <w:color w:val="auto"/>
          <w:sz w:val="32"/>
          <w:szCs w:val="32"/>
          <w:highlight w:val="none"/>
          <w:lang w:val="en-US" w:eastAsia="zh-CN"/>
        </w:rPr>
        <w:t>3475.07</w:t>
      </w:r>
      <w:r>
        <w:rPr>
          <w:rFonts w:hint="eastAsia" w:ascii="仿宋" w:hAnsi="仿宋" w:eastAsia="仿宋"/>
          <w:color w:val="auto"/>
          <w:sz w:val="32"/>
          <w:szCs w:val="32"/>
          <w:highlight w:val="none"/>
        </w:rPr>
        <w:t>万元，主要用于以下方</w:t>
      </w:r>
      <w:r>
        <w:rPr>
          <w:rFonts w:hint="eastAsia" w:ascii="仿宋" w:hAnsi="仿宋" w:eastAsia="仿宋"/>
          <w:b w:val="0"/>
          <w:bCs w:val="0"/>
          <w:color w:val="auto"/>
          <w:sz w:val="32"/>
          <w:szCs w:val="32"/>
          <w:highlight w:val="none"/>
        </w:rPr>
        <w:t>面</w:t>
      </w:r>
      <w:r>
        <w:rPr>
          <w:rFonts w:ascii="仿宋" w:hAnsi="仿宋" w:eastAsia="仿宋"/>
          <w:b w:val="0"/>
          <w:bCs w:val="0"/>
          <w:color w:val="auto"/>
          <w:sz w:val="32"/>
          <w:szCs w:val="32"/>
          <w:highlight w:val="none"/>
        </w:rPr>
        <w:t>:</w:t>
      </w:r>
      <w:r>
        <w:rPr>
          <w:rFonts w:hint="eastAsia" w:ascii="仿宋" w:hAnsi="仿宋" w:eastAsia="仿宋"/>
          <w:b w:val="0"/>
          <w:bCs w:val="0"/>
          <w:color w:val="auto"/>
          <w:sz w:val="32"/>
          <w:szCs w:val="32"/>
          <w:highlight w:val="none"/>
        </w:rPr>
        <w:t>一般公共服务支出</w:t>
      </w:r>
      <w:r>
        <w:rPr>
          <w:rFonts w:hint="eastAsia" w:ascii="仿宋" w:hAnsi="仿宋" w:eastAsia="仿宋"/>
          <w:b w:val="0"/>
          <w:bCs w:val="0"/>
          <w:color w:val="auto"/>
          <w:sz w:val="32"/>
          <w:szCs w:val="32"/>
          <w:highlight w:val="none"/>
          <w:lang w:val="en-US" w:eastAsia="zh-CN"/>
        </w:rPr>
        <w:t>3.43</w:t>
      </w:r>
      <w:r>
        <w:rPr>
          <w:rFonts w:hint="eastAsia" w:ascii="仿宋" w:hAnsi="仿宋" w:eastAsia="仿宋"/>
          <w:b w:val="0"/>
          <w:bCs w:val="0"/>
          <w:color w:val="auto"/>
          <w:sz w:val="32"/>
          <w:szCs w:val="32"/>
          <w:highlight w:val="none"/>
        </w:rPr>
        <w:t>万元，占</w:t>
      </w:r>
      <w:r>
        <w:rPr>
          <w:rFonts w:hint="eastAsia" w:ascii="仿宋" w:hAnsi="仿宋" w:eastAsia="仿宋"/>
          <w:b w:val="0"/>
          <w:bCs w:val="0"/>
          <w:color w:val="auto"/>
          <w:sz w:val="32"/>
          <w:szCs w:val="32"/>
          <w:highlight w:val="none"/>
          <w:lang w:val="en-US" w:eastAsia="zh-CN"/>
        </w:rPr>
        <w:t>0.1</w:t>
      </w:r>
      <w:r>
        <w:rPr>
          <w:rFonts w:ascii="仿宋" w:hAnsi="仿宋" w:eastAsia="仿宋"/>
          <w:b w:val="0"/>
          <w:bCs w:val="0"/>
          <w:color w:val="auto"/>
          <w:sz w:val="32"/>
          <w:szCs w:val="32"/>
          <w:highlight w:val="none"/>
        </w:rPr>
        <w:t>%</w:t>
      </w:r>
      <w:r>
        <w:rPr>
          <w:rFonts w:hint="eastAsia" w:ascii="仿宋" w:hAnsi="仿宋" w:eastAsia="仿宋"/>
          <w:b w:val="0"/>
          <w:bCs w:val="0"/>
          <w:color w:val="auto"/>
          <w:sz w:val="32"/>
          <w:szCs w:val="32"/>
          <w:highlight w:val="none"/>
        </w:rPr>
        <w:t>；社会保障和就业支出</w:t>
      </w:r>
      <w:r>
        <w:rPr>
          <w:rFonts w:hint="eastAsia" w:ascii="仿宋" w:hAnsi="仿宋" w:eastAsia="仿宋"/>
          <w:b w:val="0"/>
          <w:bCs w:val="0"/>
          <w:color w:val="auto"/>
          <w:sz w:val="32"/>
          <w:szCs w:val="32"/>
          <w:highlight w:val="none"/>
          <w:lang w:val="en-US" w:eastAsia="zh-CN"/>
        </w:rPr>
        <w:t>59.86</w:t>
      </w:r>
      <w:r>
        <w:rPr>
          <w:rFonts w:hint="eastAsia" w:ascii="仿宋" w:hAnsi="仿宋" w:eastAsia="仿宋"/>
          <w:b w:val="0"/>
          <w:bCs w:val="0"/>
          <w:color w:val="auto"/>
          <w:sz w:val="32"/>
          <w:szCs w:val="32"/>
          <w:highlight w:val="none"/>
        </w:rPr>
        <w:t>万元，占</w:t>
      </w:r>
      <w:r>
        <w:rPr>
          <w:rFonts w:hint="eastAsia" w:ascii="仿宋" w:hAnsi="仿宋" w:eastAsia="仿宋"/>
          <w:b w:val="0"/>
          <w:bCs w:val="0"/>
          <w:color w:val="auto"/>
          <w:sz w:val="32"/>
          <w:szCs w:val="32"/>
          <w:highlight w:val="none"/>
          <w:lang w:val="en-US" w:eastAsia="zh-CN"/>
        </w:rPr>
        <w:t>1.7</w:t>
      </w:r>
      <w:r>
        <w:rPr>
          <w:rFonts w:ascii="仿宋" w:hAnsi="仿宋" w:eastAsia="仿宋"/>
          <w:b w:val="0"/>
          <w:bCs w:val="0"/>
          <w:color w:val="auto"/>
          <w:sz w:val="32"/>
          <w:szCs w:val="32"/>
          <w:highlight w:val="none"/>
        </w:rPr>
        <w:t>%</w:t>
      </w:r>
      <w:r>
        <w:rPr>
          <w:rFonts w:hint="eastAsia" w:ascii="仿宋" w:hAnsi="仿宋" w:eastAsia="仿宋"/>
          <w:b w:val="0"/>
          <w:bCs w:val="0"/>
          <w:color w:val="auto"/>
          <w:sz w:val="32"/>
          <w:szCs w:val="32"/>
          <w:highlight w:val="none"/>
        </w:rPr>
        <w:t>；卫生健康支出</w:t>
      </w:r>
      <w:r>
        <w:rPr>
          <w:rFonts w:hint="eastAsia" w:ascii="仿宋" w:hAnsi="仿宋" w:eastAsia="仿宋"/>
          <w:b w:val="0"/>
          <w:bCs w:val="0"/>
          <w:color w:val="auto"/>
          <w:sz w:val="32"/>
          <w:szCs w:val="32"/>
          <w:highlight w:val="none"/>
          <w:lang w:val="en-US" w:eastAsia="zh-CN"/>
        </w:rPr>
        <w:t>33.93</w:t>
      </w:r>
      <w:r>
        <w:rPr>
          <w:rFonts w:hint="eastAsia" w:ascii="仿宋" w:hAnsi="仿宋" w:eastAsia="仿宋"/>
          <w:b w:val="0"/>
          <w:bCs w:val="0"/>
          <w:color w:val="auto"/>
          <w:sz w:val="32"/>
          <w:szCs w:val="32"/>
          <w:highlight w:val="none"/>
        </w:rPr>
        <w:t>万元，占</w:t>
      </w:r>
      <w:r>
        <w:rPr>
          <w:rFonts w:hint="eastAsia" w:ascii="仿宋" w:hAnsi="仿宋" w:eastAsia="仿宋"/>
          <w:b w:val="0"/>
          <w:bCs w:val="0"/>
          <w:color w:val="auto"/>
          <w:sz w:val="32"/>
          <w:szCs w:val="32"/>
          <w:highlight w:val="none"/>
          <w:lang w:val="en-US" w:eastAsia="zh-CN"/>
        </w:rPr>
        <w:t>1.0</w:t>
      </w:r>
      <w:r>
        <w:rPr>
          <w:rFonts w:ascii="仿宋" w:hAnsi="仿宋" w:eastAsia="仿宋"/>
          <w:b w:val="0"/>
          <w:bCs w:val="0"/>
          <w:color w:val="auto"/>
          <w:sz w:val="32"/>
          <w:szCs w:val="32"/>
          <w:highlight w:val="none"/>
        </w:rPr>
        <w:t>%</w:t>
      </w:r>
      <w:r>
        <w:rPr>
          <w:rFonts w:hint="eastAsia" w:ascii="仿宋" w:hAnsi="仿宋" w:eastAsia="仿宋"/>
          <w:b w:val="0"/>
          <w:bCs w:val="0"/>
          <w:color w:val="auto"/>
          <w:sz w:val="32"/>
          <w:szCs w:val="32"/>
          <w:highlight w:val="none"/>
        </w:rPr>
        <w:t>；住房保障支出</w:t>
      </w:r>
      <w:r>
        <w:rPr>
          <w:rFonts w:hint="eastAsia" w:ascii="仿宋" w:hAnsi="仿宋" w:eastAsia="仿宋"/>
          <w:b w:val="0"/>
          <w:bCs w:val="0"/>
          <w:color w:val="auto"/>
          <w:sz w:val="32"/>
          <w:szCs w:val="32"/>
          <w:highlight w:val="none"/>
          <w:lang w:val="en-US" w:eastAsia="zh-CN"/>
        </w:rPr>
        <w:t>58.85</w:t>
      </w:r>
      <w:r>
        <w:rPr>
          <w:rFonts w:hint="eastAsia" w:ascii="仿宋" w:hAnsi="仿宋" w:eastAsia="仿宋"/>
          <w:b w:val="0"/>
          <w:bCs w:val="0"/>
          <w:color w:val="auto"/>
          <w:sz w:val="32"/>
          <w:szCs w:val="32"/>
          <w:highlight w:val="none"/>
        </w:rPr>
        <w:t>万元，占</w:t>
      </w:r>
      <w:r>
        <w:rPr>
          <w:rFonts w:hint="eastAsia" w:ascii="仿宋" w:hAnsi="仿宋" w:eastAsia="仿宋"/>
          <w:b w:val="0"/>
          <w:bCs w:val="0"/>
          <w:color w:val="auto"/>
          <w:sz w:val="32"/>
          <w:szCs w:val="32"/>
          <w:highlight w:val="none"/>
          <w:lang w:val="en-US" w:eastAsia="zh-CN"/>
        </w:rPr>
        <w:t>1.7</w:t>
      </w:r>
      <w:r>
        <w:rPr>
          <w:rFonts w:ascii="仿宋" w:hAnsi="仿宋" w:eastAsia="仿宋"/>
          <w:b w:val="0"/>
          <w:bCs w:val="0"/>
          <w:color w:val="auto"/>
          <w:sz w:val="32"/>
          <w:szCs w:val="32"/>
          <w:highlight w:val="none"/>
        </w:rPr>
        <w:t>%</w:t>
      </w:r>
      <w:r>
        <w:rPr>
          <w:rFonts w:hint="eastAsia" w:ascii="仿宋" w:hAnsi="仿宋" w:eastAsia="仿宋"/>
          <w:b w:val="0"/>
          <w:bCs w:val="0"/>
          <w:color w:val="auto"/>
          <w:sz w:val="32"/>
          <w:szCs w:val="32"/>
          <w:highlight w:val="none"/>
        </w:rPr>
        <w:t>；灾害防治及应急管理支出</w:t>
      </w:r>
      <w:r>
        <w:rPr>
          <w:rFonts w:hint="eastAsia" w:ascii="仿宋" w:hAnsi="仿宋" w:eastAsia="仿宋"/>
          <w:b w:val="0"/>
          <w:bCs w:val="0"/>
          <w:color w:val="auto"/>
          <w:sz w:val="32"/>
          <w:szCs w:val="32"/>
          <w:highlight w:val="none"/>
          <w:lang w:val="en-US" w:eastAsia="zh-CN"/>
        </w:rPr>
        <w:t>3319万元，</w:t>
      </w:r>
      <w:r>
        <w:rPr>
          <w:rFonts w:hint="eastAsia" w:ascii="仿宋" w:hAnsi="仿宋" w:eastAsia="仿宋"/>
          <w:b w:val="0"/>
          <w:bCs w:val="0"/>
          <w:color w:val="auto"/>
          <w:sz w:val="32"/>
          <w:szCs w:val="32"/>
          <w:highlight w:val="none"/>
        </w:rPr>
        <w:t>占</w:t>
      </w:r>
      <w:r>
        <w:rPr>
          <w:rFonts w:hint="eastAsia" w:ascii="仿宋" w:hAnsi="仿宋" w:eastAsia="仿宋"/>
          <w:b w:val="0"/>
          <w:bCs w:val="0"/>
          <w:color w:val="auto"/>
          <w:sz w:val="32"/>
          <w:szCs w:val="32"/>
          <w:highlight w:val="none"/>
          <w:lang w:val="en-US" w:eastAsia="zh-CN"/>
        </w:rPr>
        <w:t>95.5</w:t>
      </w:r>
      <w:r>
        <w:rPr>
          <w:rFonts w:ascii="仿宋" w:hAnsi="仿宋" w:eastAsia="仿宋"/>
          <w:b w:val="0"/>
          <w:bCs w:val="0"/>
          <w:color w:val="auto"/>
          <w:sz w:val="32"/>
          <w:szCs w:val="32"/>
          <w:highlight w:val="none"/>
        </w:rPr>
        <w:t>%</w:t>
      </w:r>
      <w:r>
        <w:rPr>
          <w:rFonts w:hint="eastAsia" w:ascii="仿宋" w:hAnsi="仿宋" w:eastAsia="仿宋"/>
          <w:b w:val="0"/>
          <w:bCs w:val="0"/>
          <w:color w:val="auto"/>
          <w:sz w:val="32"/>
          <w:szCs w:val="32"/>
          <w:highlight w:val="none"/>
        </w:rPr>
        <w:t>。</w:t>
      </w:r>
    </w:p>
    <w:p>
      <w:pPr>
        <w:spacing w:line="600" w:lineRule="exact"/>
        <w:ind w:firstLine="640"/>
        <w:rPr>
          <w:rFonts w:ascii="仿宋" w:hAnsi="仿宋" w:eastAsia="仿宋"/>
          <w:color w:val="auto"/>
          <w:sz w:val="32"/>
          <w:szCs w:val="32"/>
          <w:highlight w:val="none"/>
        </w:rPr>
      </w:pPr>
    </w:p>
    <w:p>
      <w:pPr>
        <w:pStyle w:val="2"/>
        <w:jc w:val="center"/>
        <w:rPr>
          <w:rFonts w:ascii="仿宋" w:hAnsi="仿宋" w:eastAsia="仿宋"/>
          <w:color w:val="auto"/>
          <w:sz w:val="32"/>
          <w:szCs w:val="32"/>
          <w:highlight w:val="none"/>
        </w:rPr>
      </w:pPr>
      <w:r>
        <w:drawing>
          <wp:inline distT="0" distB="0" distL="114300" distR="114300">
            <wp:extent cx="4572000" cy="2743200"/>
            <wp:effectExtent l="4445" t="4445" r="10795" b="10795"/>
            <wp:docPr id="1079"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spacing w:line="600" w:lineRule="exact"/>
        <w:ind w:firstLine="960" w:firstLineChars="300"/>
        <w:jc w:val="both"/>
        <w:rPr>
          <w:rFonts w:ascii="仿宋" w:hAnsi="仿宋" w:eastAsia="仿宋"/>
          <w:color w:val="auto"/>
          <w:sz w:val="32"/>
          <w:szCs w:val="32"/>
          <w:highlight w:val="none"/>
        </w:rPr>
      </w:pPr>
      <w:r>
        <w:rPr>
          <w:rFonts w:hint="eastAsia" w:ascii="仿宋" w:hAnsi="仿宋" w:eastAsia="仿宋"/>
          <w:color w:val="auto"/>
          <w:sz w:val="32"/>
          <w:szCs w:val="32"/>
          <w:highlight w:val="none"/>
        </w:rPr>
        <w:t>图6：一般公共预算财政拨款支出决算结构</w:t>
      </w:r>
    </w:p>
    <w:p>
      <w:pPr>
        <w:spacing w:line="600" w:lineRule="exact"/>
        <w:ind w:firstLine="643" w:firstLineChars="200"/>
        <w:outlineLvl w:val="2"/>
        <w:rPr>
          <w:rFonts w:ascii="仿宋" w:hAnsi="仿宋" w:eastAsia="仿宋"/>
          <w:b/>
          <w:color w:val="auto"/>
          <w:sz w:val="32"/>
          <w:szCs w:val="32"/>
          <w:highlight w:val="none"/>
        </w:rPr>
      </w:pPr>
      <w:bookmarkStart w:id="263" w:name="_Toc15377212"/>
      <w:bookmarkStart w:id="264" w:name="_Toc22344"/>
      <w:r>
        <w:rPr>
          <w:rFonts w:hint="eastAsia" w:ascii="仿宋" w:hAnsi="仿宋" w:eastAsia="仿宋"/>
          <w:b/>
          <w:color w:val="auto"/>
          <w:sz w:val="32"/>
          <w:szCs w:val="32"/>
          <w:highlight w:val="none"/>
        </w:rPr>
        <w:t>（三）一般公共预算财政拨款支出决算具体情况</w:t>
      </w:r>
      <w:bookmarkEnd w:id="263"/>
      <w:bookmarkEnd w:id="264"/>
    </w:p>
    <w:p>
      <w:pPr>
        <w:spacing w:line="600" w:lineRule="exact"/>
        <w:ind w:firstLine="640" w:firstLineChars="200"/>
        <w:outlineLvl w:val="2"/>
        <w:rPr>
          <w:rFonts w:ascii="仿宋" w:hAnsi="仿宋" w:eastAsia="仿宋"/>
          <w:color w:val="auto"/>
          <w:sz w:val="32"/>
          <w:szCs w:val="32"/>
          <w:highlight w:val="none"/>
        </w:rPr>
      </w:pPr>
      <w:bookmarkStart w:id="265" w:name="_Toc22709"/>
      <w:bookmarkStart w:id="266" w:name="_Toc30356"/>
      <w:bookmarkStart w:id="267" w:name="_Toc15377213"/>
      <w:bookmarkStart w:id="268" w:name="_Toc15378460"/>
      <w:bookmarkStart w:id="269" w:name="_Toc15377444"/>
      <w:bookmarkStart w:id="270" w:name="_Toc4832"/>
      <w:bookmarkStart w:id="271" w:name="_Toc19286"/>
      <w:r>
        <w:rPr>
          <w:rFonts w:hint="eastAsia" w:ascii="仿宋" w:hAnsi="仿宋" w:eastAsia="仿宋"/>
          <w:b w:val="0"/>
          <w:bCs/>
          <w:color w:val="auto"/>
          <w:sz w:val="32"/>
          <w:szCs w:val="32"/>
          <w:highlight w:val="none"/>
        </w:rPr>
        <w:t>20</w:t>
      </w:r>
      <w:r>
        <w:rPr>
          <w:rFonts w:hint="eastAsia" w:ascii="仿宋" w:hAnsi="仿宋" w:eastAsia="仿宋"/>
          <w:b w:val="0"/>
          <w:bCs/>
          <w:color w:val="auto"/>
          <w:sz w:val="32"/>
          <w:szCs w:val="32"/>
          <w:highlight w:val="none"/>
          <w:lang w:val="en-US" w:eastAsia="zh-CN"/>
        </w:rPr>
        <w:t>22</w:t>
      </w:r>
      <w:r>
        <w:rPr>
          <w:rFonts w:hint="eastAsia" w:ascii="仿宋" w:hAnsi="仿宋" w:eastAsia="仿宋"/>
          <w:b w:val="0"/>
          <w:bCs/>
          <w:color w:val="auto"/>
          <w:sz w:val="32"/>
          <w:szCs w:val="32"/>
          <w:highlight w:val="none"/>
        </w:rPr>
        <w:t>年</w:t>
      </w:r>
      <w:r>
        <w:rPr>
          <w:rFonts w:hint="eastAsia" w:ascii="仿宋" w:hAnsi="仿宋" w:eastAsia="仿宋"/>
          <w:b w:val="0"/>
          <w:bCs/>
          <w:color w:val="auto"/>
          <w:sz w:val="32"/>
          <w:szCs w:val="32"/>
          <w:highlight w:val="none"/>
          <w:lang w:eastAsia="zh-CN"/>
        </w:rPr>
        <w:t>一</w:t>
      </w:r>
      <w:r>
        <w:rPr>
          <w:rFonts w:hint="eastAsia" w:ascii="仿宋" w:hAnsi="仿宋" w:eastAsia="仿宋"/>
          <w:b w:val="0"/>
          <w:bCs/>
          <w:color w:val="auto"/>
          <w:sz w:val="32"/>
          <w:szCs w:val="32"/>
          <w:highlight w:val="none"/>
        </w:rPr>
        <w:t>般公共预算支出决算数为</w:t>
      </w:r>
      <w:r>
        <w:rPr>
          <w:rFonts w:hint="eastAsia" w:ascii="仿宋" w:hAnsi="仿宋" w:eastAsia="仿宋"/>
          <w:b w:val="0"/>
          <w:bCs/>
          <w:color w:val="auto"/>
          <w:sz w:val="32"/>
          <w:szCs w:val="32"/>
          <w:highlight w:val="none"/>
          <w:lang w:val="en-US" w:eastAsia="zh-CN"/>
        </w:rPr>
        <w:t>3475.07万元</w:t>
      </w:r>
      <w:r>
        <w:rPr>
          <w:rFonts w:hint="eastAsia" w:ascii="仿宋" w:hAnsi="仿宋" w:eastAsia="仿宋"/>
          <w:b w:val="0"/>
          <w:bCs/>
          <w:color w:val="auto"/>
          <w:sz w:val="32"/>
          <w:szCs w:val="32"/>
          <w:highlight w:val="none"/>
        </w:rPr>
        <w:t>，</w:t>
      </w:r>
      <w:r>
        <w:rPr>
          <w:rStyle w:val="16"/>
          <w:rFonts w:hint="eastAsia" w:ascii="仿宋" w:hAnsi="仿宋" w:eastAsia="仿宋"/>
          <w:b w:val="0"/>
          <w:bCs/>
          <w:color w:val="auto"/>
          <w:sz w:val="32"/>
          <w:szCs w:val="32"/>
          <w:highlight w:val="none"/>
        </w:rPr>
        <w:t>完成预算</w:t>
      </w:r>
      <w:r>
        <w:rPr>
          <w:rStyle w:val="16"/>
          <w:rFonts w:hint="eastAsia" w:ascii="仿宋" w:hAnsi="仿宋" w:eastAsia="仿宋"/>
          <w:b w:val="0"/>
          <w:bCs/>
          <w:color w:val="auto"/>
          <w:sz w:val="32"/>
          <w:szCs w:val="32"/>
          <w:highlight w:val="none"/>
          <w:lang w:val="en-US" w:eastAsia="zh-CN"/>
        </w:rPr>
        <w:t>100</w:t>
      </w:r>
      <w:r>
        <w:rPr>
          <w:rStyle w:val="16"/>
          <w:rFonts w:ascii="仿宋" w:hAnsi="仿宋" w:eastAsia="仿宋"/>
          <w:b w:val="0"/>
          <w:bCs/>
          <w:color w:val="auto"/>
          <w:sz w:val="32"/>
          <w:szCs w:val="32"/>
          <w:highlight w:val="none"/>
        </w:rPr>
        <w:t>%</w:t>
      </w:r>
      <w:r>
        <w:rPr>
          <w:rStyle w:val="16"/>
          <w:rFonts w:hint="eastAsia" w:ascii="仿宋" w:hAnsi="仿宋" w:eastAsia="仿宋"/>
          <w:b w:val="0"/>
          <w:bCs/>
          <w:color w:val="auto"/>
          <w:sz w:val="32"/>
          <w:szCs w:val="32"/>
          <w:highlight w:val="none"/>
        </w:rPr>
        <w:t>。其中：</w:t>
      </w:r>
      <w:bookmarkEnd w:id="265"/>
      <w:bookmarkEnd w:id="266"/>
      <w:bookmarkEnd w:id="267"/>
      <w:bookmarkEnd w:id="268"/>
      <w:bookmarkEnd w:id="269"/>
      <w:bookmarkEnd w:id="270"/>
      <w:bookmarkEnd w:id="271"/>
    </w:p>
    <w:p>
      <w:pPr>
        <w:spacing w:line="600" w:lineRule="exact"/>
        <w:ind w:firstLine="643" w:firstLineChars="200"/>
        <w:rPr>
          <w:rStyle w:val="16"/>
          <w:rFonts w:hint="eastAsia" w:ascii="仿宋" w:hAnsi="仿宋" w:eastAsia="仿宋"/>
          <w:b w:val="0"/>
          <w:bCs w:val="0"/>
          <w:color w:val="auto"/>
          <w:sz w:val="32"/>
          <w:szCs w:val="32"/>
          <w:highlight w:val="none"/>
        </w:rPr>
      </w:pPr>
      <w:r>
        <w:rPr>
          <w:rStyle w:val="16"/>
          <w:rFonts w:ascii="仿宋" w:hAnsi="仿宋" w:eastAsia="仿宋"/>
          <w:b/>
          <w:bCs/>
          <w:color w:val="auto"/>
          <w:sz w:val="32"/>
          <w:szCs w:val="32"/>
          <w:highlight w:val="none"/>
        </w:rPr>
        <w:t>1.</w:t>
      </w:r>
      <w:r>
        <w:rPr>
          <w:rStyle w:val="16"/>
          <w:rFonts w:hint="eastAsia" w:ascii="仿宋" w:hAnsi="仿宋" w:eastAsia="仿宋"/>
          <w:b/>
          <w:bCs/>
          <w:color w:val="auto"/>
          <w:sz w:val="32"/>
          <w:szCs w:val="32"/>
          <w:highlight w:val="none"/>
        </w:rPr>
        <w:t>一般公共服务（类）人大事务（款）行政运行（项）</w:t>
      </w:r>
      <w:r>
        <w:rPr>
          <w:rStyle w:val="16"/>
          <w:rFonts w:ascii="仿宋" w:hAnsi="仿宋" w:eastAsia="仿宋"/>
          <w:b w:val="0"/>
          <w:bCs w:val="0"/>
          <w:color w:val="auto"/>
          <w:sz w:val="32"/>
          <w:szCs w:val="32"/>
          <w:highlight w:val="none"/>
        </w:rPr>
        <w:t xml:space="preserve">: </w:t>
      </w:r>
      <w:r>
        <w:rPr>
          <w:rStyle w:val="16"/>
          <w:rFonts w:hint="eastAsia" w:ascii="仿宋" w:hAnsi="仿宋" w:eastAsia="仿宋"/>
          <w:b w:val="0"/>
          <w:bCs w:val="0"/>
          <w:color w:val="auto"/>
          <w:sz w:val="32"/>
          <w:szCs w:val="32"/>
          <w:highlight w:val="none"/>
        </w:rPr>
        <w:t>支出决算为</w:t>
      </w:r>
      <w:r>
        <w:rPr>
          <w:rStyle w:val="16"/>
          <w:rFonts w:hint="eastAsia" w:ascii="仿宋" w:hAnsi="仿宋" w:eastAsia="仿宋"/>
          <w:b w:val="0"/>
          <w:bCs w:val="0"/>
          <w:color w:val="auto"/>
          <w:sz w:val="32"/>
          <w:szCs w:val="32"/>
          <w:highlight w:val="none"/>
          <w:lang w:val="en-US" w:eastAsia="zh-CN"/>
        </w:rPr>
        <w:t>3.43</w:t>
      </w:r>
      <w:r>
        <w:rPr>
          <w:rStyle w:val="16"/>
          <w:rFonts w:hint="eastAsia" w:ascii="仿宋" w:hAnsi="仿宋" w:eastAsia="仿宋"/>
          <w:b w:val="0"/>
          <w:bCs w:val="0"/>
          <w:color w:val="auto"/>
          <w:sz w:val="32"/>
          <w:szCs w:val="32"/>
          <w:highlight w:val="none"/>
        </w:rPr>
        <w:t>万元，完成预算</w:t>
      </w:r>
      <w:r>
        <w:rPr>
          <w:rStyle w:val="16"/>
          <w:rFonts w:hint="eastAsia" w:ascii="仿宋" w:hAnsi="仿宋" w:eastAsia="仿宋"/>
          <w:b w:val="0"/>
          <w:bCs w:val="0"/>
          <w:color w:val="auto"/>
          <w:sz w:val="32"/>
          <w:szCs w:val="32"/>
          <w:highlight w:val="none"/>
          <w:lang w:val="en-US" w:eastAsia="zh-CN"/>
        </w:rPr>
        <w:t>100</w:t>
      </w:r>
      <w:r>
        <w:rPr>
          <w:rStyle w:val="16"/>
          <w:rFonts w:ascii="仿宋" w:hAnsi="仿宋" w:eastAsia="仿宋"/>
          <w:b w:val="0"/>
          <w:bCs w:val="0"/>
          <w:color w:val="auto"/>
          <w:sz w:val="32"/>
          <w:szCs w:val="32"/>
          <w:highlight w:val="none"/>
        </w:rPr>
        <w:t>%</w:t>
      </w:r>
      <w:r>
        <w:rPr>
          <w:rStyle w:val="16"/>
          <w:rFonts w:hint="eastAsia" w:ascii="仿宋" w:hAnsi="仿宋" w:eastAsia="仿宋"/>
          <w:b w:val="0"/>
          <w:bCs w:val="0"/>
          <w:color w:val="auto"/>
          <w:sz w:val="32"/>
          <w:szCs w:val="32"/>
          <w:highlight w:val="none"/>
          <w:lang w:eastAsia="zh-CN"/>
        </w:rPr>
        <w:t>。</w:t>
      </w:r>
    </w:p>
    <w:p>
      <w:pPr>
        <w:spacing w:line="600" w:lineRule="exact"/>
        <w:ind w:firstLine="643" w:firstLineChars="200"/>
        <w:rPr>
          <w:rFonts w:hint="default" w:ascii="仿宋" w:hAnsi="仿宋" w:eastAsia="仿宋"/>
          <w:b w:val="0"/>
          <w:bCs w:val="0"/>
          <w:color w:val="auto"/>
          <w:sz w:val="32"/>
          <w:szCs w:val="32"/>
          <w:highlight w:val="none"/>
          <w:lang w:val="en-US" w:eastAsia="zh-CN"/>
        </w:rPr>
      </w:pPr>
      <w:r>
        <w:rPr>
          <w:rStyle w:val="16"/>
          <w:rFonts w:hint="eastAsia" w:ascii="仿宋" w:hAnsi="仿宋" w:eastAsia="仿宋"/>
          <w:b/>
          <w:bCs/>
          <w:color w:val="auto"/>
          <w:sz w:val="32"/>
          <w:szCs w:val="32"/>
          <w:highlight w:val="none"/>
          <w:lang w:val="en-US" w:eastAsia="zh-CN"/>
        </w:rPr>
        <w:t>2</w:t>
      </w:r>
      <w:r>
        <w:rPr>
          <w:rStyle w:val="16"/>
          <w:rFonts w:ascii="仿宋" w:hAnsi="仿宋" w:eastAsia="仿宋"/>
          <w:b/>
          <w:bCs/>
          <w:color w:val="auto"/>
          <w:sz w:val="32"/>
          <w:szCs w:val="32"/>
          <w:highlight w:val="none"/>
        </w:rPr>
        <w:t>.</w:t>
      </w:r>
      <w:r>
        <w:rPr>
          <w:rStyle w:val="16"/>
          <w:rFonts w:hint="eastAsia" w:ascii="仿宋" w:hAnsi="仿宋" w:eastAsia="仿宋"/>
          <w:b/>
          <w:bCs/>
          <w:color w:val="auto"/>
          <w:sz w:val="32"/>
          <w:szCs w:val="32"/>
          <w:highlight w:val="none"/>
        </w:rPr>
        <w:t>社会保障和就业（类）行政事业单位养老支出（款）机关事业单位基本养老保险缴费支出（项）</w:t>
      </w:r>
      <w:r>
        <w:rPr>
          <w:rStyle w:val="16"/>
          <w:rFonts w:hint="eastAsia" w:ascii="仿宋" w:hAnsi="仿宋" w:eastAsia="仿宋"/>
          <w:b/>
          <w:bCs/>
          <w:color w:val="auto"/>
          <w:sz w:val="32"/>
          <w:szCs w:val="32"/>
          <w:highlight w:val="none"/>
          <w:lang w:val="en-US" w:eastAsia="zh-CN"/>
        </w:rPr>
        <w:t>和机关事业单位职业年金缴费支出</w:t>
      </w:r>
      <w:r>
        <w:rPr>
          <w:rStyle w:val="16"/>
          <w:rFonts w:hint="eastAsia" w:ascii="仿宋" w:hAnsi="仿宋" w:eastAsia="仿宋"/>
          <w:b/>
          <w:bCs/>
          <w:color w:val="auto"/>
          <w:sz w:val="32"/>
          <w:szCs w:val="32"/>
          <w:highlight w:val="none"/>
        </w:rPr>
        <w:t>（项）</w:t>
      </w:r>
      <w:r>
        <w:rPr>
          <w:rStyle w:val="16"/>
          <w:rFonts w:ascii="仿宋" w:hAnsi="仿宋" w:eastAsia="仿宋"/>
          <w:b/>
          <w:bCs/>
          <w:color w:val="auto"/>
          <w:sz w:val="32"/>
          <w:szCs w:val="32"/>
          <w:highlight w:val="none"/>
        </w:rPr>
        <w:t>:</w:t>
      </w:r>
      <w:r>
        <w:rPr>
          <w:rStyle w:val="16"/>
          <w:rFonts w:ascii="仿宋" w:hAnsi="仿宋" w:eastAsia="仿宋"/>
          <w:b w:val="0"/>
          <w:bCs w:val="0"/>
          <w:color w:val="auto"/>
          <w:sz w:val="32"/>
          <w:szCs w:val="32"/>
          <w:highlight w:val="none"/>
        </w:rPr>
        <w:t xml:space="preserve"> </w:t>
      </w:r>
      <w:r>
        <w:rPr>
          <w:rStyle w:val="16"/>
          <w:rFonts w:hint="eastAsia" w:ascii="仿宋" w:hAnsi="仿宋" w:eastAsia="仿宋"/>
          <w:b w:val="0"/>
          <w:bCs w:val="0"/>
          <w:color w:val="auto"/>
          <w:sz w:val="32"/>
          <w:szCs w:val="32"/>
          <w:highlight w:val="none"/>
        </w:rPr>
        <w:t>支出决算为59.86万元，完成预算</w:t>
      </w:r>
      <w:r>
        <w:rPr>
          <w:rStyle w:val="16"/>
          <w:rFonts w:hint="eastAsia" w:ascii="仿宋" w:hAnsi="仿宋" w:eastAsia="仿宋"/>
          <w:b w:val="0"/>
          <w:bCs w:val="0"/>
          <w:color w:val="auto"/>
          <w:sz w:val="32"/>
          <w:szCs w:val="32"/>
          <w:highlight w:val="none"/>
          <w:lang w:eastAsia="zh-CN"/>
        </w:rPr>
        <w:t>的</w:t>
      </w:r>
      <w:r>
        <w:rPr>
          <w:rStyle w:val="16"/>
          <w:rFonts w:hint="eastAsia" w:ascii="仿宋" w:hAnsi="仿宋" w:eastAsia="仿宋"/>
          <w:b w:val="0"/>
          <w:bCs w:val="0"/>
          <w:color w:val="auto"/>
          <w:sz w:val="32"/>
          <w:szCs w:val="32"/>
          <w:highlight w:val="none"/>
          <w:lang w:val="en-US" w:eastAsia="zh-CN"/>
        </w:rPr>
        <w:t>100</w:t>
      </w:r>
      <w:r>
        <w:rPr>
          <w:rStyle w:val="16"/>
          <w:rFonts w:ascii="仿宋" w:hAnsi="仿宋" w:eastAsia="仿宋"/>
          <w:b w:val="0"/>
          <w:bCs w:val="0"/>
          <w:color w:val="auto"/>
          <w:sz w:val="32"/>
          <w:szCs w:val="32"/>
          <w:highlight w:val="none"/>
        </w:rPr>
        <w:t>%</w:t>
      </w:r>
      <w:r>
        <w:rPr>
          <w:rStyle w:val="16"/>
          <w:rFonts w:hint="eastAsia" w:ascii="仿宋" w:hAnsi="仿宋" w:eastAsia="仿宋"/>
          <w:b w:val="0"/>
          <w:bCs w:val="0"/>
          <w:color w:val="auto"/>
          <w:sz w:val="32"/>
          <w:szCs w:val="32"/>
          <w:highlight w:val="none"/>
          <w:lang w:eastAsia="zh-CN"/>
        </w:rPr>
        <w:t>。</w:t>
      </w:r>
    </w:p>
    <w:p>
      <w:pPr>
        <w:spacing w:line="600" w:lineRule="exact"/>
        <w:ind w:firstLine="643" w:firstLineChars="200"/>
        <w:rPr>
          <w:rStyle w:val="16"/>
          <w:rFonts w:hint="default" w:ascii="仿宋" w:hAnsi="仿宋" w:eastAsia="仿宋"/>
          <w:b w:val="0"/>
          <w:bCs w:val="0"/>
          <w:color w:val="auto"/>
          <w:sz w:val="32"/>
          <w:szCs w:val="32"/>
          <w:highlight w:val="none"/>
          <w:lang w:val="en-US" w:eastAsia="zh-CN"/>
        </w:rPr>
      </w:pPr>
      <w:r>
        <w:rPr>
          <w:rStyle w:val="16"/>
          <w:rFonts w:hint="eastAsia" w:ascii="仿宋" w:hAnsi="仿宋" w:eastAsia="仿宋"/>
          <w:b/>
          <w:bCs/>
          <w:color w:val="auto"/>
          <w:sz w:val="32"/>
          <w:szCs w:val="32"/>
          <w:highlight w:val="none"/>
          <w:lang w:val="en-US" w:eastAsia="zh-CN"/>
        </w:rPr>
        <w:t>3.卫生健康（类）行政事业单位医疗（款）行政单位医疗（项）和公务员医疗补助（项）:</w:t>
      </w:r>
      <w:r>
        <w:rPr>
          <w:rStyle w:val="16"/>
          <w:rFonts w:hint="eastAsia" w:ascii="仿宋" w:hAnsi="仿宋" w:eastAsia="仿宋"/>
          <w:b w:val="0"/>
          <w:bCs w:val="0"/>
          <w:color w:val="auto"/>
          <w:sz w:val="32"/>
          <w:szCs w:val="32"/>
          <w:highlight w:val="none"/>
        </w:rPr>
        <w:t>支出决算为</w:t>
      </w:r>
      <w:r>
        <w:rPr>
          <w:rStyle w:val="16"/>
          <w:rFonts w:hint="eastAsia" w:ascii="仿宋" w:hAnsi="仿宋" w:eastAsia="仿宋"/>
          <w:b w:val="0"/>
          <w:bCs w:val="0"/>
          <w:color w:val="auto"/>
          <w:sz w:val="32"/>
          <w:szCs w:val="32"/>
          <w:highlight w:val="none"/>
          <w:lang w:val="en-US" w:eastAsia="zh-CN"/>
        </w:rPr>
        <w:t>33.93</w:t>
      </w:r>
      <w:r>
        <w:rPr>
          <w:rStyle w:val="16"/>
          <w:rFonts w:hint="eastAsia" w:ascii="仿宋" w:hAnsi="仿宋" w:eastAsia="仿宋"/>
          <w:b w:val="0"/>
          <w:bCs w:val="0"/>
          <w:color w:val="auto"/>
          <w:sz w:val="32"/>
          <w:szCs w:val="32"/>
          <w:highlight w:val="none"/>
        </w:rPr>
        <w:t>万元，完成预算</w:t>
      </w:r>
      <w:r>
        <w:rPr>
          <w:rStyle w:val="16"/>
          <w:rFonts w:hint="eastAsia" w:ascii="仿宋" w:hAnsi="仿宋" w:eastAsia="仿宋"/>
          <w:b w:val="0"/>
          <w:bCs w:val="0"/>
          <w:color w:val="auto"/>
          <w:sz w:val="32"/>
          <w:szCs w:val="32"/>
          <w:highlight w:val="none"/>
          <w:lang w:val="en-US" w:eastAsia="zh-CN"/>
        </w:rPr>
        <w:t>100</w:t>
      </w:r>
      <w:r>
        <w:rPr>
          <w:rStyle w:val="16"/>
          <w:rFonts w:ascii="仿宋" w:hAnsi="仿宋" w:eastAsia="仿宋"/>
          <w:b w:val="0"/>
          <w:bCs w:val="0"/>
          <w:color w:val="auto"/>
          <w:sz w:val="32"/>
          <w:szCs w:val="32"/>
          <w:highlight w:val="none"/>
        </w:rPr>
        <w:t>%</w:t>
      </w:r>
      <w:r>
        <w:rPr>
          <w:rStyle w:val="16"/>
          <w:rFonts w:hint="eastAsia" w:ascii="仿宋" w:hAnsi="仿宋" w:eastAsia="仿宋"/>
          <w:b w:val="0"/>
          <w:bCs w:val="0"/>
          <w:color w:val="auto"/>
          <w:sz w:val="32"/>
          <w:szCs w:val="32"/>
          <w:highlight w:val="none"/>
        </w:rPr>
        <w:t>。</w:t>
      </w:r>
      <w:r>
        <w:rPr>
          <w:rStyle w:val="16"/>
          <w:rFonts w:hint="eastAsia" w:ascii="仿宋" w:hAnsi="仿宋" w:eastAsia="仿宋"/>
          <w:b w:val="0"/>
          <w:bCs w:val="0"/>
          <w:color w:val="auto"/>
          <w:sz w:val="32"/>
          <w:szCs w:val="32"/>
          <w:highlight w:val="none"/>
          <w:lang w:val="en-US" w:eastAsia="zh-CN"/>
        </w:rPr>
        <w:t xml:space="preserve"> </w:t>
      </w:r>
    </w:p>
    <w:p>
      <w:pPr>
        <w:pStyle w:val="2"/>
        <w:ind w:firstLine="643" w:firstLineChars="200"/>
        <w:rPr>
          <w:rStyle w:val="16"/>
          <w:rFonts w:hint="eastAsia" w:ascii="仿宋" w:hAnsi="仿宋" w:eastAsia="仿宋"/>
          <w:b w:val="0"/>
          <w:bCs w:val="0"/>
          <w:color w:val="auto"/>
          <w:sz w:val="32"/>
          <w:szCs w:val="32"/>
          <w:highlight w:val="none"/>
          <w:lang w:val="en-US" w:eastAsia="zh-CN"/>
        </w:rPr>
      </w:pPr>
      <w:r>
        <w:rPr>
          <w:rStyle w:val="16"/>
          <w:rFonts w:hint="eastAsia" w:ascii="仿宋" w:hAnsi="仿宋" w:eastAsia="仿宋" w:cs="Times New Roman"/>
          <w:bCs/>
          <w:color w:val="auto"/>
          <w:kern w:val="2"/>
          <w:sz w:val="32"/>
          <w:szCs w:val="32"/>
          <w:highlight w:val="none"/>
          <w:lang w:val="en-US" w:eastAsia="zh-CN" w:bidi="ar-SA"/>
        </w:rPr>
        <w:t>4.住房保障支出（类）住房改革支出（款）住房公积金（项）：</w:t>
      </w:r>
      <w:r>
        <w:rPr>
          <w:rStyle w:val="16"/>
          <w:rFonts w:hint="eastAsia" w:ascii="仿宋" w:hAnsi="仿宋" w:eastAsia="仿宋"/>
          <w:b w:val="0"/>
          <w:bCs w:val="0"/>
          <w:color w:val="auto"/>
          <w:sz w:val="32"/>
          <w:szCs w:val="32"/>
          <w:highlight w:val="none"/>
        </w:rPr>
        <w:t>支出决算为</w:t>
      </w:r>
      <w:r>
        <w:rPr>
          <w:rStyle w:val="16"/>
          <w:rFonts w:hint="eastAsia" w:ascii="仿宋" w:hAnsi="仿宋" w:eastAsia="仿宋"/>
          <w:b w:val="0"/>
          <w:bCs w:val="0"/>
          <w:color w:val="auto"/>
          <w:sz w:val="32"/>
          <w:szCs w:val="32"/>
          <w:highlight w:val="none"/>
          <w:lang w:val="en-US" w:eastAsia="zh-CN"/>
        </w:rPr>
        <w:t>58.85</w:t>
      </w:r>
      <w:r>
        <w:rPr>
          <w:rStyle w:val="16"/>
          <w:rFonts w:hint="eastAsia" w:ascii="仿宋" w:hAnsi="仿宋" w:eastAsia="仿宋"/>
          <w:b w:val="0"/>
          <w:bCs w:val="0"/>
          <w:color w:val="auto"/>
          <w:sz w:val="32"/>
          <w:szCs w:val="32"/>
          <w:highlight w:val="none"/>
        </w:rPr>
        <w:t>万元，完成预算100%</w:t>
      </w:r>
      <w:r>
        <w:rPr>
          <w:rStyle w:val="16"/>
          <w:rFonts w:hint="eastAsia" w:ascii="仿宋" w:hAnsi="仿宋" w:eastAsia="仿宋"/>
          <w:b w:val="0"/>
          <w:bCs w:val="0"/>
          <w:color w:val="auto"/>
          <w:sz w:val="32"/>
          <w:szCs w:val="32"/>
          <w:highlight w:val="none"/>
          <w:lang w:eastAsia="zh-CN"/>
        </w:rPr>
        <w:t>。</w:t>
      </w:r>
      <w:r>
        <w:rPr>
          <w:rStyle w:val="16"/>
          <w:rFonts w:hint="eastAsia" w:ascii="仿宋" w:hAnsi="仿宋" w:eastAsia="仿宋"/>
          <w:b w:val="0"/>
          <w:bCs w:val="0"/>
          <w:color w:val="auto"/>
          <w:sz w:val="32"/>
          <w:szCs w:val="32"/>
          <w:highlight w:val="none"/>
          <w:lang w:val="en-US" w:eastAsia="zh-CN"/>
        </w:rPr>
        <w:t xml:space="preserve"> </w:t>
      </w:r>
    </w:p>
    <w:p>
      <w:pPr>
        <w:pStyle w:val="2"/>
        <w:ind w:firstLine="643" w:firstLineChars="200"/>
        <w:rPr>
          <w:rFonts w:hint="default" w:ascii="仿宋" w:hAnsi="仿宋" w:eastAsia="仿宋"/>
          <w:b w:val="0"/>
          <w:bCs w:val="0"/>
          <w:color w:val="auto"/>
          <w:sz w:val="32"/>
          <w:szCs w:val="32"/>
          <w:highlight w:val="none"/>
          <w:lang w:val="en-US" w:eastAsia="zh-CN"/>
        </w:rPr>
      </w:pPr>
      <w:r>
        <w:rPr>
          <w:rStyle w:val="16"/>
          <w:rFonts w:hint="eastAsia" w:ascii="仿宋" w:hAnsi="仿宋" w:eastAsia="仿宋" w:cs="Times New Roman"/>
          <w:bCs/>
          <w:color w:val="auto"/>
          <w:kern w:val="2"/>
          <w:sz w:val="32"/>
          <w:szCs w:val="32"/>
          <w:highlight w:val="none"/>
          <w:lang w:val="en-US" w:eastAsia="zh-CN" w:bidi="ar-SA"/>
        </w:rPr>
        <w:t>5.灾害防治及应急管理支出（类）应急管理事务（款）行政运行（项）一般行政管理事务（项）灾害风险防治（项）安全监管（项）应急救援（项）应急管理（项）其他应急管理支出（项）和其他灾害防治及应急管理支出（款）其他灾害防治及应急管理支出（项）：</w:t>
      </w:r>
      <w:r>
        <w:rPr>
          <w:rStyle w:val="16"/>
          <w:rFonts w:hint="eastAsia" w:ascii="仿宋" w:hAnsi="仿宋" w:eastAsia="仿宋"/>
          <w:b w:val="0"/>
          <w:bCs w:val="0"/>
          <w:color w:val="auto"/>
          <w:sz w:val="32"/>
          <w:szCs w:val="32"/>
          <w:highlight w:val="none"/>
        </w:rPr>
        <w:t>支出决算为</w:t>
      </w:r>
      <w:r>
        <w:rPr>
          <w:rStyle w:val="16"/>
          <w:rFonts w:hint="eastAsia" w:ascii="仿宋" w:hAnsi="仿宋" w:eastAsia="仿宋"/>
          <w:b w:val="0"/>
          <w:bCs w:val="0"/>
          <w:color w:val="auto"/>
          <w:sz w:val="32"/>
          <w:szCs w:val="32"/>
          <w:highlight w:val="none"/>
          <w:lang w:val="en-US" w:eastAsia="zh-CN"/>
        </w:rPr>
        <w:t>3319</w:t>
      </w:r>
      <w:r>
        <w:rPr>
          <w:rStyle w:val="16"/>
          <w:rFonts w:hint="eastAsia" w:ascii="仿宋" w:hAnsi="仿宋" w:eastAsia="仿宋"/>
          <w:b w:val="0"/>
          <w:bCs w:val="0"/>
          <w:color w:val="auto"/>
          <w:sz w:val="32"/>
          <w:szCs w:val="32"/>
          <w:highlight w:val="none"/>
        </w:rPr>
        <w:t>万元，完成预算100%</w:t>
      </w:r>
      <w:r>
        <w:rPr>
          <w:rStyle w:val="16"/>
          <w:rFonts w:hint="eastAsia" w:ascii="仿宋" w:hAnsi="仿宋" w:eastAsia="仿宋"/>
          <w:b w:val="0"/>
          <w:bCs w:val="0"/>
          <w:color w:val="auto"/>
          <w:sz w:val="32"/>
          <w:szCs w:val="32"/>
          <w:highlight w:val="none"/>
          <w:lang w:eastAsia="zh-CN"/>
        </w:rPr>
        <w:t>。</w:t>
      </w:r>
      <w:r>
        <w:rPr>
          <w:rStyle w:val="16"/>
          <w:rFonts w:hint="eastAsia" w:ascii="仿宋" w:hAnsi="仿宋" w:eastAsia="仿宋"/>
          <w:b w:val="0"/>
          <w:bCs w:val="0"/>
          <w:color w:val="auto"/>
          <w:sz w:val="32"/>
          <w:szCs w:val="32"/>
          <w:highlight w:val="none"/>
          <w:lang w:val="en-US" w:eastAsia="zh-CN"/>
        </w:rPr>
        <w:t xml:space="preserve">  </w:t>
      </w:r>
    </w:p>
    <w:p>
      <w:pPr>
        <w:tabs>
          <w:tab w:val="right" w:pos="8306"/>
        </w:tabs>
        <w:spacing w:line="600" w:lineRule="exact"/>
        <w:ind w:firstLine="640"/>
        <w:outlineLvl w:val="1"/>
        <w:rPr>
          <w:rStyle w:val="28"/>
          <w:color w:val="auto"/>
          <w:highlight w:val="none"/>
        </w:rPr>
      </w:pPr>
      <w:bookmarkStart w:id="272" w:name="_Toc15377214"/>
      <w:bookmarkStart w:id="273" w:name="_Toc15396608"/>
      <w:bookmarkStart w:id="274" w:name="_Toc8340"/>
      <w:r>
        <w:rPr>
          <w:rFonts w:hint="eastAsia" w:ascii="黑体" w:eastAsia="黑体"/>
          <w:color w:val="auto"/>
          <w:sz w:val="32"/>
          <w:szCs w:val="32"/>
          <w:highlight w:val="none"/>
        </w:rPr>
        <w:t>六</w:t>
      </w:r>
      <w:r>
        <w:rPr>
          <w:rFonts w:hint="eastAsia" w:ascii="黑体" w:eastAsia="黑体"/>
          <w:b/>
          <w:color w:val="auto"/>
          <w:sz w:val="32"/>
          <w:szCs w:val="32"/>
          <w:highlight w:val="none"/>
        </w:rPr>
        <w:t>、</w:t>
      </w:r>
      <w:r>
        <w:rPr>
          <w:rFonts w:hint="eastAsia" w:ascii="黑体" w:hAnsi="黑体" w:eastAsia="黑体"/>
          <w:b/>
          <w:color w:val="auto"/>
          <w:sz w:val="32"/>
          <w:szCs w:val="32"/>
          <w:highlight w:val="none"/>
        </w:rPr>
        <w:t>一</w:t>
      </w:r>
      <w:r>
        <w:rPr>
          <w:rStyle w:val="28"/>
          <w:rFonts w:hint="eastAsia" w:ascii="黑体" w:hAnsi="黑体" w:eastAsia="黑体"/>
          <w:b w:val="0"/>
          <w:color w:val="auto"/>
          <w:highlight w:val="none"/>
        </w:rPr>
        <w:t>般公共预算财政拨款基本支出决算情况说明</w:t>
      </w:r>
      <w:bookmarkEnd w:id="272"/>
      <w:bookmarkEnd w:id="273"/>
      <w:bookmarkEnd w:id="274"/>
      <w:r>
        <w:rPr>
          <w:rStyle w:val="28"/>
          <w:rFonts w:ascii="黑体" w:hAnsi="黑体" w:eastAsia="黑体"/>
          <w:b w:val="0"/>
          <w:color w:val="auto"/>
          <w:highlight w:val="none"/>
        </w:rPr>
        <w:tab/>
      </w:r>
    </w:p>
    <w:p>
      <w:pPr>
        <w:spacing w:line="600" w:lineRule="exact"/>
        <w:ind w:firstLine="645"/>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年一般公共预算财政拨款基本支出886.57万元，其中：</w:t>
      </w:r>
    </w:p>
    <w:p>
      <w:pPr>
        <w:spacing w:line="600" w:lineRule="exact"/>
        <w:ind w:firstLine="645"/>
        <w:rPr>
          <w:rFonts w:hint="eastAsia" w:ascii="仿宋" w:hAnsi="仿宋" w:eastAsia="仿宋"/>
          <w:color w:val="auto"/>
          <w:sz w:val="32"/>
          <w:szCs w:val="32"/>
          <w:highlight w:val="none"/>
          <w:lang w:eastAsia="zh-CN"/>
        </w:rPr>
      </w:pPr>
      <w:r>
        <w:rPr>
          <w:rFonts w:hint="eastAsia" w:ascii="仿宋" w:hAnsi="仿宋" w:eastAsia="仿宋"/>
          <w:color w:val="auto"/>
          <w:sz w:val="32"/>
          <w:szCs w:val="32"/>
          <w:highlight w:val="none"/>
        </w:rPr>
        <w:t>人员经费719.68万元，主要包括：基本工资、津贴补贴、奖金、绩效工资、机关事业单位基本养老保险缴费、职业年金缴费、其他社会保障缴费、其他工资福利支出、退休费、生活补助、医疗费补助、住房公积金、其他对个人和家庭的补助支出等。</w:t>
      </w:r>
    </w:p>
    <w:p>
      <w:pPr>
        <w:spacing w:line="600" w:lineRule="exact"/>
        <w:ind w:firstLine="645"/>
        <w:rPr>
          <w:rFonts w:ascii="仿宋" w:hAnsi="仿宋" w:eastAsia="仿宋"/>
          <w:b/>
          <w:color w:val="auto"/>
          <w:sz w:val="32"/>
          <w:szCs w:val="32"/>
          <w:highlight w:val="none"/>
        </w:rPr>
      </w:pPr>
      <w:r>
        <w:rPr>
          <w:rFonts w:hint="eastAsia" w:ascii="仿宋" w:hAnsi="仿宋" w:eastAsia="仿宋"/>
          <w:color w:val="auto"/>
          <w:sz w:val="32"/>
          <w:szCs w:val="32"/>
          <w:highlight w:val="none"/>
        </w:rPr>
        <w:t>公用经费153.51万元，主要包括：办公费、印刷费、水费、电费、邮电费、物业管理费、差旅费、维修（护）费、会议费、培训费、公务接待费、劳务费、工会经费、公务用车运行维护费、其他交通费、其他商品和服务支出、办公设备购置等。</w:t>
      </w:r>
    </w:p>
    <w:p>
      <w:pPr>
        <w:spacing w:line="600" w:lineRule="exact"/>
        <w:ind w:firstLine="640"/>
        <w:outlineLvl w:val="1"/>
        <w:rPr>
          <w:rStyle w:val="28"/>
          <w:rFonts w:ascii="黑体" w:hAnsi="黑体" w:eastAsia="黑体"/>
          <w:b w:val="0"/>
          <w:color w:val="auto"/>
          <w:highlight w:val="none"/>
        </w:rPr>
      </w:pPr>
      <w:bookmarkStart w:id="275" w:name="_Toc15377215"/>
      <w:bookmarkStart w:id="276" w:name="_Toc15396609"/>
      <w:bookmarkStart w:id="277" w:name="_Toc6740"/>
      <w:r>
        <w:rPr>
          <w:rFonts w:hint="eastAsia" w:ascii="黑体" w:eastAsia="黑体"/>
          <w:color w:val="auto"/>
          <w:sz w:val="32"/>
          <w:szCs w:val="32"/>
          <w:highlight w:val="none"/>
        </w:rPr>
        <w:t>七、</w:t>
      </w:r>
      <w:r>
        <w:rPr>
          <w:rStyle w:val="28"/>
          <w:rFonts w:hint="eastAsia" w:ascii="黑体" w:hAnsi="黑体" w:eastAsia="黑体"/>
          <w:b w:val="0"/>
          <w:color w:val="auto"/>
          <w:highlight w:val="none"/>
        </w:rPr>
        <w:t>财政拨款</w:t>
      </w:r>
      <w:r>
        <w:rPr>
          <w:rStyle w:val="28"/>
          <w:rFonts w:hint="eastAsia" w:ascii="黑体" w:hAnsi="黑体" w:eastAsia="黑体"/>
          <w:color w:val="auto"/>
          <w:highlight w:val="none"/>
        </w:rPr>
        <w:t>“</w:t>
      </w:r>
      <w:r>
        <w:rPr>
          <w:rStyle w:val="28"/>
          <w:rFonts w:hint="eastAsia" w:ascii="黑体" w:hAnsi="黑体" w:eastAsia="黑体"/>
          <w:b w:val="0"/>
          <w:color w:val="auto"/>
          <w:highlight w:val="none"/>
        </w:rPr>
        <w:t>三公”经费支出决算情况说明</w:t>
      </w:r>
      <w:bookmarkEnd w:id="275"/>
      <w:bookmarkEnd w:id="276"/>
      <w:bookmarkEnd w:id="277"/>
    </w:p>
    <w:p>
      <w:pPr>
        <w:spacing w:line="600" w:lineRule="exact"/>
        <w:ind w:firstLine="640"/>
        <w:outlineLvl w:val="2"/>
        <w:rPr>
          <w:rFonts w:ascii="仿宋" w:hAnsi="仿宋" w:eastAsia="仿宋"/>
          <w:b/>
          <w:color w:val="auto"/>
          <w:sz w:val="32"/>
          <w:szCs w:val="32"/>
          <w:highlight w:val="none"/>
        </w:rPr>
      </w:pPr>
      <w:bookmarkStart w:id="278" w:name="_Toc15377216"/>
      <w:bookmarkStart w:id="279" w:name="_Toc22425"/>
      <w:r>
        <w:rPr>
          <w:rFonts w:hint="eastAsia" w:ascii="仿宋" w:hAnsi="仿宋" w:eastAsia="仿宋"/>
          <w:b/>
          <w:color w:val="auto"/>
          <w:sz w:val="32"/>
          <w:szCs w:val="32"/>
          <w:highlight w:val="none"/>
        </w:rPr>
        <w:t>（一）“三公”经费财政拨款支出决算总体情况说明</w:t>
      </w:r>
      <w:bookmarkEnd w:id="278"/>
      <w:bookmarkEnd w:id="279"/>
    </w:p>
    <w:p>
      <w:pPr>
        <w:spacing w:line="600" w:lineRule="exact"/>
        <w:ind w:firstLine="640"/>
        <w:rPr>
          <w:rFonts w:ascii="仿宋" w:hAnsi="仿宋" w:eastAsia="仿宋"/>
          <w:b/>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年“三公”经费财政拨款支出决算为</w:t>
      </w:r>
      <w:r>
        <w:rPr>
          <w:rFonts w:hint="eastAsia" w:ascii="仿宋" w:hAnsi="仿宋" w:eastAsia="仿宋"/>
          <w:color w:val="auto"/>
          <w:sz w:val="32"/>
          <w:szCs w:val="32"/>
          <w:highlight w:val="none"/>
          <w:lang w:val="en-US" w:eastAsia="zh-CN"/>
        </w:rPr>
        <w:t>2.7</w:t>
      </w:r>
      <w:r>
        <w:rPr>
          <w:rFonts w:hint="eastAsia" w:ascii="仿宋" w:hAnsi="仿宋" w:eastAsia="仿宋"/>
          <w:color w:val="auto"/>
          <w:sz w:val="32"/>
          <w:szCs w:val="32"/>
          <w:highlight w:val="none"/>
        </w:rPr>
        <w:t>万元，完成预算</w:t>
      </w:r>
      <w:r>
        <w:rPr>
          <w:rFonts w:hint="eastAsia" w:ascii="仿宋" w:hAnsi="仿宋" w:eastAsia="仿宋"/>
          <w:color w:val="auto"/>
          <w:sz w:val="32"/>
          <w:szCs w:val="32"/>
          <w:highlight w:val="none"/>
          <w:lang w:val="en-US" w:eastAsia="zh-CN"/>
        </w:rPr>
        <w:t>90</w:t>
      </w:r>
      <w:r>
        <w:rPr>
          <w:rFonts w:ascii="仿宋" w:hAnsi="仿宋" w:eastAsia="仿宋"/>
          <w:color w:val="auto"/>
          <w:sz w:val="32"/>
          <w:szCs w:val="32"/>
          <w:highlight w:val="none"/>
        </w:rPr>
        <w:t>%</w:t>
      </w:r>
      <w:r>
        <w:rPr>
          <w:rFonts w:hint="eastAsia" w:ascii="仿宋" w:hAnsi="仿宋" w:eastAsia="仿宋"/>
          <w:color w:val="auto"/>
          <w:sz w:val="32"/>
          <w:szCs w:val="32"/>
          <w:highlight w:val="none"/>
        </w:rPr>
        <w:t>，决算数小于预算数的主要原因是2022年减少公务接待，压缩“三公”经费开支。</w:t>
      </w:r>
    </w:p>
    <w:p>
      <w:pPr>
        <w:spacing w:line="600" w:lineRule="exact"/>
        <w:ind w:firstLine="640"/>
        <w:outlineLvl w:val="2"/>
        <w:rPr>
          <w:rFonts w:ascii="仿宋" w:hAnsi="仿宋" w:eastAsia="仿宋"/>
          <w:b/>
          <w:color w:val="auto"/>
          <w:sz w:val="32"/>
          <w:szCs w:val="32"/>
          <w:highlight w:val="none"/>
        </w:rPr>
      </w:pPr>
      <w:bookmarkStart w:id="280" w:name="_Toc15377217"/>
      <w:bookmarkStart w:id="281" w:name="_Toc7018"/>
      <w:r>
        <w:rPr>
          <w:rFonts w:hint="eastAsia" w:ascii="仿宋" w:hAnsi="仿宋" w:eastAsia="仿宋"/>
          <w:b/>
          <w:color w:val="auto"/>
          <w:sz w:val="32"/>
          <w:szCs w:val="32"/>
          <w:highlight w:val="none"/>
        </w:rPr>
        <w:t>（二）“三公”经费财政拨款支出决算具体情况说明</w:t>
      </w:r>
      <w:bookmarkEnd w:id="280"/>
      <w:bookmarkEnd w:id="281"/>
    </w:p>
    <w:p>
      <w:pPr>
        <w:spacing w:line="600" w:lineRule="exact"/>
        <w:ind w:firstLine="64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20</w:t>
      </w:r>
      <w:r>
        <w:rPr>
          <w:rFonts w:hint="eastAsia" w:ascii="仿宋_GB2312" w:hAnsi="仿宋_GB2312" w:eastAsia="仿宋_GB2312" w:cs="仿宋_GB2312"/>
          <w:color w:val="auto"/>
          <w:sz w:val="32"/>
          <w:szCs w:val="32"/>
          <w:highlight w:val="none"/>
          <w:lang w:val="en-US" w:eastAsia="zh-CN"/>
        </w:rPr>
        <w:t>22</w:t>
      </w:r>
      <w:r>
        <w:rPr>
          <w:rFonts w:hint="eastAsia" w:ascii="仿宋_GB2312" w:hAnsi="仿宋_GB2312" w:eastAsia="仿宋_GB2312" w:cs="仿宋_GB2312"/>
          <w:color w:val="auto"/>
          <w:sz w:val="32"/>
          <w:szCs w:val="32"/>
          <w:highlight w:val="none"/>
        </w:rPr>
        <w:t>年“三公”经费财政拨款支出决算中，因公出国（境）费支出决算</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%；公务用车购置及运行维护费支出决算</w:t>
      </w:r>
      <w:r>
        <w:rPr>
          <w:rFonts w:hint="eastAsia" w:ascii="仿宋_GB2312" w:hAnsi="仿宋_GB2312" w:eastAsia="仿宋_GB2312" w:cs="仿宋_GB2312"/>
          <w:color w:val="auto"/>
          <w:sz w:val="32"/>
          <w:szCs w:val="32"/>
          <w:highlight w:val="none"/>
          <w:lang w:val="en-US" w:eastAsia="zh-CN"/>
        </w:rPr>
        <w:t>1.5</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56</w:t>
      </w:r>
      <w:r>
        <w:rPr>
          <w:rFonts w:hint="eastAsia" w:ascii="仿宋_GB2312" w:hAnsi="仿宋_GB2312" w:eastAsia="仿宋_GB2312" w:cs="仿宋_GB2312"/>
          <w:color w:val="auto"/>
          <w:sz w:val="32"/>
          <w:szCs w:val="32"/>
          <w:highlight w:val="none"/>
        </w:rPr>
        <w:t>%；公务接待费支出决算</w:t>
      </w:r>
      <w:r>
        <w:rPr>
          <w:rFonts w:hint="eastAsia" w:ascii="仿宋_GB2312" w:hAnsi="仿宋_GB2312" w:eastAsia="仿宋_GB2312" w:cs="仿宋_GB2312"/>
          <w:color w:val="auto"/>
          <w:sz w:val="32"/>
          <w:szCs w:val="32"/>
          <w:highlight w:val="none"/>
          <w:lang w:val="en-US" w:eastAsia="zh-CN"/>
        </w:rPr>
        <w:t>1.2</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44</w:t>
      </w:r>
      <w:r>
        <w:rPr>
          <w:rFonts w:hint="eastAsia" w:ascii="仿宋_GB2312" w:hAnsi="仿宋_GB2312" w:eastAsia="仿宋_GB2312" w:cs="仿宋_GB2312"/>
          <w:color w:val="auto"/>
          <w:sz w:val="32"/>
          <w:szCs w:val="32"/>
          <w:highlight w:val="none"/>
        </w:rPr>
        <w:t>%。具体情况如下：</w:t>
      </w:r>
    </w:p>
    <w:p>
      <w:pPr>
        <w:pStyle w:val="2"/>
        <w:jc w:val="center"/>
        <w:rPr>
          <w:rFonts w:hint="eastAsia" w:ascii="仿宋" w:hAnsi="仿宋" w:eastAsia="仿宋"/>
          <w:color w:val="auto"/>
          <w:sz w:val="32"/>
          <w:szCs w:val="32"/>
          <w:highlight w:val="none"/>
        </w:rPr>
      </w:pPr>
      <w:r>
        <w:drawing>
          <wp:inline distT="0" distB="0" distL="114300" distR="114300">
            <wp:extent cx="4572000" cy="2743835"/>
            <wp:effectExtent l="4445" t="4445" r="10795" b="10160"/>
            <wp:docPr id="2"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spacing w:line="600" w:lineRule="exact"/>
        <w:ind w:firstLine="640"/>
        <w:jc w:val="center"/>
        <w:rPr>
          <w:rFonts w:ascii="仿宋" w:hAnsi="仿宋" w:eastAsia="仿宋"/>
          <w:color w:val="auto"/>
          <w:sz w:val="32"/>
          <w:szCs w:val="32"/>
          <w:highlight w:val="none"/>
        </w:rPr>
      </w:pPr>
      <w:r>
        <w:rPr>
          <w:rFonts w:hint="eastAsia" w:ascii="仿宋" w:hAnsi="仿宋" w:eastAsia="仿宋"/>
          <w:color w:val="auto"/>
          <w:sz w:val="32"/>
          <w:szCs w:val="32"/>
          <w:highlight w:val="none"/>
        </w:rPr>
        <w:t>图7：“三公”经费财政拨款支出结构</w:t>
      </w:r>
    </w:p>
    <w:p>
      <w:pPr>
        <w:spacing w:line="600" w:lineRule="exact"/>
        <w:ind w:firstLine="640"/>
        <w:rPr>
          <w:rFonts w:ascii="仿宋_GB2312" w:eastAsia="仿宋_GB2312"/>
          <w:b/>
          <w:color w:val="auto"/>
          <w:sz w:val="32"/>
          <w:szCs w:val="32"/>
          <w:highlight w:val="none"/>
        </w:rPr>
      </w:pPr>
      <w:r>
        <w:rPr>
          <w:rFonts w:ascii="仿宋_GB2312" w:eastAsia="仿宋_GB2312"/>
          <w:b/>
          <w:color w:val="auto"/>
          <w:sz w:val="32"/>
          <w:szCs w:val="32"/>
          <w:highlight w:val="none"/>
        </w:rPr>
        <w:t>1.</w:t>
      </w:r>
      <w:r>
        <w:rPr>
          <w:rFonts w:hint="eastAsia" w:ascii="仿宋_GB2312" w:eastAsia="仿宋_GB2312"/>
          <w:b/>
          <w:color w:val="auto"/>
          <w:sz w:val="32"/>
          <w:szCs w:val="32"/>
          <w:highlight w:val="none"/>
        </w:rPr>
        <w:t>因公出国（境）经费支出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r>
        <w:rPr>
          <w:rStyle w:val="16"/>
          <w:rFonts w:hint="eastAsia" w:ascii="仿宋" w:hAnsi="仿宋" w:eastAsia="仿宋"/>
          <w:b w:val="0"/>
          <w:bCs/>
          <w:color w:val="auto"/>
          <w:sz w:val="32"/>
          <w:szCs w:val="32"/>
          <w:highlight w:val="none"/>
        </w:rPr>
        <w:t>。</w:t>
      </w:r>
      <w:r>
        <w:rPr>
          <w:rFonts w:hint="eastAsia" w:ascii="仿宋_GB2312" w:eastAsia="仿宋_GB2312"/>
          <w:color w:val="auto"/>
          <w:sz w:val="32"/>
          <w:szCs w:val="32"/>
          <w:highlight w:val="none"/>
        </w:rPr>
        <w:t>全年安排因公出国（境）团组</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次，出国（境）</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人。因公出国（境）支出决算比</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w:t>
      </w:r>
      <w:r>
        <w:rPr>
          <w:rFonts w:hint="eastAsia" w:ascii="仿宋_GB2312" w:eastAsia="仿宋_GB2312"/>
          <w:color w:val="auto"/>
          <w:sz w:val="32"/>
          <w:szCs w:val="32"/>
          <w:highlight w:val="none"/>
          <w:lang w:val="en-US" w:eastAsia="zh-CN"/>
        </w:rPr>
        <w:t>相比无变化</w:t>
      </w:r>
      <w:r>
        <w:rPr>
          <w:rFonts w:hint="eastAsia" w:ascii="仿宋_GB2312" w:eastAsia="仿宋_GB2312"/>
          <w:color w:val="auto"/>
          <w:sz w:val="32"/>
          <w:szCs w:val="32"/>
          <w:highlight w:val="none"/>
        </w:rPr>
        <w:t>。</w:t>
      </w:r>
    </w:p>
    <w:p>
      <w:pPr>
        <w:spacing w:line="600" w:lineRule="exact"/>
        <w:ind w:firstLine="640"/>
        <w:rPr>
          <w:rFonts w:ascii="仿宋_GB2312" w:eastAsia="仿宋_GB2312"/>
          <w:b/>
          <w:color w:val="auto"/>
          <w:sz w:val="32"/>
          <w:szCs w:val="32"/>
          <w:highlight w:val="none"/>
        </w:rPr>
      </w:pPr>
      <w:r>
        <w:rPr>
          <w:rFonts w:ascii="仿宋_GB2312" w:eastAsia="仿宋_GB2312"/>
          <w:b/>
          <w:color w:val="auto"/>
          <w:sz w:val="32"/>
          <w:szCs w:val="32"/>
          <w:highlight w:val="none"/>
        </w:rPr>
        <w:t>2.</w:t>
      </w:r>
      <w:r>
        <w:rPr>
          <w:rFonts w:hint="eastAsia" w:ascii="仿宋_GB2312" w:eastAsia="仿宋_GB2312"/>
          <w:b/>
          <w:color w:val="auto"/>
          <w:sz w:val="32"/>
          <w:szCs w:val="32"/>
          <w:highlight w:val="none"/>
        </w:rPr>
        <w:t>公务用车购置及运行维护费支出</w:t>
      </w:r>
      <w:r>
        <w:rPr>
          <w:rFonts w:hint="eastAsia" w:ascii="仿宋_GB2312" w:eastAsia="仿宋_GB2312"/>
          <w:color w:val="auto"/>
          <w:sz w:val="32"/>
          <w:szCs w:val="32"/>
          <w:highlight w:val="none"/>
          <w:lang w:val="en-US" w:eastAsia="zh-CN"/>
        </w:rPr>
        <w:t>1.5</w:t>
      </w:r>
      <w:r>
        <w:rPr>
          <w:rFonts w:hint="eastAsia" w:ascii="仿宋_GB2312" w:eastAsia="仿宋_GB2312"/>
          <w:color w:val="auto"/>
          <w:sz w:val="32"/>
          <w:szCs w:val="32"/>
          <w:highlight w:val="none"/>
        </w:rPr>
        <w:t>万元,</w:t>
      </w:r>
      <w:r>
        <w:rPr>
          <w:rStyle w:val="16"/>
          <w:rFonts w:hint="eastAsia" w:ascii="仿宋" w:hAnsi="仿宋" w:eastAsia="仿宋"/>
          <w:b w:val="0"/>
          <w:bCs/>
          <w:color w:val="auto"/>
          <w:sz w:val="32"/>
          <w:szCs w:val="32"/>
          <w:highlight w:val="none"/>
        </w:rPr>
        <w:t>完成预算</w:t>
      </w:r>
      <w:r>
        <w:rPr>
          <w:rStyle w:val="16"/>
          <w:rFonts w:hint="eastAsia" w:ascii="仿宋" w:hAnsi="仿宋" w:eastAsia="仿宋"/>
          <w:b w:val="0"/>
          <w:bCs/>
          <w:color w:val="auto"/>
          <w:sz w:val="32"/>
          <w:szCs w:val="32"/>
          <w:highlight w:val="none"/>
          <w:lang w:val="en-US" w:eastAsia="zh-CN"/>
        </w:rPr>
        <w:t>100</w:t>
      </w:r>
      <w:r>
        <w:rPr>
          <w:rStyle w:val="16"/>
          <w:rFonts w:ascii="仿宋" w:hAnsi="仿宋" w:eastAsia="仿宋"/>
          <w:b w:val="0"/>
          <w:bCs/>
          <w:color w:val="auto"/>
          <w:sz w:val="32"/>
          <w:szCs w:val="32"/>
          <w:highlight w:val="none"/>
        </w:rPr>
        <w:t>%</w:t>
      </w:r>
      <w:r>
        <w:rPr>
          <w:rStyle w:val="16"/>
          <w:rFonts w:hint="eastAsia" w:ascii="仿宋" w:hAnsi="仿宋" w:eastAsia="仿宋"/>
          <w:b w:val="0"/>
          <w:bCs/>
          <w:color w:val="auto"/>
          <w:sz w:val="32"/>
          <w:szCs w:val="32"/>
          <w:highlight w:val="none"/>
        </w:rPr>
        <w:t>。</w:t>
      </w:r>
      <w:r>
        <w:rPr>
          <w:rFonts w:hint="eastAsia" w:ascii="仿宋_GB2312" w:eastAsia="仿宋_GB2312"/>
          <w:color w:val="auto"/>
          <w:sz w:val="32"/>
          <w:szCs w:val="32"/>
          <w:highlight w:val="none"/>
        </w:rPr>
        <w:t>公务用车购置及运行维护费支出决算比</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年减少，主要原因是</w:t>
      </w:r>
      <w:r>
        <w:rPr>
          <w:rFonts w:hint="eastAsia" w:ascii="仿宋_GB2312" w:eastAsia="仿宋_GB2312"/>
          <w:color w:val="auto"/>
          <w:sz w:val="32"/>
          <w:szCs w:val="32"/>
          <w:highlight w:val="none"/>
          <w:lang w:val="en-US" w:eastAsia="zh-CN"/>
        </w:rPr>
        <w:t>减少公务车购置费用</w:t>
      </w:r>
      <w:r>
        <w:rPr>
          <w:rFonts w:hint="eastAsia" w:ascii="仿宋_GB2312" w:eastAsia="仿宋_GB2312"/>
          <w:color w:val="auto"/>
          <w:sz w:val="32"/>
          <w:szCs w:val="32"/>
          <w:highlight w:val="none"/>
        </w:rPr>
        <w:t>。</w:t>
      </w:r>
    </w:p>
    <w:p>
      <w:pPr>
        <w:spacing w:line="600" w:lineRule="exact"/>
        <w:ind w:firstLine="640" w:firstLineChars="200"/>
        <w:rPr>
          <w:rFonts w:ascii="仿宋_GB2312" w:eastAsia="仿宋_GB2312"/>
          <w:b/>
          <w:color w:val="FF0000"/>
          <w:sz w:val="32"/>
          <w:szCs w:val="32"/>
          <w:highlight w:val="none"/>
        </w:rPr>
      </w:pPr>
      <w:r>
        <w:rPr>
          <w:rFonts w:hint="eastAsia" w:ascii="仿宋_GB2312" w:eastAsia="仿宋_GB2312"/>
          <w:color w:val="auto"/>
          <w:sz w:val="32"/>
          <w:szCs w:val="32"/>
          <w:highlight w:val="none"/>
        </w:rPr>
        <w:t>其中：</w:t>
      </w:r>
      <w:r>
        <w:rPr>
          <w:rFonts w:hint="eastAsia" w:ascii="仿宋_GB2312" w:eastAsia="仿宋_GB2312"/>
          <w:b/>
          <w:color w:val="auto"/>
          <w:sz w:val="32"/>
          <w:szCs w:val="32"/>
          <w:highlight w:val="none"/>
        </w:rPr>
        <w:t>公务用车购置支出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万元。全年按规定更新购置公务用车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辆，其中：轿车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辆、金额</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万元，越野车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辆、金额</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万元，载客汽车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辆、金额</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万元。截至</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22</w:t>
      </w:r>
      <w:r>
        <w:rPr>
          <w:rFonts w:hint="eastAsia" w:ascii="仿宋_GB2312" w:eastAsia="仿宋_GB2312"/>
          <w:color w:val="auto"/>
          <w:sz w:val="32"/>
          <w:szCs w:val="32"/>
          <w:highlight w:val="none"/>
        </w:rPr>
        <w:t>年</w:t>
      </w:r>
      <w:r>
        <w:rPr>
          <w:rFonts w:ascii="仿宋_GB2312" w:eastAsia="仿宋_GB2312"/>
          <w:color w:val="auto"/>
          <w:sz w:val="32"/>
          <w:szCs w:val="32"/>
          <w:highlight w:val="none"/>
        </w:rPr>
        <w:t>12</w:t>
      </w:r>
      <w:r>
        <w:rPr>
          <w:rFonts w:hint="eastAsia" w:ascii="仿宋_GB2312" w:eastAsia="仿宋_GB2312"/>
          <w:color w:val="auto"/>
          <w:sz w:val="32"/>
          <w:szCs w:val="32"/>
          <w:highlight w:val="none"/>
        </w:rPr>
        <w:t>月底，单位共有公务用车</w:t>
      </w:r>
      <w:r>
        <w:rPr>
          <w:rFonts w:hint="eastAsia" w:ascii="仿宋_GB2312" w:eastAsia="仿宋_GB2312"/>
          <w:color w:val="auto"/>
          <w:sz w:val="32"/>
          <w:szCs w:val="32"/>
          <w:highlight w:val="none"/>
          <w:lang w:val="en-US" w:eastAsia="zh-CN"/>
        </w:rPr>
        <w:t>5</w:t>
      </w:r>
      <w:r>
        <w:rPr>
          <w:rFonts w:hint="eastAsia" w:ascii="仿宋_GB2312" w:eastAsia="仿宋_GB2312"/>
          <w:color w:val="auto"/>
          <w:sz w:val="32"/>
          <w:szCs w:val="32"/>
          <w:highlight w:val="none"/>
        </w:rPr>
        <w:t>辆，其中：</w:t>
      </w:r>
      <w:r>
        <w:rPr>
          <w:rFonts w:hint="eastAsia" w:ascii="仿宋_GB2312" w:eastAsia="仿宋_GB2312"/>
          <w:color w:val="auto"/>
          <w:sz w:val="32"/>
          <w:szCs w:val="32"/>
          <w:highlight w:val="none"/>
          <w:lang w:val="en-US" w:eastAsia="zh-CN"/>
        </w:rPr>
        <w:t>应急保障车辆4辆，执法车辆1辆</w:t>
      </w:r>
      <w:r>
        <w:rPr>
          <w:rFonts w:hint="eastAsia" w:ascii="仿宋_GB2312" w:eastAsia="仿宋_GB2312"/>
          <w:color w:val="auto"/>
          <w:sz w:val="32"/>
          <w:szCs w:val="32"/>
          <w:highlight w:val="none"/>
        </w:rPr>
        <w:t>。</w:t>
      </w:r>
    </w:p>
    <w:p>
      <w:pPr>
        <w:spacing w:line="600" w:lineRule="exact"/>
        <w:ind w:firstLine="640"/>
        <w:rPr>
          <w:rFonts w:ascii="仿宋_GB2312" w:eastAsia="仿宋_GB2312"/>
          <w:color w:val="auto"/>
          <w:sz w:val="32"/>
          <w:szCs w:val="32"/>
          <w:highlight w:val="none"/>
        </w:rPr>
      </w:pPr>
      <w:r>
        <w:rPr>
          <w:rFonts w:hint="eastAsia" w:ascii="仿宋_GB2312" w:eastAsia="仿宋_GB2312"/>
          <w:b/>
          <w:color w:val="auto"/>
          <w:sz w:val="32"/>
          <w:szCs w:val="32"/>
          <w:highlight w:val="none"/>
        </w:rPr>
        <w:t>公务用车运行维护费支出</w:t>
      </w:r>
      <w:r>
        <w:rPr>
          <w:rFonts w:hint="eastAsia" w:ascii="仿宋_GB2312" w:eastAsia="仿宋_GB2312"/>
          <w:color w:val="auto"/>
          <w:sz w:val="32"/>
          <w:szCs w:val="32"/>
          <w:highlight w:val="none"/>
          <w:lang w:val="en-US" w:eastAsia="zh-CN"/>
        </w:rPr>
        <w:t>1.5</w:t>
      </w:r>
      <w:r>
        <w:rPr>
          <w:rFonts w:hint="eastAsia" w:ascii="仿宋_GB2312" w:eastAsia="仿宋_GB2312"/>
          <w:color w:val="auto"/>
          <w:sz w:val="32"/>
          <w:szCs w:val="32"/>
          <w:highlight w:val="none"/>
        </w:rPr>
        <w:t>万元。主要用于公务用车燃料费、维修费、过路过桥费、保险费等支出。</w:t>
      </w:r>
    </w:p>
    <w:p>
      <w:pPr>
        <w:spacing w:line="600" w:lineRule="exact"/>
        <w:ind w:firstLine="640"/>
        <w:rPr>
          <w:rFonts w:ascii="仿宋_GB2312" w:eastAsia="仿宋_GB2312"/>
          <w:color w:val="auto"/>
          <w:sz w:val="32"/>
          <w:szCs w:val="32"/>
          <w:highlight w:val="none"/>
        </w:rPr>
      </w:pPr>
      <w:r>
        <w:rPr>
          <w:rFonts w:ascii="仿宋_GB2312" w:eastAsia="仿宋_GB2312"/>
          <w:b/>
          <w:color w:val="auto"/>
          <w:sz w:val="32"/>
          <w:szCs w:val="32"/>
          <w:highlight w:val="none"/>
        </w:rPr>
        <w:t>3.</w:t>
      </w:r>
      <w:r>
        <w:rPr>
          <w:rFonts w:hint="eastAsia" w:ascii="仿宋_GB2312" w:eastAsia="仿宋_GB2312"/>
          <w:b/>
          <w:color w:val="auto"/>
          <w:sz w:val="32"/>
          <w:szCs w:val="32"/>
          <w:highlight w:val="none"/>
        </w:rPr>
        <w:t>公务接待费支出</w:t>
      </w:r>
      <w:r>
        <w:rPr>
          <w:rFonts w:hint="eastAsia" w:ascii="仿宋_GB2312" w:eastAsia="仿宋_GB2312"/>
          <w:color w:val="auto"/>
          <w:sz w:val="32"/>
          <w:szCs w:val="32"/>
          <w:highlight w:val="none"/>
          <w:lang w:val="en-US" w:eastAsia="zh-CN"/>
        </w:rPr>
        <w:t>1.2</w:t>
      </w:r>
      <w:r>
        <w:rPr>
          <w:rFonts w:hint="eastAsia" w:ascii="仿宋_GB2312" w:eastAsia="仿宋_GB2312"/>
          <w:color w:val="auto"/>
          <w:sz w:val="32"/>
          <w:szCs w:val="32"/>
          <w:highlight w:val="none"/>
        </w:rPr>
        <w:t>万元，</w:t>
      </w:r>
      <w:r>
        <w:rPr>
          <w:rStyle w:val="16"/>
          <w:rFonts w:hint="eastAsia" w:ascii="仿宋" w:hAnsi="仿宋" w:eastAsia="仿宋"/>
          <w:b w:val="0"/>
          <w:bCs/>
          <w:color w:val="auto"/>
          <w:sz w:val="32"/>
          <w:szCs w:val="32"/>
          <w:highlight w:val="none"/>
        </w:rPr>
        <w:t>完成预算</w:t>
      </w:r>
      <w:r>
        <w:rPr>
          <w:rStyle w:val="16"/>
          <w:rFonts w:hint="eastAsia" w:ascii="仿宋" w:hAnsi="仿宋" w:eastAsia="仿宋"/>
          <w:b w:val="0"/>
          <w:bCs/>
          <w:color w:val="auto"/>
          <w:sz w:val="32"/>
          <w:szCs w:val="32"/>
          <w:highlight w:val="none"/>
          <w:lang w:val="en-US" w:eastAsia="zh-CN"/>
        </w:rPr>
        <w:t>90</w:t>
      </w:r>
      <w:r>
        <w:rPr>
          <w:rStyle w:val="16"/>
          <w:rFonts w:ascii="仿宋" w:hAnsi="仿宋" w:eastAsia="仿宋"/>
          <w:b w:val="0"/>
          <w:bCs/>
          <w:color w:val="auto"/>
          <w:sz w:val="32"/>
          <w:szCs w:val="32"/>
          <w:highlight w:val="none"/>
        </w:rPr>
        <w:t>%</w:t>
      </w:r>
      <w:r>
        <w:rPr>
          <w:rStyle w:val="16"/>
          <w:rFonts w:hint="eastAsia" w:ascii="仿宋" w:hAnsi="仿宋" w:eastAsia="仿宋"/>
          <w:b w:val="0"/>
          <w:bCs/>
          <w:color w:val="auto"/>
          <w:sz w:val="32"/>
          <w:szCs w:val="32"/>
          <w:highlight w:val="none"/>
        </w:rPr>
        <w:t>。</w:t>
      </w:r>
      <w:r>
        <w:rPr>
          <w:rFonts w:hint="eastAsia" w:ascii="仿宋_GB2312" w:eastAsia="仿宋_GB2312"/>
          <w:color w:val="auto"/>
          <w:sz w:val="32"/>
          <w:szCs w:val="32"/>
          <w:highlight w:val="none"/>
        </w:rPr>
        <w:t>公务接待费支出决算比</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年减少，主要原因是</w:t>
      </w:r>
      <w:r>
        <w:rPr>
          <w:rFonts w:hint="eastAsia" w:ascii="仿宋_GB2312" w:eastAsia="仿宋_GB2312"/>
          <w:color w:val="auto"/>
          <w:sz w:val="32"/>
          <w:szCs w:val="32"/>
          <w:highlight w:val="none"/>
          <w:lang w:val="en-US" w:eastAsia="zh-CN"/>
        </w:rPr>
        <w:t>公务接待减少</w:t>
      </w:r>
      <w:r>
        <w:rPr>
          <w:rFonts w:hint="eastAsia" w:ascii="仿宋_GB2312" w:eastAsia="仿宋_GB2312"/>
          <w:color w:val="auto"/>
          <w:sz w:val="32"/>
          <w:szCs w:val="32"/>
          <w:highlight w:val="none"/>
        </w:rPr>
        <w:t>。其中：</w:t>
      </w:r>
    </w:p>
    <w:p>
      <w:pPr>
        <w:spacing w:line="600" w:lineRule="exact"/>
        <w:ind w:firstLine="640"/>
        <w:rPr>
          <w:rFonts w:ascii="仿宋_GB2312" w:eastAsia="仿宋_GB2312"/>
          <w:color w:val="auto"/>
          <w:sz w:val="32"/>
          <w:szCs w:val="32"/>
          <w:highlight w:val="none"/>
        </w:rPr>
      </w:pPr>
      <w:r>
        <w:rPr>
          <w:rFonts w:hint="eastAsia" w:ascii="仿宋" w:hAnsi="仿宋" w:eastAsia="仿宋"/>
          <w:b/>
          <w:color w:val="auto"/>
          <w:sz w:val="32"/>
          <w:szCs w:val="32"/>
          <w:highlight w:val="none"/>
        </w:rPr>
        <w:t>国内公务接待支出</w:t>
      </w:r>
      <w:r>
        <w:rPr>
          <w:rFonts w:hint="eastAsia" w:ascii="仿宋" w:hAnsi="仿宋" w:eastAsia="仿宋"/>
          <w:color w:val="auto"/>
          <w:sz w:val="32"/>
          <w:szCs w:val="32"/>
          <w:highlight w:val="none"/>
          <w:lang w:val="en-US" w:eastAsia="zh-CN"/>
        </w:rPr>
        <w:t>1.2</w:t>
      </w:r>
      <w:r>
        <w:rPr>
          <w:rFonts w:hint="eastAsia" w:ascii="仿宋_GB2312" w:eastAsia="仿宋_GB2312"/>
          <w:color w:val="auto"/>
          <w:sz w:val="32"/>
          <w:szCs w:val="32"/>
          <w:highlight w:val="none"/>
        </w:rPr>
        <w:t>万元，主要用于开展业务活动开支的交通费、住宿费、用餐费等。国内公务接待</w:t>
      </w:r>
      <w:r>
        <w:rPr>
          <w:rFonts w:hint="eastAsia" w:ascii="仿宋_GB2312" w:eastAsia="仿宋_GB2312"/>
          <w:color w:val="auto"/>
          <w:sz w:val="32"/>
          <w:szCs w:val="32"/>
          <w:highlight w:val="none"/>
          <w:lang w:val="en-US" w:eastAsia="zh-CN"/>
        </w:rPr>
        <w:t>6</w:t>
      </w:r>
      <w:r>
        <w:rPr>
          <w:rFonts w:hint="eastAsia" w:ascii="仿宋_GB2312" w:eastAsia="仿宋_GB2312"/>
          <w:color w:val="auto"/>
          <w:sz w:val="32"/>
          <w:szCs w:val="32"/>
          <w:highlight w:val="none"/>
        </w:rPr>
        <w:t>批次，</w:t>
      </w:r>
      <w:r>
        <w:rPr>
          <w:rFonts w:hint="eastAsia" w:ascii="仿宋_GB2312" w:eastAsia="仿宋_GB2312"/>
          <w:color w:val="auto"/>
          <w:sz w:val="32"/>
          <w:szCs w:val="32"/>
          <w:highlight w:val="none"/>
          <w:lang w:val="en-US" w:eastAsia="zh-CN"/>
        </w:rPr>
        <w:t>20</w:t>
      </w:r>
      <w:r>
        <w:rPr>
          <w:rFonts w:hint="eastAsia" w:ascii="仿宋_GB2312" w:eastAsia="仿宋_GB2312"/>
          <w:color w:val="auto"/>
          <w:sz w:val="32"/>
          <w:szCs w:val="32"/>
          <w:highlight w:val="none"/>
        </w:rPr>
        <w:t>人次（不包括陪同人员），共计支出</w:t>
      </w:r>
      <w:r>
        <w:rPr>
          <w:rFonts w:hint="eastAsia" w:ascii="仿宋_GB2312" w:eastAsia="仿宋_GB2312"/>
          <w:color w:val="auto"/>
          <w:sz w:val="32"/>
          <w:szCs w:val="32"/>
          <w:highlight w:val="none"/>
          <w:lang w:val="en-US" w:eastAsia="zh-CN"/>
        </w:rPr>
        <w:t>1.2</w:t>
      </w:r>
      <w:r>
        <w:rPr>
          <w:rFonts w:hint="eastAsia" w:ascii="仿宋_GB2312" w:eastAsia="仿宋_GB2312"/>
          <w:color w:val="auto"/>
          <w:sz w:val="32"/>
          <w:szCs w:val="32"/>
          <w:highlight w:val="none"/>
        </w:rPr>
        <w:t>万元，具体内容包括：</w:t>
      </w:r>
      <w:r>
        <w:rPr>
          <w:rFonts w:hint="eastAsia" w:ascii="仿宋_GB2312" w:eastAsia="仿宋_GB2312"/>
          <w:color w:val="auto"/>
          <w:sz w:val="32"/>
          <w:szCs w:val="32"/>
          <w:highlight w:val="none"/>
          <w:lang w:val="en-US" w:eastAsia="zh-CN"/>
        </w:rPr>
        <w:t>开展区县间交叉检查和迎接省督导组工作检查</w:t>
      </w:r>
      <w:r>
        <w:rPr>
          <w:rFonts w:hint="eastAsia" w:ascii="仿宋_GB2312" w:eastAsia="仿宋_GB2312"/>
          <w:color w:val="auto"/>
          <w:sz w:val="32"/>
          <w:szCs w:val="32"/>
          <w:highlight w:val="none"/>
        </w:rPr>
        <w:t>。</w:t>
      </w:r>
    </w:p>
    <w:p>
      <w:pPr>
        <w:spacing w:line="600" w:lineRule="exact"/>
        <w:ind w:firstLine="643" w:firstLineChars="200"/>
        <w:rPr>
          <w:rFonts w:ascii="黑体" w:eastAsia="黑体"/>
          <w:color w:val="auto"/>
          <w:sz w:val="32"/>
          <w:szCs w:val="32"/>
          <w:highlight w:val="none"/>
        </w:rPr>
      </w:pPr>
      <w:r>
        <w:rPr>
          <w:rFonts w:hint="eastAsia" w:ascii="仿宋" w:hAnsi="仿宋" w:eastAsia="仿宋"/>
          <w:b/>
          <w:color w:val="auto"/>
          <w:sz w:val="32"/>
          <w:szCs w:val="32"/>
          <w:highlight w:val="none"/>
        </w:rPr>
        <w:t>外事接待支出</w:t>
      </w:r>
      <w:r>
        <w:rPr>
          <w:rFonts w:hint="eastAsia" w:ascii="仿宋" w:hAnsi="仿宋" w:eastAsia="仿宋"/>
          <w:color w:val="auto"/>
          <w:sz w:val="32"/>
          <w:szCs w:val="32"/>
          <w:highlight w:val="none"/>
          <w:lang w:val="en-US" w:eastAsia="zh-CN"/>
        </w:rPr>
        <w:t>0</w:t>
      </w:r>
      <w:r>
        <w:rPr>
          <w:rFonts w:hint="eastAsia" w:ascii="仿宋_GB2312" w:eastAsia="仿宋_GB2312"/>
          <w:color w:val="auto"/>
          <w:sz w:val="32"/>
          <w:szCs w:val="32"/>
          <w:highlight w:val="none"/>
        </w:rPr>
        <w:t>万元，外事接待</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批次，</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人</w:t>
      </w:r>
      <w:r>
        <w:rPr>
          <w:rFonts w:hint="eastAsia" w:ascii="仿宋_GB2312" w:eastAsia="仿宋_GB2312"/>
          <w:color w:val="auto"/>
          <w:sz w:val="32"/>
          <w:szCs w:val="32"/>
          <w:highlight w:val="none"/>
          <w:lang w:eastAsia="zh-CN"/>
        </w:rPr>
        <w:t>次</w:t>
      </w:r>
      <w:r>
        <w:rPr>
          <w:rFonts w:hint="eastAsia" w:ascii="仿宋_GB2312" w:eastAsia="仿宋_GB2312"/>
          <w:color w:val="auto"/>
          <w:sz w:val="32"/>
          <w:szCs w:val="32"/>
          <w:highlight w:val="none"/>
        </w:rPr>
        <w:t>，共计支出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bookmarkStart w:id="282" w:name="_Toc15377218"/>
      <w:bookmarkStart w:id="283" w:name="_Toc15396610"/>
    </w:p>
    <w:p>
      <w:pPr>
        <w:spacing w:line="600" w:lineRule="exact"/>
        <w:ind w:firstLine="640"/>
        <w:outlineLvl w:val="1"/>
        <w:rPr>
          <w:rStyle w:val="28"/>
          <w:rFonts w:ascii="黑体" w:hAnsi="黑体" w:eastAsia="黑体"/>
          <w:color w:val="auto"/>
          <w:highlight w:val="none"/>
        </w:rPr>
      </w:pPr>
      <w:bookmarkStart w:id="284" w:name="_Toc11141"/>
      <w:r>
        <w:rPr>
          <w:rFonts w:hint="eastAsia" w:ascii="黑体" w:eastAsia="黑体"/>
          <w:color w:val="auto"/>
          <w:sz w:val="32"/>
          <w:szCs w:val="32"/>
          <w:highlight w:val="none"/>
        </w:rPr>
        <w:t>八、</w:t>
      </w:r>
      <w:r>
        <w:rPr>
          <w:rStyle w:val="28"/>
          <w:rFonts w:hint="eastAsia" w:ascii="黑体" w:hAnsi="黑体" w:eastAsia="黑体"/>
          <w:b w:val="0"/>
          <w:color w:val="auto"/>
          <w:highlight w:val="none"/>
        </w:rPr>
        <w:t>政府性基金预算支出决算情况说明</w:t>
      </w:r>
      <w:bookmarkEnd w:id="282"/>
      <w:bookmarkEnd w:id="283"/>
      <w:bookmarkEnd w:id="284"/>
    </w:p>
    <w:p>
      <w:pPr>
        <w:spacing w:line="600" w:lineRule="exact"/>
        <w:ind w:firstLine="640"/>
        <w:rPr>
          <w:rFonts w:ascii="仿宋_GB2312" w:eastAsia="仿宋_GB2312"/>
          <w:color w:val="auto"/>
          <w:sz w:val="32"/>
          <w:szCs w:val="32"/>
          <w:highlight w:val="none"/>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22</w:t>
      </w:r>
      <w:r>
        <w:rPr>
          <w:rFonts w:hint="eastAsia" w:ascii="仿宋_GB2312" w:eastAsia="仿宋_GB2312"/>
          <w:color w:val="auto"/>
          <w:sz w:val="32"/>
          <w:szCs w:val="32"/>
          <w:highlight w:val="none"/>
        </w:rPr>
        <w:t>年政府性基金预算</w:t>
      </w:r>
      <w:r>
        <w:rPr>
          <w:rFonts w:hint="eastAsia" w:ascii="仿宋_GB2312" w:eastAsia="仿宋_GB2312"/>
          <w:color w:val="auto"/>
          <w:sz w:val="32"/>
          <w:szCs w:val="32"/>
          <w:highlight w:val="none"/>
          <w:lang w:eastAsia="zh-CN"/>
        </w:rPr>
        <w:t>财政</w:t>
      </w:r>
      <w:r>
        <w:rPr>
          <w:rFonts w:hint="eastAsia" w:ascii="仿宋_GB2312" w:eastAsia="仿宋_GB2312"/>
          <w:color w:val="auto"/>
          <w:sz w:val="32"/>
          <w:szCs w:val="32"/>
          <w:highlight w:val="none"/>
        </w:rPr>
        <w:t>拨款支出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p>
    <w:p>
      <w:pPr>
        <w:numPr>
          <w:ilvl w:val="0"/>
          <w:numId w:val="2"/>
        </w:numPr>
        <w:spacing w:line="600" w:lineRule="exact"/>
        <w:ind w:firstLine="640"/>
        <w:outlineLvl w:val="1"/>
        <w:rPr>
          <w:rStyle w:val="28"/>
          <w:rFonts w:ascii="黑体" w:hAnsi="黑体" w:eastAsia="黑体"/>
          <w:b w:val="0"/>
          <w:color w:val="auto"/>
          <w:highlight w:val="none"/>
        </w:rPr>
      </w:pPr>
      <w:bookmarkStart w:id="285" w:name="_Toc15396611"/>
      <w:bookmarkStart w:id="286" w:name="_Toc15377219"/>
      <w:bookmarkStart w:id="287" w:name="_Toc15676"/>
      <w:r>
        <w:rPr>
          <w:rStyle w:val="28"/>
          <w:rFonts w:hint="eastAsia" w:ascii="黑体" w:hAnsi="黑体" w:eastAsia="黑体"/>
          <w:b w:val="0"/>
          <w:color w:val="auto"/>
          <w:highlight w:val="none"/>
        </w:rPr>
        <w:t>国有资本经营预算支出决算情况说明</w:t>
      </w:r>
      <w:bookmarkEnd w:id="285"/>
      <w:bookmarkEnd w:id="286"/>
      <w:bookmarkEnd w:id="287"/>
    </w:p>
    <w:p>
      <w:pPr>
        <w:spacing w:line="600" w:lineRule="exact"/>
        <w:ind w:firstLine="640"/>
        <w:rPr>
          <w:rFonts w:ascii="方正小标宋简体" w:hAnsi="方正小标宋简体" w:eastAsia="方正小标宋简体" w:cs="方正小标宋简体"/>
          <w:color w:val="auto"/>
          <w:sz w:val="44"/>
          <w:szCs w:val="44"/>
          <w:highlight w:val="none"/>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22</w:t>
      </w:r>
      <w:r>
        <w:rPr>
          <w:rFonts w:hint="eastAsia" w:ascii="仿宋_GB2312" w:eastAsia="仿宋_GB2312"/>
          <w:color w:val="auto"/>
          <w:sz w:val="32"/>
          <w:szCs w:val="32"/>
          <w:highlight w:val="none"/>
        </w:rPr>
        <w:t>年国有资本经营预算</w:t>
      </w:r>
      <w:r>
        <w:rPr>
          <w:rFonts w:hint="eastAsia" w:ascii="仿宋_GB2312" w:eastAsia="仿宋_GB2312"/>
          <w:color w:val="auto"/>
          <w:sz w:val="32"/>
          <w:szCs w:val="32"/>
          <w:highlight w:val="none"/>
          <w:lang w:eastAsia="zh-CN"/>
        </w:rPr>
        <w:t>财政</w:t>
      </w:r>
      <w:r>
        <w:rPr>
          <w:rFonts w:hint="eastAsia" w:ascii="仿宋_GB2312" w:eastAsia="仿宋_GB2312"/>
          <w:color w:val="auto"/>
          <w:sz w:val="32"/>
          <w:szCs w:val="32"/>
          <w:highlight w:val="none"/>
        </w:rPr>
        <w:t>拨款支出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p>
    <w:p>
      <w:pPr>
        <w:numPr>
          <w:ilvl w:val="0"/>
          <w:numId w:val="2"/>
        </w:numPr>
        <w:spacing w:line="600" w:lineRule="exact"/>
        <w:ind w:firstLine="640"/>
        <w:outlineLvl w:val="1"/>
        <w:rPr>
          <w:rStyle w:val="28"/>
          <w:rFonts w:hint="eastAsia" w:ascii="黑体" w:hAnsi="黑体" w:eastAsia="黑体"/>
          <w:b w:val="0"/>
          <w:color w:val="auto"/>
          <w:highlight w:val="none"/>
        </w:rPr>
      </w:pPr>
      <w:bookmarkStart w:id="288" w:name="_Toc15396612"/>
      <w:bookmarkStart w:id="289" w:name="_Toc15377221"/>
      <w:bookmarkStart w:id="290" w:name="_Toc1009"/>
      <w:r>
        <w:rPr>
          <w:rStyle w:val="28"/>
          <w:rFonts w:hint="eastAsia" w:ascii="黑体" w:hAnsi="黑体" w:eastAsia="黑体"/>
          <w:b w:val="0"/>
          <w:color w:val="auto"/>
          <w:highlight w:val="none"/>
        </w:rPr>
        <w:t>其他重要事项的情况说明</w:t>
      </w:r>
      <w:bookmarkEnd w:id="288"/>
      <w:bookmarkEnd w:id="289"/>
      <w:bookmarkEnd w:id="290"/>
    </w:p>
    <w:p>
      <w:pPr>
        <w:spacing w:line="600" w:lineRule="exact"/>
        <w:ind w:firstLine="643" w:firstLineChars="200"/>
        <w:outlineLvl w:val="2"/>
        <w:rPr>
          <w:rFonts w:ascii="仿宋" w:hAnsi="仿宋" w:eastAsia="仿宋"/>
          <w:color w:val="auto"/>
          <w:sz w:val="32"/>
          <w:szCs w:val="32"/>
          <w:highlight w:val="none"/>
        </w:rPr>
      </w:pPr>
      <w:bookmarkStart w:id="291" w:name="_Toc15377222"/>
      <w:bookmarkStart w:id="292" w:name="_Toc13944"/>
      <w:r>
        <w:rPr>
          <w:rFonts w:hint="eastAsia" w:ascii="仿宋" w:hAnsi="仿宋" w:eastAsia="仿宋"/>
          <w:b/>
          <w:color w:val="auto"/>
          <w:sz w:val="32"/>
          <w:szCs w:val="32"/>
          <w:highlight w:val="none"/>
        </w:rPr>
        <w:t>（一）机关运行经费支出情况</w:t>
      </w:r>
      <w:bookmarkEnd w:id="291"/>
      <w:bookmarkEnd w:id="292"/>
    </w:p>
    <w:p>
      <w:pPr>
        <w:spacing w:line="600" w:lineRule="exact"/>
        <w:ind w:firstLine="640" w:firstLineChars="200"/>
        <w:rPr>
          <w:rFonts w:hint="eastAsia" w:ascii="仿宋_GB2312" w:eastAsia="仿宋_GB2312"/>
          <w:color w:val="auto"/>
          <w:sz w:val="32"/>
          <w:szCs w:val="32"/>
          <w:highlight w:val="none"/>
          <w:lang w:eastAsia="zh-CN"/>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22</w:t>
      </w:r>
      <w:r>
        <w:rPr>
          <w:rFonts w:hint="eastAsia" w:ascii="仿宋_GB2312" w:eastAsia="仿宋_GB2312"/>
          <w:color w:val="auto"/>
          <w:sz w:val="32"/>
          <w:szCs w:val="32"/>
          <w:highlight w:val="none"/>
        </w:rPr>
        <w:t>年，</w:t>
      </w:r>
      <w:r>
        <w:rPr>
          <w:rFonts w:hint="eastAsia" w:ascii="仿宋_GB2312" w:eastAsia="仿宋_GB2312"/>
          <w:color w:val="auto"/>
          <w:sz w:val="32"/>
          <w:szCs w:val="32"/>
          <w:highlight w:val="none"/>
          <w:lang w:val="en-US" w:eastAsia="zh-CN"/>
        </w:rPr>
        <w:t>巴中市巴州区应急管理局</w:t>
      </w:r>
      <w:r>
        <w:rPr>
          <w:rFonts w:hint="eastAsia" w:ascii="仿宋_GB2312" w:eastAsia="仿宋_GB2312"/>
          <w:color w:val="auto"/>
          <w:sz w:val="32"/>
          <w:szCs w:val="32"/>
          <w:highlight w:val="none"/>
        </w:rPr>
        <w:t>机关运行经费支出153.51万元，比</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年减少</w:t>
      </w:r>
      <w:r>
        <w:rPr>
          <w:rFonts w:hint="eastAsia" w:ascii="仿宋_GB2312" w:eastAsia="仿宋_GB2312"/>
          <w:color w:val="auto"/>
          <w:sz w:val="32"/>
          <w:szCs w:val="32"/>
          <w:highlight w:val="none"/>
          <w:lang w:val="en-US" w:eastAsia="zh-CN"/>
        </w:rPr>
        <w:t>17.91</w:t>
      </w:r>
      <w:r>
        <w:rPr>
          <w:rFonts w:hint="eastAsia" w:ascii="仿宋_GB2312" w:eastAsia="仿宋_GB2312"/>
          <w:color w:val="auto"/>
          <w:sz w:val="32"/>
          <w:szCs w:val="32"/>
          <w:highlight w:val="none"/>
        </w:rPr>
        <w:t>万元，下降</w:t>
      </w:r>
      <w:r>
        <w:rPr>
          <w:rFonts w:hint="eastAsia" w:ascii="仿宋_GB2312" w:eastAsia="仿宋_GB2312"/>
          <w:color w:val="auto"/>
          <w:sz w:val="32"/>
          <w:szCs w:val="32"/>
          <w:highlight w:val="none"/>
          <w:lang w:val="en-US" w:eastAsia="zh-CN"/>
        </w:rPr>
        <w:t>10</w:t>
      </w:r>
      <w:r>
        <w:rPr>
          <w:rFonts w:ascii="仿宋_GB2312" w:eastAsia="仿宋_GB2312"/>
          <w:color w:val="auto"/>
          <w:sz w:val="32"/>
          <w:szCs w:val="32"/>
          <w:highlight w:val="none"/>
        </w:rPr>
        <w:t>%</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主要原因是202</w:t>
      </w:r>
      <w:r>
        <w:rPr>
          <w:rFonts w:hint="eastAsia" w:ascii="仿宋_GB2312" w:eastAsia="仿宋_GB2312"/>
          <w:color w:val="auto"/>
          <w:sz w:val="32"/>
          <w:szCs w:val="32"/>
          <w:highlight w:val="none"/>
          <w:lang w:val="en-US" w:eastAsia="zh-CN"/>
        </w:rPr>
        <w:t>2</w:t>
      </w:r>
      <w:r>
        <w:rPr>
          <w:rFonts w:hint="eastAsia" w:ascii="仿宋_GB2312" w:eastAsia="仿宋_GB2312"/>
          <w:color w:val="auto"/>
          <w:sz w:val="32"/>
          <w:szCs w:val="32"/>
          <w:highlight w:val="none"/>
        </w:rPr>
        <w:t>年压缩一般支出，减少公务开支</w:t>
      </w:r>
      <w:r>
        <w:rPr>
          <w:rFonts w:hint="eastAsia" w:ascii="仿宋_GB2312" w:eastAsia="仿宋_GB2312"/>
          <w:color w:val="auto"/>
          <w:sz w:val="32"/>
          <w:szCs w:val="32"/>
          <w:highlight w:val="none"/>
          <w:lang w:eastAsia="zh-CN"/>
        </w:rPr>
        <w:t>。</w:t>
      </w:r>
    </w:p>
    <w:p>
      <w:pPr>
        <w:autoSpaceDE w:val="0"/>
        <w:autoSpaceDN w:val="0"/>
        <w:adjustRightInd w:val="0"/>
        <w:spacing w:line="600" w:lineRule="exact"/>
        <w:ind w:firstLine="643" w:firstLineChars="200"/>
        <w:jc w:val="left"/>
        <w:outlineLvl w:val="2"/>
        <w:rPr>
          <w:rFonts w:ascii="仿宋" w:hAnsi="仿宋" w:eastAsia="仿宋"/>
          <w:b/>
          <w:color w:val="auto"/>
          <w:sz w:val="32"/>
          <w:szCs w:val="32"/>
          <w:highlight w:val="none"/>
        </w:rPr>
      </w:pPr>
      <w:bookmarkStart w:id="293" w:name="_Toc15377223"/>
      <w:bookmarkStart w:id="294" w:name="_Toc23650"/>
      <w:r>
        <w:rPr>
          <w:rFonts w:hint="eastAsia" w:ascii="仿宋" w:hAnsi="仿宋" w:eastAsia="仿宋"/>
          <w:b/>
          <w:color w:val="auto"/>
          <w:sz w:val="32"/>
          <w:szCs w:val="32"/>
          <w:highlight w:val="none"/>
        </w:rPr>
        <w:t>（二）政府采购支出情况</w:t>
      </w:r>
      <w:bookmarkEnd w:id="293"/>
      <w:bookmarkEnd w:id="294"/>
    </w:p>
    <w:p>
      <w:pPr>
        <w:spacing w:line="60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22</w:t>
      </w:r>
      <w:r>
        <w:rPr>
          <w:rFonts w:hint="eastAsia" w:ascii="仿宋_GB2312" w:eastAsia="仿宋_GB2312"/>
          <w:color w:val="auto"/>
          <w:sz w:val="32"/>
          <w:szCs w:val="32"/>
          <w:highlight w:val="none"/>
        </w:rPr>
        <w:t>年，</w:t>
      </w:r>
      <w:r>
        <w:rPr>
          <w:rFonts w:hint="eastAsia" w:ascii="仿宋_GB2312" w:eastAsia="仿宋_GB2312"/>
          <w:color w:val="auto"/>
          <w:sz w:val="32"/>
          <w:szCs w:val="32"/>
          <w:highlight w:val="none"/>
          <w:lang w:val="en-US" w:eastAsia="zh-CN"/>
        </w:rPr>
        <w:t>巴中市巴州区应急管理局</w:t>
      </w:r>
      <w:r>
        <w:rPr>
          <w:rFonts w:hint="eastAsia" w:ascii="仿宋_GB2312" w:eastAsia="仿宋_GB2312"/>
          <w:color w:val="auto"/>
          <w:sz w:val="32"/>
          <w:szCs w:val="32"/>
          <w:highlight w:val="none"/>
        </w:rPr>
        <w:t>政府采购支出总额</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万元，其中：政府采购货物支出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万元、政府采购工程支出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万元、政府采购服务支出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p>
    <w:p>
      <w:pPr>
        <w:autoSpaceDE w:val="0"/>
        <w:autoSpaceDN w:val="0"/>
        <w:adjustRightInd w:val="0"/>
        <w:spacing w:line="600" w:lineRule="exact"/>
        <w:ind w:firstLine="643" w:firstLineChars="200"/>
        <w:jc w:val="left"/>
        <w:outlineLvl w:val="2"/>
        <w:rPr>
          <w:rFonts w:ascii="仿宋" w:hAnsi="仿宋" w:eastAsia="仿宋"/>
          <w:b/>
          <w:color w:val="auto"/>
          <w:sz w:val="32"/>
          <w:szCs w:val="32"/>
          <w:highlight w:val="none"/>
        </w:rPr>
      </w:pPr>
      <w:bookmarkStart w:id="295" w:name="_Toc15377224"/>
      <w:bookmarkStart w:id="296" w:name="_Toc32215"/>
      <w:r>
        <w:rPr>
          <w:rFonts w:hint="eastAsia" w:ascii="仿宋" w:hAnsi="仿宋" w:eastAsia="仿宋"/>
          <w:b/>
          <w:color w:val="auto"/>
          <w:sz w:val="32"/>
          <w:szCs w:val="32"/>
          <w:highlight w:val="none"/>
        </w:rPr>
        <w:t>（三）国有资产占有使用情况</w:t>
      </w:r>
      <w:bookmarkEnd w:id="295"/>
      <w:bookmarkEnd w:id="296"/>
    </w:p>
    <w:p>
      <w:pPr>
        <w:spacing w:line="600" w:lineRule="exact"/>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截至</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22</w:t>
      </w:r>
      <w:r>
        <w:rPr>
          <w:rFonts w:hint="eastAsia" w:ascii="仿宋_GB2312" w:eastAsia="仿宋_GB2312"/>
          <w:color w:val="auto"/>
          <w:sz w:val="32"/>
          <w:szCs w:val="32"/>
          <w:highlight w:val="none"/>
        </w:rPr>
        <w:t>年</w:t>
      </w:r>
      <w:r>
        <w:rPr>
          <w:rFonts w:ascii="仿宋_GB2312" w:eastAsia="仿宋_GB2312"/>
          <w:color w:val="auto"/>
          <w:sz w:val="32"/>
          <w:szCs w:val="32"/>
          <w:highlight w:val="none"/>
        </w:rPr>
        <w:t>12</w:t>
      </w:r>
      <w:r>
        <w:rPr>
          <w:rFonts w:hint="eastAsia" w:ascii="仿宋_GB2312" w:eastAsia="仿宋_GB2312"/>
          <w:color w:val="auto"/>
          <w:sz w:val="32"/>
          <w:szCs w:val="32"/>
          <w:highlight w:val="none"/>
        </w:rPr>
        <w:t>月</w:t>
      </w:r>
      <w:r>
        <w:rPr>
          <w:rFonts w:ascii="仿宋_GB2312" w:eastAsia="仿宋_GB2312"/>
          <w:color w:val="auto"/>
          <w:sz w:val="32"/>
          <w:szCs w:val="32"/>
          <w:highlight w:val="none"/>
        </w:rPr>
        <w:t>31</w:t>
      </w:r>
      <w:r>
        <w:rPr>
          <w:rFonts w:hint="eastAsia" w:ascii="仿宋_GB2312" w:eastAsia="仿宋_GB2312"/>
          <w:color w:val="auto"/>
          <w:sz w:val="32"/>
          <w:szCs w:val="32"/>
          <w:highlight w:val="none"/>
        </w:rPr>
        <w:t>日，</w:t>
      </w:r>
      <w:r>
        <w:rPr>
          <w:rFonts w:hint="eastAsia" w:ascii="仿宋_GB2312" w:eastAsia="仿宋_GB2312"/>
          <w:color w:val="auto"/>
          <w:sz w:val="32"/>
          <w:szCs w:val="32"/>
          <w:highlight w:val="none"/>
          <w:lang w:val="en-US" w:eastAsia="zh-CN"/>
        </w:rPr>
        <w:t>巴中市巴州区应急管理局</w:t>
      </w:r>
      <w:r>
        <w:rPr>
          <w:rFonts w:hint="eastAsia" w:ascii="仿宋_GB2312" w:eastAsia="仿宋_GB2312"/>
          <w:color w:val="auto"/>
          <w:sz w:val="32"/>
          <w:szCs w:val="32"/>
          <w:highlight w:val="none"/>
        </w:rPr>
        <w:t>共有车辆</w:t>
      </w:r>
      <w:r>
        <w:rPr>
          <w:rFonts w:hint="eastAsia" w:ascii="仿宋_GB2312" w:eastAsia="仿宋_GB2312"/>
          <w:color w:val="auto"/>
          <w:sz w:val="32"/>
          <w:szCs w:val="32"/>
          <w:highlight w:val="none"/>
          <w:lang w:val="en-US" w:eastAsia="zh-CN"/>
        </w:rPr>
        <w:t>5</w:t>
      </w:r>
      <w:r>
        <w:rPr>
          <w:rFonts w:hint="eastAsia" w:ascii="仿宋_GB2312" w:eastAsia="仿宋_GB2312"/>
          <w:color w:val="auto"/>
          <w:sz w:val="32"/>
          <w:szCs w:val="32"/>
          <w:highlight w:val="none"/>
        </w:rPr>
        <w:t>辆，其中：</w:t>
      </w:r>
      <w:r>
        <w:rPr>
          <w:rFonts w:hint="eastAsia" w:ascii="仿宋_GB2312" w:eastAsia="仿宋_GB2312"/>
          <w:color w:val="auto"/>
          <w:sz w:val="32"/>
          <w:szCs w:val="32"/>
          <w:highlight w:val="none"/>
          <w:lang w:val="en-US" w:eastAsia="zh-CN"/>
        </w:rPr>
        <w:t>应急保障车辆4辆，执法车辆1辆</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单价</w:t>
      </w:r>
      <w:r>
        <w:rPr>
          <w:rFonts w:ascii="仿宋_GB2312" w:eastAsia="仿宋_GB2312"/>
          <w:color w:val="auto"/>
          <w:sz w:val="32"/>
          <w:szCs w:val="32"/>
          <w:highlight w:val="none"/>
        </w:rPr>
        <w:t>100</w:t>
      </w:r>
      <w:r>
        <w:rPr>
          <w:rFonts w:hint="eastAsia" w:ascii="仿宋_GB2312" w:eastAsia="仿宋_GB2312"/>
          <w:color w:val="auto"/>
          <w:sz w:val="32"/>
          <w:szCs w:val="32"/>
          <w:highlight w:val="none"/>
        </w:rPr>
        <w:t>万元以上专用设备</w:t>
      </w:r>
      <w:r>
        <w:rPr>
          <w:rFonts w:hint="eastAsia" w:ascii="仿宋_GB2312" w:eastAsia="仿宋_GB2312"/>
          <w:color w:val="auto"/>
          <w:sz w:val="32"/>
          <w:szCs w:val="32"/>
          <w:highlight w:val="none"/>
          <w:lang w:val="en-US" w:eastAsia="zh-CN"/>
        </w:rPr>
        <w:t>1</w:t>
      </w:r>
      <w:r>
        <w:rPr>
          <w:rFonts w:hint="eastAsia" w:ascii="仿宋_GB2312" w:eastAsia="仿宋_GB2312"/>
          <w:color w:val="auto"/>
          <w:sz w:val="32"/>
          <w:szCs w:val="32"/>
          <w:highlight w:val="none"/>
        </w:rPr>
        <w:t>台（套）。</w:t>
      </w:r>
    </w:p>
    <w:p>
      <w:pPr>
        <w:autoSpaceDE w:val="0"/>
        <w:autoSpaceDN w:val="0"/>
        <w:adjustRightInd w:val="0"/>
        <w:spacing w:line="600" w:lineRule="exact"/>
        <w:ind w:firstLine="643" w:firstLineChars="200"/>
        <w:jc w:val="left"/>
        <w:outlineLvl w:val="2"/>
        <w:rPr>
          <w:rFonts w:ascii="仿宋" w:hAnsi="仿宋" w:eastAsia="仿宋"/>
          <w:b/>
          <w:color w:val="auto"/>
          <w:sz w:val="32"/>
          <w:szCs w:val="32"/>
          <w:highlight w:val="none"/>
        </w:rPr>
      </w:pPr>
      <w:bookmarkStart w:id="297" w:name="_Toc15568"/>
      <w:r>
        <w:rPr>
          <w:rFonts w:hint="eastAsia" w:ascii="仿宋" w:hAnsi="仿宋" w:eastAsia="仿宋"/>
          <w:b/>
          <w:color w:val="auto"/>
          <w:sz w:val="32"/>
          <w:szCs w:val="32"/>
          <w:highlight w:val="none"/>
        </w:rPr>
        <w:t>（四）预算绩效管理情况</w:t>
      </w:r>
      <w:bookmarkEnd w:id="297"/>
    </w:p>
    <w:p>
      <w:pPr>
        <w:widowControl/>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根据预算绩效管理要求，本单位在2022年度预算编制阶段，组织对</w:t>
      </w:r>
      <w:r>
        <w:rPr>
          <w:rFonts w:hint="eastAsia" w:ascii="仿宋_GB2312" w:hAnsi="仿宋_GB2312" w:eastAsia="仿宋_GB2312" w:cs="仿宋_GB2312"/>
          <w:color w:val="auto"/>
          <w:sz w:val="32"/>
          <w:szCs w:val="32"/>
          <w:highlight w:val="none"/>
          <w:lang w:val="en-US" w:eastAsia="zh-CN"/>
        </w:rPr>
        <w:t>中央自然灾害救灾资金</w:t>
      </w:r>
      <w:r>
        <w:rPr>
          <w:rFonts w:hint="eastAsia" w:ascii="仿宋_GB2312" w:hAnsi="仿宋_GB2312" w:eastAsia="仿宋_GB2312" w:cs="仿宋_GB2312"/>
          <w:color w:val="auto"/>
          <w:sz w:val="32"/>
          <w:szCs w:val="32"/>
          <w:highlight w:val="none"/>
        </w:rPr>
        <w:t>项目开展了预算事前绩效评估，对</w:t>
      </w:r>
      <w:r>
        <w:rPr>
          <w:rFonts w:hint="eastAsia" w:ascii="仿宋_GB2312" w:hAnsi="仿宋_GB2312" w:eastAsia="仿宋_GB2312" w:cs="仿宋_GB2312"/>
          <w:color w:val="auto"/>
          <w:sz w:val="32"/>
          <w:szCs w:val="32"/>
          <w:highlight w:val="none"/>
          <w:lang w:val="en-US" w:eastAsia="zh-CN"/>
        </w:rPr>
        <w:t>3</w:t>
      </w:r>
      <w:r>
        <w:rPr>
          <w:rFonts w:hint="eastAsia" w:ascii="仿宋_GB2312" w:hAnsi="仿宋_GB2312" w:eastAsia="仿宋_GB2312" w:cs="仿宋_GB2312"/>
          <w:color w:val="auto"/>
          <w:sz w:val="32"/>
          <w:szCs w:val="32"/>
          <w:highlight w:val="none"/>
        </w:rPr>
        <w:t>个项目编制了绩效目标，预算执行过程中，选取</w:t>
      </w:r>
      <w:r>
        <w:rPr>
          <w:rFonts w:hint="eastAsia" w:ascii="仿宋_GB2312" w:hAnsi="仿宋_GB2312" w:eastAsia="仿宋_GB2312" w:cs="仿宋_GB2312"/>
          <w:color w:val="auto"/>
          <w:sz w:val="32"/>
          <w:szCs w:val="32"/>
          <w:highlight w:val="none"/>
          <w:lang w:val="en-US" w:eastAsia="zh-CN"/>
        </w:rPr>
        <w:t>3</w:t>
      </w:r>
      <w:r>
        <w:rPr>
          <w:rFonts w:hint="eastAsia" w:ascii="仿宋_GB2312" w:hAnsi="仿宋_GB2312" w:eastAsia="仿宋_GB2312" w:cs="仿宋_GB2312"/>
          <w:color w:val="auto"/>
          <w:sz w:val="32"/>
          <w:szCs w:val="32"/>
          <w:highlight w:val="none"/>
        </w:rPr>
        <w:t>个项目开展绩效监控，年终执行完毕后，对</w:t>
      </w:r>
      <w:r>
        <w:rPr>
          <w:rFonts w:hint="eastAsia" w:ascii="仿宋_GB2312" w:hAnsi="仿宋_GB2312" w:eastAsia="仿宋_GB2312" w:cs="仿宋_GB2312"/>
          <w:color w:val="auto"/>
          <w:sz w:val="32"/>
          <w:szCs w:val="32"/>
          <w:highlight w:val="none"/>
          <w:lang w:val="en-US" w:eastAsia="zh-CN"/>
        </w:rPr>
        <w:t>3</w:t>
      </w:r>
      <w:r>
        <w:rPr>
          <w:rFonts w:hint="eastAsia" w:ascii="仿宋_GB2312" w:hAnsi="仿宋_GB2312" w:eastAsia="仿宋_GB2312" w:cs="仿宋_GB2312"/>
          <w:color w:val="auto"/>
          <w:sz w:val="32"/>
          <w:szCs w:val="32"/>
          <w:highlight w:val="none"/>
        </w:rPr>
        <w:t>个项目开展了绩效目标完成情况自评。</w:t>
      </w:r>
    </w:p>
    <w:p>
      <w:pPr>
        <w:widowControl/>
        <w:ind w:firstLine="640" w:firstLineChars="200"/>
        <w:jc w:val="left"/>
        <w:rPr>
          <w:rFonts w:ascii="仿宋_GB2312" w:eastAsia="仿宋_GB2312"/>
          <w:b/>
          <w:color w:val="auto"/>
          <w:sz w:val="32"/>
          <w:szCs w:val="32"/>
          <w:highlight w:val="none"/>
        </w:rPr>
      </w:pPr>
      <w:r>
        <w:rPr>
          <w:rFonts w:hint="eastAsia" w:ascii="仿宋_GB2312" w:hAnsi="仿宋_GB2312" w:eastAsia="仿宋_GB2312" w:cs="仿宋_GB2312"/>
          <w:color w:val="auto"/>
          <w:sz w:val="32"/>
          <w:szCs w:val="32"/>
          <w:highlight w:val="none"/>
        </w:rPr>
        <w:t>组织对2022年度一般公共预算、政府性基金预算、国有资本经营预算、社会保险基金预算以及资本资产、债券资金等全面开展绩效自评，形成《巴州区</w:t>
      </w:r>
      <w:r>
        <w:rPr>
          <w:rFonts w:hint="eastAsia" w:ascii="仿宋_GB2312" w:hAnsi="仿宋_GB2312" w:eastAsia="仿宋_GB2312" w:cs="仿宋_GB2312"/>
          <w:color w:val="auto"/>
          <w:sz w:val="32"/>
          <w:szCs w:val="32"/>
          <w:highlight w:val="none"/>
          <w:lang w:val="en-US" w:eastAsia="zh-CN"/>
        </w:rPr>
        <w:t>应急管理局</w:t>
      </w:r>
      <w:r>
        <w:rPr>
          <w:rFonts w:hint="eastAsia" w:ascii="仿宋_GB2312" w:hAnsi="仿宋_GB2312" w:eastAsia="仿宋_GB2312" w:cs="仿宋_GB2312"/>
          <w:color w:val="auto"/>
          <w:sz w:val="32"/>
          <w:szCs w:val="32"/>
          <w:highlight w:val="none"/>
        </w:rPr>
        <w:t>2022年部门整体绩效自评报告》。其中，巴州区</w:t>
      </w:r>
      <w:r>
        <w:rPr>
          <w:rFonts w:hint="eastAsia" w:ascii="仿宋_GB2312" w:hAnsi="仿宋_GB2312" w:eastAsia="仿宋_GB2312" w:cs="仿宋_GB2312"/>
          <w:color w:val="auto"/>
          <w:sz w:val="32"/>
          <w:szCs w:val="32"/>
          <w:highlight w:val="none"/>
          <w:lang w:val="en-US" w:eastAsia="zh-CN"/>
        </w:rPr>
        <w:t>应急管理局</w:t>
      </w:r>
      <w:r>
        <w:rPr>
          <w:rFonts w:hint="eastAsia" w:ascii="仿宋_GB2312" w:hAnsi="仿宋_GB2312" w:eastAsia="仿宋_GB2312" w:cs="仿宋_GB2312"/>
          <w:color w:val="auto"/>
          <w:sz w:val="32"/>
          <w:szCs w:val="32"/>
          <w:highlight w:val="none"/>
        </w:rPr>
        <w:t>2022年部门整体绩效自评得分为</w:t>
      </w:r>
      <w:r>
        <w:rPr>
          <w:rFonts w:hint="eastAsia" w:ascii="仿宋_GB2312" w:hAnsi="仿宋_GB2312" w:eastAsia="仿宋_GB2312" w:cs="仿宋_GB2312"/>
          <w:color w:val="auto"/>
          <w:sz w:val="32"/>
          <w:szCs w:val="32"/>
          <w:highlight w:val="none"/>
          <w:lang w:val="en-US" w:eastAsia="zh-CN"/>
        </w:rPr>
        <w:t>98</w:t>
      </w:r>
      <w:r>
        <w:rPr>
          <w:rFonts w:hint="eastAsia" w:ascii="仿宋_GB2312" w:hAnsi="仿宋_GB2312" w:eastAsia="仿宋_GB2312" w:cs="仿宋_GB2312"/>
          <w:color w:val="auto"/>
          <w:sz w:val="32"/>
          <w:szCs w:val="32"/>
          <w:highlight w:val="none"/>
        </w:rPr>
        <w:t>分，绩效自评综述：2022年预算配置控制较好，财政供养人员控制在预算编制以内，“三公”经费支出严格压缩控制。预算执行方面，根据“总量控制、计划管理”的要求从严控制行政经费，压缩公务费开支，严格控制“三公”经费，支出总额控制在预算总额以内。</w:t>
      </w:r>
      <w:r>
        <w:rPr>
          <w:rFonts w:ascii="仿宋_GB2312" w:eastAsia="仿宋_GB2312"/>
          <w:b/>
          <w:color w:val="auto"/>
          <w:sz w:val="32"/>
          <w:szCs w:val="32"/>
          <w:highlight w:val="none"/>
        </w:rPr>
        <w:br w:type="page"/>
      </w:r>
    </w:p>
    <w:p>
      <w:pPr>
        <w:numPr>
          <w:ilvl w:val="0"/>
          <w:numId w:val="3"/>
        </w:numPr>
        <w:spacing w:line="600" w:lineRule="exact"/>
        <w:ind w:firstLine="660" w:firstLineChars="150"/>
        <w:jc w:val="center"/>
        <w:outlineLvl w:val="0"/>
        <w:rPr>
          <w:rStyle w:val="27"/>
          <w:rFonts w:ascii="黑体" w:hAnsi="黑体" w:eastAsia="黑体"/>
          <w:b w:val="0"/>
          <w:color w:val="auto"/>
          <w:highlight w:val="none"/>
        </w:rPr>
      </w:pPr>
      <w:bookmarkStart w:id="298" w:name="_Toc15396613"/>
      <w:bookmarkStart w:id="299" w:name="_Toc15377225"/>
      <w:bookmarkStart w:id="300" w:name="_Toc21900"/>
      <w:bookmarkStart w:id="301" w:name="_Toc16138"/>
      <w:r>
        <w:rPr>
          <w:rFonts w:hint="eastAsia" w:ascii="黑体" w:hAnsi="黑体" w:eastAsia="黑体"/>
          <w:color w:val="auto"/>
          <w:sz w:val="44"/>
          <w:szCs w:val="44"/>
          <w:highlight w:val="none"/>
        </w:rPr>
        <w:t>名</w:t>
      </w:r>
      <w:r>
        <w:rPr>
          <w:rStyle w:val="27"/>
          <w:rFonts w:hint="eastAsia" w:ascii="黑体" w:hAnsi="黑体" w:eastAsia="黑体"/>
          <w:b w:val="0"/>
          <w:color w:val="auto"/>
          <w:highlight w:val="none"/>
        </w:rPr>
        <w:t>词解释</w:t>
      </w:r>
      <w:bookmarkEnd w:id="298"/>
      <w:bookmarkEnd w:id="299"/>
      <w:bookmarkEnd w:id="300"/>
      <w:bookmarkEnd w:id="301"/>
    </w:p>
    <w:p>
      <w:pPr>
        <w:spacing w:line="600" w:lineRule="exact"/>
        <w:jc w:val="left"/>
        <w:rPr>
          <w:rFonts w:ascii="宋体"/>
          <w:b/>
          <w:color w:val="auto"/>
          <w:sz w:val="44"/>
          <w:szCs w:val="44"/>
          <w:highlight w:val="none"/>
        </w:rPr>
      </w:pPr>
    </w:p>
    <w:p>
      <w:pPr>
        <w:pStyle w:val="25"/>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1.</w:t>
      </w:r>
      <w:r>
        <w:rPr>
          <w:rFonts w:hint="eastAsia" w:ascii="仿宋_GB2312" w:eastAsia="仿宋_GB2312"/>
          <w:color w:val="auto"/>
          <w:sz w:val="32"/>
          <w:szCs w:val="32"/>
          <w:highlight w:val="none"/>
        </w:rPr>
        <w:t>财政拨款收入：指单位从同级财政部门取得的财政预算资金。</w:t>
      </w:r>
    </w:p>
    <w:p>
      <w:pPr>
        <w:pStyle w:val="25"/>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2.</w:t>
      </w:r>
      <w:r>
        <w:rPr>
          <w:rFonts w:hint="eastAsia" w:ascii="仿宋_GB2312" w:eastAsia="仿宋_GB2312"/>
          <w:color w:val="auto"/>
          <w:sz w:val="32"/>
          <w:szCs w:val="32"/>
          <w:highlight w:val="none"/>
        </w:rPr>
        <w:t>事业收入：指事业单位开展专业业务活动及辅助活动取得的收入。</w:t>
      </w:r>
    </w:p>
    <w:p>
      <w:pPr>
        <w:pStyle w:val="25"/>
        <w:spacing w:line="560" w:lineRule="exact"/>
        <w:ind w:firstLine="640" w:firstLineChars="200"/>
        <w:rPr>
          <w:rFonts w:hint="eastAsia" w:ascii="仿宋_GB2312" w:eastAsia="仿宋_GB2312"/>
          <w:color w:val="auto"/>
          <w:sz w:val="32"/>
          <w:szCs w:val="32"/>
          <w:highlight w:val="none"/>
        </w:rPr>
      </w:pPr>
      <w:r>
        <w:rPr>
          <w:rFonts w:ascii="仿宋_GB2312" w:eastAsia="仿宋_GB2312"/>
          <w:color w:val="auto"/>
          <w:sz w:val="32"/>
          <w:szCs w:val="32"/>
          <w:highlight w:val="none"/>
        </w:rPr>
        <w:t>3.</w:t>
      </w:r>
      <w:r>
        <w:rPr>
          <w:rFonts w:hint="eastAsia" w:ascii="仿宋_GB2312" w:eastAsia="仿宋_GB2312"/>
          <w:color w:val="auto"/>
          <w:sz w:val="32"/>
          <w:szCs w:val="32"/>
          <w:highlight w:val="none"/>
        </w:rPr>
        <w:t>经营收入：指事业单位在专业业务活动及其辅助活动之外开展非独立核算经营活动取得的收入。</w:t>
      </w:r>
    </w:p>
    <w:p>
      <w:pPr>
        <w:pStyle w:val="25"/>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4.</w:t>
      </w:r>
      <w:r>
        <w:rPr>
          <w:rFonts w:hint="eastAsia" w:ascii="仿宋_GB2312" w:eastAsia="仿宋_GB2312"/>
          <w:color w:val="auto"/>
          <w:sz w:val="32"/>
          <w:szCs w:val="32"/>
          <w:highlight w:val="none"/>
        </w:rPr>
        <w:t>其他收入：指单位取得的除上述收入以外的各项收入。</w:t>
      </w:r>
      <w:r>
        <w:rPr>
          <w:rFonts w:ascii="仿宋_GB2312" w:eastAsia="仿宋_GB2312"/>
          <w:color w:val="auto"/>
          <w:sz w:val="32"/>
          <w:szCs w:val="32"/>
          <w:highlight w:val="none"/>
        </w:rPr>
        <w:t xml:space="preserve"> </w:t>
      </w:r>
    </w:p>
    <w:p>
      <w:pPr>
        <w:pStyle w:val="25"/>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5.</w:t>
      </w:r>
      <w:r>
        <w:rPr>
          <w:rFonts w:hint="eastAsia" w:ascii="仿宋_GB2312" w:eastAsia="仿宋_GB2312"/>
          <w:color w:val="auto"/>
          <w:sz w:val="32"/>
          <w:szCs w:val="32"/>
          <w:highlight w:val="none"/>
          <w:lang w:eastAsia="zh-CN"/>
        </w:rPr>
        <w:t>使用非财政拨款结余</w:t>
      </w:r>
      <w:r>
        <w:rPr>
          <w:rFonts w:hint="eastAsia" w:ascii="仿宋_GB2312" w:eastAsia="仿宋_GB2312"/>
          <w:color w:val="auto"/>
          <w:sz w:val="32"/>
          <w:szCs w:val="32"/>
          <w:highlight w:val="none"/>
        </w:rPr>
        <w:t>：指事业单位</w:t>
      </w:r>
      <w:r>
        <w:rPr>
          <w:rFonts w:hint="eastAsia" w:ascii="仿宋_GB2312" w:eastAsia="仿宋_GB2312"/>
          <w:color w:val="auto"/>
          <w:sz w:val="32"/>
          <w:szCs w:val="32"/>
          <w:highlight w:val="none"/>
          <w:lang w:eastAsia="zh-CN"/>
        </w:rPr>
        <w:t>使用以前年度积累的非财政拨款结余弥补当年收支差额的金额。</w:t>
      </w:r>
      <w:r>
        <w:rPr>
          <w:rFonts w:ascii="仿宋_GB2312" w:eastAsia="仿宋_GB2312"/>
          <w:color w:val="auto"/>
          <w:sz w:val="32"/>
          <w:szCs w:val="32"/>
          <w:highlight w:val="none"/>
        </w:rPr>
        <w:t xml:space="preserve"> </w:t>
      </w:r>
    </w:p>
    <w:p>
      <w:pPr>
        <w:pStyle w:val="25"/>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6.</w:t>
      </w:r>
      <w:r>
        <w:rPr>
          <w:rFonts w:hint="eastAsia" w:ascii="仿宋_GB2312" w:eastAsia="仿宋_GB2312"/>
          <w:color w:val="auto"/>
          <w:sz w:val="32"/>
          <w:szCs w:val="32"/>
          <w:highlight w:val="none"/>
        </w:rPr>
        <w:t>年初结转和结余：指以前年度尚未完成、结转到本年按有关规定继续使用的资金。</w:t>
      </w:r>
      <w:r>
        <w:rPr>
          <w:rFonts w:ascii="仿宋_GB2312" w:eastAsia="仿宋_GB2312"/>
          <w:color w:val="auto"/>
          <w:sz w:val="32"/>
          <w:szCs w:val="32"/>
          <w:highlight w:val="none"/>
        </w:rPr>
        <w:t xml:space="preserve"> </w:t>
      </w:r>
    </w:p>
    <w:p>
      <w:pPr>
        <w:pStyle w:val="25"/>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7.</w:t>
      </w:r>
      <w:r>
        <w:rPr>
          <w:rFonts w:hint="eastAsia" w:ascii="仿宋_GB2312" w:eastAsia="仿宋_GB2312"/>
          <w:color w:val="auto"/>
          <w:sz w:val="32"/>
          <w:szCs w:val="32"/>
          <w:highlight w:val="none"/>
        </w:rPr>
        <w:t>结余分配：指事业单位按照会计制度规定</w:t>
      </w:r>
      <w:r>
        <w:rPr>
          <w:rFonts w:hint="eastAsia" w:ascii="仿宋_GB2312" w:eastAsia="仿宋_GB2312"/>
          <w:color w:val="auto"/>
          <w:sz w:val="32"/>
          <w:szCs w:val="32"/>
          <w:highlight w:val="none"/>
          <w:lang w:eastAsia="zh-CN"/>
        </w:rPr>
        <w:t>缴纳的所得税、提取的专用结余以及转入非财政拨款结余的金额</w:t>
      </w:r>
      <w:r>
        <w:rPr>
          <w:rFonts w:hint="eastAsia" w:ascii="仿宋_GB2312" w:eastAsia="仿宋_GB2312"/>
          <w:color w:val="auto"/>
          <w:sz w:val="32"/>
          <w:szCs w:val="32"/>
          <w:highlight w:val="none"/>
        </w:rPr>
        <w:t>等。</w:t>
      </w:r>
    </w:p>
    <w:p>
      <w:pPr>
        <w:pStyle w:val="25"/>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8</w:t>
      </w:r>
      <w:r>
        <w:rPr>
          <w:rFonts w:hint="eastAsia" w:ascii="仿宋_GB2312" w:eastAsia="仿宋_GB2312"/>
          <w:color w:val="auto"/>
          <w:sz w:val="32"/>
          <w:szCs w:val="32"/>
          <w:highlight w:val="none"/>
          <w:lang w:val="en-US" w:eastAsia="zh-CN"/>
        </w:rPr>
        <w:t>.</w:t>
      </w:r>
      <w:r>
        <w:rPr>
          <w:rFonts w:hint="eastAsia" w:ascii="仿宋_GB2312" w:eastAsia="仿宋_GB2312"/>
          <w:color w:val="auto"/>
          <w:sz w:val="32"/>
          <w:szCs w:val="32"/>
          <w:highlight w:val="none"/>
        </w:rPr>
        <w:t>年末结转和结余：指单位按有关规定结转到下年或以后年度继续使用的资金。</w:t>
      </w:r>
    </w:p>
    <w:p>
      <w:pPr>
        <w:spacing w:line="600" w:lineRule="exact"/>
        <w:ind w:firstLine="640" w:firstLineChars="200"/>
        <w:rPr>
          <w:rFonts w:hint="eastAsia" w:ascii="仿宋_GB2312" w:hAnsi="Calibri" w:eastAsia="仿宋_GB2312" w:cs="仿宋"/>
          <w:color w:val="auto"/>
          <w:kern w:val="0"/>
          <w:sz w:val="32"/>
          <w:szCs w:val="32"/>
          <w:highlight w:val="none"/>
          <w:lang w:val="en-US" w:eastAsia="zh-CN" w:bidi="ar-SA"/>
        </w:rPr>
      </w:pPr>
      <w:r>
        <w:rPr>
          <w:rFonts w:hint="eastAsia" w:ascii="仿宋_GB2312" w:hAnsi="Calibri" w:eastAsia="仿宋_GB2312" w:cs="仿宋"/>
          <w:color w:val="auto"/>
          <w:kern w:val="0"/>
          <w:sz w:val="32"/>
          <w:szCs w:val="32"/>
          <w:highlight w:val="none"/>
          <w:lang w:val="en-US" w:eastAsia="zh-CN" w:bidi="ar-SA"/>
        </w:rPr>
        <w:t>9</w:t>
      </w:r>
      <w:r>
        <w:rPr>
          <w:rFonts w:ascii="仿宋_GB2312" w:hAnsi="Calibri" w:eastAsia="仿宋_GB2312" w:cs="仿宋"/>
          <w:color w:val="auto"/>
          <w:kern w:val="0"/>
          <w:sz w:val="32"/>
          <w:szCs w:val="32"/>
          <w:highlight w:val="none"/>
          <w:lang w:val="en-US" w:eastAsia="zh-CN" w:bidi="ar-SA"/>
        </w:rPr>
        <w:t>.</w:t>
      </w:r>
      <w:r>
        <w:rPr>
          <w:rFonts w:hint="eastAsia" w:ascii="仿宋_GB2312" w:hAnsi="Calibri" w:eastAsia="仿宋_GB2312" w:cs="仿宋"/>
          <w:color w:val="auto"/>
          <w:kern w:val="0"/>
          <w:sz w:val="32"/>
          <w:szCs w:val="32"/>
          <w:highlight w:val="none"/>
          <w:lang w:val="en-US" w:eastAsia="zh-CN" w:bidi="ar-SA"/>
        </w:rPr>
        <w:t>一般公共服务（类）人大事务（款）行政运行（项）：反映退休人员补贴支出。</w:t>
      </w:r>
    </w:p>
    <w:p>
      <w:pPr>
        <w:spacing w:line="600" w:lineRule="exact"/>
        <w:ind w:firstLine="640" w:firstLineChars="200"/>
        <w:rPr>
          <w:rFonts w:hint="eastAsia" w:ascii="仿宋_GB2312" w:hAnsi="Calibri" w:eastAsia="仿宋_GB2312" w:cs="仿宋"/>
          <w:color w:val="auto"/>
          <w:kern w:val="0"/>
          <w:sz w:val="32"/>
          <w:szCs w:val="32"/>
          <w:highlight w:val="none"/>
          <w:lang w:val="en-US" w:eastAsia="zh-CN" w:bidi="ar-SA"/>
        </w:rPr>
      </w:pPr>
      <w:r>
        <w:rPr>
          <w:rFonts w:hint="eastAsia" w:ascii="仿宋_GB2312" w:hAnsi="Calibri" w:eastAsia="仿宋_GB2312" w:cs="仿宋"/>
          <w:color w:val="auto"/>
          <w:kern w:val="0"/>
          <w:sz w:val="32"/>
          <w:szCs w:val="32"/>
          <w:highlight w:val="none"/>
          <w:lang w:val="en-US" w:eastAsia="zh-CN" w:bidi="ar-SA"/>
        </w:rPr>
        <w:t>10</w:t>
      </w:r>
      <w:r>
        <w:rPr>
          <w:rFonts w:ascii="仿宋_GB2312" w:hAnsi="Calibri" w:eastAsia="仿宋_GB2312" w:cs="仿宋"/>
          <w:color w:val="auto"/>
          <w:kern w:val="0"/>
          <w:sz w:val="32"/>
          <w:szCs w:val="32"/>
          <w:highlight w:val="none"/>
          <w:lang w:val="en-US" w:eastAsia="zh-CN" w:bidi="ar-SA"/>
        </w:rPr>
        <w:t>.</w:t>
      </w:r>
      <w:r>
        <w:rPr>
          <w:rFonts w:hint="eastAsia" w:ascii="仿宋_GB2312" w:hAnsi="Calibri" w:eastAsia="仿宋_GB2312" w:cs="仿宋"/>
          <w:color w:val="auto"/>
          <w:kern w:val="0"/>
          <w:sz w:val="32"/>
          <w:szCs w:val="32"/>
          <w:highlight w:val="none"/>
          <w:lang w:val="en-US" w:eastAsia="zh-CN" w:bidi="ar-SA"/>
        </w:rPr>
        <w:t>社会保障和就业（类）行政事业单位养老支出（款）机关事业单位基本养老保险缴费支出（项）和机关事业单位职业年金缴费支出（项）</w:t>
      </w:r>
      <w:r>
        <w:rPr>
          <w:rFonts w:ascii="仿宋_GB2312" w:hAnsi="Calibri" w:eastAsia="仿宋_GB2312" w:cs="仿宋"/>
          <w:color w:val="auto"/>
          <w:kern w:val="0"/>
          <w:sz w:val="32"/>
          <w:szCs w:val="32"/>
          <w:highlight w:val="none"/>
          <w:lang w:val="en-US" w:eastAsia="zh-CN" w:bidi="ar-SA"/>
        </w:rPr>
        <w:t>:</w:t>
      </w:r>
      <w:r>
        <w:rPr>
          <w:rFonts w:hint="default" w:ascii="仿宋_GB2312" w:hAnsi="Calibri" w:eastAsia="仿宋_GB2312" w:cs="仿宋"/>
          <w:color w:val="auto"/>
          <w:kern w:val="0"/>
          <w:sz w:val="32"/>
          <w:szCs w:val="32"/>
          <w:highlight w:val="none"/>
          <w:lang w:val="en-US" w:eastAsia="zh-CN" w:bidi="ar-SA"/>
        </w:rPr>
        <w:t>反映机关事业单位实施养老保险制度由单位缴纳的基本养老保险费</w:t>
      </w:r>
      <w:r>
        <w:rPr>
          <w:rFonts w:hint="eastAsia" w:ascii="仿宋_GB2312" w:hAnsi="Calibri" w:eastAsia="仿宋_GB2312" w:cs="仿宋"/>
          <w:color w:val="auto"/>
          <w:kern w:val="0"/>
          <w:sz w:val="32"/>
          <w:szCs w:val="32"/>
          <w:highlight w:val="none"/>
          <w:lang w:val="en-US" w:eastAsia="zh-CN" w:bidi="ar-SA"/>
        </w:rPr>
        <w:t>及职业年金</w:t>
      </w:r>
      <w:r>
        <w:rPr>
          <w:rFonts w:hint="default" w:ascii="仿宋_GB2312" w:hAnsi="Calibri" w:eastAsia="仿宋_GB2312" w:cs="仿宋"/>
          <w:color w:val="auto"/>
          <w:kern w:val="0"/>
          <w:sz w:val="32"/>
          <w:szCs w:val="32"/>
          <w:highlight w:val="none"/>
          <w:lang w:val="en-US" w:eastAsia="zh-CN" w:bidi="ar-SA"/>
        </w:rPr>
        <w:t>支出</w:t>
      </w:r>
      <w:r>
        <w:rPr>
          <w:rFonts w:hint="eastAsia" w:ascii="仿宋_GB2312" w:hAnsi="Calibri" w:eastAsia="仿宋_GB2312" w:cs="仿宋"/>
          <w:color w:val="auto"/>
          <w:kern w:val="0"/>
          <w:sz w:val="32"/>
          <w:szCs w:val="32"/>
          <w:highlight w:val="none"/>
          <w:lang w:val="en-US" w:eastAsia="zh-CN" w:bidi="ar-SA"/>
        </w:rPr>
        <w:t>。</w:t>
      </w:r>
    </w:p>
    <w:p>
      <w:pPr>
        <w:spacing w:line="600" w:lineRule="exact"/>
        <w:ind w:firstLine="640" w:firstLineChars="200"/>
        <w:rPr>
          <w:rFonts w:hint="eastAsia" w:ascii="仿宋_GB2312" w:hAnsi="Calibri" w:eastAsia="仿宋_GB2312" w:cs="仿宋"/>
          <w:color w:val="auto"/>
          <w:kern w:val="0"/>
          <w:sz w:val="32"/>
          <w:szCs w:val="32"/>
          <w:highlight w:val="none"/>
          <w:lang w:val="en-US" w:eastAsia="zh-CN" w:bidi="ar-SA"/>
        </w:rPr>
      </w:pPr>
      <w:r>
        <w:rPr>
          <w:rFonts w:hint="eastAsia" w:ascii="仿宋_GB2312" w:hAnsi="Calibri" w:eastAsia="仿宋_GB2312" w:cs="仿宋"/>
          <w:color w:val="auto"/>
          <w:kern w:val="0"/>
          <w:sz w:val="32"/>
          <w:szCs w:val="32"/>
          <w:highlight w:val="none"/>
          <w:lang w:val="en-US" w:eastAsia="zh-CN" w:bidi="ar-SA"/>
        </w:rPr>
        <w:t>11</w:t>
      </w:r>
      <w:r>
        <w:rPr>
          <w:rFonts w:ascii="仿宋_GB2312" w:hAnsi="Calibri" w:eastAsia="仿宋_GB2312" w:cs="仿宋"/>
          <w:color w:val="auto"/>
          <w:kern w:val="0"/>
          <w:sz w:val="32"/>
          <w:szCs w:val="32"/>
          <w:highlight w:val="none"/>
          <w:lang w:val="en-US" w:eastAsia="zh-CN" w:bidi="ar-SA"/>
        </w:rPr>
        <w:t>.</w:t>
      </w:r>
      <w:r>
        <w:rPr>
          <w:rFonts w:hint="eastAsia" w:ascii="仿宋_GB2312" w:hAnsi="Calibri" w:eastAsia="仿宋_GB2312" w:cs="仿宋"/>
          <w:color w:val="auto"/>
          <w:kern w:val="0"/>
          <w:sz w:val="32"/>
          <w:szCs w:val="32"/>
          <w:highlight w:val="none"/>
          <w:lang w:val="en-US" w:eastAsia="zh-CN" w:bidi="ar-SA"/>
        </w:rPr>
        <w:t>卫生健康（类）行政事业单位医疗（款）行政单位医疗（项）和公务员医疗补助（项）</w:t>
      </w:r>
      <w:r>
        <w:rPr>
          <w:rFonts w:ascii="仿宋_GB2312" w:hAnsi="Calibri" w:eastAsia="仿宋_GB2312" w:cs="仿宋"/>
          <w:color w:val="auto"/>
          <w:kern w:val="0"/>
          <w:sz w:val="32"/>
          <w:szCs w:val="32"/>
          <w:highlight w:val="none"/>
          <w:lang w:val="en-US" w:eastAsia="zh-CN" w:bidi="ar-SA"/>
        </w:rPr>
        <w:t>:</w:t>
      </w:r>
      <w:r>
        <w:rPr>
          <w:rFonts w:hint="default" w:ascii="仿宋_GB2312" w:hAnsi="Calibri" w:eastAsia="仿宋_GB2312" w:cs="仿宋"/>
          <w:color w:val="auto"/>
          <w:kern w:val="0"/>
          <w:sz w:val="32"/>
          <w:szCs w:val="32"/>
          <w:highlight w:val="none"/>
          <w:lang w:val="en-US" w:eastAsia="zh-CN" w:bidi="ar-SA"/>
        </w:rPr>
        <w:t>反映财政部门安排的行政单位（包括实行公务员管理的事业单位）基本医疗保险缴纳经费</w:t>
      </w:r>
      <w:r>
        <w:rPr>
          <w:rFonts w:hint="eastAsia" w:ascii="仿宋_GB2312" w:hAnsi="Calibri" w:eastAsia="仿宋_GB2312" w:cs="仿宋"/>
          <w:color w:val="auto"/>
          <w:kern w:val="0"/>
          <w:sz w:val="32"/>
          <w:szCs w:val="32"/>
          <w:highlight w:val="none"/>
          <w:lang w:val="en-US" w:eastAsia="zh-CN" w:bidi="ar-SA"/>
        </w:rPr>
        <w:t>支出</w:t>
      </w:r>
      <w:r>
        <w:rPr>
          <w:rFonts w:hint="default" w:ascii="仿宋_GB2312" w:hAnsi="Calibri" w:eastAsia="仿宋_GB2312" w:cs="仿宋"/>
          <w:color w:val="auto"/>
          <w:kern w:val="0"/>
          <w:sz w:val="32"/>
          <w:szCs w:val="32"/>
          <w:highlight w:val="none"/>
          <w:lang w:val="en-US" w:eastAsia="zh-CN" w:bidi="ar-SA"/>
        </w:rPr>
        <w:t>。</w:t>
      </w:r>
    </w:p>
    <w:p>
      <w:pPr>
        <w:pStyle w:val="2"/>
        <w:ind w:firstLine="640" w:firstLineChars="200"/>
        <w:rPr>
          <w:rFonts w:hint="default" w:ascii="仿宋_GB2312" w:hAnsi="Times New Roman" w:eastAsia="仿宋_GB2312" w:cs="Times New Roman"/>
          <w:color w:val="auto"/>
          <w:sz w:val="32"/>
          <w:szCs w:val="32"/>
          <w:highlight w:val="none"/>
        </w:rPr>
      </w:pPr>
      <w:r>
        <w:rPr>
          <w:rStyle w:val="16"/>
          <w:rFonts w:hint="eastAsia" w:ascii="仿宋" w:hAnsi="仿宋" w:eastAsia="仿宋"/>
          <w:b w:val="0"/>
          <w:bCs w:val="0"/>
          <w:color w:val="auto"/>
          <w:sz w:val="32"/>
          <w:szCs w:val="32"/>
          <w:highlight w:val="none"/>
          <w:lang w:val="en-US" w:eastAsia="zh-CN"/>
        </w:rPr>
        <w:t>12</w:t>
      </w:r>
      <w:r>
        <w:rPr>
          <w:rStyle w:val="16"/>
          <w:rFonts w:ascii="仿宋" w:hAnsi="仿宋" w:eastAsia="仿宋"/>
          <w:b w:val="0"/>
          <w:bCs w:val="0"/>
          <w:color w:val="auto"/>
          <w:sz w:val="32"/>
          <w:szCs w:val="32"/>
          <w:highlight w:val="none"/>
        </w:rPr>
        <w:t>.</w:t>
      </w:r>
      <w:r>
        <w:rPr>
          <w:rStyle w:val="16"/>
          <w:rFonts w:hint="eastAsia" w:ascii="仿宋" w:hAnsi="仿宋" w:eastAsia="仿宋"/>
          <w:b w:val="0"/>
          <w:bCs w:val="0"/>
          <w:color w:val="auto"/>
          <w:sz w:val="32"/>
          <w:szCs w:val="32"/>
          <w:highlight w:val="none"/>
        </w:rPr>
        <w:t>住房保障支出（类）住房改革支出（款）住房公积金（项）：</w:t>
      </w:r>
      <w:r>
        <w:rPr>
          <w:rFonts w:hint="default" w:ascii="仿宋_GB2312" w:hAnsi="Times New Roman" w:eastAsia="仿宋_GB2312" w:cs="Times New Roman"/>
          <w:color w:val="auto"/>
          <w:sz w:val="32"/>
          <w:szCs w:val="32"/>
          <w:highlight w:val="none"/>
        </w:rPr>
        <w:t>反映行政事业单位按人力资源和社会保障部、财政部规定的基本工资和津贴补贴以及规定比例为职工缴纳的住房公积金。</w:t>
      </w:r>
    </w:p>
    <w:p>
      <w:pPr>
        <w:pStyle w:val="2"/>
        <w:ind w:firstLine="640" w:firstLineChars="200"/>
        <w:rPr>
          <w:rFonts w:hint="default" w:ascii="仿宋" w:hAnsi="仿宋" w:eastAsia="仿宋"/>
          <w:b w:val="0"/>
          <w:bCs w:val="0"/>
          <w:color w:val="auto"/>
          <w:sz w:val="32"/>
          <w:szCs w:val="32"/>
          <w:highlight w:val="none"/>
          <w:lang w:val="en-US" w:eastAsia="zh-CN"/>
        </w:rPr>
      </w:pPr>
      <w:r>
        <w:rPr>
          <w:rStyle w:val="16"/>
          <w:rFonts w:hint="eastAsia" w:ascii="仿宋" w:hAnsi="仿宋" w:eastAsia="仿宋"/>
          <w:b w:val="0"/>
          <w:bCs w:val="0"/>
          <w:color w:val="auto"/>
          <w:sz w:val="32"/>
          <w:szCs w:val="32"/>
          <w:highlight w:val="none"/>
          <w:lang w:val="en-US" w:eastAsia="zh-CN"/>
        </w:rPr>
        <w:t>13</w:t>
      </w:r>
      <w:r>
        <w:rPr>
          <w:rStyle w:val="16"/>
          <w:rFonts w:ascii="仿宋" w:hAnsi="仿宋" w:eastAsia="仿宋"/>
          <w:b w:val="0"/>
          <w:bCs w:val="0"/>
          <w:color w:val="auto"/>
          <w:sz w:val="32"/>
          <w:szCs w:val="32"/>
          <w:highlight w:val="none"/>
        </w:rPr>
        <w:t>.</w:t>
      </w:r>
      <w:r>
        <w:rPr>
          <w:rStyle w:val="16"/>
          <w:rFonts w:hint="eastAsia" w:ascii="仿宋" w:hAnsi="仿宋" w:eastAsia="仿宋"/>
          <w:b w:val="0"/>
          <w:bCs w:val="0"/>
          <w:color w:val="auto"/>
          <w:sz w:val="32"/>
          <w:szCs w:val="32"/>
          <w:highlight w:val="none"/>
        </w:rPr>
        <w:t>灾害防治及应急管理支出（类）应急管理事务（款）行政运行（项）</w:t>
      </w:r>
      <w:r>
        <w:rPr>
          <w:rStyle w:val="16"/>
          <w:rFonts w:hint="eastAsia" w:ascii="仿宋" w:hAnsi="仿宋" w:eastAsia="仿宋"/>
          <w:b w:val="0"/>
          <w:bCs w:val="0"/>
          <w:color w:val="auto"/>
          <w:sz w:val="32"/>
          <w:szCs w:val="32"/>
          <w:highlight w:val="none"/>
          <w:lang w:val="en-US" w:eastAsia="zh-CN"/>
        </w:rPr>
        <w:t>一般行政管理事务</w:t>
      </w:r>
      <w:r>
        <w:rPr>
          <w:rStyle w:val="16"/>
          <w:rFonts w:hint="eastAsia" w:ascii="仿宋" w:hAnsi="仿宋" w:eastAsia="仿宋"/>
          <w:b w:val="0"/>
          <w:bCs w:val="0"/>
          <w:color w:val="auto"/>
          <w:sz w:val="32"/>
          <w:szCs w:val="32"/>
          <w:highlight w:val="none"/>
        </w:rPr>
        <w:t>（项）</w:t>
      </w:r>
      <w:r>
        <w:rPr>
          <w:rStyle w:val="16"/>
          <w:rFonts w:hint="eastAsia" w:ascii="仿宋" w:hAnsi="仿宋" w:eastAsia="仿宋"/>
          <w:b w:val="0"/>
          <w:bCs w:val="0"/>
          <w:color w:val="auto"/>
          <w:sz w:val="32"/>
          <w:szCs w:val="32"/>
          <w:highlight w:val="none"/>
          <w:lang w:eastAsia="zh-CN"/>
        </w:rPr>
        <w:t>灾害风险防治</w:t>
      </w:r>
      <w:r>
        <w:rPr>
          <w:rStyle w:val="16"/>
          <w:rFonts w:hint="eastAsia" w:ascii="仿宋" w:hAnsi="仿宋" w:eastAsia="仿宋"/>
          <w:b w:val="0"/>
          <w:bCs w:val="0"/>
          <w:color w:val="auto"/>
          <w:sz w:val="32"/>
          <w:szCs w:val="32"/>
          <w:highlight w:val="none"/>
        </w:rPr>
        <w:t>（项）</w:t>
      </w:r>
      <w:r>
        <w:rPr>
          <w:rStyle w:val="16"/>
          <w:rFonts w:hint="eastAsia" w:ascii="仿宋" w:hAnsi="仿宋" w:eastAsia="仿宋"/>
          <w:b w:val="0"/>
          <w:bCs w:val="0"/>
          <w:color w:val="auto"/>
          <w:sz w:val="32"/>
          <w:szCs w:val="32"/>
          <w:highlight w:val="none"/>
          <w:lang w:eastAsia="zh-CN"/>
        </w:rPr>
        <w:t>安全监管</w:t>
      </w:r>
      <w:r>
        <w:rPr>
          <w:rStyle w:val="16"/>
          <w:rFonts w:hint="eastAsia" w:ascii="仿宋" w:hAnsi="仿宋" w:eastAsia="仿宋"/>
          <w:b w:val="0"/>
          <w:bCs w:val="0"/>
          <w:color w:val="auto"/>
          <w:sz w:val="32"/>
          <w:szCs w:val="32"/>
          <w:highlight w:val="none"/>
        </w:rPr>
        <w:t>（项）应急救援（项）应急管理（项）其他应急管理支出（项）</w:t>
      </w:r>
      <w:r>
        <w:rPr>
          <w:rStyle w:val="16"/>
          <w:rFonts w:hint="eastAsia" w:ascii="仿宋" w:hAnsi="仿宋" w:eastAsia="仿宋"/>
          <w:b w:val="0"/>
          <w:bCs w:val="0"/>
          <w:color w:val="auto"/>
          <w:sz w:val="32"/>
          <w:szCs w:val="32"/>
          <w:highlight w:val="none"/>
          <w:lang w:val="en-US" w:eastAsia="zh-CN"/>
        </w:rPr>
        <w:t>和其他灾害防治及应急管理支出</w:t>
      </w:r>
      <w:r>
        <w:rPr>
          <w:rStyle w:val="16"/>
          <w:rFonts w:hint="eastAsia" w:ascii="仿宋" w:hAnsi="仿宋" w:eastAsia="仿宋"/>
          <w:b w:val="0"/>
          <w:bCs w:val="0"/>
          <w:color w:val="auto"/>
          <w:sz w:val="32"/>
          <w:szCs w:val="32"/>
          <w:highlight w:val="none"/>
        </w:rPr>
        <w:t>（款）</w:t>
      </w:r>
      <w:r>
        <w:rPr>
          <w:rStyle w:val="16"/>
          <w:rFonts w:hint="eastAsia" w:ascii="仿宋" w:hAnsi="仿宋" w:eastAsia="仿宋"/>
          <w:b w:val="0"/>
          <w:bCs w:val="0"/>
          <w:color w:val="auto"/>
          <w:sz w:val="32"/>
          <w:szCs w:val="32"/>
          <w:highlight w:val="none"/>
          <w:lang w:val="en-US" w:eastAsia="zh-CN"/>
        </w:rPr>
        <w:t>其他灾害防治及应急管理支出</w:t>
      </w:r>
      <w:r>
        <w:rPr>
          <w:rStyle w:val="16"/>
          <w:rFonts w:hint="eastAsia" w:ascii="仿宋" w:hAnsi="仿宋" w:eastAsia="仿宋"/>
          <w:b w:val="0"/>
          <w:bCs w:val="0"/>
          <w:color w:val="auto"/>
          <w:sz w:val="32"/>
          <w:szCs w:val="32"/>
          <w:highlight w:val="none"/>
        </w:rPr>
        <w:t>（项）：</w:t>
      </w:r>
      <w:r>
        <w:rPr>
          <w:rStyle w:val="16"/>
          <w:rFonts w:hint="eastAsia" w:ascii="仿宋" w:hAnsi="仿宋" w:eastAsia="仿宋"/>
          <w:b w:val="0"/>
          <w:bCs w:val="0"/>
          <w:color w:val="auto"/>
          <w:sz w:val="32"/>
          <w:szCs w:val="32"/>
          <w:highlight w:val="none"/>
          <w:lang w:val="en-US" w:eastAsia="zh-CN"/>
        </w:rPr>
        <w:t>反映用于应急救援、应急管理等方面的支出。</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14</w:t>
      </w:r>
      <w:r>
        <w:rPr>
          <w:rFonts w:ascii="仿宋_GB2312" w:eastAsia="仿宋_GB2312"/>
          <w:color w:val="auto"/>
          <w:sz w:val="32"/>
          <w:szCs w:val="32"/>
          <w:highlight w:val="none"/>
        </w:rPr>
        <w:t>.</w:t>
      </w:r>
      <w:r>
        <w:rPr>
          <w:rFonts w:hint="eastAsia" w:ascii="仿宋_GB2312" w:eastAsia="仿宋_GB2312"/>
          <w:color w:val="auto"/>
          <w:sz w:val="32"/>
          <w:szCs w:val="32"/>
          <w:highlight w:val="none"/>
        </w:rPr>
        <w:t>基本支出：指为保障机构正常运转、完成日常工作任务而发生的人员支出和公用支出。</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15</w:t>
      </w:r>
      <w:r>
        <w:rPr>
          <w:rFonts w:ascii="仿宋_GB2312" w:eastAsia="仿宋_GB2312"/>
          <w:color w:val="auto"/>
          <w:sz w:val="32"/>
          <w:szCs w:val="32"/>
          <w:highlight w:val="none"/>
        </w:rPr>
        <w:t>.</w:t>
      </w:r>
      <w:r>
        <w:rPr>
          <w:rFonts w:hint="eastAsia" w:ascii="仿宋_GB2312" w:eastAsia="仿宋_GB2312"/>
          <w:color w:val="auto"/>
          <w:sz w:val="32"/>
          <w:szCs w:val="32"/>
          <w:highlight w:val="none"/>
        </w:rPr>
        <w:t>项目支出：指在基本支出之外为完成特定行政任务和事业发展目标所发生的支出。</w:t>
      </w:r>
      <w:r>
        <w:rPr>
          <w:rFonts w:ascii="仿宋_GB2312" w:eastAsia="仿宋_GB2312"/>
          <w:color w:val="auto"/>
          <w:sz w:val="32"/>
          <w:szCs w:val="32"/>
          <w:highlight w:val="none"/>
        </w:rPr>
        <w:t xml:space="preserve"> </w:t>
      </w:r>
    </w:p>
    <w:p>
      <w:pPr>
        <w:pStyle w:val="25"/>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16</w:t>
      </w:r>
      <w:r>
        <w:rPr>
          <w:rFonts w:ascii="仿宋_GB2312" w:eastAsia="仿宋_GB2312"/>
          <w:color w:val="auto"/>
          <w:sz w:val="32"/>
          <w:szCs w:val="32"/>
          <w:highlight w:val="none"/>
        </w:rPr>
        <w:t>.</w:t>
      </w:r>
      <w:r>
        <w:rPr>
          <w:rFonts w:hint="eastAsia" w:ascii="仿宋_GB2312" w:eastAsia="仿宋_GB2312"/>
          <w:color w:val="auto"/>
          <w:sz w:val="32"/>
          <w:szCs w:val="32"/>
          <w:highlight w:val="none"/>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5"/>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17</w:t>
      </w:r>
      <w:r>
        <w:rPr>
          <w:rFonts w:ascii="仿宋_GB2312" w:eastAsia="仿宋_GB2312"/>
          <w:color w:val="auto"/>
          <w:sz w:val="32"/>
          <w:szCs w:val="32"/>
          <w:highlight w:val="none"/>
        </w:rPr>
        <w:t>.</w:t>
      </w:r>
      <w:r>
        <w:rPr>
          <w:rFonts w:hint="eastAsia" w:ascii="仿宋_GB2312" w:eastAsia="仿宋_GB2312"/>
          <w:color w:val="auto"/>
          <w:sz w:val="32"/>
          <w:szCs w:val="32"/>
          <w:highlight w:val="none"/>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25"/>
        <w:spacing w:line="560" w:lineRule="exact"/>
        <w:ind w:firstLine="640" w:firstLineChars="200"/>
        <w:rPr>
          <w:rFonts w:ascii="仿宋_GB2312" w:eastAsia="仿宋_GB2312" w:cs="黑体"/>
          <w:color w:val="auto"/>
          <w:sz w:val="32"/>
          <w:szCs w:val="32"/>
          <w:highlight w:val="none"/>
        </w:rPr>
      </w:pPr>
    </w:p>
    <w:p>
      <w:pPr>
        <w:spacing w:line="600" w:lineRule="exact"/>
        <w:jc w:val="center"/>
        <w:outlineLvl w:val="0"/>
        <w:rPr>
          <w:rStyle w:val="27"/>
          <w:rFonts w:hint="eastAsia" w:ascii="黑体" w:hAnsi="黑体" w:eastAsia="黑体"/>
          <w:b w:val="0"/>
          <w:color w:val="auto"/>
          <w:highlight w:val="none"/>
          <w:lang w:eastAsia="zh-CN"/>
        </w:rPr>
      </w:pPr>
      <w:bookmarkStart w:id="302" w:name="_Toc15377226"/>
      <w:r>
        <w:rPr>
          <w:rFonts w:ascii="宋体"/>
          <w:b/>
          <w:color w:val="auto"/>
          <w:sz w:val="44"/>
          <w:szCs w:val="44"/>
          <w:highlight w:val="none"/>
        </w:rPr>
        <w:br w:type="page"/>
      </w:r>
      <w:bookmarkStart w:id="303" w:name="_Toc15396614"/>
      <w:bookmarkStart w:id="304" w:name="_Toc5623"/>
      <w:bookmarkStart w:id="305" w:name="_Toc16217"/>
      <w:r>
        <w:rPr>
          <w:rFonts w:hint="eastAsia" w:ascii="黑体" w:hAnsi="黑体" w:eastAsia="黑体"/>
          <w:color w:val="auto"/>
          <w:sz w:val="44"/>
          <w:szCs w:val="44"/>
          <w:highlight w:val="none"/>
        </w:rPr>
        <w:t>第</w:t>
      </w:r>
      <w:r>
        <w:rPr>
          <w:rStyle w:val="27"/>
          <w:rFonts w:hint="eastAsia" w:ascii="黑体" w:hAnsi="黑体" w:eastAsia="黑体"/>
          <w:b w:val="0"/>
          <w:color w:val="auto"/>
          <w:highlight w:val="none"/>
        </w:rPr>
        <w:t>四部分 附件</w:t>
      </w:r>
      <w:bookmarkEnd w:id="303"/>
      <w:bookmarkEnd w:id="304"/>
      <w:bookmarkEnd w:id="305"/>
    </w:p>
    <w:p>
      <w:pPr>
        <w:keepNext w:val="0"/>
        <w:keepLines w:val="0"/>
        <w:pageBreakBefore w:val="0"/>
        <w:kinsoku/>
        <w:wordWrap/>
        <w:overflowPunct/>
        <w:topLinePunct w:val="0"/>
        <w:autoSpaceDE/>
        <w:autoSpaceDN/>
        <w:bidi w:val="0"/>
        <w:spacing w:line="572" w:lineRule="exact"/>
        <w:jc w:val="left"/>
        <w:textAlignment w:val="auto"/>
        <w:outlineLvl w:val="0"/>
        <w:rPr>
          <w:rFonts w:ascii="方正小标宋简体" w:hAnsi="方正小标宋简体" w:eastAsia="方正小标宋简体" w:cs="方正小标宋简体"/>
          <w:color w:val="auto"/>
          <w:sz w:val="44"/>
          <w:szCs w:val="44"/>
          <w:highlight w:val="none"/>
        </w:rPr>
      </w:pPr>
      <w:bookmarkStart w:id="306" w:name="_Toc28353"/>
      <w:bookmarkStart w:id="307" w:name="_Toc16415"/>
      <w:bookmarkStart w:id="308" w:name="_Toc20242"/>
      <w:bookmarkStart w:id="309" w:name="_Toc30341"/>
      <w:bookmarkStart w:id="310" w:name="_Toc7205"/>
      <w:r>
        <w:rPr>
          <w:rFonts w:hint="eastAsia" w:ascii="黑体" w:hAnsi="黑体" w:eastAsia="黑体" w:cs="黑体"/>
          <w:color w:val="auto"/>
          <w:sz w:val="32"/>
          <w:szCs w:val="32"/>
          <w:highlight w:val="none"/>
        </w:rPr>
        <w:t>附件</w:t>
      </w:r>
      <w:bookmarkEnd w:id="306"/>
      <w:bookmarkEnd w:id="307"/>
      <w:bookmarkEnd w:id="308"/>
      <w:bookmarkEnd w:id="309"/>
      <w:bookmarkEnd w:id="310"/>
    </w:p>
    <w:p>
      <w:pPr>
        <w:spacing w:line="600" w:lineRule="exact"/>
        <w:jc w:val="center"/>
        <w:outlineLvl w:val="1"/>
        <w:rPr>
          <w:rFonts w:hint="default" w:ascii="黑体" w:hAnsi="黑体" w:eastAsia="黑体"/>
          <w:color w:val="auto"/>
          <w:sz w:val="44"/>
          <w:szCs w:val="44"/>
          <w:highlight w:val="none"/>
          <w:lang w:val="en-US" w:eastAsia="zh-CN"/>
        </w:rPr>
      </w:pPr>
      <w:bookmarkStart w:id="311" w:name="_Toc21639"/>
      <w:r>
        <w:rPr>
          <w:rFonts w:hint="default" w:ascii="黑体" w:hAnsi="黑体" w:eastAsia="黑体"/>
          <w:color w:val="auto"/>
          <w:sz w:val="44"/>
          <w:szCs w:val="44"/>
          <w:highlight w:val="none"/>
          <w:lang w:val="en-US" w:eastAsia="zh-CN"/>
        </w:rPr>
        <w:t>巴中市巴州区</w:t>
      </w:r>
      <w:r>
        <w:rPr>
          <w:rFonts w:hint="eastAsia" w:ascii="黑体" w:hAnsi="黑体" w:eastAsia="黑体"/>
          <w:color w:val="auto"/>
          <w:sz w:val="44"/>
          <w:szCs w:val="44"/>
          <w:highlight w:val="none"/>
          <w:lang w:val="en-US" w:eastAsia="zh-CN"/>
        </w:rPr>
        <w:t>应急管理</w:t>
      </w:r>
      <w:r>
        <w:rPr>
          <w:rFonts w:hint="default" w:ascii="黑体" w:hAnsi="黑体" w:eastAsia="黑体"/>
          <w:color w:val="auto"/>
          <w:sz w:val="44"/>
          <w:szCs w:val="44"/>
          <w:highlight w:val="none"/>
          <w:lang w:val="en-US" w:eastAsia="zh-CN"/>
        </w:rPr>
        <w:t>局</w:t>
      </w:r>
      <w:bookmarkEnd w:id="311"/>
    </w:p>
    <w:p>
      <w:pPr>
        <w:spacing w:line="600" w:lineRule="exact"/>
        <w:jc w:val="center"/>
        <w:outlineLvl w:val="1"/>
        <w:rPr>
          <w:rFonts w:hint="default" w:ascii="黑体" w:hAnsi="黑体" w:eastAsia="黑体"/>
          <w:color w:val="auto"/>
          <w:sz w:val="44"/>
          <w:szCs w:val="44"/>
          <w:highlight w:val="none"/>
        </w:rPr>
      </w:pPr>
      <w:bookmarkStart w:id="312" w:name="_Toc18244"/>
      <w:r>
        <w:rPr>
          <w:rFonts w:hint="default" w:ascii="黑体" w:hAnsi="黑体" w:eastAsia="黑体"/>
          <w:color w:val="auto"/>
          <w:sz w:val="44"/>
          <w:szCs w:val="44"/>
          <w:highlight w:val="none"/>
          <w:lang w:val="en-US" w:eastAsia="zh-CN"/>
        </w:rPr>
        <w:t>2023年</w:t>
      </w:r>
      <w:r>
        <w:rPr>
          <w:rFonts w:hint="default" w:ascii="黑体" w:hAnsi="黑体" w:eastAsia="黑体"/>
          <w:color w:val="auto"/>
          <w:sz w:val="44"/>
          <w:szCs w:val="44"/>
          <w:highlight w:val="none"/>
        </w:rPr>
        <w:t>整体支出绩效评价报告</w:t>
      </w:r>
      <w:bookmarkEnd w:id="312"/>
    </w:p>
    <w:p>
      <w:pPr>
        <w:keepNext w:val="0"/>
        <w:keepLines w:val="0"/>
        <w:pageBreakBefore w:val="0"/>
        <w:widowControl w:val="0"/>
        <w:kinsoku/>
        <w:wordWrap/>
        <w:overflowPunct/>
        <w:topLinePunct w:val="0"/>
        <w:autoSpaceDE/>
        <w:autoSpaceDN/>
        <w:bidi w:val="0"/>
        <w:adjustRightInd/>
        <w:snapToGrid/>
        <w:spacing w:line="600" w:lineRule="exact"/>
        <w:ind w:firstLine="0" w:firstLineChars="0"/>
        <w:textAlignment w:val="auto"/>
        <w:outlineLvl w:val="1"/>
        <w:rPr>
          <w:rFonts w:hint="default" w:ascii="Times New Roman" w:hAnsi="Times New Roman" w:eastAsia="方正仿宋简体" w:cs="Times New Roman"/>
          <w:color w:val="000000"/>
          <w:sz w:val="44"/>
          <w:szCs w:val="44"/>
          <w:shd w:val="clear" w:color="auto" w:fill="FFFFFF"/>
        </w:rPr>
      </w:pPr>
    </w:p>
    <w:p>
      <w:pPr>
        <w:keepNext w:val="0"/>
        <w:keepLines w:val="0"/>
        <w:pageBreakBefore w:val="0"/>
        <w:kinsoku/>
        <w:wordWrap/>
        <w:overflowPunct/>
        <w:topLinePunct w:val="0"/>
        <w:autoSpaceDE/>
        <w:autoSpaceDN/>
        <w:bidi w:val="0"/>
        <w:spacing w:line="560" w:lineRule="exact"/>
        <w:ind w:firstLine="640" w:firstLineChars="200"/>
        <w:textAlignment w:val="auto"/>
        <w:outlineLvl w:val="1"/>
        <w:rPr>
          <w:rFonts w:hint="eastAsia" w:ascii="黑体" w:hAnsi="黑体" w:eastAsia="黑体" w:cs="黑体"/>
          <w:sz w:val="32"/>
          <w:szCs w:val="32"/>
        </w:rPr>
      </w:pPr>
      <w:bookmarkStart w:id="313" w:name="_Toc17107"/>
      <w:r>
        <w:rPr>
          <w:rFonts w:hint="eastAsia" w:ascii="黑体" w:hAnsi="黑体" w:eastAsia="黑体" w:cs="黑体"/>
          <w:sz w:val="32"/>
          <w:szCs w:val="32"/>
        </w:rPr>
        <w:t>一、单位概况</w:t>
      </w:r>
      <w:bookmarkEnd w:id="313"/>
    </w:p>
    <w:p>
      <w:pPr>
        <w:keepNext w:val="0"/>
        <w:keepLines w:val="0"/>
        <w:pageBreakBefore w:val="0"/>
        <w:kinsoku/>
        <w:wordWrap/>
        <w:overflowPunct/>
        <w:topLinePunct w:val="0"/>
        <w:autoSpaceDE/>
        <w:autoSpaceDN/>
        <w:bidi w:val="0"/>
        <w:snapToGrid w:val="0"/>
        <w:spacing w:line="560" w:lineRule="exact"/>
        <w:ind w:firstLine="643" w:firstLineChars="200"/>
        <w:textAlignment w:val="auto"/>
        <w:outlineLvl w:val="2"/>
        <w:rPr>
          <w:rFonts w:hint="default" w:ascii="Times New Roman" w:hAnsi="Times New Roman" w:eastAsia="仿宋_GB2312" w:cs="Times New Roman"/>
          <w:color w:val="auto"/>
          <w:sz w:val="32"/>
          <w:szCs w:val="32"/>
          <w:lang w:val="zh-CN"/>
        </w:rPr>
      </w:pPr>
      <w:bookmarkStart w:id="314" w:name="_Toc7809"/>
      <w:r>
        <w:rPr>
          <w:rFonts w:hint="eastAsia" w:ascii="楷体_GB2312" w:hAnsi="楷体_GB2312" w:eastAsia="楷体_GB2312" w:cs="楷体_GB2312"/>
          <w:b/>
          <w:bCs/>
          <w:sz w:val="32"/>
          <w:szCs w:val="32"/>
          <w:lang w:val="zh-CN"/>
        </w:rPr>
        <w:t>（一）机构组成。</w:t>
      </w:r>
      <w:r>
        <w:rPr>
          <w:rFonts w:hint="default" w:ascii="Times New Roman" w:hAnsi="Times New Roman" w:eastAsia="仿宋_GB2312" w:cs="Times New Roman"/>
          <w:color w:val="auto"/>
          <w:sz w:val="32"/>
          <w:szCs w:val="32"/>
          <w:lang w:val="zh-CN"/>
        </w:rPr>
        <w:t>巴中市巴州区</w:t>
      </w:r>
      <w:r>
        <w:rPr>
          <w:rFonts w:hint="default" w:ascii="Times New Roman" w:hAnsi="Times New Roman" w:cs="Times New Roman"/>
          <w:color w:val="auto"/>
          <w:sz w:val="32"/>
          <w:szCs w:val="32"/>
          <w:lang w:val="zh-CN"/>
        </w:rPr>
        <w:t>应急管理</w:t>
      </w:r>
      <w:r>
        <w:rPr>
          <w:rFonts w:hint="default" w:ascii="Times New Roman" w:hAnsi="Times New Roman" w:eastAsia="仿宋_GB2312" w:cs="Times New Roman"/>
          <w:color w:val="auto"/>
          <w:sz w:val="32"/>
          <w:szCs w:val="32"/>
          <w:lang w:val="zh-CN"/>
        </w:rPr>
        <w:t>局属于行政单位，下属二级预算单位3个，其中参照公务员法管理的事业单位1个，</w:t>
      </w:r>
      <w:r>
        <w:rPr>
          <w:rFonts w:hint="default" w:ascii="Times New Roman" w:hAnsi="Times New Roman" w:cs="Times New Roman"/>
          <w:color w:val="auto"/>
          <w:sz w:val="32"/>
          <w:szCs w:val="32"/>
          <w:lang w:val="zh-CN"/>
        </w:rPr>
        <w:t>为</w:t>
      </w:r>
      <w:r>
        <w:rPr>
          <w:rFonts w:hint="default" w:ascii="Times New Roman" w:hAnsi="Times New Roman" w:eastAsia="仿宋_GB2312" w:cs="Times New Roman"/>
          <w:color w:val="auto"/>
          <w:sz w:val="32"/>
          <w:szCs w:val="32"/>
          <w:lang w:val="zh-CN"/>
        </w:rPr>
        <w:t>巴中市巴州区安全生产执法监察大队</w:t>
      </w:r>
      <w:r>
        <w:rPr>
          <w:rFonts w:hint="default" w:ascii="Times New Roman" w:hAnsi="Times New Roman" w:cs="Times New Roman"/>
          <w:color w:val="auto"/>
          <w:sz w:val="32"/>
          <w:szCs w:val="32"/>
          <w:lang w:val="zh-CN"/>
        </w:rPr>
        <w:t>；</w:t>
      </w:r>
      <w:r>
        <w:rPr>
          <w:rFonts w:hint="default" w:ascii="Times New Roman" w:hAnsi="Times New Roman" w:eastAsia="仿宋_GB2312" w:cs="Times New Roman"/>
          <w:color w:val="auto"/>
          <w:sz w:val="32"/>
          <w:szCs w:val="32"/>
          <w:lang w:val="zh-CN"/>
        </w:rPr>
        <w:t>其他事业单位2个</w:t>
      </w:r>
      <w:r>
        <w:rPr>
          <w:rFonts w:hint="default" w:ascii="Times New Roman" w:hAnsi="Times New Roman" w:cs="Times New Roman"/>
          <w:color w:val="auto"/>
          <w:sz w:val="32"/>
          <w:szCs w:val="32"/>
          <w:lang w:val="zh-CN"/>
        </w:rPr>
        <w:t>，分别为</w:t>
      </w:r>
      <w:r>
        <w:rPr>
          <w:rFonts w:hint="default" w:ascii="Times New Roman" w:hAnsi="Times New Roman" w:eastAsia="仿宋_GB2312" w:cs="Times New Roman"/>
          <w:color w:val="auto"/>
          <w:sz w:val="32"/>
          <w:szCs w:val="32"/>
          <w:lang w:val="zh-CN"/>
        </w:rPr>
        <w:t>巴中市巴州区安全生产应急指挥保障中心、巴中市巴州区减灾中心。</w:t>
      </w:r>
      <w:bookmarkEnd w:id="314"/>
    </w:p>
    <w:p>
      <w:pPr>
        <w:keepNext w:val="0"/>
        <w:keepLines w:val="0"/>
        <w:pageBreakBefore w:val="0"/>
        <w:kinsoku/>
        <w:wordWrap/>
        <w:overflowPunct/>
        <w:topLinePunct w:val="0"/>
        <w:autoSpaceDE/>
        <w:autoSpaceDN/>
        <w:bidi w:val="0"/>
        <w:snapToGrid w:val="0"/>
        <w:spacing w:line="560" w:lineRule="exact"/>
        <w:ind w:firstLine="643" w:firstLineChars="200"/>
        <w:textAlignment w:val="auto"/>
        <w:outlineLvl w:val="2"/>
        <w:rPr>
          <w:rFonts w:hint="default" w:ascii="楷体_GB2312" w:hAnsi="楷体_GB2312" w:eastAsia="楷体_GB2312" w:cs="楷体_GB2312"/>
          <w:b/>
          <w:bCs/>
          <w:sz w:val="32"/>
          <w:szCs w:val="32"/>
          <w:lang w:val="zh-CN"/>
        </w:rPr>
      </w:pPr>
      <w:bookmarkStart w:id="315" w:name="_Toc853"/>
      <w:r>
        <w:rPr>
          <w:rFonts w:hint="default" w:ascii="楷体_GB2312" w:hAnsi="楷体_GB2312" w:eastAsia="楷体_GB2312" w:cs="楷体_GB2312"/>
          <w:b/>
          <w:bCs/>
          <w:sz w:val="32"/>
          <w:szCs w:val="32"/>
          <w:lang w:val="zh-CN"/>
        </w:rPr>
        <w:t>（二）机构职能。</w:t>
      </w:r>
      <w:bookmarkEnd w:id="315"/>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contextualSpacing/>
        <w:textAlignment w:val="auto"/>
        <w:rPr>
          <w:rFonts w:hint="default" w:ascii="仿宋_GB2312" w:hAnsi="仿宋_GB2312" w:eastAsia="仿宋_GB2312" w:cs="仿宋_GB2312"/>
          <w:color w:val="auto"/>
          <w:sz w:val="32"/>
          <w:szCs w:val="32"/>
          <w:lang w:val="en-US" w:eastAsia="zh-CN"/>
        </w:rPr>
      </w:pPr>
      <w:r>
        <w:rPr>
          <w:rFonts w:hint="default" w:ascii="仿宋_GB2312" w:hAnsi="仿宋_GB2312" w:eastAsia="仿宋_GB2312" w:cs="仿宋_GB2312"/>
          <w:color w:val="auto"/>
          <w:sz w:val="32"/>
          <w:szCs w:val="32"/>
          <w:lang w:val="en-US" w:eastAsia="zh-CN"/>
        </w:rPr>
        <w:t> 1.负责应急管理工作，组织和指导各地、各部门应对安全生产类、自然灾害类等突发事件和综合防灾减灾救灾工作</w:t>
      </w:r>
      <w:r>
        <w:rPr>
          <w:rFonts w:hint="eastAsia" w:ascii="仿宋_GB2312" w:hAnsi="仿宋_GB2312" w:cs="仿宋_GB2312"/>
          <w:color w:val="auto"/>
          <w:sz w:val="32"/>
          <w:szCs w:val="32"/>
          <w:lang w:val="en-US" w:eastAsia="zh-CN"/>
        </w:rPr>
        <w:t>；</w:t>
      </w:r>
      <w:r>
        <w:rPr>
          <w:rFonts w:hint="default" w:ascii="仿宋_GB2312" w:hAnsi="仿宋_GB2312" w:eastAsia="仿宋_GB2312" w:cs="仿宋_GB2312"/>
          <w:color w:val="auto"/>
          <w:sz w:val="32"/>
          <w:szCs w:val="32"/>
          <w:lang w:val="en-US" w:eastAsia="zh-CN"/>
        </w:rPr>
        <w:t>负责工矿商贸、煤炭行业安全生产监督管理和安全生产综合监督管理工作。</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contextualSpacing/>
        <w:textAlignment w:val="auto"/>
        <w:rPr>
          <w:rFonts w:hint="default" w:ascii="仿宋_GB2312" w:hAnsi="仿宋_GB2312" w:eastAsia="仿宋_GB2312" w:cs="仿宋_GB2312"/>
          <w:color w:val="auto"/>
          <w:sz w:val="32"/>
          <w:szCs w:val="32"/>
          <w:lang w:val="en-US" w:eastAsia="zh-CN"/>
        </w:rPr>
      </w:pPr>
      <w:r>
        <w:rPr>
          <w:rFonts w:hint="default" w:ascii="仿宋_GB2312" w:hAnsi="仿宋_GB2312" w:eastAsia="仿宋_GB2312" w:cs="仿宋_GB2312"/>
          <w:color w:val="auto"/>
          <w:sz w:val="32"/>
          <w:szCs w:val="32"/>
          <w:lang w:val="en-US" w:eastAsia="zh-CN"/>
        </w:rPr>
        <w:t>2.拟订应急管理、安全生产等政策措施，组织编制应急体系建设、安全生产和综合防灾减灾规划。</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contextualSpacing/>
        <w:textAlignment w:val="auto"/>
        <w:rPr>
          <w:rFonts w:hint="default" w:ascii="仿宋_GB2312" w:hAnsi="仿宋_GB2312" w:eastAsia="仿宋_GB2312" w:cs="仿宋_GB2312"/>
          <w:color w:val="auto"/>
          <w:sz w:val="32"/>
          <w:szCs w:val="32"/>
          <w:lang w:val="en-US" w:eastAsia="zh-CN"/>
        </w:rPr>
      </w:pPr>
      <w:r>
        <w:rPr>
          <w:rFonts w:hint="default" w:ascii="仿宋_GB2312" w:hAnsi="仿宋_GB2312" w:eastAsia="仿宋_GB2312" w:cs="仿宋_GB2312"/>
          <w:color w:val="auto"/>
          <w:sz w:val="32"/>
          <w:szCs w:val="32"/>
          <w:lang w:val="en-US" w:eastAsia="zh-CN"/>
        </w:rPr>
        <w:t>3.负责组织、指导应急预案体系建设，建立完善事故灾难和自然灾害分级应对制度，牵头组织编制综合应急防灾减灾预案和安全生产类、自然灾害类专项预案，综合协调应急预案衔接工作，组织开展预案演练并落实，推动应急避难设施建设。</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contextualSpacing/>
        <w:textAlignment w:val="auto"/>
        <w:rPr>
          <w:rFonts w:hint="default" w:ascii="仿宋_GB2312" w:hAnsi="仿宋_GB2312" w:eastAsia="仿宋_GB2312" w:cs="仿宋_GB2312"/>
          <w:color w:val="auto"/>
          <w:sz w:val="32"/>
          <w:szCs w:val="32"/>
          <w:lang w:val="en-US" w:eastAsia="zh-CN"/>
        </w:rPr>
      </w:pPr>
      <w:r>
        <w:rPr>
          <w:rFonts w:hint="default" w:ascii="仿宋_GB2312" w:hAnsi="仿宋_GB2312" w:eastAsia="仿宋_GB2312" w:cs="仿宋_GB2312"/>
          <w:color w:val="auto"/>
          <w:sz w:val="32"/>
          <w:szCs w:val="32"/>
          <w:lang w:val="en-US" w:eastAsia="zh-CN"/>
        </w:rPr>
        <w:t>4.牵头建立统一的应急管理信息系统，负责信息传输渠道的规划和布局，建立监测预警和灾情报告制度，健全自然灾害信息资源获取和共享机制，依法统一发布灾情。</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contextualSpacing/>
        <w:textAlignment w:val="auto"/>
        <w:rPr>
          <w:rFonts w:hint="default" w:ascii="仿宋_GB2312" w:hAnsi="仿宋_GB2312" w:eastAsia="仿宋_GB2312" w:cs="仿宋_GB2312"/>
          <w:color w:val="auto"/>
          <w:sz w:val="32"/>
          <w:szCs w:val="32"/>
          <w:lang w:val="en-US" w:eastAsia="zh-CN"/>
        </w:rPr>
      </w:pPr>
      <w:r>
        <w:rPr>
          <w:rFonts w:hint="default" w:ascii="仿宋_GB2312" w:hAnsi="仿宋_GB2312" w:eastAsia="仿宋_GB2312" w:cs="仿宋_GB2312"/>
          <w:color w:val="auto"/>
          <w:sz w:val="32"/>
          <w:szCs w:val="32"/>
          <w:lang w:val="en-US" w:eastAsia="zh-CN"/>
        </w:rPr>
        <w:t> 5.负责组织、指导、协调安全生产类、自然灾害类等突发事件应急救援，承担全区应对一般及以上灾害指挥部工作，综合研判突发事件发展态势并提出应对建议，负责组织一般及以上灾害应急处置工作。</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contextualSpacing/>
        <w:textAlignment w:val="auto"/>
        <w:rPr>
          <w:rFonts w:hint="default" w:ascii="仿宋_GB2312" w:hAnsi="仿宋_GB2312" w:eastAsia="仿宋_GB2312" w:cs="仿宋_GB2312"/>
          <w:color w:val="auto"/>
          <w:sz w:val="32"/>
          <w:szCs w:val="32"/>
          <w:lang w:val="en-US" w:eastAsia="zh-CN"/>
        </w:rPr>
      </w:pPr>
      <w:r>
        <w:rPr>
          <w:rFonts w:hint="default" w:ascii="仿宋_GB2312" w:hAnsi="仿宋_GB2312" w:eastAsia="仿宋_GB2312" w:cs="仿宋_GB2312"/>
          <w:color w:val="auto"/>
          <w:sz w:val="32"/>
          <w:szCs w:val="32"/>
          <w:lang w:val="en-US" w:eastAsia="zh-CN"/>
        </w:rPr>
        <w:t>6.统一协调指挥各类应急专业队伍，建立应急协调联动机制，推进指挥平台对接，提请衔接解放军和武警部队参与应急救援工作。</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contextualSpacing/>
        <w:textAlignment w:val="auto"/>
        <w:rPr>
          <w:rFonts w:hint="default" w:ascii="仿宋_GB2312" w:hAnsi="仿宋_GB2312" w:eastAsia="仿宋_GB2312" w:cs="仿宋_GB2312"/>
          <w:color w:val="auto"/>
          <w:sz w:val="32"/>
          <w:szCs w:val="32"/>
          <w:lang w:val="en-US" w:eastAsia="zh-CN"/>
        </w:rPr>
      </w:pPr>
      <w:r>
        <w:rPr>
          <w:rFonts w:hint="default" w:ascii="仿宋_GB2312" w:hAnsi="仿宋_GB2312" w:eastAsia="仿宋_GB2312" w:cs="仿宋_GB2312"/>
          <w:color w:val="auto"/>
          <w:sz w:val="32"/>
          <w:szCs w:val="32"/>
          <w:lang w:val="en-US" w:eastAsia="zh-CN"/>
        </w:rPr>
        <w:t> 7.按照国家相关政策和规定负责消防、森林火灾扑救、抗洪抢险、地震和地质灾害救援、生产安全事故救援等专业应急救援力量建设，依法依规统筹指导各地各部门及社会应急救援力量和应急保障能力建设。</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contextualSpacing/>
        <w:textAlignment w:val="auto"/>
        <w:rPr>
          <w:rFonts w:hint="default" w:ascii="仿宋_GB2312" w:hAnsi="仿宋_GB2312" w:eastAsia="仿宋_GB2312" w:cs="仿宋_GB2312"/>
          <w:color w:val="auto"/>
          <w:sz w:val="32"/>
          <w:szCs w:val="32"/>
          <w:lang w:val="en-US" w:eastAsia="zh-CN"/>
        </w:rPr>
      </w:pPr>
      <w:r>
        <w:rPr>
          <w:rFonts w:hint="default" w:ascii="仿宋_GB2312" w:hAnsi="仿宋_GB2312" w:eastAsia="仿宋_GB2312" w:cs="仿宋_GB2312"/>
          <w:color w:val="auto"/>
          <w:sz w:val="32"/>
          <w:szCs w:val="32"/>
          <w:lang w:val="en-US" w:eastAsia="zh-CN"/>
        </w:rPr>
        <w:t>8.按照国家相关政策和省委省政府、市委市政府、区委区政府相关规定负责消防工作，组织和指导消防监督、火灾预防、火灾扑救等工作。</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contextualSpacing/>
        <w:textAlignment w:val="auto"/>
        <w:rPr>
          <w:rFonts w:hint="default" w:ascii="仿宋_GB2312" w:hAnsi="仿宋_GB2312" w:eastAsia="仿宋_GB2312" w:cs="仿宋_GB2312"/>
          <w:color w:val="auto"/>
          <w:sz w:val="32"/>
          <w:szCs w:val="32"/>
          <w:lang w:val="en-US" w:eastAsia="zh-CN"/>
        </w:rPr>
      </w:pPr>
      <w:r>
        <w:rPr>
          <w:rFonts w:hint="default" w:ascii="仿宋_GB2312" w:hAnsi="仿宋_GB2312" w:eastAsia="仿宋_GB2312" w:cs="仿宋_GB2312"/>
          <w:color w:val="auto"/>
          <w:sz w:val="32"/>
          <w:szCs w:val="32"/>
          <w:lang w:val="en-US" w:eastAsia="zh-CN"/>
        </w:rPr>
        <w:t>9.负责自然灾害综合监测预警工作，承担自然灾害综合风险评估工作，指导协调森林火灾、水旱灾害、地震和地质灾害等防治工作。     </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contextualSpacing/>
        <w:textAlignment w:val="auto"/>
        <w:rPr>
          <w:rFonts w:hint="default" w:ascii="仿宋_GB2312" w:hAnsi="仿宋_GB2312" w:eastAsia="仿宋_GB2312" w:cs="仿宋_GB2312"/>
          <w:color w:val="auto"/>
          <w:sz w:val="32"/>
          <w:szCs w:val="32"/>
          <w:lang w:val="en-US" w:eastAsia="zh-CN"/>
        </w:rPr>
      </w:pPr>
      <w:r>
        <w:rPr>
          <w:rFonts w:hint="default" w:ascii="仿宋_GB2312" w:hAnsi="仿宋_GB2312" w:eastAsia="仿宋_GB2312" w:cs="仿宋_GB2312"/>
          <w:color w:val="auto"/>
          <w:sz w:val="32"/>
          <w:szCs w:val="32"/>
          <w:lang w:val="en-US" w:eastAsia="zh-CN"/>
        </w:rPr>
        <w:t xml:space="preserve">10.负责组织、协调灾害救助工作，组织和指导灾情核查、损失评估、救灾捐赠工作，管理、分配中央、省、市下拨及区级救灾款物并监督使用。          </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contextualSpacing/>
        <w:textAlignment w:val="auto"/>
        <w:rPr>
          <w:rFonts w:hint="default" w:ascii="仿宋_GB2312" w:hAnsi="仿宋_GB2312" w:eastAsia="仿宋_GB2312" w:cs="仿宋_GB2312"/>
          <w:color w:val="auto"/>
          <w:sz w:val="32"/>
          <w:szCs w:val="32"/>
          <w:lang w:val="en-US" w:eastAsia="zh-CN"/>
        </w:rPr>
      </w:pPr>
      <w:r>
        <w:rPr>
          <w:rFonts w:hint="default" w:ascii="仿宋_GB2312" w:hAnsi="仿宋_GB2312" w:eastAsia="仿宋_GB2312" w:cs="仿宋_GB2312"/>
          <w:color w:val="auto"/>
          <w:sz w:val="32"/>
          <w:szCs w:val="32"/>
          <w:lang w:val="en-US" w:eastAsia="zh-CN"/>
        </w:rPr>
        <w:t>11.依法承担区政府安全生产综合监督管理责任，指导协调、监督检查区级有关部门和各乡镇（街道）安全生产工作，组织开展安全生产巡查、考核工作。</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contextualSpacing/>
        <w:textAlignment w:val="auto"/>
        <w:rPr>
          <w:rFonts w:hint="default" w:ascii="仿宋_GB2312" w:hAnsi="仿宋_GB2312" w:eastAsia="仿宋_GB2312" w:cs="仿宋_GB2312"/>
          <w:color w:val="auto"/>
          <w:sz w:val="32"/>
          <w:szCs w:val="32"/>
          <w:lang w:val="en-US" w:eastAsia="zh-CN"/>
        </w:rPr>
      </w:pPr>
      <w:r>
        <w:rPr>
          <w:rFonts w:hint="default" w:ascii="仿宋_GB2312" w:hAnsi="仿宋_GB2312" w:eastAsia="仿宋_GB2312" w:cs="仿宋_GB2312"/>
          <w:color w:val="auto"/>
          <w:sz w:val="32"/>
          <w:szCs w:val="32"/>
          <w:lang w:val="en-US" w:eastAsia="zh-CN"/>
        </w:rPr>
        <w:t>12.按照分级、属地原则，依法监督检查工矿商贸生产经营单位贯彻执行安全生产法律法规情况及其安全生产条件和有关设备（特种设备除外）、材料、劳动防护用品的安全生产管理工作。协助市应急局做好中央、省、市在巴州区工矿商贸企业安全生产监督管理工作。负责危险化学品安全监督管理综合工资和烟花爆竹安全生产监督管理工作。</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contextualSpacing/>
        <w:textAlignment w:val="auto"/>
        <w:rPr>
          <w:rFonts w:hint="default" w:ascii="仿宋_GB2312" w:hAnsi="仿宋_GB2312" w:eastAsia="仿宋_GB2312" w:cs="仿宋_GB2312"/>
          <w:color w:val="auto"/>
          <w:sz w:val="32"/>
          <w:szCs w:val="32"/>
          <w:lang w:val="en-US" w:eastAsia="zh-CN"/>
        </w:rPr>
      </w:pPr>
      <w:r>
        <w:rPr>
          <w:rFonts w:hint="default" w:ascii="仿宋_GB2312" w:hAnsi="仿宋_GB2312" w:eastAsia="仿宋_GB2312" w:cs="仿宋_GB2312"/>
          <w:color w:val="auto"/>
          <w:sz w:val="32"/>
          <w:szCs w:val="32"/>
          <w:lang w:val="en-US" w:eastAsia="zh-CN"/>
        </w:rPr>
        <w:t> 13.按权限承担非煤矿山、危险化学品、非药品类易制毒化学品和烟花爆竹等生产经营（批发）单位安全生产准入管理工作，承担烟花爆竹经营（零售）单位安全生产准入管理职责。</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contextualSpacing/>
        <w:textAlignment w:val="auto"/>
        <w:rPr>
          <w:rFonts w:hint="default" w:ascii="仿宋_GB2312" w:hAnsi="仿宋_GB2312" w:eastAsia="仿宋_GB2312" w:cs="仿宋_GB2312"/>
          <w:color w:val="auto"/>
          <w:sz w:val="32"/>
          <w:szCs w:val="32"/>
          <w:lang w:val="en-US" w:eastAsia="zh-CN"/>
        </w:rPr>
      </w:pPr>
      <w:r>
        <w:rPr>
          <w:rFonts w:hint="default" w:ascii="仿宋_GB2312" w:hAnsi="仿宋_GB2312" w:eastAsia="仿宋_GB2312" w:cs="仿宋_GB2312"/>
          <w:color w:val="auto"/>
          <w:sz w:val="32"/>
          <w:szCs w:val="32"/>
          <w:lang w:val="en-US" w:eastAsia="zh-CN"/>
        </w:rPr>
        <w:t>14.拟定煤炭产业发展计划并组织实施，按权限审核、上报煤炭项目并负责建设管理。负责煤炭生产协调和监督管理，煤炭行业结构调整和产业升级，负责辖区内煤矿瓦斯等级鉴定的监管监察工作。</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contextualSpacing/>
        <w:textAlignment w:val="auto"/>
        <w:rPr>
          <w:rFonts w:hint="default" w:ascii="仿宋_GB2312" w:hAnsi="仿宋_GB2312" w:eastAsia="仿宋_GB2312" w:cs="仿宋_GB2312"/>
          <w:color w:val="auto"/>
          <w:sz w:val="32"/>
          <w:szCs w:val="32"/>
          <w:lang w:val="en-US" w:eastAsia="zh-CN"/>
        </w:rPr>
      </w:pPr>
      <w:r>
        <w:rPr>
          <w:rFonts w:hint="default" w:ascii="仿宋_GB2312" w:hAnsi="仿宋_GB2312" w:eastAsia="仿宋_GB2312" w:cs="仿宋_GB2312"/>
          <w:color w:val="auto"/>
          <w:sz w:val="32"/>
          <w:szCs w:val="32"/>
          <w:lang w:val="en-US" w:eastAsia="zh-CN"/>
        </w:rPr>
        <w:t>15.承担煤矿安全生产监督管理责任，依法监督检查煤矿企业贯彻执行安全生产法律法规情况及其安全生产条件和有关设备（特种设备除外）、材料、劳动防护用品的安全生产管理工作，负责组织、指导煤矿企业安全专项整治、安全标准化、瓦斯和水害及相关安全科技发展工作。</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contextualSpacing/>
        <w:textAlignment w:val="auto"/>
        <w:rPr>
          <w:rFonts w:hint="default" w:ascii="仿宋_GB2312" w:hAnsi="仿宋_GB2312" w:eastAsia="仿宋_GB2312" w:cs="仿宋_GB2312"/>
          <w:color w:val="auto"/>
          <w:sz w:val="32"/>
          <w:szCs w:val="32"/>
          <w:lang w:val="en-US" w:eastAsia="zh-CN"/>
        </w:rPr>
      </w:pPr>
      <w:r>
        <w:rPr>
          <w:rFonts w:hint="default" w:ascii="仿宋_GB2312" w:hAnsi="仿宋_GB2312" w:eastAsia="仿宋_GB2312" w:cs="仿宋_GB2312"/>
          <w:color w:val="auto"/>
          <w:sz w:val="32"/>
          <w:szCs w:val="32"/>
          <w:lang w:val="en-US" w:eastAsia="zh-CN"/>
        </w:rPr>
        <w:t>16.依法组织、指导生产安全事故调查处理，监督事故查处和责任追究落实情况</w:t>
      </w:r>
      <w:r>
        <w:rPr>
          <w:rFonts w:hint="eastAsia" w:ascii="仿宋_GB2312" w:hAnsi="仿宋_GB2312" w:cs="仿宋_GB2312"/>
          <w:color w:val="auto"/>
          <w:sz w:val="32"/>
          <w:szCs w:val="32"/>
          <w:lang w:val="en-US" w:eastAsia="zh-CN"/>
        </w:rPr>
        <w:t>；</w:t>
      </w:r>
      <w:r>
        <w:rPr>
          <w:rFonts w:hint="default" w:ascii="仿宋_GB2312" w:hAnsi="仿宋_GB2312" w:eastAsia="仿宋_GB2312" w:cs="仿宋_GB2312"/>
          <w:color w:val="auto"/>
          <w:sz w:val="32"/>
          <w:szCs w:val="32"/>
          <w:lang w:val="en-US" w:eastAsia="zh-CN"/>
        </w:rPr>
        <w:t>组织开展自然灾害类突发事件调查评估工作。</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contextualSpacing/>
        <w:textAlignment w:val="auto"/>
        <w:rPr>
          <w:rFonts w:hint="default" w:ascii="仿宋_GB2312" w:hAnsi="仿宋_GB2312" w:eastAsia="仿宋_GB2312" w:cs="仿宋_GB2312"/>
          <w:color w:val="auto"/>
          <w:sz w:val="32"/>
          <w:szCs w:val="32"/>
          <w:lang w:val="en-US" w:eastAsia="zh-CN"/>
        </w:rPr>
      </w:pPr>
      <w:r>
        <w:rPr>
          <w:rFonts w:hint="default" w:ascii="仿宋_GB2312" w:hAnsi="仿宋_GB2312" w:eastAsia="仿宋_GB2312" w:cs="仿宋_GB2312"/>
          <w:color w:val="auto"/>
          <w:sz w:val="32"/>
          <w:szCs w:val="32"/>
          <w:lang w:val="en-US" w:eastAsia="zh-CN"/>
        </w:rPr>
        <w:t>17.开展应急管理和安全生产方面的交流与合作，组织参与安全生产类、自然灾害类等突发事件的跨区域救援工作。</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contextualSpacing/>
        <w:textAlignment w:val="auto"/>
        <w:rPr>
          <w:rFonts w:hint="default" w:ascii="仿宋_GB2312" w:hAnsi="仿宋_GB2312" w:eastAsia="仿宋_GB2312" w:cs="仿宋_GB2312"/>
          <w:color w:val="auto"/>
          <w:sz w:val="32"/>
          <w:szCs w:val="32"/>
          <w:lang w:val="en-US" w:eastAsia="zh-CN"/>
        </w:rPr>
      </w:pPr>
      <w:r>
        <w:rPr>
          <w:rFonts w:hint="default" w:ascii="仿宋_GB2312" w:hAnsi="仿宋_GB2312" w:eastAsia="仿宋_GB2312" w:cs="仿宋_GB2312"/>
          <w:color w:val="auto"/>
          <w:sz w:val="32"/>
          <w:szCs w:val="32"/>
          <w:lang w:val="en-US" w:eastAsia="zh-CN"/>
        </w:rPr>
        <w:t>18.制定应急物资储备和应急救援装备规划并组织实施，会同区发展和改革局等部门建立健全应急物资信息平台和调拨制度，在救灾时统一调度</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contextualSpacing/>
        <w:textAlignment w:val="auto"/>
        <w:rPr>
          <w:rFonts w:hint="default" w:ascii="仿宋_GB2312" w:hAnsi="仿宋_GB2312" w:eastAsia="仿宋_GB2312" w:cs="仿宋_GB2312"/>
          <w:color w:val="auto"/>
          <w:sz w:val="32"/>
          <w:szCs w:val="32"/>
          <w:lang w:val="en-US" w:eastAsia="zh-CN"/>
        </w:rPr>
      </w:pPr>
      <w:r>
        <w:rPr>
          <w:rFonts w:hint="default" w:ascii="仿宋_GB2312" w:hAnsi="仿宋_GB2312" w:eastAsia="仿宋_GB2312" w:cs="仿宋_GB2312"/>
          <w:color w:val="auto"/>
          <w:sz w:val="32"/>
          <w:szCs w:val="32"/>
          <w:lang w:val="en-US" w:eastAsia="zh-CN"/>
        </w:rPr>
        <w:t>19.负责应急管理、安全生产宣传教育和培训工作，组织和指导应急管理、安全生产的科学技术研究、推广应用和信息化建设工作。</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contextualSpacing/>
        <w:textAlignment w:val="auto"/>
        <w:rPr>
          <w:rFonts w:hint="default" w:ascii="仿宋_GB2312" w:hAnsi="仿宋_GB2312" w:eastAsia="仿宋_GB2312" w:cs="仿宋_GB2312"/>
          <w:color w:val="auto"/>
          <w:sz w:val="32"/>
          <w:szCs w:val="32"/>
          <w:lang w:val="en-US" w:eastAsia="zh-CN"/>
        </w:rPr>
      </w:pPr>
      <w:r>
        <w:rPr>
          <w:rFonts w:hint="default" w:ascii="仿宋_GB2312" w:hAnsi="仿宋_GB2312" w:eastAsia="仿宋_GB2312" w:cs="仿宋_GB2312"/>
          <w:color w:val="auto"/>
          <w:sz w:val="32"/>
          <w:szCs w:val="32"/>
          <w:lang w:val="en-US" w:eastAsia="zh-CN"/>
        </w:rPr>
        <w:t>20.承担职责范围内的职业健康、生态环境保护、审批服务便民化工作。</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contextualSpacing/>
        <w:textAlignment w:val="auto"/>
        <w:rPr>
          <w:rFonts w:hint="default" w:ascii="仿宋_GB2312" w:hAnsi="仿宋_GB2312" w:eastAsia="仿宋_GB2312" w:cs="仿宋_GB2312"/>
          <w:color w:val="auto"/>
          <w:sz w:val="32"/>
          <w:szCs w:val="32"/>
          <w:lang w:val="en-US" w:eastAsia="zh-CN"/>
        </w:rPr>
      </w:pPr>
      <w:r>
        <w:rPr>
          <w:rFonts w:hint="default" w:ascii="仿宋_GB2312" w:hAnsi="仿宋_GB2312" w:eastAsia="仿宋_GB2312" w:cs="仿宋_GB2312"/>
          <w:color w:val="auto"/>
          <w:sz w:val="32"/>
          <w:szCs w:val="32"/>
          <w:lang w:val="en-US" w:eastAsia="zh-CN"/>
        </w:rPr>
        <w:t>21.完成区委和区政府交办的其他任务。</w:t>
      </w:r>
    </w:p>
    <w:p>
      <w:pPr>
        <w:keepNext w:val="0"/>
        <w:keepLines w:val="0"/>
        <w:pageBreakBefore w:val="0"/>
        <w:widowControl/>
        <w:kinsoku/>
        <w:wordWrap/>
        <w:overflowPunct/>
        <w:topLinePunct w:val="0"/>
        <w:autoSpaceDE/>
        <w:autoSpaceDN/>
        <w:bidi w:val="0"/>
        <w:adjustRightInd w:val="0"/>
        <w:snapToGrid w:val="0"/>
        <w:spacing w:line="560" w:lineRule="exact"/>
        <w:ind w:firstLine="643" w:firstLineChars="200"/>
        <w:contextualSpacing/>
        <w:textAlignment w:val="auto"/>
        <w:outlineLvl w:val="2"/>
        <w:rPr>
          <w:rFonts w:hint="default" w:ascii="Times New Roman" w:hAnsi="Times New Roman" w:eastAsia="仿宋_GB2312" w:cs="Times New Roman"/>
          <w:color w:val="auto"/>
          <w:sz w:val="32"/>
          <w:szCs w:val="32"/>
          <w:lang w:val="zh-CN" w:eastAsia="zh-CN"/>
        </w:rPr>
      </w:pPr>
      <w:bookmarkStart w:id="316" w:name="_Toc1140"/>
      <w:r>
        <w:rPr>
          <w:rFonts w:hint="default" w:ascii="楷体_GB2312" w:hAnsi="楷体_GB2312" w:eastAsia="楷体_GB2312" w:cs="楷体_GB2312"/>
          <w:b/>
          <w:bCs/>
          <w:sz w:val="32"/>
          <w:szCs w:val="32"/>
          <w:lang w:val="zh-CN"/>
        </w:rPr>
        <w:t>（三）人员概况。</w:t>
      </w:r>
      <w:r>
        <w:rPr>
          <w:rFonts w:hint="default" w:ascii="Times New Roman" w:hAnsi="Times New Roman" w:eastAsia="仿宋_GB2312" w:cs="Times New Roman"/>
          <w:color w:val="auto"/>
          <w:sz w:val="32"/>
          <w:szCs w:val="32"/>
          <w:lang w:val="zh-CN" w:eastAsia="zh-CN"/>
        </w:rPr>
        <w:t>截止202</w:t>
      </w:r>
      <w:r>
        <w:rPr>
          <w:rFonts w:hint="default" w:ascii="Times New Roman" w:hAnsi="Times New Roman" w:eastAsia="仿宋_GB2312" w:cs="Times New Roman"/>
          <w:color w:val="auto"/>
          <w:sz w:val="32"/>
          <w:szCs w:val="32"/>
          <w:lang w:val="en-US" w:eastAsia="zh-CN"/>
        </w:rPr>
        <w:t>2</w:t>
      </w:r>
      <w:r>
        <w:rPr>
          <w:rFonts w:hint="default" w:ascii="Times New Roman" w:hAnsi="Times New Roman" w:eastAsia="仿宋_GB2312" w:cs="Times New Roman"/>
          <w:color w:val="auto"/>
          <w:sz w:val="32"/>
          <w:szCs w:val="32"/>
          <w:lang w:val="zh-CN" w:eastAsia="zh-CN"/>
        </w:rPr>
        <w:t>年底，巴州区</w:t>
      </w:r>
      <w:r>
        <w:rPr>
          <w:rFonts w:hint="default" w:ascii="Times New Roman" w:hAnsi="Times New Roman" w:cs="Times New Roman"/>
          <w:color w:val="auto"/>
          <w:sz w:val="32"/>
          <w:szCs w:val="32"/>
          <w:lang w:val="en-US" w:eastAsia="zh-CN"/>
        </w:rPr>
        <w:t>应急管理</w:t>
      </w:r>
      <w:r>
        <w:rPr>
          <w:rFonts w:hint="default" w:ascii="Times New Roman" w:hAnsi="Times New Roman" w:eastAsia="仿宋_GB2312" w:cs="Times New Roman"/>
          <w:color w:val="auto"/>
          <w:sz w:val="32"/>
          <w:szCs w:val="32"/>
          <w:lang w:val="en-US" w:eastAsia="zh-CN"/>
        </w:rPr>
        <w:t>局</w:t>
      </w:r>
      <w:r>
        <w:rPr>
          <w:rFonts w:hint="default" w:ascii="Times New Roman" w:hAnsi="Times New Roman" w:eastAsia="仿宋_GB2312" w:cs="Times New Roman"/>
          <w:color w:val="auto"/>
          <w:sz w:val="32"/>
          <w:szCs w:val="32"/>
          <w:lang w:val="zh-CN" w:eastAsia="zh-CN"/>
        </w:rPr>
        <w:t>共有</w:t>
      </w:r>
      <w:r>
        <w:rPr>
          <w:rFonts w:hint="default" w:ascii="Times New Roman" w:hAnsi="Times New Roman" w:eastAsia="仿宋_GB2312" w:cs="Times New Roman"/>
          <w:color w:val="auto"/>
          <w:sz w:val="32"/>
          <w:szCs w:val="32"/>
          <w:lang w:val="en-US" w:eastAsia="zh-CN"/>
        </w:rPr>
        <w:t>人员</w:t>
      </w:r>
      <w:r>
        <w:rPr>
          <w:rFonts w:hint="default" w:ascii="Times New Roman" w:hAnsi="Times New Roman" w:cs="Times New Roman"/>
          <w:color w:val="auto"/>
          <w:sz w:val="32"/>
          <w:szCs w:val="32"/>
          <w:lang w:val="en-US" w:eastAsia="zh-CN"/>
        </w:rPr>
        <w:t>53</w:t>
      </w:r>
      <w:r>
        <w:rPr>
          <w:rFonts w:hint="default" w:ascii="Times New Roman" w:hAnsi="Times New Roman" w:eastAsia="仿宋_GB2312" w:cs="Times New Roman"/>
          <w:color w:val="auto"/>
          <w:sz w:val="32"/>
          <w:szCs w:val="32"/>
          <w:lang w:val="en-US" w:eastAsia="zh-CN"/>
        </w:rPr>
        <w:t>人，其中：</w:t>
      </w:r>
      <w:r>
        <w:rPr>
          <w:rFonts w:hint="default" w:ascii="Times New Roman" w:hAnsi="Times New Roman" w:eastAsia="仿宋_GB2312" w:cs="Times New Roman"/>
          <w:color w:val="auto"/>
          <w:sz w:val="32"/>
          <w:szCs w:val="32"/>
          <w:lang w:val="zh-CN" w:eastAsia="zh-CN"/>
        </w:rPr>
        <w:t>行政编制</w:t>
      </w:r>
      <w:r>
        <w:rPr>
          <w:rFonts w:hint="default" w:ascii="Times New Roman" w:hAnsi="Times New Roman" w:cs="Times New Roman"/>
          <w:color w:val="auto"/>
          <w:sz w:val="32"/>
          <w:szCs w:val="32"/>
          <w:lang w:val="en-US" w:eastAsia="zh-CN"/>
        </w:rPr>
        <w:t>13</w:t>
      </w:r>
      <w:r>
        <w:rPr>
          <w:rFonts w:hint="default" w:ascii="Times New Roman" w:hAnsi="Times New Roman" w:eastAsia="仿宋_GB2312" w:cs="Times New Roman"/>
          <w:color w:val="auto"/>
          <w:sz w:val="32"/>
          <w:szCs w:val="32"/>
          <w:lang w:val="zh-CN" w:eastAsia="zh-CN"/>
        </w:rPr>
        <w:t>人，参照公务员法管理事业人员</w:t>
      </w:r>
      <w:r>
        <w:rPr>
          <w:rFonts w:hint="default" w:ascii="Times New Roman" w:hAnsi="Times New Roman" w:cs="Times New Roman"/>
          <w:color w:val="auto"/>
          <w:sz w:val="32"/>
          <w:szCs w:val="32"/>
          <w:lang w:val="en-US" w:eastAsia="zh-CN"/>
        </w:rPr>
        <w:t>22</w:t>
      </w:r>
      <w:r>
        <w:rPr>
          <w:rFonts w:hint="default" w:ascii="Times New Roman" w:hAnsi="Times New Roman" w:eastAsia="仿宋_GB2312" w:cs="Times New Roman"/>
          <w:color w:val="auto"/>
          <w:sz w:val="32"/>
          <w:szCs w:val="32"/>
          <w:lang w:val="zh-CN" w:eastAsia="zh-CN"/>
        </w:rPr>
        <w:t>人，事业编制</w:t>
      </w:r>
      <w:r>
        <w:rPr>
          <w:rFonts w:hint="default" w:ascii="Times New Roman" w:hAnsi="Times New Roman" w:eastAsia="仿宋_GB2312" w:cs="Times New Roman"/>
          <w:color w:val="auto"/>
          <w:sz w:val="32"/>
          <w:szCs w:val="32"/>
          <w:lang w:val="en-US" w:eastAsia="zh-CN"/>
        </w:rPr>
        <w:t>1</w:t>
      </w:r>
      <w:r>
        <w:rPr>
          <w:rFonts w:hint="default" w:ascii="Times New Roman" w:hAnsi="Times New Roman" w:cs="Times New Roman"/>
          <w:color w:val="auto"/>
          <w:sz w:val="32"/>
          <w:szCs w:val="32"/>
          <w:lang w:val="en-US" w:eastAsia="zh-CN"/>
        </w:rPr>
        <w:t>2</w:t>
      </w:r>
      <w:r>
        <w:rPr>
          <w:rFonts w:hint="default" w:ascii="Times New Roman" w:hAnsi="Times New Roman" w:eastAsia="仿宋_GB2312" w:cs="Times New Roman"/>
          <w:color w:val="auto"/>
          <w:sz w:val="32"/>
          <w:szCs w:val="32"/>
          <w:lang w:val="zh-CN" w:eastAsia="zh-CN"/>
        </w:rPr>
        <w:t>人，</w:t>
      </w:r>
      <w:r>
        <w:rPr>
          <w:rFonts w:hint="default" w:ascii="Times New Roman" w:hAnsi="Times New Roman" w:eastAsia="仿宋_GB2312" w:cs="Times New Roman"/>
          <w:color w:val="auto"/>
          <w:sz w:val="32"/>
          <w:szCs w:val="32"/>
          <w:lang w:val="en-US" w:eastAsia="zh-CN"/>
        </w:rPr>
        <w:t>机关工勤2人，编外辅助性岗位4</w:t>
      </w:r>
      <w:r>
        <w:rPr>
          <w:rFonts w:hint="default" w:ascii="Times New Roman" w:hAnsi="Times New Roman" w:eastAsia="仿宋_GB2312" w:cs="Times New Roman"/>
          <w:color w:val="auto"/>
          <w:sz w:val="32"/>
          <w:szCs w:val="32"/>
          <w:lang w:val="zh-CN" w:eastAsia="zh-CN"/>
        </w:rPr>
        <w:t>人。</w:t>
      </w:r>
      <w:bookmarkEnd w:id="316"/>
    </w:p>
    <w:p>
      <w:pPr>
        <w:pStyle w:val="34"/>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baseline"/>
        <w:outlineLvl w:val="2"/>
        <w:rPr>
          <w:rFonts w:hint="eastAsia" w:ascii="楷体_GB2312" w:hAnsi="楷体_GB2312" w:eastAsia="楷体_GB2312" w:cs="楷体_GB2312"/>
          <w:b/>
          <w:bCs/>
          <w:color w:val="auto"/>
          <w:kern w:val="2"/>
          <w:sz w:val="32"/>
          <w:szCs w:val="32"/>
          <w:lang w:val="en-US" w:eastAsia="zh-CN" w:bidi="ar-SA"/>
        </w:rPr>
      </w:pPr>
      <w:bookmarkStart w:id="317" w:name="_Toc27826"/>
      <w:r>
        <w:rPr>
          <w:rFonts w:hint="eastAsia" w:ascii="楷体_GB2312" w:hAnsi="楷体_GB2312" w:eastAsia="楷体_GB2312" w:cs="楷体_GB2312"/>
          <w:b/>
          <w:bCs/>
          <w:color w:val="auto"/>
          <w:kern w:val="2"/>
          <w:sz w:val="32"/>
          <w:szCs w:val="32"/>
          <w:lang w:val="zh-CN" w:eastAsia="zh-CN" w:bidi="ar-SA"/>
        </w:rPr>
        <w:t>（</w:t>
      </w:r>
      <w:r>
        <w:rPr>
          <w:rFonts w:hint="eastAsia" w:ascii="楷体_GB2312" w:hAnsi="楷体_GB2312" w:eastAsia="楷体_GB2312" w:cs="楷体_GB2312"/>
          <w:b/>
          <w:bCs/>
          <w:color w:val="auto"/>
          <w:kern w:val="2"/>
          <w:sz w:val="32"/>
          <w:szCs w:val="32"/>
          <w:lang w:val="en-US" w:eastAsia="zh-CN" w:bidi="ar-SA"/>
        </w:rPr>
        <w:t>四）年度主要工作任务。</w:t>
      </w:r>
      <w:bookmarkEnd w:id="317"/>
    </w:p>
    <w:p>
      <w:pPr>
        <w:pStyle w:val="2"/>
        <w:keepNext w:val="0"/>
        <w:keepLines w:val="0"/>
        <w:pageBreakBefore w:val="0"/>
        <w:widowControl w:val="0"/>
        <w:kinsoku/>
        <w:wordWrap/>
        <w:overflowPunct/>
        <w:topLinePunct w:val="0"/>
        <w:autoSpaceDE/>
        <w:autoSpaceDN/>
        <w:bidi w:val="0"/>
        <w:adjustRightInd/>
        <w:snapToGrid/>
        <w:spacing w:beforeLines="0" w:line="560" w:lineRule="exact"/>
        <w:ind w:firstLine="640" w:firstLineChars="200"/>
        <w:textAlignment w:val="auto"/>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1.强化安全生产监管。一是压紧各方安全生产责任。深入学习贯彻习近平总书记关于安全生产的重要指示批示精神，贯彻落实国务院安全生产15条硬措施以及安全生产党政同责有关规定，充分发挥安委会办公室职能作用，强化安全生产党政同责目标绩效管理考核，打好督查巡查、挂牌督办、考核通报、警示约谈组合拳，压实各级各部门的安全生产监管职责；加强企业安全生产制度建设，持续推进安全生产标准化、双重预防机制、企业安全生产岗位责任制和承诺制、高危行业安全生产强制责任险等制度机制，推动企业落实安全生产主体责任。二是牵头开展安全生产大检查。根据辖区特点制订安全生产大检查工作方案，围绕危化、道路、工贸、建筑等23个重点行业领域安全隐患排查整治要点，深入开展安全生产隐患大排查、大整治，全力稳固安全生产形势，最大限度遏制各类安全生产事故的发生，实现安全隐患动态清零。三是牵头做好安全生产集中整治三年行动总结和成果运用。进一步加强建筑施工、交通运输、工贸行业、消防、危化、烟花爆竹、旅游及特种设备等事故易发多发行业（领域）风险防范，突出企业、学校、商业和文化娱乐场所、机场、车站等人员密集公共场所及劳动密集型企业安全隐患排查整治，确保高危、高风险行业企业一个不漏，有效降低重点行业（领域）安全风险。</w:t>
      </w:r>
    </w:p>
    <w:p>
      <w:pPr>
        <w:pStyle w:val="2"/>
        <w:keepNext w:val="0"/>
        <w:keepLines w:val="0"/>
        <w:pageBreakBefore w:val="0"/>
        <w:widowControl w:val="0"/>
        <w:kinsoku/>
        <w:wordWrap/>
        <w:overflowPunct/>
        <w:topLinePunct w:val="0"/>
        <w:autoSpaceDE/>
        <w:autoSpaceDN/>
        <w:bidi w:val="0"/>
        <w:adjustRightInd/>
        <w:snapToGrid/>
        <w:spacing w:beforeLines="0" w:line="560" w:lineRule="exact"/>
        <w:ind w:firstLine="640" w:firstLineChars="200"/>
        <w:textAlignment w:val="auto"/>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2.加强行政执法规范化建设。一是按照“局队合一”思路，稳步推进应急管理综合行政执法改革，从“设施设备、执法队伍、内部管理、工作职责、执法程序、效能评估、法制监督”等方面为全市率先探索规范化建设模式，实现从安全生产单一执法向应急管理综合执法转变。二是结合辖区实际制订2022年执法监察计划并实施，深入开展安全生产“护安2022”监管执法专项行动，加大非事故类立案查处力度，发挥好执法在监管中的尖刀、拳头作用。三是强化执法与普法、执法与服务、处罚与教育相结合，处好安全与发展关系，服务营商环境。四是强化结果运用。修订完善“黑白名单”等安全生产诚信体系建设相关制度和安全生产事故隐患举报奖励制度，严格执行企业安全生产诚信分级分类监管制度，进一步落实安全生产举报信息的核查、奖励工作。</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3.提升应急救援能力水平。一是完善应急预案管理机制。修订完善全区总体应急预案和区级专项预案，对全区重点企业应急预案审查备案，组织乡镇、部门、企业开展各项应急演练。开展暴雨洪涝巨灾专项演练、森林火灾应急演练、水旱灾害防御应急演练及防汛减灾综合应急演练。二是推进综合应急救援能力提升。围绕“补短板、强能力、促协同”的工作要求，以建设应急救援能力现代化为核心，推进风险防范能力、监测预警能力、应急响应能力、应急救援力量建设，形成“统一指挥、反应灵敏、协调有序、运转高效”的应急救援工作机制。三是推进应急综合保障能力提升。加强应急物资保障库和储备点建设，推进全区避灾安置场所规范化建设，加强应急通信保障，全面提升应急综合保障能力。采用新建、改（扩）建等方式，加快统筹推进救灾物资仓储设施建设。积极采用立体集成智能化物流系统，提升物资调拨出库时效。</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4.提高防灾减灾应对效能。一是提升自然灾害防治能力。开展自然灾害风险普查，继续抓好巴州区第一次全国自然灾害综合风险普查，做好普查数据核查修正工作，编制灾害综合防治区划图并落实相关防治对策。全力实施灾害风险排查整治，明确目标任务、责任主体、整治时限、资金保障，对市政府交办的51项城市内涝隐患进行全面整治,认真开展汛前自然灾害风险隐患排查，确保安全度汛。二是开展智慧应急指挥系统建设工程。整合消防、水利、自然资源、应急、农业农村等部门通信、网络、视频、监控、会商、远程指挥、图像采集等系统，构建以智慧应急为核心的综合时空大数据资源中心和应急管理专项应用，打造集时空大数据汇聚、治理、管理、共享于一体的综合时空大数据中台、安全风险感知监测预警体系和智慧应急综合指挥与协同管理云平台，使我区智慧应急成为提高城乡综合管理服务能力，实现社会经济可持续发展的重要保障力量。三是开展基层应急管理能力提升工程。进一步健全基层应急管理组织网络，配足配强基层应急管理人员；建强乡镇综合性应急救援队伍，对22个乡镇救助中队、296个村（社区）应急救援站开展评估验收工作，对通过验收的队伍挂牌授旗，全面提升基层应急救援能力。</w:t>
      </w:r>
    </w:p>
    <w:p>
      <w:pPr>
        <w:pStyle w:val="2"/>
        <w:keepNext w:val="0"/>
        <w:keepLines w:val="0"/>
        <w:pageBreakBefore w:val="0"/>
        <w:widowControl w:val="0"/>
        <w:kinsoku/>
        <w:wordWrap/>
        <w:overflowPunct/>
        <w:topLinePunct w:val="0"/>
        <w:autoSpaceDE/>
        <w:autoSpaceDN/>
        <w:bidi w:val="0"/>
        <w:adjustRightInd/>
        <w:snapToGrid/>
        <w:spacing w:beforeLines="0" w:line="560" w:lineRule="exact"/>
        <w:ind w:firstLine="640" w:firstLineChars="200"/>
        <w:textAlignment w:val="auto"/>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5.普及全民安全应急素养。一是全面提高群众安全意识。着力提升全民安全素养，增强重点领域从业人员的安全理念，牢固树立人民至上、生命至上的理念，深化推进应急（安全）体验设施建设，完善场馆教育功能，开展应急避险、逃生自救、居家安全、防震减灾、公共安全、重点行业领域安全等科普教育。全面推进企业百万员工安全大培训，广泛推进宣传教育，提高群众安全知晓率、参与度、安全感和满意度。二是深入开展安全宣传。以安全生产月、防灾减灾周的宣传工作为契机，扎实推进安全宣传“五进”活动，深入宣传开展新修订的《中华人民共和国安全生产法》宣讲工作，将安全生产责任层层落实，全面提升安全生产水平，提高全民安全生产的法律意识，减少和预防各类事故发生，三是落实安全示范保障。以推进国家安全发展示范城市建设和乡村振兴安全保障工作为抓手。实行专人专班，对标《国家安全发展示范城市评级细则》《巴中市乡村振兴安全保障评价细则》，高质量完成市下达2022年度建设任务，以点带面开展安全示范亮点建设。</w:t>
      </w:r>
    </w:p>
    <w:p>
      <w:pPr>
        <w:pStyle w:val="2"/>
        <w:keepNext w:val="0"/>
        <w:keepLines w:val="0"/>
        <w:pageBreakBefore w:val="0"/>
        <w:widowControl w:val="0"/>
        <w:kinsoku/>
        <w:wordWrap/>
        <w:overflowPunct/>
        <w:topLinePunct w:val="0"/>
        <w:autoSpaceDE/>
        <w:autoSpaceDN/>
        <w:bidi w:val="0"/>
        <w:adjustRightInd/>
        <w:snapToGrid/>
        <w:spacing w:beforeLines="0" w:line="560" w:lineRule="exact"/>
        <w:ind w:firstLine="640" w:firstLineChars="200"/>
        <w:textAlignment w:val="auto"/>
        <w:rPr>
          <w:rFonts w:hint="eastAsia" w:ascii="楷体_GB2312" w:hAnsi="楷体_GB2312" w:eastAsia="楷体_GB2312" w:cs="楷体_GB2312"/>
          <w:b/>
          <w:bCs/>
          <w:color w:val="FF0000"/>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6.守住城乡消防和森林火灾底线。一是严落实巴州区“十四五”城乡消防规划，配合区消防救援大队在2022年度加快建设回风一级消防站、鼎山消防救援中队，加大相关灭火救援装备器材的采购。二是督促开展城乡消防和森林火灾隐患排查整治、强化消防安全教育、开展培训演练和消防基础设施建设，探索消防管理新模式，为经济社会发展做好消防安全风险防范各项工作。三是巩固运用好森林防灭火专项整治工作成果，压紧压实工作责任，实行五级包保、“十户联保”等机制，督促常态抓好森林防灭火宣传教育、隐患排查治理、野外用火管控、值班值守和应急准备，不断提升应急处置能力，坚决防范化解重大森林火灾风险。</w:t>
      </w:r>
    </w:p>
    <w:p>
      <w:pPr>
        <w:pStyle w:val="2"/>
        <w:keepNext w:val="0"/>
        <w:keepLines w:val="0"/>
        <w:pageBreakBefore w:val="0"/>
        <w:kinsoku/>
        <w:wordWrap/>
        <w:overflowPunct/>
        <w:topLinePunct w:val="0"/>
        <w:autoSpaceDE/>
        <w:autoSpaceDN/>
        <w:bidi w:val="0"/>
        <w:spacing w:beforeLines="0" w:line="560" w:lineRule="exact"/>
        <w:ind w:firstLine="643" w:firstLineChars="200"/>
        <w:textAlignment w:val="auto"/>
        <w:outlineLvl w:val="2"/>
        <w:rPr>
          <w:rFonts w:hint="default" w:ascii="楷体_GB2312" w:hAnsi="楷体_GB2312" w:eastAsia="楷体_GB2312" w:cs="楷体_GB2312"/>
          <w:b/>
          <w:bCs/>
          <w:kern w:val="2"/>
          <w:sz w:val="32"/>
          <w:szCs w:val="32"/>
          <w:lang w:val="zh-CN" w:eastAsia="zh-CN" w:bidi="ar-SA"/>
        </w:rPr>
      </w:pPr>
      <w:bookmarkStart w:id="318" w:name="_Toc16851"/>
      <w:r>
        <w:rPr>
          <w:rFonts w:hint="default" w:ascii="楷体_GB2312" w:hAnsi="楷体_GB2312" w:eastAsia="楷体_GB2312" w:cs="楷体_GB2312"/>
          <w:b/>
          <w:bCs/>
          <w:kern w:val="2"/>
          <w:sz w:val="32"/>
          <w:szCs w:val="32"/>
          <w:lang w:val="zh-CN" w:eastAsia="zh-CN" w:bidi="ar-SA"/>
        </w:rPr>
        <w:t>（五）部门整体支出绩效目标</w:t>
      </w:r>
      <w:r>
        <w:rPr>
          <w:rFonts w:hint="eastAsia" w:ascii="楷体_GB2312" w:hAnsi="楷体_GB2312" w:eastAsia="楷体_GB2312" w:cs="楷体_GB2312"/>
          <w:b/>
          <w:bCs/>
          <w:kern w:val="2"/>
          <w:sz w:val="32"/>
          <w:szCs w:val="32"/>
          <w:lang w:val="zh-CN" w:eastAsia="zh-CN" w:bidi="ar-SA"/>
        </w:rPr>
        <w:t>。</w:t>
      </w:r>
      <w:bookmarkEnd w:id="318"/>
    </w:p>
    <w:p>
      <w:pPr>
        <w:pStyle w:val="2"/>
        <w:keepNext w:val="0"/>
        <w:keepLines w:val="0"/>
        <w:pageBreakBefore w:val="0"/>
        <w:widowControl w:val="0"/>
        <w:kinsoku/>
        <w:wordWrap/>
        <w:overflowPunct/>
        <w:topLinePunct w:val="0"/>
        <w:autoSpaceDE/>
        <w:autoSpaceDN/>
        <w:bidi w:val="0"/>
        <w:adjustRightInd/>
        <w:snapToGrid/>
        <w:spacing w:beforeLines="0" w:line="560" w:lineRule="exact"/>
        <w:ind w:firstLine="640" w:firstLineChars="200"/>
        <w:textAlignment w:val="auto"/>
        <w:rPr>
          <w:rFonts w:hint="default" w:ascii="仿宋_GB2312" w:hAnsi="仿宋_GB2312" w:eastAsia="仿宋_GB2312" w:cs="仿宋_GB2312"/>
          <w:b w:val="0"/>
          <w:bCs w:val="0"/>
          <w:color w:val="auto"/>
          <w:kern w:val="2"/>
          <w:sz w:val="32"/>
          <w:szCs w:val="32"/>
          <w:lang w:val="zh-CN" w:eastAsia="zh-CN" w:bidi="ar-SA"/>
        </w:rPr>
      </w:pPr>
      <w:r>
        <w:rPr>
          <w:rFonts w:hint="default" w:ascii="仿宋_GB2312" w:hAnsi="仿宋_GB2312" w:eastAsia="仿宋_GB2312" w:cs="仿宋_GB2312"/>
          <w:b w:val="0"/>
          <w:bCs w:val="0"/>
          <w:color w:val="auto"/>
          <w:kern w:val="2"/>
          <w:sz w:val="32"/>
          <w:szCs w:val="32"/>
          <w:lang w:val="zh-CN" w:eastAsia="zh-CN" w:bidi="ar-SA"/>
        </w:rPr>
        <w:t>1.人员经费。保障局职工工资及时发放及各项社会保障缴费及时缴纳，如职工工资、公积金、保险以及工会经费等；</w:t>
      </w:r>
    </w:p>
    <w:p>
      <w:pPr>
        <w:pStyle w:val="2"/>
        <w:keepNext w:val="0"/>
        <w:keepLines w:val="0"/>
        <w:pageBreakBefore w:val="0"/>
        <w:widowControl w:val="0"/>
        <w:kinsoku/>
        <w:wordWrap/>
        <w:overflowPunct/>
        <w:topLinePunct w:val="0"/>
        <w:autoSpaceDE/>
        <w:autoSpaceDN/>
        <w:bidi w:val="0"/>
        <w:adjustRightInd/>
        <w:snapToGrid/>
        <w:spacing w:beforeLines="0" w:line="560" w:lineRule="exact"/>
        <w:ind w:firstLine="640" w:firstLineChars="200"/>
        <w:textAlignment w:val="auto"/>
        <w:rPr>
          <w:rFonts w:hint="default" w:ascii="仿宋_GB2312" w:hAnsi="仿宋_GB2312" w:eastAsia="仿宋_GB2312" w:cs="仿宋_GB2312"/>
          <w:b w:val="0"/>
          <w:bCs w:val="0"/>
          <w:color w:val="auto"/>
          <w:kern w:val="2"/>
          <w:sz w:val="32"/>
          <w:szCs w:val="32"/>
          <w:lang w:val="zh-CN" w:eastAsia="zh-CN" w:bidi="ar-SA"/>
        </w:rPr>
      </w:pPr>
      <w:r>
        <w:rPr>
          <w:rFonts w:hint="default" w:ascii="仿宋_GB2312" w:hAnsi="仿宋_GB2312" w:eastAsia="仿宋_GB2312" w:cs="仿宋_GB2312"/>
          <w:b w:val="0"/>
          <w:bCs w:val="0"/>
          <w:color w:val="auto"/>
          <w:kern w:val="2"/>
          <w:sz w:val="32"/>
          <w:szCs w:val="32"/>
          <w:lang w:val="zh-CN" w:eastAsia="zh-CN" w:bidi="ar-SA"/>
        </w:rPr>
        <w:t>2.公用经费。保障全局日常运行，用于日常业务开展，如办公费、邮电费、差旅费、培训费等；</w:t>
      </w:r>
    </w:p>
    <w:p>
      <w:pPr>
        <w:pStyle w:val="2"/>
        <w:keepNext w:val="0"/>
        <w:keepLines w:val="0"/>
        <w:pageBreakBefore w:val="0"/>
        <w:widowControl w:val="0"/>
        <w:kinsoku/>
        <w:wordWrap/>
        <w:overflowPunct/>
        <w:topLinePunct w:val="0"/>
        <w:autoSpaceDE/>
        <w:autoSpaceDN/>
        <w:bidi w:val="0"/>
        <w:adjustRightInd/>
        <w:snapToGrid/>
        <w:spacing w:beforeLines="0" w:line="560" w:lineRule="exact"/>
        <w:ind w:firstLine="640" w:firstLineChars="200"/>
        <w:textAlignment w:val="auto"/>
        <w:rPr>
          <w:rFonts w:hint="default" w:ascii="仿宋_GB2312" w:hAnsi="仿宋_GB2312" w:eastAsia="仿宋_GB2312" w:cs="仿宋_GB2312"/>
          <w:b w:val="0"/>
          <w:bCs w:val="0"/>
          <w:color w:val="auto"/>
          <w:kern w:val="2"/>
          <w:sz w:val="32"/>
          <w:szCs w:val="32"/>
          <w:lang w:val="zh-CN" w:eastAsia="zh-CN" w:bidi="ar-SA"/>
        </w:rPr>
      </w:pPr>
      <w:r>
        <w:rPr>
          <w:rFonts w:hint="default" w:ascii="仿宋_GB2312" w:hAnsi="仿宋_GB2312" w:eastAsia="仿宋_GB2312" w:cs="仿宋_GB2312"/>
          <w:b w:val="0"/>
          <w:bCs w:val="0"/>
          <w:color w:val="auto"/>
          <w:kern w:val="2"/>
          <w:sz w:val="32"/>
          <w:szCs w:val="32"/>
          <w:lang w:val="zh-CN" w:eastAsia="zh-CN" w:bidi="ar-SA"/>
        </w:rPr>
        <w:t>3.项目经费。保障重点项目工程推进，保障各项工作开展。</w:t>
      </w:r>
    </w:p>
    <w:p>
      <w:pPr>
        <w:keepNext w:val="0"/>
        <w:keepLines w:val="0"/>
        <w:pageBreakBefore w:val="0"/>
        <w:kinsoku/>
        <w:wordWrap/>
        <w:overflowPunct/>
        <w:topLinePunct w:val="0"/>
        <w:autoSpaceDE/>
        <w:autoSpaceDN/>
        <w:bidi w:val="0"/>
        <w:spacing w:line="560" w:lineRule="exact"/>
        <w:ind w:firstLine="640" w:firstLineChars="200"/>
        <w:textAlignment w:val="auto"/>
        <w:outlineLvl w:val="1"/>
        <w:rPr>
          <w:rFonts w:hint="default" w:ascii="黑体" w:hAnsi="黑体" w:eastAsia="黑体" w:cs="黑体"/>
          <w:sz w:val="32"/>
          <w:szCs w:val="32"/>
          <w:lang w:val="zh-CN"/>
        </w:rPr>
      </w:pPr>
      <w:bookmarkStart w:id="319" w:name="_Toc26320"/>
      <w:r>
        <w:rPr>
          <w:rFonts w:hint="default" w:ascii="黑体" w:hAnsi="黑体" w:eastAsia="黑体" w:cs="黑体"/>
          <w:sz w:val="32"/>
          <w:szCs w:val="32"/>
          <w:lang w:val="zh-CN"/>
        </w:rPr>
        <w:t>二、部门财政资金收支情况</w:t>
      </w:r>
      <w:bookmarkEnd w:id="319"/>
    </w:p>
    <w:p>
      <w:pPr>
        <w:keepNext w:val="0"/>
        <w:keepLines w:val="0"/>
        <w:pageBreakBefore w:val="0"/>
        <w:kinsoku/>
        <w:wordWrap/>
        <w:overflowPunct/>
        <w:topLinePunct w:val="0"/>
        <w:autoSpaceDE/>
        <w:autoSpaceDN/>
        <w:bidi w:val="0"/>
        <w:spacing w:line="560" w:lineRule="exact"/>
        <w:ind w:firstLine="643" w:firstLineChars="200"/>
        <w:textAlignment w:val="auto"/>
        <w:outlineLvl w:val="2"/>
        <w:rPr>
          <w:rFonts w:hint="default" w:ascii="Times New Roman" w:hAnsi="Times New Roman" w:eastAsia="仿宋_GB2312" w:cs="Times New Roman"/>
          <w:color w:val="auto"/>
          <w:sz w:val="32"/>
          <w:szCs w:val="32"/>
          <w:lang w:val="zh-CN" w:eastAsia="zh-CN"/>
        </w:rPr>
      </w:pPr>
      <w:bookmarkStart w:id="320" w:name="_Toc24811"/>
      <w:r>
        <w:rPr>
          <w:rFonts w:hint="default" w:ascii="楷体_GB2312" w:hAnsi="楷体_GB2312" w:eastAsia="楷体_GB2312" w:cs="楷体_GB2312"/>
          <w:b/>
          <w:bCs/>
          <w:sz w:val="32"/>
          <w:szCs w:val="32"/>
          <w:lang w:val="zh-CN"/>
        </w:rPr>
        <w:t>（一）部门财政资金收入情况。</w:t>
      </w:r>
      <w:r>
        <w:rPr>
          <w:rFonts w:hint="default" w:ascii="Times New Roman" w:hAnsi="Times New Roman" w:eastAsia="仿宋_GB2312" w:cs="Times New Roman"/>
          <w:color w:val="auto"/>
          <w:sz w:val="32"/>
          <w:szCs w:val="32"/>
          <w:lang w:val="zh-CN" w:eastAsia="zh-CN"/>
        </w:rPr>
        <w:t>202</w:t>
      </w:r>
      <w:r>
        <w:rPr>
          <w:rFonts w:hint="default" w:ascii="Times New Roman" w:hAnsi="Times New Roman" w:eastAsia="仿宋_GB2312" w:cs="Times New Roman"/>
          <w:color w:val="auto"/>
          <w:sz w:val="32"/>
          <w:szCs w:val="32"/>
          <w:lang w:val="en-US" w:eastAsia="zh-CN"/>
        </w:rPr>
        <w:t>2</w:t>
      </w:r>
      <w:r>
        <w:rPr>
          <w:rFonts w:hint="default" w:ascii="Times New Roman" w:hAnsi="Times New Roman" w:eastAsia="仿宋_GB2312" w:cs="Times New Roman"/>
          <w:color w:val="auto"/>
          <w:sz w:val="32"/>
          <w:szCs w:val="32"/>
          <w:lang w:val="zh-CN" w:eastAsia="zh-CN"/>
        </w:rPr>
        <w:t>年本年决算收入合计</w:t>
      </w:r>
      <w:r>
        <w:rPr>
          <w:rFonts w:hint="default" w:ascii="Times New Roman" w:hAnsi="Times New Roman" w:eastAsia="仿宋_GB2312" w:cs="Times New Roman"/>
          <w:color w:val="auto"/>
          <w:sz w:val="32"/>
          <w:szCs w:val="32"/>
          <w:lang w:val="en-US" w:eastAsia="zh-CN"/>
        </w:rPr>
        <w:t>3475.07</w:t>
      </w:r>
      <w:r>
        <w:rPr>
          <w:rFonts w:hint="default" w:ascii="Times New Roman" w:hAnsi="Times New Roman" w:eastAsia="仿宋_GB2312" w:cs="Times New Roman"/>
          <w:color w:val="auto"/>
          <w:sz w:val="32"/>
          <w:szCs w:val="32"/>
          <w:lang w:val="zh-CN" w:eastAsia="zh-CN"/>
        </w:rPr>
        <w:t>万元，其中：一般公共预算财政拨款收入</w:t>
      </w:r>
      <w:r>
        <w:rPr>
          <w:rFonts w:hint="default" w:ascii="Times New Roman" w:hAnsi="Times New Roman" w:eastAsia="仿宋_GB2312" w:cs="Times New Roman"/>
          <w:color w:val="auto"/>
          <w:sz w:val="32"/>
          <w:szCs w:val="32"/>
          <w:lang w:val="en-US" w:eastAsia="zh-CN"/>
        </w:rPr>
        <w:t>3475.07</w:t>
      </w:r>
      <w:r>
        <w:rPr>
          <w:rFonts w:hint="default" w:ascii="Times New Roman" w:hAnsi="Times New Roman" w:eastAsia="仿宋_GB2312" w:cs="Times New Roman"/>
          <w:color w:val="auto"/>
          <w:sz w:val="32"/>
          <w:szCs w:val="32"/>
          <w:lang w:val="zh-CN" w:eastAsia="zh-CN"/>
        </w:rPr>
        <w:t>万元，占100%；政府性基金预算财政拨款收入0元，占0%；上级补助收入0元，占0%。</w:t>
      </w:r>
      <w:bookmarkEnd w:id="320"/>
    </w:p>
    <w:p>
      <w:pPr>
        <w:keepNext w:val="0"/>
        <w:keepLines w:val="0"/>
        <w:pageBreakBefore w:val="0"/>
        <w:kinsoku/>
        <w:wordWrap/>
        <w:overflowPunct/>
        <w:topLinePunct w:val="0"/>
        <w:autoSpaceDE/>
        <w:autoSpaceDN/>
        <w:bidi w:val="0"/>
        <w:spacing w:line="560" w:lineRule="exact"/>
        <w:ind w:firstLine="643" w:firstLineChars="200"/>
        <w:textAlignment w:val="auto"/>
        <w:outlineLvl w:val="2"/>
        <w:rPr>
          <w:rFonts w:hint="default" w:ascii="Times New Roman" w:hAnsi="Times New Roman" w:eastAsia="仿宋_GB2312" w:cs="Times New Roman"/>
          <w:color w:val="auto"/>
          <w:sz w:val="32"/>
          <w:szCs w:val="32"/>
          <w:lang w:val="zh-CN" w:eastAsia="zh-CN"/>
        </w:rPr>
      </w:pPr>
      <w:bookmarkStart w:id="321" w:name="_Toc17181"/>
      <w:bookmarkStart w:id="322" w:name="_Toc29911"/>
      <w:r>
        <w:rPr>
          <w:rFonts w:hint="default" w:ascii="楷体_GB2312" w:hAnsi="楷体_GB2312" w:eastAsia="楷体_GB2312" w:cs="楷体_GB2312"/>
          <w:b/>
          <w:bCs/>
          <w:sz w:val="32"/>
          <w:szCs w:val="32"/>
          <w:lang w:val="zh-CN"/>
        </w:rPr>
        <w:t>（二）部门财政资金支出情况。</w:t>
      </w:r>
      <w:r>
        <w:rPr>
          <w:rFonts w:hint="default" w:ascii="Times New Roman" w:hAnsi="Times New Roman" w:eastAsia="仿宋_GB2312" w:cs="Times New Roman"/>
          <w:color w:val="auto"/>
          <w:sz w:val="32"/>
          <w:szCs w:val="32"/>
          <w:lang w:val="zh-CN" w:eastAsia="zh-CN"/>
        </w:rPr>
        <w:t>202</w:t>
      </w:r>
      <w:r>
        <w:rPr>
          <w:rFonts w:hint="default" w:ascii="Times New Roman" w:hAnsi="Times New Roman" w:eastAsia="仿宋_GB2312" w:cs="Times New Roman"/>
          <w:color w:val="auto"/>
          <w:sz w:val="32"/>
          <w:szCs w:val="32"/>
          <w:lang w:val="en-US" w:eastAsia="zh-CN"/>
        </w:rPr>
        <w:t>2</w:t>
      </w:r>
      <w:r>
        <w:rPr>
          <w:rFonts w:hint="default" w:ascii="Times New Roman" w:hAnsi="Times New Roman" w:eastAsia="仿宋_GB2312" w:cs="Times New Roman"/>
          <w:color w:val="auto"/>
          <w:sz w:val="32"/>
          <w:szCs w:val="32"/>
          <w:lang w:val="zh-CN" w:eastAsia="zh-CN"/>
        </w:rPr>
        <w:t>年财政决算支出</w:t>
      </w:r>
      <w:r>
        <w:rPr>
          <w:rFonts w:hint="default" w:ascii="Times New Roman" w:hAnsi="Times New Roman" w:eastAsia="仿宋_GB2312" w:cs="Times New Roman"/>
          <w:color w:val="auto"/>
          <w:sz w:val="32"/>
          <w:szCs w:val="32"/>
          <w:lang w:val="en-US" w:eastAsia="zh-CN"/>
        </w:rPr>
        <w:t>3475.07</w:t>
      </w:r>
      <w:r>
        <w:rPr>
          <w:rFonts w:hint="default" w:ascii="Times New Roman" w:hAnsi="Times New Roman" w:eastAsia="仿宋_GB2312" w:cs="Times New Roman"/>
          <w:color w:val="auto"/>
          <w:sz w:val="32"/>
          <w:szCs w:val="32"/>
          <w:lang w:val="zh-CN" w:eastAsia="zh-CN"/>
        </w:rPr>
        <w:t>万元，其中：基本支出</w:t>
      </w:r>
      <w:r>
        <w:rPr>
          <w:rFonts w:hint="default" w:ascii="Times New Roman" w:hAnsi="Times New Roman" w:eastAsia="仿宋_GB2312" w:cs="Times New Roman"/>
          <w:color w:val="auto"/>
          <w:sz w:val="32"/>
          <w:szCs w:val="32"/>
          <w:lang w:val="en-US" w:eastAsia="zh-CN"/>
        </w:rPr>
        <w:t>886</w:t>
      </w:r>
      <w:r>
        <w:rPr>
          <w:rFonts w:hint="eastAsia"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57</w:t>
      </w:r>
      <w:r>
        <w:rPr>
          <w:rFonts w:hint="default" w:ascii="Times New Roman" w:hAnsi="Times New Roman" w:eastAsia="仿宋_GB2312" w:cs="Times New Roman"/>
          <w:color w:val="auto"/>
          <w:sz w:val="32"/>
          <w:szCs w:val="32"/>
          <w:lang w:val="zh-CN" w:eastAsia="zh-CN"/>
        </w:rPr>
        <w:t>万元，项目支出</w:t>
      </w:r>
      <w:r>
        <w:rPr>
          <w:rFonts w:hint="default" w:ascii="Times New Roman" w:hAnsi="Times New Roman" w:eastAsia="仿宋_GB2312" w:cs="Times New Roman"/>
          <w:color w:val="auto"/>
          <w:sz w:val="32"/>
          <w:szCs w:val="32"/>
          <w:lang w:val="en-US" w:eastAsia="zh-CN"/>
        </w:rPr>
        <w:t>2588</w:t>
      </w:r>
      <w:r>
        <w:rPr>
          <w:rFonts w:hint="eastAsia"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50</w:t>
      </w:r>
      <w:r>
        <w:rPr>
          <w:rFonts w:hint="default" w:ascii="Times New Roman" w:hAnsi="Times New Roman" w:eastAsia="仿宋_GB2312" w:cs="Times New Roman"/>
          <w:color w:val="auto"/>
          <w:sz w:val="32"/>
          <w:szCs w:val="32"/>
          <w:lang w:val="zh-CN" w:eastAsia="zh-CN"/>
        </w:rPr>
        <w:t>万元，基本支出占全年预算支出的</w:t>
      </w:r>
      <w:r>
        <w:rPr>
          <w:rFonts w:hint="eastAsia" w:cs="Times New Roman"/>
          <w:color w:val="auto"/>
          <w:sz w:val="32"/>
          <w:szCs w:val="32"/>
          <w:lang w:val="en-US" w:eastAsia="zh-CN"/>
        </w:rPr>
        <w:t>25.51</w:t>
      </w:r>
      <w:r>
        <w:rPr>
          <w:rFonts w:hint="default" w:ascii="Times New Roman" w:hAnsi="Times New Roman" w:eastAsia="仿宋_GB2312" w:cs="Times New Roman"/>
          <w:color w:val="auto"/>
          <w:sz w:val="32"/>
          <w:szCs w:val="32"/>
          <w:lang w:val="zh-CN" w:eastAsia="zh-CN"/>
        </w:rPr>
        <w:t>%，项目支出占全年预算支出</w:t>
      </w:r>
      <w:r>
        <w:rPr>
          <w:rFonts w:hint="eastAsia" w:cs="Times New Roman"/>
          <w:color w:val="auto"/>
          <w:sz w:val="32"/>
          <w:szCs w:val="32"/>
          <w:lang w:val="en-US" w:eastAsia="zh-CN"/>
        </w:rPr>
        <w:t>74.49</w:t>
      </w:r>
      <w:r>
        <w:rPr>
          <w:rFonts w:hint="default" w:ascii="Times New Roman" w:hAnsi="Times New Roman" w:eastAsia="仿宋_GB2312" w:cs="Times New Roman"/>
          <w:color w:val="auto"/>
          <w:sz w:val="32"/>
          <w:szCs w:val="32"/>
          <w:lang w:val="zh-CN" w:eastAsia="zh-CN"/>
        </w:rPr>
        <w:t>%。经营支出0万元，占0%；对附属单位补助支出0元，占0%。</w:t>
      </w:r>
      <w:r>
        <w:rPr>
          <w:rFonts w:hint="default" w:ascii="Times New Roman" w:hAnsi="Times New Roman" w:eastAsia="仿宋_GB2312" w:cs="Times New Roman"/>
          <w:color w:val="auto"/>
          <w:sz w:val="32"/>
          <w:szCs w:val="32"/>
          <w:lang w:val="en-US" w:eastAsia="zh-CN"/>
        </w:rPr>
        <w:t>其中：</w:t>
      </w:r>
      <w:r>
        <w:rPr>
          <w:rFonts w:hint="default" w:ascii="Times New Roman" w:hAnsi="Times New Roman" w:eastAsia="仿宋_GB2312" w:cs="Times New Roman"/>
          <w:color w:val="auto"/>
          <w:sz w:val="32"/>
          <w:szCs w:val="32"/>
          <w:lang w:val="zh-CN" w:eastAsia="zh-CN"/>
        </w:rPr>
        <w:t>行政运行</w:t>
      </w:r>
      <w:r>
        <w:rPr>
          <w:rFonts w:hint="default" w:ascii="Times New Roman" w:hAnsi="Times New Roman" w:eastAsia="仿宋_GB2312" w:cs="Times New Roman"/>
          <w:color w:val="auto"/>
          <w:sz w:val="32"/>
          <w:szCs w:val="32"/>
          <w:lang w:val="en-US" w:eastAsia="zh-CN"/>
        </w:rPr>
        <w:t>886.57万</w:t>
      </w:r>
      <w:r>
        <w:rPr>
          <w:rFonts w:hint="default" w:ascii="Times New Roman" w:hAnsi="Times New Roman" w:eastAsia="仿宋_GB2312" w:cs="Times New Roman"/>
          <w:color w:val="auto"/>
          <w:sz w:val="32"/>
          <w:szCs w:val="32"/>
          <w:lang w:val="zh-CN" w:eastAsia="zh-CN"/>
        </w:rPr>
        <w:t>元、机关事业单位基本养老保险缴费支出59</w:t>
      </w:r>
      <w:r>
        <w:rPr>
          <w:rFonts w:hint="eastAsia" w:cs="Times New Roman"/>
          <w:color w:val="auto"/>
          <w:sz w:val="32"/>
          <w:szCs w:val="32"/>
          <w:lang w:val="en-US" w:eastAsia="zh-CN"/>
        </w:rPr>
        <w:t>.</w:t>
      </w:r>
      <w:r>
        <w:rPr>
          <w:rFonts w:hint="default" w:ascii="Times New Roman" w:hAnsi="Times New Roman" w:eastAsia="仿宋_GB2312" w:cs="Times New Roman"/>
          <w:color w:val="auto"/>
          <w:sz w:val="32"/>
          <w:szCs w:val="32"/>
          <w:lang w:val="zh-CN" w:eastAsia="zh-CN"/>
        </w:rPr>
        <w:t>86</w:t>
      </w:r>
      <w:r>
        <w:rPr>
          <w:rFonts w:hint="default" w:ascii="Times New Roman" w:hAnsi="Times New Roman" w:eastAsia="仿宋_GB2312" w:cs="Times New Roman"/>
          <w:color w:val="auto"/>
          <w:sz w:val="32"/>
          <w:szCs w:val="32"/>
          <w:lang w:val="en-US" w:eastAsia="zh-CN"/>
        </w:rPr>
        <w:t>万</w:t>
      </w:r>
      <w:r>
        <w:rPr>
          <w:rFonts w:hint="default" w:ascii="Times New Roman" w:hAnsi="Times New Roman" w:eastAsia="仿宋_GB2312" w:cs="Times New Roman"/>
          <w:color w:val="auto"/>
          <w:sz w:val="32"/>
          <w:szCs w:val="32"/>
          <w:lang w:val="zh-CN" w:eastAsia="zh-CN"/>
        </w:rPr>
        <w:t>元、行政</w:t>
      </w:r>
      <w:r>
        <w:rPr>
          <w:rFonts w:hint="eastAsia" w:cs="Times New Roman"/>
          <w:color w:val="auto"/>
          <w:sz w:val="32"/>
          <w:szCs w:val="32"/>
          <w:lang w:val="zh-CN" w:eastAsia="zh-CN"/>
        </w:rPr>
        <w:t>事业</w:t>
      </w:r>
      <w:r>
        <w:rPr>
          <w:rFonts w:hint="default" w:ascii="Times New Roman" w:hAnsi="Times New Roman" w:eastAsia="仿宋_GB2312" w:cs="Times New Roman"/>
          <w:color w:val="auto"/>
          <w:sz w:val="32"/>
          <w:szCs w:val="32"/>
          <w:lang w:val="zh-CN" w:eastAsia="zh-CN"/>
        </w:rPr>
        <w:t>单位医疗</w:t>
      </w:r>
      <w:r>
        <w:rPr>
          <w:rFonts w:hint="eastAsia" w:cs="Times New Roman"/>
          <w:color w:val="auto"/>
          <w:sz w:val="32"/>
          <w:szCs w:val="32"/>
          <w:lang w:val="zh-CN" w:eastAsia="zh-CN"/>
        </w:rPr>
        <w:t>支出</w:t>
      </w:r>
      <w:r>
        <w:rPr>
          <w:rFonts w:hint="default" w:ascii="Times New Roman" w:hAnsi="Times New Roman" w:eastAsia="仿宋_GB2312" w:cs="Times New Roman"/>
          <w:color w:val="auto"/>
          <w:sz w:val="32"/>
          <w:szCs w:val="32"/>
          <w:lang w:val="en-US" w:eastAsia="zh-CN"/>
        </w:rPr>
        <w:t>33</w:t>
      </w:r>
      <w:r>
        <w:rPr>
          <w:rFonts w:hint="eastAsia"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93万</w:t>
      </w:r>
      <w:r>
        <w:rPr>
          <w:rFonts w:hint="default" w:ascii="Times New Roman" w:hAnsi="Times New Roman" w:eastAsia="仿宋_GB2312" w:cs="Times New Roman"/>
          <w:color w:val="auto"/>
          <w:sz w:val="32"/>
          <w:szCs w:val="32"/>
          <w:lang w:val="zh-CN" w:eastAsia="zh-CN"/>
        </w:rPr>
        <w:t>元、住房公积金</w:t>
      </w:r>
      <w:r>
        <w:rPr>
          <w:rFonts w:hint="default" w:ascii="Times New Roman" w:hAnsi="Times New Roman" w:eastAsia="仿宋_GB2312" w:cs="Times New Roman"/>
          <w:color w:val="auto"/>
          <w:sz w:val="32"/>
          <w:szCs w:val="32"/>
          <w:lang w:val="en-US" w:eastAsia="zh-CN"/>
        </w:rPr>
        <w:t>58</w:t>
      </w:r>
      <w:r>
        <w:rPr>
          <w:rFonts w:hint="eastAsia"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85万</w:t>
      </w:r>
      <w:r>
        <w:rPr>
          <w:rFonts w:hint="default" w:ascii="Times New Roman" w:hAnsi="Times New Roman" w:eastAsia="仿宋_GB2312" w:cs="Times New Roman"/>
          <w:color w:val="auto"/>
          <w:sz w:val="32"/>
          <w:szCs w:val="32"/>
          <w:lang w:val="zh-CN" w:eastAsia="zh-CN"/>
        </w:rPr>
        <w:t>元。</w:t>
      </w:r>
      <w:bookmarkEnd w:id="321"/>
      <w:bookmarkEnd w:id="322"/>
    </w:p>
    <w:p>
      <w:pPr>
        <w:pStyle w:val="2"/>
        <w:keepNext w:val="0"/>
        <w:keepLines w:val="0"/>
        <w:pageBreakBefore w:val="0"/>
        <w:widowControl w:val="0"/>
        <w:kinsoku/>
        <w:wordWrap/>
        <w:overflowPunct/>
        <w:topLinePunct w:val="0"/>
        <w:autoSpaceDE/>
        <w:autoSpaceDN/>
        <w:bidi w:val="0"/>
        <w:adjustRightInd/>
        <w:snapToGrid/>
        <w:spacing w:beforeLines="0" w:line="560" w:lineRule="exact"/>
        <w:ind w:firstLine="643" w:firstLineChars="200"/>
        <w:textAlignment w:val="auto"/>
        <w:outlineLvl w:val="2"/>
        <w:rPr>
          <w:rFonts w:hint="default" w:ascii="楷体_GB2312" w:hAnsi="楷体_GB2312" w:eastAsia="楷体_GB2312" w:cs="楷体_GB2312"/>
          <w:b/>
          <w:bCs/>
          <w:kern w:val="2"/>
          <w:sz w:val="32"/>
          <w:szCs w:val="32"/>
          <w:lang w:val="zh-CN" w:eastAsia="zh-CN" w:bidi="ar-SA"/>
        </w:rPr>
      </w:pPr>
      <w:bookmarkStart w:id="323" w:name="_Toc14856"/>
      <w:r>
        <w:rPr>
          <w:rFonts w:hint="default" w:ascii="楷体_GB2312" w:hAnsi="楷体_GB2312" w:eastAsia="楷体_GB2312" w:cs="楷体_GB2312"/>
          <w:b/>
          <w:bCs/>
          <w:kern w:val="2"/>
          <w:sz w:val="32"/>
          <w:szCs w:val="32"/>
          <w:lang w:val="zh-CN" w:eastAsia="zh-CN" w:bidi="ar-SA"/>
        </w:rPr>
        <w:t>（三）部门财政资金结余结转情况。</w:t>
      </w:r>
      <w:bookmarkEnd w:id="323"/>
    </w:p>
    <w:p>
      <w:pPr>
        <w:pStyle w:val="2"/>
        <w:keepNext w:val="0"/>
        <w:keepLines w:val="0"/>
        <w:pageBreakBefore w:val="0"/>
        <w:widowControl w:val="0"/>
        <w:kinsoku/>
        <w:wordWrap/>
        <w:overflowPunct/>
        <w:topLinePunct w:val="0"/>
        <w:autoSpaceDE/>
        <w:autoSpaceDN/>
        <w:bidi w:val="0"/>
        <w:adjustRightInd/>
        <w:snapToGrid/>
        <w:spacing w:beforeLines="0" w:line="560" w:lineRule="exact"/>
        <w:ind w:firstLine="640" w:firstLineChars="200"/>
        <w:textAlignment w:val="auto"/>
        <w:rPr>
          <w:rFonts w:hint="default" w:ascii="Times New Roman" w:hAnsi="Times New Roman" w:eastAsia="仿宋_GB2312" w:cs="Times New Roman"/>
          <w:color w:val="auto"/>
          <w:kern w:val="2"/>
          <w:sz w:val="32"/>
          <w:szCs w:val="32"/>
          <w:lang w:val="zh-CN" w:eastAsia="zh-CN" w:bidi="ar-SA"/>
        </w:rPr>
      </w:pPr>
      <w:r>
        <w:rPr>
          <w:rFonts w:hint="default" w:ascii="Times New Roman" w:hAnsi="Times New Roman" w:eastAsia="仿宋_GB2312" w:cs="Times New Roman"/>
          <w:color w:val="auto"/>
          <w:kern w:val="2"/>
          <w:sz w:val="32"/>
          <w:szCs w:val="32"/>
          <w:lang w:val="zh-CN" w:eastAsia="zh-CN" w:bidi="ar-SA"/>
        </w:rPr>
        <w:t>2022年本年度无结余结转资金，完成预算数100%。</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1"/>
        <w:rPr>
          <w:rFonts w:hint="eastAsia" w:ascii="黑体" w:hAnsi="黑体" w:eastAsia="黑体" w:cs="黑体"/>
          <w:sz w:val="32"/>
          <w:szCs w:val="32"/>
          <w:lang w:val="zh-CN"/>
        </w:rPr>
      </w:pPr>
      <w:bookmarkStart w:id="324" w:name="_Toc3560_WPSOffice_Level2"/>
      <w:bookmarkStart w:id="325" w:name="_Toc4230"/>
      <w:r>
        <w:rPr>
          <w:rFonts w:hint="eastAsia" w:ascii="黑体" w:hAnsi="黑体" w:eastAsia="黑体" w:cs="黑体"/>
          <w:sz w:val="32"/>
          <w:szCs w:val="32"/>
          <w:lang w:val="zh-CN"/>
        </w:rPr>
        <w:t>三、</w:t>
      </w:r>
      <w:r>
        <w:rPr>
          <w:rFonts w:hint="eastAsia" w:ascii="黑体" w:hAnsi="黑体" w:eastAsia="黑体" w:cs="黑体"/>
          <w:color w:val="auto"/>
          <w:kern w:val="0"/>
          <w:sz w:val="32"/>
          <w:szCs w:val="32"/>
          <w:highlight w:val="none"/>
          <w:u w:val="none"/>
          <w:shd w:val="clear" w:color="auto" w:fill="FFFFFF"/>
        </w:rPr>
        <w:t>部门整体绩效</w:t>
      </w:r>
      <w:r>
        <w:rPr>
          <w:rFonts w:hint="eastAsia" w:ascii="黑体" w:hAnsi="黑体" w:eastAsia="黑体" w:cs="黑体"/>
          <w:color w:val="auto"/>
          <w:kern w:val="0"/>
          <w:sz w:val="32"/>
          <w:szCs w:val="32"/>
          <w:highlight w:val="none"/>
          <w:u w:val="none"/>
          <w:shd w:val="clear" w:color="auto" w:fill="FFFFFF"/>
          <w:lang w:eastAsia="zh-CN"/>
        </w:rPr>
        <w:t>分析</w:t>
      </w:r>
      <w:r>
        <w:rPr>
          <w:rFonts w:hint="eastAsia" w:ascii="黑体" w:hAnsi="黑体" w:eastAsia="黑体" w:cs="黑体"/>
          <w:sz w:val="32"/>
          <w:szCs w:val="32"/>
          <w:lang w:val="zh-CN"/>
        </w:rPr>
        <w:t>情况</w:t>
      </w:r>
      <w:bookmarkEnd w:id="324"/>
      <w:bookmarkEnd w:id="325"/>
    </w:p>
    <w:p>
      <w:pPr>
        <w:pStyle w:val="2"/>
        <w:keepNext w:val="0"/>
        <w:keepLines w:val="0"/>
        <w:pageBreakBefore w:val="0"/>
        <w:widowControl w:val="0"/>
        <w:kinsoku/>
        <w:wordWrap/>
        <w:overflowPunct/>
        <w:topLinePunct w:val="0"/>
        <w:autoSpaceDE/>
        <w:autoSpaceDN/>
        <w:bidi w:val="0"/>
        <w:adjustRightInd/>
        <w:snapToGrid/>
        <w:spacing w:beforeLines="0" w:line="560" w:lineRule="exact"/>
        <w:ind w:firstLine="643" w:firstLineChars="200"/>
        <w:textAlignment w:val="auto"/>
        <w:outlineLvl w:val="2"/>
        <w:rPr>
          <w:rFonts w:hint="eastAsia" w:ascii="楷体_GB2312" w:hAnsi="楷体_GB2312" w:eastAsia="楷体_GB2312" w:cs="楷体_GB2312"/>
          <w:b/>
          <w:bCs/>
          <w:kern w:val="2"/>
          <w:sz w:val="32"/>
          <w:szCs w:val="32"/>
          <w:lang w:val="zh-CN" w:eastAsia="zh-CN" w:bidi="ar-SA"/>
        </w:rPr>
      </w:pPr>
      <w:bookmarkStart w:id="326" w:name="_Toc32078_WPSOffice_Level3"/>
      <w:bookmarkStart w:id="327" w:name="_Toc24588"/>
      <w:r>
        <w:rPr>
          <w:rFonts w:hint="eastAsia" w:ascii="楷体_GB2312" w:hAnsi="楷体_GB2312" w:eastAsia="楷体_GB2312" w:cs="楷体_GB2312"/>
          <w:b/>
          <w:bCs/>
          <w:kern w:val="2"/>
          <w:sz w:val="32"/>
          <w:szCs w:val="32"/>
          <w:lang w:val="zh-CN" w:eastAsia="zh-CN" w:bidi="ar-SA"/>
        </w:rPr>
        <w:t>（一）部门预算项目绩效分析</w:t>
      </w:r>
      <w:bookmarkEnd w:id="326"/>
      <w:bookmarkEnd w:id="327"/>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contextualSpacing/>
        <w:jc w:val="left"/>
        <w:textAlignment w:val="auto"/>
        <w:rPr>
          <w:rFonts w:hint="eastAsia" w:ascii="仿宋_GB2312" w:hAnsi="仿宋_GB2312" w:eastAsia="仿宋_GB2312" w:cs="仿宋_GB2312"/>
          <w:b w:val="0"/>
          <w:bCs w:val="0"/>
          <w:color w:val="auto"/>
          <w:kern w:val="0"/>
          <w:sz w:val="32"/>
          <w:szCs w:val="32"/>
          <w:highlight w:val="none"/>
          <w:shd w:val="clear" w:color="auto" w:fill="FFFFFF"/>
          <w:lang w:val="en-US" w:eastAsia="zh-CN"/>
        </w:rPr>
      </w:pPr>
      <w:r>
        <w:rPr>
          <w:rFonts w:hint="eastAsia" w:ascii="仿宋_GB2312" w:hAnsi="仿宋_GB2312" w:eastAsia="仿宋_GB2312" w:cs="仿宋_GB2312"/>
          <w:b w:val="0"/>
          <w:bCs w:val="0"/>
          <w:color w:val="auto"/>
          <w:kern w:val="0"/>
          <w:sz w:val="32"/>
          <w:szCs w:val="32"/>
          <w:highlight w:val="none"/>
          <w:shd w:val="clear" w:color="auto" w:fill="FFFFFF"/>
          <w:lang w:val="en-US" w:eastAsia="zh-CN"/>
        </w:rPr>
        <w:t>1.人员类项目绩效分析</w:t>
      </w:r>
    </w:p>
    <w:p>
      <w:pPr>
        <w:pStyle w:val="2"/>
        <w:keepNext w:val="0"/>
        <w:keepLines w:val="0"/>
        <w:pageBreakBefore w:val="0"/>
        <w:kinsoku/>
        <w:wordWrap/>
        <w:overflowPunct/>
        <w:topLinePunct w:val="0"/>
        <w:autoSpaceDE/>
        <w:autoSpaceDN/>
        <w:bidi w:val="0"/>
        <w:spacing w:beforeLines="0" w:line="560" w:lineRule="exact"/>
        <w:ind w:firstLine="640" w:firstLineChars="200"/>
        <w:textAlignment w:val="auto"/>
        <w:rPr>
          <w:rFonts w:hint="eastAsia" w:ascii="仿宋_GB2312" w:hAnsi="仿宋_GB2312" w:eastAsia="仿宋_GB2312" w:cs="仿宋_GB2312"/>
          <w:b w:val="0"/>
          <w:bCs w:val="0"/>
          <w:color w:val="auto"/>
          <w:kern w:val="0"/>
          <w:sz w:val="32"/>
          <w:szCs w:val="32"/>
          <w:highlight w:val="none"/>
          <w:shd w:val="clear" w:color="auto" w:fill="FFFFFF"/>
          <w:lang w:val="en-US" w:eastAsia="zh-CN"/>
        </w:rPr>
      </w:pPr>
      <w:r>
        <w:rPr>
          <w:rFonts w:hint="eastAsia" w:ascii="仿宋_GB2312" w:hAnsi="仿宋_GB2312" w:eastAsia="仿宋_GB2312" w:cs="仿宋_GB2312"/>
          <w:b w:val="0"/>
          <w:bCs w:val="0"/>
          <w:color w:val="auto"/>
          <w:kern w:val="0"/>
          <w:sz w:val="32"/>
          <w:szCs w:val="32"/>
          <w:highlight w:val="none"/>
          <w:shd w:val="clear" w:color="auto" w:fill="FFFFFF"/>
          <w:lang w:val="en-US" w:eastAsia="zh-CN"/>
        </w:rPr>
        <w:t>严格执行相关政策，保障工资及时、足额发放或社保及时、足额缴纳，预算编制科学合理，减少结余资金。年度内严格支出控制，按时支付工资、缴纳五险一金，预算执行率100%，完成率100%，资金结余率0%。</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contextualSpacing/>
        <w:jc w:val="left"/>
        <w:textAlignment w:val="auto"/>
        <w:rPr>
          <w:rFonts w:hint="eastAsia" w:ascii="仿宋_GB2312" w:hAnsi="仿宋_GB2312" w:eastAsia="仿宋_GB2312" w:cs="仿宋_GB2312"/>
          <w:b w:val="0"/>
          <w:bCs w:val="0"/>
          <w:color w:val="auto"/>
          <w:kern w:val="0"/>
          <w:sz w:val="32"/>
          <w:szCs w:val="32"/>
          <w:highlight w:val="none"/>
          <w:shd w:val="clear" w:color="auto" w:fill="FFFFFF"/>
          <w:lang w:val="en-US" w:eastAsia="zh-CN"/>
        </w:rPr>
      </w:pPr>
      <w:r>
        <w:rPr>
          <w:rFonts w:hint="eastAsia" w:ascii="仿宋_GB2312" w:hAnsi="仿宋_GB2312" w:eastAsia="仿宋_GB2312" w:cs="仿宋_GB2312"/>
          <w:b w:val="0"/>
          <w:bCs w:val="0"/>
          <w:color w:val="auto"/>
          <w:kern w:val="0"/>
          <w:sz w:val="32"/>
          <w:szCs w:val="32"/>
          <w:highlight w:val="none"/>
          <w:shd w:val="clear" w:color="auto" w:fill="FFFFFF"/>
          <w:lang w:val="en-US" w:eastAsia="zh-CN"/>
        </w:rPr>
        <w:t>2.运转类项目绩效分析</w:t>
      </w:r>
    </w:p>
    <w:p>
      <w:pPr>
        <w:pStyle w:val="2"/>
        <w:keepNext w:val="0"/>
        <w:keepLines w:val="0"/>
        <w:pageBreakBefore w:val="0"/>
        <w:kinsoku/>
        <w:wordWrap/>
        <w:overflowPunct/>
        <w:topLinePunct w:val="0"/>
        <w:autoSpaceDE/>
        <w:autoSpaceDN/>
        <w:bidi w:val="0"/>
        <w:spacing w:beforeLines="0" w:line="560" w:lineRule="exact"/>
        <w:ind w:firstLine="640" w:firstLineChars="200"/>
        <w:textAlignment w:val="auto"/>
        <w:rPr>
          <w:rFonts w:hint="eastAsia" w:ascii="仿宋_GB2312" w:hAnsi="仿宋_GB2312" w:eastAsia="仿宋_GB2312" w:cs="仿宋_GB2312"/>
          <w:b w:val="0"/>
          <w:bCs w:val="0"/>
          <w:color w:val="auto"/>
          <w:kern w:val="0"/>
          <w:sz w:val="32"/>
          <w:szCs w:val="32"/>
          <w:highlight w:val="none"/>
          <w:shd w:val="clear" w:color="auto" w:fill="FFFFFF"/>
          <w:lang w:val="en-US" w:eastAsia="zh-CN"/>
        </w:rPr>
      </w:pPr>
      <w:r>
        <w:rPr>
          <w:rFonts w:hint="eastAsia" w:ascii="仿宋_GB2312" w:hAnsi="仿宋_GB2312" w:eastAsia="仿宋_GB2312" w:cs="仿宋_GB2312"/>
          <w:b w:val="0"/>
          <w:bCs w:val="0"/>
          <w:color w:val="auto"/>
          <w:kern w:val="0"/>
          <w:sz w:val="32"/>
          <w:szCs w:val="32"/>
          <w:highlight w:val="none"/>
          <w:shd w:val="clear" w:color="auto" w:fill="FFFFFF"/>
          <w:lang w:val="en-US" w:eastAsia="zh-CN"/>
        </w:rPr>
        <w:t>保障单位日常运转，提高预算编制质量，严格执行预算。年度内预算执行率100%，完成率100%，资金结余率0%。</w:t>
      </w:r>
    </w:p>
    <w:p>
      <w:pPr>
        <w:pStyle w:val="2"/>
        <w:keepNext w:val="0"/>
        <w:keepLines w:val="0"/>
        <w:pageBreakBefore w:val="0"/>
        <w:kinsoku/>
        <w:wordWrap/>
        <w:overflowPunct/>
        <w:topLinePunct w:val="0"/>
        <w:autoSpaceDE/>
        <w:autoSpaceDN/>
        <w:bidi w:val="0"/>
        <w:spacing w:beforeLines="0" w:line="560" w:lineRule="exact"/>
        <w:ind w:firstLine="640" w:firstLineChars="200"/>
        <w:textAlignment w:val="auto"/>
        <w:rPr>
          <w:rFonts w:hint="eastAsia" w:ascii="仿宋_GB2312" w:hAnsi="仿宋_GB2312" w:eastAsia="仿宋_GB2312" w:cs="仿宋_GB2312"/>
          <w:b w:val="0"/>
          <w:bCs w:val="0"/>
          <w:color w:val="auto"/>
          <w:kern w:val="0"/>
          <w:sz w:val="32"/>
          <w:szCs w:val="32"/>
          <w:highlight w:val="none"/>
          <w:shd w:val="clear" w:color="auto" w:fill="FFFFFF"/>
          <w:lang w:val="en-US" w:eastAsia="zh-CN"/>
        </w:rPr>
      </w:pPr>
      <w:r>
        <w:rPr>
          <w:rFonts w:hint="eastAsia" w:ascii="仿宋_GB2312" w:hAnsi="仿宋_GB2312" w:eastAsia="仿宋_GB2312" w:cs="仿宋_GB2312"/>
          <w:b w:val="0"/>
          <w:bCs w:val="0"/>
          <w:color w:val="auto"/>
          <w:kern w:val="0"/>
          <w:sz w:val="32"/>
          <w:szCs w:val="32"/>
          <w:highlight w:val="none"/>
          <w:shd w:val="clear" w:color="auto" w:fill="FFFFFF"/>
          <w:lang w:val="en-US" w:eastAsia="zh-CN"/>
        </w:rPr>
        <w:t>3.</w:t>
      </w:r>
      <w:r>
        <w:rPr>
          <w:rFonts w:hint="eastAsia" w:ascii="仿宋_GB2312" w:hAnsi="仿宋_GB2312" w:eastAsia="仿宋_GB2312" w:cs="仿宋_GB2312"/>
          <w:b w:val="0"/>
          <w:bCs w:val="0"/>
          <w:color w:val="auto"/>
          <w:kern w:val="0"/>
          <w:sz w:val="32"/>
          <w:szCs w:val="32"/>
          <w:highlight w:val="none"/>
          <w:shd w:val="clear" w:color="auto" w:fill="FFFFFF"/>
          <w:lang w:val="en-US" w:eastAsia="zh-CN" w:bidi="ar-SA"/>
        </w:rPr>
        <w:t>特定目标类项目绩效分析</w:t>
      </w:r>
    </w:p>
    <w:p>
      <w:pPr>
        <w:pStyle w:val="2"/>
        <w:keepNext w:val="0"/>
        <w:keepLines w:val="0"/>
        <w:pageBreakBefore w:val="0"/>
        <w:kinsoku/>
        <w:wordWrap/>
        <w:overflowPunct/>
        <w:topLinePunct w:val="0"/>
        <w:autoSpaceDE/>
        <w:autoSpaceDN/>
        <w:bidi w:val="0"/>
        <w:spacing w:beforeLines="0" w:line="560" w:lineRule="exact"/>
        <w:ind w:firstLine="640" w:firstLineChars="200"/>
        <w:textAlignment w:val="auto"/>
        <w:rPr>
          <w:rFonts w:hint="eastAsia" w:ascii="仿宋_GB2312" w:hAnsi="仿宋_GB2312" w:eastAsia="仿宋_GB2312" w:cs="仿宋_GB2312"/>
          <w:b w:val="0"/>
          <w:bCs w:val="0"/>
          <w:color w:val="auto"/>
          <w:kern w:val="0"/>
          <w:sz w:val="32"/>
          <w:szCs w:val="32"/>
          <w:highlight w:val="none"/>
          <w:shd w:val="clear" w:color="auto" w:fill="FFFFFF"/>
          <w:lang w:val="en-US" w:eastAsia="zh-CN"/>
        </w:rPr>
      </w:pPr>
      <w:r>
        <w:rPr>
          <w:rFonts w:hint="eastAsia" w:ascii="仿宋_GB2312" w:hAnsi="仿宋_GB2312" w:eastAsia="仿宋_GB2312" w:cs="仿宋_GB2312"/>
          <w:b w:val="0"/>
          <w:bCs w:val="0"/>
          <w:color w:val="auto"/>
          <w:kern w:val="0"/>
          <w:sz w:val="32"/>
          <w:szCs w:val="32"/>
          <w:highlight w:val="none"/>
          <w:shd w:val="clear" w:color="auto" w:fill="FFFFFF"/>
          <w:lang w:val="en-US" w:eastAsia="zh-CN"/>
        </w:rPr>
        <w:t>开展全区</w:t>
      </w:r>
      <w:r>
        <w:rPr>
          <w:rFonts w:hint="eastAsia" w:hAnsi="仿宋_GB2312" w:cs="仿宋_GB2312"/>
          <w:b w:val="0"/>
          <w:bCs w:val="0"/>
          <w:color w:val="auto"/>
          <w:kern w:val="0"/>
          <w:sz w:val="32"/>
          <w:szCs w:val="32"/>
          <w:highlight w:val="none"/>
          <w:shd w:val="clear" w:color="auto" w:fill="FFFFFF"/>
          <w:lang w:val="en-US" w:eastAsia="zh-CN"/>
        </w:rPr>
        <w:t>自然灾害救灾</w:t>
      </w:r>
      <w:r>
        <w:rPr>
          <w:rFonts w:hint="eastAsia" w:ascii="仿宋_GB2312" w:hAnsi="仿宋_GB2312" w:eastAsia="仿宋_GB2312" w:cs="仿宋_GB2312"/>
          <w:b w:val="0"/>
          <w:bCs w:val="0"/>
          <w:color w:val="auto"/>
          <w:kern w:val="0"/>
          <w:sz w:val="32"/>
          <w:szCs w:val="32"/>
          <w:highlight w:val="none"/>
          <w:shd w:val="clear" w:color="auto" w:fill="FFFFFF"/>
          <w:lang w:val="en-US" w:eastAsia="zh-CN"/>
        </w:rPr>
        <w:t>工作，完成上级交办的其他工作任务。年度内完成</w:t>
      </w:r>
      <w:r>
        <w:rPr>
          <w:rFonts w:hint="eastAsia" w:hAnsi="仿宋_GB2312" w:cs="仿宋_GB2312"/>
          <w:b w:val="0"/>
          <w:bCs w:val="0"/>
          <w:color w:val="auto"/>
          <w:kern w:val="0"/>
          <w:sz w:val="32"/>
          <w:szCs w:val="32"/>
          <w:highlight w:val="none"/>
          <w:shd w:val="clear" w:color="auto" w:fill="FFFFFF"/>
          <w:lang w:val="en-US" w:eastAsia="zh-CN"/>
        </w:rPr>
        <w:t>自然灾害救灾</w:t>
      </w:r>
      <w:r>
        <w:rPr>
          <w:rFonts w:hint="eastAsia" w:ascii="仿宋_GB2312" w:hAnsi="仿宋_GB2312" w:eastAsia="仿宋_GB2312" w:cs="仿宋_GB2312"/>
          <w:b w:val="0"/>
          <w:bCs w:val="0"/>
          <w:color w:val="auto"/>
          <w:kern w:val="0"/>
          <w:sz w:val="32"/>
          <w:szCs w:val="32"/>
          <w:highlight w:val="none"/>
          <w:shd w:val="clear" w:color="auto" w:fill="FFFFFF"/>
          <w:lang w:val="en-US" w:eastAsia="zh-CN"/>
        </w:rPr>
        <w:t>工作，完成率100%。</w:t>
      </w:r>
    </w:p>
    <w:p>
      <w:pPr>
        <w:pStyle w:val="2"/>
        <w:keepNext w:val="0"/>
        <w:keepLines w:val="0"/>
        <w:pageBreakBefore w:val="0"/>
        <w:widowControl w:val="0"/>
        <w:kinsoku/>
        <w:wordWrap/>
        <w:overflowPunct/>
        <w:topLinePunct w:val="0"/>
        <w:autoSpaceDE/>
        <w:autoSpaceDN/>
        <w:bidi w:val="0"/>
        <w:adjustRightInd/>
        <w:snapToGrid/>
        <w:spacing w:beforeLines="0" w:line="560" w:lineRule="exact"/>
        <w:ind w:firstLine="643" w:firstLineChars="200"/>
        <w:textAlignment w:val="auto"/>
        <w:outlineLvl w:val="2"/>
        <w:rPr>
          <w:rFonts w:hint="default" w:ascii="楷体_GB2312" w:hAnsi="楷体_GB2312" w:eastAsia="楷体_GB2312" w:cs="楷体_GB2312"/>
          <w:b/>
          <w:bCs/>
          <w:kern w:val="2"/>
          <w:sz w:val="32"/>
          <w:szCs w:val="32"/>
          <w:lang w:val="zh-CN" w:eastAsia="zh-CN" w:bidi="ar-SA"/>
        </w:rPr>
      </w:pPr>
      <w:bookmarkStart w:id="328" w:name="_Toc153_WPSOffice_Level3"/>
      <w:bookmarkStart w:id="329" w:name="_Toc26856"/>
      <w:r>
        <w:rPr>
          <w:rFonts w:hint="eastAsia" w:ascii="楷体_GB2312" w:hAnsi="楷体_GB2312" w:eastAsia="楷体_GB2312" w:cs="楷体_GB2312"/>
          <w:b/>
          <w:bCs/>
          <w:kern w:val="2"/>
          <w:sz w:val="32"/>
          <w:szCs w:val="32"/>
          <w:lang w:val="zh-CN" w:eastAsia="zh-CN" w:bidi="ar-SA"/>
        </w:rPr>
        <w:t>（二）部门整体履职绩效分析</w:t>
      </w:r>
      <w:bookmarkEnd w:id="328"/>
      <w:bookmarkEnd w:id="329"/>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default" w:ascii="仿宋_GB2312" w:hAnsi="仿宋_GB2312" w:eastAsia="仿宋_GB2312" w:cs="仿宋_GB2312"/>
          <w:color w:val="auto"/>
          <w:sz w:val="32"/>
          <w:szCs w:val="32"/>
          <w:lang w:val="zh-CN" w:eastAsia="zh-CN"/>
        </w:rPr>
      </w:pPr>
      <w:r>
        <w:rPr>
          <w:rFonts w:hint="eastAsia" w:ascii="仿宋_GB2312" w:hAnsi="仿宋_GB2312" w:eastAsia="仿宋_GB2312" w:cs="仿宋_GB2312"/>
          <w:color w:val="auto"/>
          <w:sz w:val="32"/>
          <w:szCs w:val="32"/>
          <w:lang w:val="en-US" w:eastAsia="zh-CN"/>
        </w:rPr>
        <w:t>1.</w:t>
      </w:r>
      <w:r>
        <w:rPr>
          <w:rFonts w:hint="default" w:ascii="仿宋_GB2312" w:hAnsi="仿宋_GB2312" w:eastAsia="仿宋_GB2312" w:cs="仿宋_GB2312"/>
          <w:color w:val="auto"/>
          <w:sz w:val="32"/>
          <w:szCs w:val="32"/>
          <w:lang w:val="zh-CN" w:eastAsia="zh-CN"/>
        </w:rPr>
        <w:t>制度建设情况</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color w:val="auto"/>
          <w:sz w:val="32"/>
          <w:szCs w:val="32"/>
          <w:lang w:val="zh-CN" w:eastAsia="zh-CN"/>
        </w:rPr>
      </w:pPr>
      <w:r>
        <w:rPr>
          <w:rFonts w:hint="eastAsia" w:ascii="仿宋_GB2312" w:hAnsi="仿宋_GB2312" w:eastAsia="仿宋_GB2312" w:cs="仿宋_GB2312"/>
          <w:kern w:val="2"/>
          <w:sz w:val="32"/>
          <w:szCs w:val="32"/>
          <w:lang w:val="en-US" w:eastAsia="zh-CN" w:bidi="ar-SA"/>
        </w:rPr>
        <w:t>为切实提高我局财务管理水平，全面推进财务规范化建设，</w:t>
      </w:r>
      <w:r>
        <w:rPr>
          <w:rFonts w:hint="eastAsia" w:ascii="仿宋_GB2312" w:hAnsi="仿宋_GB2312" w:eastAsia="仿宋_GB2312" w:cs="仿宋_GB2312"/>
          <w:color w:val="auto"/>
          <w:sz w:val="32"/>
          <w:szCs w:val="32"/>
          <w:lang w:val="zh-CN" w:eastAsia="zh-CN"/>
        </w:rPr>
        <w:t>制定了巴中市巴州区应急管理局</w:t>
      </w:r>
      <w:r>
        <w:rPr>
          <w:rFonts w:hint="eastAsia" w:ascii="仿宋_GB2312" w:hAnsi="仿宋_GB2312" w:eastAsia="仿宋_GB2312" w:cs="仿宋_GB2312"/>
          <w:color w:val="auto"/>
          <w:sz w:val="32"/>
          <w:szCs w:val="32"/>
          <w:lang w:val="en-US" w:eastAsia="zh-CN"/>
        </w:rPr>
        <w:t>财务</w:t>
      </w:r>
      <w:r>
        <w:rPr>
          <w:rFonts w:hint="eastAsia" w:ascii="仿宋_GB2312" w:hAnsi="仿宋_GB2312" w:eastAsia="仿宋_GB2312" w:cs="仿宋_GB2312"/>
          <w:color w:val="auto"/>
          <w:sz w:val="32"/>
          <w:szCs w:val="32"/>
          <w:lang w:val="zh-CN" w:eastAsia="zh-CN"/>
        </w:rPr>
        <w:t>管理制度、巴中市巴州区应急管理局</w:t>
      </w:r>
      <w:r>
        <w:rPr>
          <w:rFonts w:hint="eastAsia" w:ascii="仿宋_GB2312" w:hAnsi="仿宋_GB2312" w:eastAsia="仿宋_GB2312" w:cs="仿宋_GB2312"/>
          <w:color w:val="auto"/>
          <w:sz w:val="32"/>
          <w:szCs w:val="32"/>
          <w:lang w:val="en-US" w:eastAsia="zh-CN"/>
        </w:rPr>
        <w:t>内控制度。</w:t>
      </w:r>
      <w:r>
        <w:rPr>
          <w:rFonts w:hint="eastAsia" w:ascii="仿宋_GB2312" w:hAnsi="仿宋_GB2312" w:eastAsia="仿宋_GB2312" w:cs="仿宋_GB2312"/>
          <w:color w:val="auto"/>
          <w:sz w:val="32"/>
          <w:szCs w:val="32"/>
          <w:lang w:val="zh-CN" w:eastAsia="zh-CN"/>
        </w:rPr>
        <w:t>依据财政部、省、市、区相关文件精神，制定并完善了财务管理制度，涵盖</w:t>
      </w:r>
      <w:r>
        <w:rPr>
          <w:rFonts w:hint="eastAsia" w:ascii="仿宋_GB2312" w:hAnsi="仿宋_GB2312" w:eastAsia="仿宋_GB2312" w:cs="仿宋_GB2312"/>
          <w:color w:val="auto"/>
          <w:sz w:val="32"/>
          <w:szCs w:val="32"/>
          <w:lang w:val="en-US" w:eastAsia="zh-CN"/>
        </w:rPr>
        <w:t>预算管理、支出管理、固定资产管理等内容。</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color w:val="auto"/>
          <w:sz w:val="32"/>
          <w:szCs w:val="32"/>
          <w:lang w:val="zh-CN" w:eastAsia="zh-CN"/>
        </w:rPr>
      </w:pP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lang w:val="zh-CN" w:eastAsia="zh-CN"/>
        </w:rPr>
        <w:t>绩效目标管理情况</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color w:val="auto"/>
          <w:sz w:val="32"/>
          <w:szCs w:val="32"/>
          <w:lang w:val="zh-CN" w:eastAsia="zh-CN"/>
        </w:rPr>
      </w:pPr>
      <w:r>
        <w:rPr>
          <w:rFonts w:hint="eastAsia" w:ascii="仿宋_GB2312" w:hAnsi="仿宋_GB2312" w:eastAsia="仿宋_GB2312" w:cs="仿宋_GB2312"/>
          <w:color w:val="auto"/>
          <w:sz w:val="32"/>
          <w:szCs w:val="32"/>
          <w:lang w:val="zh-CN" w:eastAsia="zh-CN"/>
        </w:rPr>
        <w:t>202</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lang w:val="zh-CN" w:eastAsia="zh-CN"/>
        </w:rPr>
        <w:t>年财政部门通用项目和专项项目均按要求实行绩效目标管理，按照综合预算的原则，巴州区应急管理局所有收入和支出均纳入部门预算管理。巴州区应急管理局部门绩效目标制定与国家政策法规、单位职责及中长期规划相符，对绩效目标具体内容进行细化、量化后能反映单位目标任务完成和预期效益情况；绩效目标任务合理可行，符合客观实际，单位职责与预算项目的实施内容相匹配，情况良好。</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default" w:ascii="仿宋_GB2312" w:hAnsi="仿宋_GB2312" w:eastAsia="仿宋_GB2312" w:cs="仿宋_GB2312"/>
          <w:color w:val="auto"/>
          <w:sz w:val="32"/>
          <w:szCs w:val="32"/>
          <w:lang w:val="zh-CN" w:eastAsia="zh-CN"/>
        </w:rPr>
      </w:pPr>
      <w:r>
        <w:rPr>
          <w:rFonts w:hint="eastAsia" w:ascii="仿宋_GB2312" w:hAnsi="仿宋_GB2312" w:eastAsia="仿宋_GB2312" w:cs="仿宋_GB2312"/>
          <w:color w:val="auto"/>
          <w:sz w:val="32"/>
          <w:szCs w:val="32"/>
          <w:lang w:val="en-US" w:eastAsia="zh-CN"/>
        </w:rPr>
        <w:t>3.</w:t>
      </w:r>
      <w:r>
        <w:rPr>
          <w:rFonts w:hint="default" w:ascii="仿宋_GB2312" w:hAnsi="仿宋_GB2312" w:eastAsia="仿宋_GB2312" w:cs="仿宋_GB2312"/>
          <w:color w:val="auto"/>
          <w:sz w:val="32"/>
          <w:szCs w:val="32"/>
          <w:lang w:val="zh-CN" w:eastAsia="zh-CN"/>
        </w:rPr>
        <w:t>综合管理情况</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2022年我单位资产配置严格执行政府采购制度，</w:t>
      </w:r>
      <w:r>
        <w:rPr>
          <w:rFonts w:hint="eastAsia" w:ascii="仿宋_GB2312" w:hAnsi="仿宋_GB2312" w:eastAsia="仿宋_GB2312" w:cs="仿宋_GB2312"/>
          <w:color w:val="auto"/>
          <w:sz w:val="32"/>
          <w:szCs w:val="32"/>
          <w:lang w:val="zh-CN" w:eastAsia="zh-CN"/>
        </w:rPr>
        <w:t>严格按照《采购法》实行政府采购，严格</w:t>
      </w:r>
      <w:r>
        <w:rPr>
          <w:rFonts w:hint="eastAsia" w:ascii="仿宋_GB2312" w:hAnsi="仿宋_GB2312" w:eastAsia="仿宋_GB2312" w:cs="仿宋_GB2312"/>
          <w:color w:val="auto"/>
          <w:sz w:val="32"/>
          <w:szCs w:val="32"/>
          <w:lang w:val="en-US" w:eastAsia="zh-CN"/>
        </w:rPr>
        <w:t>按照预算科目规定使用财政资金，保障资金支出的规范化、制度化。预算管理方面，切实有效地执行了内部财务管理制度、资产管理制度，预算资金按规定管理使用。同时，</w:t>
      </w:r>
      <w:r>
        <w:rPr>
          <w:rFonts w:hint="eastAsia" w:ascii="仿宋_GB2312" w:hAnsi="仿宋_GB2312" w:eastAsia="仿宋_GB2312" w:cs="仿宋_GB2312"/>
          <w:color w:val="auto"/>
          <w:sz w:val="32"/>
          <w:szCs w:val="32"/>
          <w:lang w:val="zh-CN" w:eastAsia="zh-CN"/>
        </w:rPr>
        <w:t>按财政要求，及时在规定时间内在相关网站公开预决算信息，依法接受审计和财政监督，</w:t>
      </w:r>
      <w:r>
        <w:rPr>
          <w:rFonts w:hint="eastAsia" w:ascii="仿宋_GB2312" w:hAnsi="仿宋_GB2312" w:eastAsia="仿宋_GB2312" w:cs="仿宋_GB2312"/>
          <w:color w:val="auto"/>
          <w:sz w:val="32"/>
          <w:szCs w:val="32"/>
          <w:lang w:val="en-US" w:eastAsia="zh-CN"/>
        </w:rPr>
        <w:t>较好地完成了当年任务目标。</w:t>
      </w:r>
    </w:p>
    <w:p>
      <w:pPr>
        <w:pStyle w:val="2"/>
        <w:keepNext w:val="0"/>
        <w:keepLines w:val="0"/>
        <w:pageBreakBefore w:val="0"/>
        <w:widowControl w:val="0"/>
        <w:kinsoku/>
        <w:wordWrap/>
        <w:overflowPunct/>
        <w:topLinePunct w:val="0"/>
        <w:autoSpaceDE/>
        <w:autoSpaceDN/>
        <w:bidi w:val="0"/>
        <w:adjustRightInd/>
        <w:snapToGrid/>
        <w:spacing w:beforeLines="0" w:line="560" w:lineRule="exact"/>
        <w:ind w:firstLine="643" w:firstLineChars="200"/>
        <w:textAlignment w:val="auto"/>
        <w:outlineLvl w:val="2"/>
        <w:rPr>
          <w:rFonts w:hint="eastAsia" w:ascii="楷体_GB2312" w:hAnsi="楷体_GB2312" w:eastAsia="楷体_GB2312" w:cs="楷体_GB2312"/>
          <w:b/>
          <w:bCs/>
          <w:kern w:val="2"/>
          <w:sz w:val="32"/>
          <w:szCs w:val="32"/>
          <w:lang w:val="zh-CN" w:eastAsia="zh-CN" w:bidi="ar-SA"/>
        </w:rPr>
      </w:pPr>
      <w:bookmarkStart w:id="330" w:name="_Toc29237_WPSOffice_Level3"/>
      <w:bookmarkStart w:id="331" w:name="_Toc22207"/>
      <w:r>
        <w:rPr>
          <w:rFonts w:hint="eastAsia" w:ascii="楷体_GB2312" w:hAnsi="楷体_GB2312" w:eastAsia="楷体_GB2312" w:cs="楷体_GB2312"/>
          <w:b/>
          <w:bCs/>
          <w:kern w:val="2"/>
          <w:sz w:val="32"/>
          <w:szCs w:val="32"/>
          <w:lang w:val="zh-CN" w:eastAsia="zh-CN" w:bidi="ar-SA"/>
        </w:rPr>
        <w:t>（三）结果应用情况</w:t>
      </w:r>
      <w:bookmarkEnd w:id="330"/>
      <w:bookmarkEnd w:id="331"/>
    </w:p>
    <w:p>
      <w:pPr>
        <w:pStyle w:val="2"/>
        <w:keepNext w:val="0"/>
        <w:keepLines w:val="0"/>
        <w:pageBreakBefore w:val="0"/>
        <w:widowControl w:val="0"/>
        <w:kinsoku/>
        <w:wordWrap/>
        <w:overflowPunct/>
        <w:topLinePunct w:val="0"/>
        <w:autoSpaceDE/>
        <w:autoSpaceDN/>
        <w:bidi w:val="0"/>
        <w:adjustRightInd/>
        <w:spacing w:beforeLines="0" w:line="560" w:lineRule="exact"/>
        <w:ind w:firstLine="640" w:firstLineChars="200"/>
        <w:textAlignment w:val="auto"/>
        <w:rPr>
          <w:rFonts w:hint="default"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及时公开部门整体绩效评价，并</w:t>
      </w:r>
      <w:r>
        <w:rPr>
          <w:rFonts w:hint="default" w:ascii="仿宋_GB2312" w:hAnsi="仿宋_GB2312" w:eastAsia="仿宋_GB2312" w:cs="仿宋_GB2312"/>
          <w:color w:val="auto"/>
          <w:kern w:val="2"/>
          <w:sz w:val="32"/>
          <w:szCs w:val="32"/>
          <w:lang w:val="en-US" w:eastAsia="zh-CN" w:bidi="ar-SA"/>
        </w:rPr>
        <w:t>将绩效</w:t>
      </w:r>
      <w:r>
        <w:rPr>
          <w:rFonts w:hint="eastAsia" w:ascii="仿宋_GB2312" w:hAnsi="仿宋_GB2312" w:eastAsia="仿宋_GB2312" w:cs="仿宋_GB2312"/>
          <w:color w:val="auto"/>
          <w:kern w:val="2"/>
          <w:sz w:val="32"/>
          <w:szCs w:val="32"/>
          <w:lang w:val="en-US" w:eastAsia="zh-CN" w:bidi="ar-SA"/>
        </w:rPr>
        <w:t>评价</w:t>
      </w:r>
      <w:r>
        <w:rPr>
          <w:rFonts w:hint="default" w:ascii="仿宋_GB2312" w:hAnsi="仿宋_GB2312" w:eastAsia="仿宋_GB2312" w:cs="仿宋_GB2312"/>
          <w:color w:val="auto"/>
          <w:kern w:val="2"/>
          <w:sz w:val="32"/>
          <w:szCs w:val="32"/>
          <w:lang w:val="en-US" w:eastAsia="zh-CN" w:bidi="ar-SA"/>
        </w:rPr>
        <w:t>结果</w:t>
      </w:r>
      <w:r>
        <w:rPr>
          <w:rFonts w:hint="eastAsia" w:ascii="仿宋_GB2312" w:hAnsi="仿宋_GB2312" w:eastAsia="仿宋_GB2312" w:cs="仿宋_GB2312"/>
          <w:color w:val="auto"/>
          <w:kern w:val="2"/>
          <w:sz w:val="32"/>
          <w:szCs w:val="32"/>
          <w:lang w:val="en-US" w:eastAsia="zh-CN" w:bidi="ar-SA"/>
        </w:rPr>
        <w:t>应</w:t>
      </w:r>
      <w:r>
        <w:rPr>
          <w:rFonts w:hint="default" w:ascii="仿宋_GB2312" w:hAnsi="仿宋_GB2312" w:eastAsia="仿宋_GB2312" w:cs="仿宋_GB2312"/>
          <w:color w:val="auto"/>
          <w:kern w:val="2"/>
          <w:sz w:val="32"/>
          <w:szCs w:val="32"/>
          <w:lang w:val="en-US" w:eastAsia="zh-CN" w:bidi="ar-SA"/>
        </w:rPr>
        <w:t>用于调整预算项目、资金规模和支出方向的重要依据。</w:t>
      </w:r>
      <w:r>
        <w:rPr>
          <w:rFonts w:hint="eastAsia" w:ascii="仿宋_GB2312" w:hAnsi="仿宋_GB2312" w:eastAsia="仿宋_GB2312" w:cs="仿宋_GB2312"/>
          <w:color w:val="auto"/>
          <w:kern w:val="2"/>
          <w:sz w:val="32"/>
          <w:szCs w:val="32"/>
          <w:lang w:val="en-US" w:eastAsia="zh-CN" w:bidi="ar-SA"/>
        </w:rPr>
        <w:t>根据评价结果调整</w:t>
      </w:r>
      <w:r>
        <w:rPr>
          <w:rFonts w:hint="default" w:ascii="仿宋_GB2312" w:hAnsi="仿宋_GB2312" w:eastAsia="仿宋_GB2312" w:cs="仿宋_GB2312"/>
          <w:color w:val="auto"/>
          <w:kern w:val="2"/>
          <w:sz w:val="32"/>
          <w:szCs w:val="32"/>
          <w:lang w:val="zh-CN" w:eastAsia="zh-CN" w:bidi="ar-SA"/>
        </w:rPr>
        <w:t>并完善了</w:t>
      </w:r>
      <w:r>
        <w:rPr>
          <w:rFonts w:hint="eastAsia" w:ascii="仿宋_GB2312" w:hAnsi="仿宋_GB2312" w:eastAsia="仿宋_GB2312" w:cs="仿宋_GB2312"/>
          <w:color w:val="auto"/>
          <w:kern w:val="2"/>
          <w:sz w:val="32"/>
          <w:szCs w:val="32"/>
          <w:lang w:val="en-US" w:eastAsia="zh-CN" w:bidi="ar-SA"/>
        </w:rPr>
        <w:t>我单位</w:t>
      </w:r>
      <w:r>
        <w:rPr>
          <w:rFonts w:hint="default" w:ascii="仿宋_GB2312" w:hAnsi="仿宋_GB2312" w:eastAsia="仿宋_GB2312" w:cs="仿宋_GB2312"/>
          <w:color w:val="auto"/>
          <w:kern w:val="2"/>
          <w:sz w:val="32"/>
          <w:szCs w:val="32"/>
          <w:lang w:val="zh-CN" w:eastAsia="zh-CN" w:bidi="ar-SA"/>
        </w:rPr>
        <w:t>财务管理制度，涵盖</w:t>
      </w:r>
      <w:r>
        <w:rPr>
          <w:rFonts w:hint="default" w:ascii="仿宋_GB2312" w:hAnsi="仿宋_GB2312" w:eastAsia="仿宋_GB2312" w:cs="仿宋_GB2312"/>
          <w:color w:val="auto"/>
          <w:kern w:val="2"/>
          <w:sz w:val="32"/>
          <w:szCs w:val="32"/>
          <w:lang w:val="en-US" w:eastAsia="zh-CN" w:bidi="ar-SA"/>
        </w:rPr>
        <w:t>预算管理、支出管理、固定资产管理、资金结算管理、合同管理以及内部审计监督等内容。将评价结果纳入各</w:t>
      </w:r>
      <w:r>
        <w:rPr>
          <w:rFonts w:hint="eastAsia" w:ascii="仿宋_GB2312" w:hAnsi="仿宋_GB2312" w:eastAsia="仿宋_GB2312" w:cs="仿宋_GB2312"/>
          <w:color w:val="auto"/>
          <w:kern w:val="2"/>
          <w:sz w:val="32"/>
          <w:szCs w:val="32"/>
          <w:lang w:val="en-US" w:eastAsia="zh-CN" w:bidi="ar-SA"/>
        </w:rPr>
        <w:t>股室</w:t>
      </w:r>
      <w:r>
        <w:rPr>
          <w:rFonts w:hint="default" w:ascii="仿宋_GB2312" w:hAnsi="仿宋_GB2312" w:eastAsia="仿宋_GB2312" w:cs="仿宋_GB2312"/>
          <w:color w:val="auto"/>
          <w:kern w:val="2"/>
          <w:sz w:val="32"/>
          <w:szCs w:val="32"/>
          <w:lang w:val="en-US" w:eastAsia="zh-CN" w:bidi="ar-SA"/>
        </w:rPr>
        <w:t>工作目标考核范畴，并作为重要依据。</w:t>
      </w:r>
    </w:p>
    <w:p>
      <w:pPr>
        <w:pStyle w:val="2"/>
        <w:keepNext w:val="0"/>
        <w:keepLines w:val="0"/>
        <w:pageBreakBefore w:val="0"/>
        <w:widowControl w:val="0"/>
        <w:kinsoku/>
        <w:wordWrap/>
        <w:overflowPunct/>
        <w:topLinePunct w:val="0"/>
        <w:autoSpaceDE/>
        <w:autoSpaceDN/>
        <w:bidi w:val="0"/>
        <w:adjustRightInd/>
        <w:snapToGrid/>
        <w:spacing w:beforeLines="0" w:line="560" w:lineRule="exact"/>
        <w:ind w:firstLine="643" w:firstLineChars="200"/>
        <w:textAlignment w:val="auto"/>
        <w:outlineLvl w:val="2"/>
        <w:rPr>
          <w:rFonts w:hint="default" w:ascii="楷体_GB2312" w:hAnsi="楷体_GB2312" w:eastAsia="楷体_GB2312" w:cs="楷体_GB2312"/>
          <w:b/>
          <w:bCs/>
          <w:kern w:val="2"/>
          <w:sz w:val="32"/>
          <w:szCs w:val="32"/>
          <w:lang w:val="en-US" w:eastAsia="zh-CN" w:bidi="ar-SA"/>
        </w:rPr>
      </w:pPr>
      <w:bookmarkStart w:id="332" w:name="_Toc6934_WPSOffice_Level3"/>
      <w:bookmarkStart w:id="333" w:name="_Toc26597"/>
      <w:r>
        <w:rPr>
          <w:rFonts w:hint="eastAsia" w:ascii="楷体_GB2312" w:hAnsi="楷体_GB2312" w:eastAsia="楷体_GB2312" w:cs="楷体_GB2312"/>
          <w:b/>
          <w:bCs/>
          <w:kern w:val="2"/>
          <w:sz w:val="32"/>
          <w:szCs w:val="32"/>
          <w:lang w:val="en-US" w:eastAsia="zh-CN" w:bidi="ar-SA"/>
        </w:rPr>
        <w:t>（四）自评</w:t>
      </w:r>
      <w:r>
        <w:rPr>
          <w:rFonts w:hint="default" w:ascii="楷体_GB2312" w:hAnsi="楷体_GB2312" w:eastAsia="楷体_GB2312" w:cs="楷体_GB2312"/>
          <w:b/>
          <w:bCs/>
          <w:kern w:val="2"/>
          <w:sz w:val="32"/>
          <w:szCs w:val="32"/>
          <w:lang w:val="en-US" w:eastAsia="zh-CN" w:bidi="ar-SA"/>
        </w:rPr>
        <w:t>绩效</w:t>
      </w:r>
      <w:r>
        <w:rPr>
          <w:rFonts w:hint="eastAsia" w:ascii="楷体_GB2312" w:hAnsi="楷体_GB2312" w:eastAsia="楷体_GB2312" w:cs="楷体_GB2312"/>
          <w:b/>
          <w:bCs/>
          <w:kern w:val="2"/>
          <w:sz w:val="32"/>
          <w:szCs w:val="32"/>
          <w:lang w:val="en-US" w:eastAsia="zh-CN" w:bidi="ar-SA"/>
        </w:rPr>
        <w:t>质量</w:t>
      </w:r>
      <w:r>
        <w:rPr>
          <w:rFonts w:hint="default" w:ascii="楷体_GB2312" w:hAnsi="楷体_GB2312" w:eastAsia="楷体_GB2312" w:cs="楷体_GB2312"/>
          <w:b/>
          <w:bCs/>
          <w:kern w:val="2"/>
          <w:sz w:val="32"/>
          <w:szCs w:val="32"/>
          <w:lang w:val="en-US" w:eastAsia="zh-CN" w:bidi="ar-SA"/>
        </w:rPr>
        <w:t>情况</w:t>
      </w:r>
      <w:bookmarkEnd w:id="332"/>
      <w:bookmarkEnd w:id="333"/>
    </w:p>
    <w:p>
      <w:pPr>
        <w:pStyle w:val="2"/>
        <w:keepNext w:val="0"/>
        <w:keepLines w:val="0"/>
        <w:pageBreakBefore w:val="0"/>
        <w:widowControl w:val="0"/>
        <w:kinsoku/>
        <w:wordWrap/>
        <w:overflowPunct/>
        <w:topLinePunct w:val="0"/>
        <w:autoSpaceDE/>
        <w:autoSpaceDN/>
        <w:bidi w:val="0"/>
        <w:adjustRightInd/>
        <w:spacing w:beforeLines="0" w:line="560" w:lineRule="exact"/>
        <w:ind w:firstLine="640" w:firstLineChars="200"/>
        <w:textAlignment w:val="auto"/>
        <w:rPr>
          <w:rFonts w:hint="default"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经评价小组依据绩效自评表逐项得分点认真核查，结合群众对我单位工作满意度的调查结果，区应急局局2022年部门整体支出绩效评价总得分为9</w:t>
      </w:r>
      <w:r>
        <w:rPr>
          <w:rFonts w:hint="eastAsia" w:hAnsi="仿宋_GB2312" w:cs="仿宋_GB2312"/>
          <w:color w:val="auto"/>
          <w:kern w:val="2"/>
          <w:sz w:val="32"/>
          <w:szCs w:val="32"/>
          <w:lang w:val="en-US" w:eastAsia="zh-CN" w:bidi="ar-SA"/>
        </w:rPr>
        <w:t>8</w:t>
      </w:r>
      <w:r>
        <w:rPr>
          <w:rFonts w:hint="eastAsia" w:ascii="仿宋_GB2312" w:hAnsi="仿宋_GB2312" w:eastAsia="仿宋_GB2312" w:cs="仿宋_GB2312"/>
          <w:color w:val="auto"/>
          <w:kern w:val="2"/>
          <w:sz w:val="32"/>
          <w:szCs w:val="32"/>
          <w:lang w:val="en-US" w:eastAsia="zh-CN" w:bidi="ar-SA"/>
        </w:rPr>
        <w:t>分，评价等级为：优。</w:t>
      </w:r>
    </w:p>
    <w:p>
      <w:pPr>
        <w:pStyle w:val="2"/>
        <w:keepNext w:val="0"/>
        <w:keepLines w:val="0"/>
        <w:pageBreakBefore w:val="0"/>
        <w:widowControl w:val="0"/>
        <w:kinsoku/>
        <w:wordWrap/>
        <w:overflowPunct/>
        <w:topLinePunct w:val="0"/>
        <w:autoSpaceDE/>
        <w:autoSpaceDN/>
        <w:bidi w:val="0"/>
        <w:adjustRightInd/>
        <w:spacing w:beforeLines="0" w:line="560" w:lineRule="exact"/>
        <w:ind w:firstLine="640" w:firstLineChars="200"/>
        <w:textAlignment w:val="auto"/>
        <w:rPr>
          <w:rFonts w:hint="default" w:ascii="仿宋_GB2312" w:hAnsi="仿宋_GB2312" w:eastAsia="仿宋_GB2312" w:cs="仿宋_GB2312"/>
          <w:color w:val="auto"/>
          <w:kern w:val="2"/>
          <w:sz w:val="32"/>
          <w:szCs w:val="32"/>
          <w:lang w:val="en-US" w:eastAsia="zh-CN" w:bidi="ar-SA"/>
        </w:rPr>
      </w:pPr>
      <w:r>
        <w:rPr>
          <w:rFonts w:hint="default" w:ascii="仿宋_GB2312" w:hAnsi="仿宋_GB2312" w:eastAsia="仿宋_GB2312" w:cs="仿宋_GB2312"/>
          <w:color w:val="auto"/>
          <w:kern w:val="2"/>
          <w:sz w:val="32"/>
          <w:szCs w:val="32"/>
          <w:lang w:val="en-US" w:eastAsia="zh-CN" w:bidi="ar-SA"/>
        </w:rPr>
        <w:t>202</w:t>
      </w:r>
      <w:r>
        <w:rPr>
          <w:rFonts w:hint="eastAsia" w:ascii="仿宋_GB2312" w:hAnsi="仿宋_GB2312" w:eastAsia="仿宋_GB2312" w:cs="仿宋_GB2312"/>
          <w:color w:val="auto"/>
          <w:kern w:val="2"/>
          <w:sz w:val="32"/>
          <w:szCs w:val="32"/>
          <w:lang w:val="en-US" w:eastAsia="zh-CN" w:bidi="ar-SA"/>
        </w:rPr>
        <w:t>2</w:t>
      </w:r>
      <w:r>
        <w:rPr>
          <w:rFonts w:hint="default" w:ascii="仿宋_GB2312" w:hAnsi="仿宋_GB2312" w:eastAsia="仿宋_GB2312" w:cs="仿宋_GB2312"/>
          <w:color w:val="auto"/>
          <w:kern w:val="2"/>
          <w:sz w:val="32"/>
          <w:szCs w:val="32"/>
          <w:lang w:val="en-US" w:eastAsia="zh-CN" w:bidi="ar-SA"/>
        </w:rPr>
        <w:t>年预算配置控制较好，财政供养人员控制在预算编制以内，</w:t>
      </w:r>
      <w:r>
        <w:rPr>
          <w:rFonts w:hint="eastAsia" w:ascii="仿宋_GB2312" w:hAnsi="仿宋_GB2312" w:eastAsia="仿宋_GB2312" w:cs="仿宋_GB2312"/>
          <w:color w:val="auto"/>
          <w:kern w:val="2"/>
          <w:sz w:val="32"/>
          <w:szCs w:val="32"/>
          <w:lang w:val="en-US" w:eastAsia="zh-CN" w:bidi="ar-SA"/>
        </w:rPr>
        <w:t>“</w:t>
      </w:r>
      <w:r>
        <w:rPr>
          <w:rFonts w:hint="default" w:ascii="仿宋_GB2312" w:hAnsi="仿宋_GB2312" w:eastAsia="仿宋_GB2312" w:cs="仿宋_GB2312"/>
          <w:color w:val="auto"/>
          <w:kern w:val="2"/>
          <w:sz w:val="32"/>
          <w:szCs w:val="32"/>
          <w:lang w:val="en-US" w:eastAsia="zh-CN" w:bidi="ar-SA"/>
        </w:rPr>
        <w:t>三公</w:t>
      </w:r>
      <w:r>
        <w:rPr>
          <w:rFonts w:hint="eastAsia" w:ascii="仿宋_GB2312" w:hAnsi="仿宋_GB2312" w:eastAsia="仿宋_GB2312" w:cs="仿宋_GB2312"/>
          <w:color w:val="auto"/>
          <w:kern w:val="2"/>
          <w:sz w:val="32"/>
          <w:szCs w:val="32"/>
          <w:lang w:val="en-US" w:eastAsia="zh-CN" w:bidi="ar-SA"/>
        </w:rPr>
        <w:t>”</w:t>
      </w:r>
      <w:r>
        <w:rPr>
          <w:rFonts w:hint="default" w:ascii="仿宋_GB2312" w:hAnsi="仿宋_GB2312" w:eastAsia="仿宋_GB2312" w:cs="仿宋_GB2312"/>
          <w:color w:val="auto"/>
          <w:kern w:val="2"/>
          <w:sz w:val="32"/>
          <w:szCs w:val="32"/>
          <w:lang w:val="en-US" w:eastAsia="zh-CN" w:bidi="ar-SA"/>
        </w:rPr>
        <w:t>经费支出严格压缩控制。预算执行方面，根据</w:t>
      </w:r>
      <w:r>
        <w:rPr>
          <w:rFonts w:hint="eastAsia" w:ascii="仿宋_GB2312" w:hAnsi="仿宋_GB2312" w:eastAsia="仿宋_GB2312" w:cs="仿宋_GB2312"/>
          <w:color w:val="auto"/>
          <w:kern w:val="2"/>
          <w:sz w:val="32"/>
          <w:szCs w:val="32"/>
          <w:lang w:val="en-US" w:eastAsia="zh-CN" w:bidi="ar-SA"/>
        </w:rPr>
        <w:t>“</w:t>
      </w:r>
      <w:r>
        <w:rPr>
          <w:rFonts w:hint="default" w:ascii="仿宋_GB2312" w:hAnsi="仿宋_GB2312" w:eastAsia="仿宋_GB2312" w:cs="仿宋_GB2312"/>
          <w:color w:val="auto"/>
          <w:kern w:val="2"/>
          <w:sz w:val="32"/>
          <w:szCs w:val="32"/>
          <w:lang w:val="en-US" w:eastAsia="zh-CN" w:bidi="ar-SA"/>
        </w:rPr>
        <w:t>总量控制、计划管理</w:t>
      </w:r>
      <w:r>
        <w:rPr>
          <w:rFonts w:hint="eastAsia" w:ascii="仿宋_GB2312" w:hAnsi="仿宋_GB2312" w:eastAsia="仿宋_GB2312" w:cs="仿宋_GB2312"/>
          <w:color w:val="auto"/>
          <w:kern w:val="2"/>
          <w:sz w:val="32"/>
          <w:szCs w:val="32"/>
          <w:lang w:val="en-US" w:eastAsia="zh-CN" w:bidi="ar-SA"/>
        </w:rPr>
        <w:t>”</w:t>
      </w:r>
      <w:r>
        <w:rPr>
          <w:rFonts w:hint="default" w:ascii="仿宋_GB2312" w:hAnsi="仿宋_GB2312" w:eastAsia="仿宋_GB2312" w:cs="仿宋_GB2312"/>
          <w:color w:val="auto"/>
          <w:kern w:val="2"/>
          <w:sz w:val="32"/>
          <w:szCs w:val="32"/>
          <w:lang w:val="en-US" w:eastAsia="zh-CN" w:bidi="ar-SA"/>
        </w:rPr>
        <w:t>的要求从严控制行政经费，压缩公务费开支，严格控制</w:t>
      </w:r>
      <w:r>
        <w:rPr>
          <w:rFonts w:hint="eastAsia" w:ascii="仿宋_GB2312" w:hAnsi="仿宋_GB2312" w:eastAsia="仿宋_GB2312" w:cs="仿宋_GB2312"/>
          <w:color w:val="auto"/>
          <w:kern w:val="2"/>
          <w:sz w:val="32"/>
          <w:szCs w:val="32"/>
          <w:lang w:val="en-US" w:eastAsia="zh-CN" w:bidi="ar-SA"/>
        </w:rPr>
        <w:t>“</w:t>
      </w:r>
      <w:r>
        <w:rPr>
          <w:rFonts w:hint="default" w:ascii="仿宋_GB2312" w:hAnsi="仿宋_GB2312" w:eastAsia="仿宋_GB2312" w:cs="仿宋_GB2312"/>
          <w:color w:val="auto"/>
          <w:kern w:val="2"/>
          <w:sz w:val="32"/>
          <w:szCs w:val="32"/>
          <w:lang w:val="en-US" w:eastAsia="zh-CN" w:bidi="ar-SA"/>
        </w:rPr>
        <w:t>三公</w:t>
      </w:r>
      <w:r>
        <w:rPr>
          <w:rFonts w:hint="eastAsia" w:ascii="仿宋_GB2312" w:hAnsi="仿宋_GB2312" w:eastAsia="仿宋_GB2312" w:cs="仿宋_GB2312"/>
          <w:color w:val="auto"/>
          <w:kern w:val="2"/>
          <w:sz w:val="32"/>
          <w:szCs w:val="32"/>
          <w:lang w:val="en-US" w:eastAsia="zh-CN" w:bidi="ar-SA"/>
        </w:rPr>
        <w:t>”</w:t>
      </w:r>
      <w:r>
        <w:rPr>
          <w:rFonts w:hint="default" w:ascii="仿宋_GB2312" w:hAnsi="仿宋_GB2312" w:eastAsia="仿宋_GB2312" w:cs="仿宋_GB2312"/>
          <w:color w:val="auto"/>
          <w:kern w:val="2"/>
          <w:sz w:val="32"/>
          <w:szCs w:val="32"/>
          <w:lang w:val="en-US" w:eastAsia="zh-CN" w:bidi="ar-SA"/>
        </w:rPr>
        <w:t>经费，支出总额控制在预算总额以内。</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outlineLvl w:val="1"/>
        <w:rPr>
          <w:rFonts w:hint="default" w:ascii="黑体" w:hAnsi="黑体" w:eastAsia="黑体" w:cs="黑体"/>
          <w:sz w:val="32"/>
          <w:szCs w:val="32"/>
          <w:lang w:val="en-US" w:eastAsia="zh-CN"/>
        </w:rPr>
      </w:pPr>
      <w:bookmarkStart w:id="334" w:name="_Toc2210"/>
      <w:r>
        <w:rPr>
          <w:rFonts w:hint="eastAsia" w:ascii="黑体" w:hAnsi="黑体" w:eastAsia="黑体" w:cs="黑体"/>
          <w:sz w:val="32"/>
          <w:szCs w:val="32"/>
          <w:lang w:val="en-US" w:eastAsia="zh-CN"/>
        </w:rPr>
        <w:t>四、</w:t>
      </w:r>
      <w:r>
        <w:rPr>
          <w:rFonts w:hint="default" w:ascii="黑体" w:hAnsi="黑体" w:eastAsia="黑体" w:cs="黑体"/>
          <w:sz w:val="32"/>
          <w:szCs w:val="32"/>
          <w:lang w:val="en-US" w:eastAsia="zh-CN"/>
        </w:rPr>
        <w:t>评价结论及建议</w:t>
      </w:r>
      <w:bookmarkEnd w:id="334"/>
    </w:p>
    <w:p>
      <w:pPr>
        <w:keepNext w:val="0"/>
        <w:keepLines w:val="0"/>
        <w:pageBreakBefore w:val="0"/>
        <w:widowControl w:val="0"/>
        <w:numPr>
          <w:ilvl w:val="0"/>
          <w:numId w:val="0"/>
        </w:numPr>
        <w:kinsoku/>
        <w:wordWrap/>
        <w:overflowPunct/>
        <w:topLinePunct w:val="0"/>
        <w:autoSpaceDE/>
        <w:autoSpaceDN/>
        <w:bidi w:val="0"/>
        <w:adjustRightInd/>
        <w:spacing w:line="560" w:lineRule="exact"/>
        <w:ind w:firstLine="643" w:firstLineChars="200"/>
        <w:textAlignment w:val="auto"/>
        <w:outlineLvl w:val="2"/>
        <w:rPr>
          <w:rFonts w:hint="default" w:ascii="楷体_GB2312" w:hAnsi="楷体_GB2312" w:eastAsia="楷体_GB2312" w:cs="楷体_GB2312"/>
          <w:b/>
          <w:bCs/>
          <w:sz w:val="32"/>
          <w:szCs w:val="32"/>
          <w:lang w:val="en-US" w:eastAsia="zh-CN"/>
        </w:rPr>
      </w:pPr>
      <w:bookmarkStart w:id="335" w:name="_Toc15696"/>
      <w:r>
        <w:rPr>
          <w:rFonts w:hint="default" w:ascii="楷体_GB2312" w:hAnsi="楷体_GB2312" w:eastAsia="楷体_GB2312" w:cs="楷体_GB2312"/>
          <w:b/>
          <w:bCs/>
          <w:sz w:val="32"/>
          <w:szCs w:val="32"/>
          <w:lang w:val="zh-CN"/>
        </w:rPr>
        <w:t>（一）</w:t>
      </w:r>
      <w:r>
        <w:rPr>
          <w:rFonts w:hint="default" w:ascii="楷体_GB2312" w:hAnsi="楷体_GB2312" w:eastAsia="楷体_GB2312" w:cs="楷体_GB2312"/>
          <w:b/>
          <w:bCs/>
          <w:sz w:val="32"/>
          <w:szCs w:val="32"/>
          <w:lang w:val="en-US" w:eastAsia="zh-CN"/>
        </w:rPr>
        <w:t>评价结论</w:t>
      </w:r>
      <w:bookmarkEnd w:id="335"/>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2022年，根据年初工作规划和重点性工作，以应急救灾资金项目为中心开展工作，通过加强预算收支管理，不断建立健全内部管理制度，梳理内部管理流程，部门整体支出管理情况得到提升。预算执行方面，支出总额控制在预算总额以内；预算管理方面，制度执行总体较为有效；资产管理方面，建立了资产管理制度，定期进行了资产盘点和资产清理，总体执行较好。</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预算安排的基本支出保障了我单位正常的工作运转，预算安排的项目支出保障了我单位应急工作开展的质量和效率，在执行上是严格遵守各项财经纪律的，在项目资金的使用上也是严守法律法规和相关规章制度的，达到了“用钱必有效”的效益。</w:t>
      </w:r>
    </w:p>
    <w:p>
      <w:pPr>
        <w:keepNext w:val="0"/>
        <w:keepLines w:val="0"/>
        <w:pageBreakBefore w:val="0"/>
        <w:widowControl w:val="0"/>
        <w:numPr>
          <w:ilvl w:val="0"/>
          <w:numId w:val="0"/>
        </w:numPr>
        <w:kinsoku/>
        <w:wordWrap/>
        <w:overflowPunct/>
        <w:topLinePunct w:val="0"/>
        <w:autoSpaceDE/>
        <w:autoSpaceDN/>
        <w:bidi w:val="0"/>
        <w:adjustRightInd/>
        <w:spacing w:line="560" w:lineRule="exact"/>
        <w:ind w:firstLine="643" w:firstLineChars="200"/>
        <w:textAlignment w:val="auto"/>
        <w:outlineLvl w:val="2"/>
        <w:rPr>
          <w:rFonts w:hint="default" w:ascii="楷体_GB2312" w:hAnsi="楷体_GB2312" w:eastAsia="楷体_GB2312" w:cs="楷体_GB2312"/>
          <w:b/>
          <w:bCs/>
          <w:sz w:val="32"/>
          <w:szCs w:val="32"/>
          <w:lang w:val="en-US" w:eastAsia="zh-CN"/>
        </w:rPr>
      </w:pPr>
      <w:bookmarkStart w:id="336" w:name="_Toc24645"/>
      <w:r>
        <w:rPr>
          <w:rFonts w:hint="default" w:ascii="楷体_GB2312" w:hAnsi="楷体_GB2312" w:eastAsia="楷体_GB2312" w:cs="楷体_GB2312"/>
          <w:b/>
          <w:bCs/>
          <w:sz w:val="32"/>
          <w:szCs w:val="32"/>
          <w:lang w:val="zh-CN"/>
        </w:rPr>
        <w:t>（</w:t>
      </w:r>
      <w:r>
        <w:rPr>
          <w:rFonts w:hint="eastAsia" w:ascii="楷体_GB2312" w:hAnsi="楷体_GB2312" w:eastAsia="楷体_GB2312" w:cs="楷体_GB2312"/>
          <w:b/>
          <w:bCs/>
          <w:sz w:val="32"/>
          <w:szCs w:val="32"/>
          <w:lang w:val="zh-CN"/>
        </w:rPr>
        <w:t>二</w:t>
      </w:r>
      <w:r>
        <w:rPr>
          <w:rFonts w:hint="default" w:ascii="楷体_GB2312" w:hAnsi="楷体_GB2312" w:eastAsia="楷体_GB2312" w:cs="楷体_GB2312"/>
          <w:b/>
          <w:bCs/>
          <w:sz w:val="32"/>
          <w:szCs w:val="32"/>
          <w:lang w:val="zh-CN"/>
        </w:rPr>
        <w:t>）</w:t>
      </w:r>
      <w:r>
        <w:rPr>
          <w:rFonts w:hint="default" w:ascii="楷体_GB2312" w:hAnsi="楷体_GB2312" w:eastAsia="楷体_GB2312" w:cs="楷体_GB2312"/>
          <w:b/>
          <w:bCs/>
          <w:sz w:val="32"/>
          <w:szCs w:val="32"/>
          <w:lang w:val="en-US" w:eastAsia="zh-CN"/>
        </w:rPr>
        <w:t>存在问题</w:t>
      </w:r>
      <w:bookmarkEnd w:id="336"/>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default" w:ascii="仿宋_GB2312" w:hAnsi="仿宋_GB2312" w:eastAsia="仿宋_GB2312" w:cs="仿宋_GB2312"/>
          <w:color w:val="auto"/>
          <w:sz w:val="32"/>
          <w:szCs w:val="32"/>
          <w:lang w:val="en-US" w:eastAsia="zh-CN"/>
        </w:rPr>
      </w:pPr>
      <w:r>
        <w:rPr>
          <w:rFonts w:hint="default" w:ascii="仿宋_GB2312" w:hAnsi="仿宋_GB2312" w:eastAsia="仿宋_GB2312" w:cs="仿宋_GB2312"/>
          <w:color w:val="auto"/>
          <w:sz w:val="32"/>
          <w:szCs w:val="32"/>
          <w:lang w:val="en-US" w:eastAsia="zh-CN"/>
        </w:rPr>
        <w:t>一是</w:t>
      </w:r>
      <w:r>
        <w:rPr>
          <w:rFonts w:hint="default" w:ascii="仿宋_GB2312" w:hAnsi="仿宋_GB2312" w:eastAsia="仿宋_GB2312" w:cs="仿宋_GB2312"/>
          <w:color w:val="auto"/>
          <w:sz w:val="32"/>
          <w:szCs w:val="32"/>
          <w:lang w:val="zh-CN" w:eastAsia="zh-CN"/>
        </w:rPr>
        <w:t>预算执行进度缓慢。</w:t>
      </w:r>
      <w:r>
        <w:rPr>
          <w:rFonts w:hint="default" w:ascii="仿宋_GB2312" w:hAnsi="仿宋_GB2312" w:eastAsia="仿宋_GB2312" w:cs="仿宋_GB2312"/>
          <w:color w:val="auto"/>
          <w:sz w:val="32"/>
          <w:szCs w:val="32"/>
          <w:lang w:val="en-US" w:eastAsia="zh-CN"/>
        </w:rPr>
        <w:t>虽然全年预算执行率达到100%，但年中支付缓慢，集中在下半年集中支付，且项目资金支付不能及时到位；二是财务制度执行力有待加强，资金使用计划有待细化；三是</w:t>
      </w:r>
      <w:r>
        <w:rPr>
          <w:rFonts w:hint="default" w:ascii="仿宋_GB2312" w:hAnsi="仿宋_GB2312" w:eastAsia="仿宋_GB2312" w:cs="仿宋_GB2312"/>
          <w:color w:val="auto"/>
          <w:sz w:val="32"/>
          <w:szCs w:val="32"/>
          <w:lang w:val="zh-CN" w:eastAsia="zh-CN"/>
        </w:rPr>
        <w:t>未严格执行公务卡结算制度，</w:t>
      </w:r>
      <w:r>
        <w:rPr>
          <w:rFonts w:hint="default" w:ascii="仿宋_GB2312" w:hAnsi="仿宋_GB2312" w:eastAsia="仿宋_GB2312" w:cs="仿宋_GB2312"/>
          <w:color w:val="auto"/>
          <w:sz w:val="32"/>
          <w:szCs w:val="32"/>
          <w:lang w:val="en-US" w:eastAsia="zh-CN"/>
        </w:rPr>
        <w:t>个别职工在支付结算时</w:t>
      </w:r>
      <w:r>
        <w:rPr>
          <w:rFonts w:hint="default" w:ascii="仿宋_GB2312" w:hAnsi="仿宋_GB2312" w:eastAsia="仿宋_GB2312" w:cs="仿宋_GB2312"/>
          <w:color w:val="auto"/>
          <w:sz w:val="32"/>
          <w:szCs w:val="32"/>
          <w:lang w:val="zh-CN" w:eastAsia="zh-CN"/>
        </w:rPr>
        <w:t>未刷公务卡；</w:t>
      </w:r>
      <w:r>
        <w:rPr>
          <w:rFonts w:hint="default" w:ascii="仿宋_GB2312" w:hAnsi="仿宋_GB2312" w:eastAsia="仿宋_GB2312" w:cs="仿宋_GB2312"/>
          <w:color w:val="auto"/>
          <w:sz w:val="32"/>
          <w:szCs w:val="32"/>
          <w:lang w:val="en-US" w:eastAsia="zh-CN"/>
        </w:rPr>
        <w:t>四是财务人员的业务能力有待提升，需加强对预算绩效管理工作的认识，提高业务能力。</w:t>
      </w:r>
    </w:p>
    <w:p>
      <w:pPr>
        <w:keepNext w:val="0"/>
        <w:keepLines w:val="0"/>
        <w:pageBreakBefore w:val="0"/>
        <w:widowControl w:val="0"/>
        <w:numPr>
          <w:ilvl w:val="0"/>
          <w:numId w:val="0"/>
        </w:numPr>
        <w:kinsoku/>
        <w:wordWrap/>
        <w:overflowPunct/>
        <w:topLinePunct w:val="0"/>
        <w:autoSpaceDE/>
        <w:autoSpaceDN/>
        <w:bidi w:val="0"/>
        <w:adjustRightInd/>
        <w:spacing w:line="560" w:lineRule="exact"/>
        <w:ind w:firstLine="643" w:firstLineChars="200"/>
        <w:textAlignment w:val="auto"/>
        <w:outlineLvl w:val="2"/>
        <w:rPr>
          <w:rFonts w:hint="default" w:ascii="楷体_GB2312" w:hAnsi="楷体_GB2312" w:eastAsia="楷体_GB2312" w:cs="楷体_GB2312"/>
          <w:b/>
          <w:bCs/>
          <w:sz w:val="32"/>
          <w:szCs w:val="32"/>
          <w:lang w:val="en-US" w:eastAsia="zh-CN"/>
        </w:rPr>
      </w:pPr>
      <w:bookmarkStart w:id="337" w:name="_Toc25432"/>
      <w:r>
        <w:rPr>
          <w:rFonts w:hint="default" w:ascii="楷体_GB2312" w:hAnsi="楷体_GB2312" w:eastAsia="楷体_GB2312" w:cs="楷体_GB2312"/>
          <w:b/>
          <w:bCs/>
          <w:sz w:val="32"/>
          <w:szCs w:val="32"/>
          <w:lang w:val="zh-CN"/>
        </w:rPr>
        <w:t>（</w:t>
      </w:r>
      <w:r>
        <w:rPr>
          <w:rFonts w:hint="eastAsia" w:ascii="楷体_GB2312" w:hAnsi="楷体_GB2312" w:eastAsia="楷体_GB2312" w:cs="楷体_GB2312"/>
          <w:b/>
          <w:bCs/>
          <w:sz w:val="32"/>
          <w:szCs w:val="32"/>
          <w:lang w:val="zh-CN"/>
        </w:rPr>
        <w:t>三</w:t>
      </w:r>
      <w:r>
        <w:rPr>
          <w:rFonts w:hint="default" w:ascii="楷体_GB2312" w:hAnsi="楷体_GB2312" w:eastAsia="楷体_GB2312" w:cs="楷体_GB2312"/>
          <w:b/>
          <w:bCs/>
          <w:sz w:val="32"/>
          <w:szCs w:val="32"/>
          <w:lang w:val="zh-CN"/>
        </w:rPr>
        <w:t>）</w:t>
      </w:r>
      <w:r>
        <w:rPr>
          <w:rFonts w:hint="default" w:ascii="楷体_GB2312" w:hAnsi="楷体_GB2312" w:eastAsia="楷体_GB2312" w:cs="楷体_GB2312"/>
          <w:b/>
          <w:bCs/>
          <w:sz w:val="32"/>
          <w:szCs w:val="32"/>
          <w:lang w:val="en-US" w:eastAsia="zh-CN"/>
        </w:rPr>
        <w:t>相关建议</w:t>
      </w:r>
      <w:bookmarkEnd w:id="337"/>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default" w:ascii="仿宋_GB2312" w:hAnsi="仿宋_GB2312" w:eastAsia="仿宋_GB2312" w:cs="仿宋_GB2312"/>
          <w:color w:val="auto"/>
          <w:sz w:val="32"/>
          <w:szCs w:val="32"/>
          <w:lang w:val="en-US" w:eastAsia="zh-CN"/>
        </w:rPr>
      </w:pPr>
      <w:r>
        <w:rPr>
          <w:rFonts w:hint="default" w:ascii="仿宋_GB2312" w:hAnsi="仿宋_GB2312" w:eastAsia="仿宋_GB2312" w:cs="仿宋_GB2312"/>
          <w:color w:val="auto"/>
          <w:sz w:val="32"/>
          <w:szCs w:val="32"/>
          <w:lang w:val="en-US" w:eastAsia="zh-CN"/>
        </w:rPr>
        <w:t>1.合理支付预算资金，根据年初预算加强对项目开展进度追踪，开展项目绩效评价，确保项目绩效目标的完成。</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default" w:ascii="仿宋_GB2312" w:hAnsi="仿宋_GB2312" w:eastAsia="仿宋_GB2312" w:cs="仿宋_GB2312"/>
          <w:color w:val="auto"/>
          <w:sz w:val="32"/>
          <w:szCs w:val="32"/>
          <w:lang w:val="zh-CN" w:eastAsia="zh-CN"/>
        </w:rPr>
      </w:pPr>
      <w:r>
        <w:rPr>
          <w:rFonts w:hint="default" w:ascii="仿宋_GB2312" w:hAnsi="仿宋_GB2312" w:eastAsia="仿宋_GB2312" w:cs="仿宋_GB2312"/>
          <w:color w:val="auto"/>
          <w:sz w:val="32"/>
          <w:szCs w:val="32"/>
          <w:lang w:val="en-US" w:eastAsia="zh-CN"/>
        </w:rPr>
        <w:t>2.</w:t>
      </w:r>
      <w:r>
        <w:rPr>
          <w:rFonts w:hint="default" w:ascii="仿宋_GB2312" w:hAnsi="仿宋_GB2312" w:eastAsia="仿宋_GB2312" w:cs="仿宋_GB2312"/>
          <w:color w:val="auto"/>
          <w:sz w:val="32"/>
          <w:szCs w:val="32"/>
          <w:lang w:val="zh-CN" w:eastAsia="zh-CN"/>
        </w:rPr>
        <w:t>严格执行公务卡结算制度，按照预决算管理规定，规范本单位公务用卡行为，提高公务刷卡率。</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default" w:ascii="仿宋_GB2312" w:hAnsi="仿宋_GB2312" w:eastAsia="仿宋_GB2312" w:cs="仿宋_GB2312"/>
          <w:color w:val="auto"/>
          <w:sz w:val="32"/>
          <w:szCs w:val="32"/>
          <w:lang w:val="en-US" w:eastAsia="zh-CN"/>
        </w:rPr>
      </w:pPr>
      <w:r>
        <w:rPr>
          <w:rFonts w:hint="default" w:ascii="仿宋_GB2312" w:hAnsi="仿宋_GB2312" w:eastAsia="仿宋_GB2312" w:cs="仿宋_GB2312"/>
          <w:color w:val="auto"/>
          <w:sz w:val="32"/>
          <w:szCs w:val="32"/>
          <w:lang w:val="en-US" w:eastAsia="zh-CN"/>
        </w:rPr>
        <w:t>3.加强财务管理制度的执行，严格财务审核审批程序。</w:t>
      </w:r>
    </w:p>
    <w:p>
      <w:pPr>
        <w:pStyle w:val="2"/>
        <w:rPr>
          <w:rFonts w:hint="eastAsia" w:eastAsia="仿宋_GB2312"/>
          <w:color w:val="auto"/>
          <w:sz w:val="32"/>
          <w:szCs w:val="32"/>
          <w:highlight w:val="none"/>
          <w:lang w:val="en-US" w:eastAsia="zh-CN"/>
        </w:rPr>
      </w:pPr>
      <w:r>
        <w:rPr>
          <w:rFonts w:hint="eastAsia" w:hAnsi="宋体" w:cs="宋体"/>
          <w:color w:val="auto"/>
          <w:kern w:val="0"/>
          <w:sz w:val="32"/>
          <w:szCs w:val="32"/>
          <w:highlight w:val="none"/>
          <w:shd w:val="clear" w:color="auto" w:fill="FFFFFF"/>
          <w:lang w:val="zh-CN"/>
        </w:rPr>
        <w:t>附件</w:t>
      </w:r>
      <w:r>
        <w:rPr>
          <w:rFonts w:hint="eastAsia" w:hAnsi="宋体" w:cs="宋体"/>
          <w:color w:val="auto"/>
          <w:kern w:val="0"/>
          <w:sz w:val="32"/>
          <w:szCs w:val="32"/>
          <w:highlight w:val="none"/>
          <w:shd w:val="clear" w:color="auto" w:fill="FFFFFF"/>
          <w:lang w:val="en-US" w:eastAsia="zh-CN"/>
        </w:rPr>
        <w:t>2</w:t>
      </w:r>
    </w:p>
    <w:p>
      <w:pPr>
        <w:keepNext w:val="0"/>
        <w:keepLines w:val="0"/>
        <w:pageBreakBefore w:val="0"/>
        <w:widowControl w:val="0"/>
        <w:kinsoku/>
        <w:wordWrap/>
        <w:overflowPunct/>
        <w:topLinePunct w:val="0"/>
        <w:autoSpaceDE/>
        <w:autoSpaceDN/>
        <w:bidi w:val="0"/>
        <w:adjustRightInd/>
        <w:snapToGrid/>
        <w:spacing w:after="157" w:afterLines="50" w:line="600" w:lineRule="exact"/>
        <w:ind w:firstLine="440" w:firstLineChars="100"/>
        <w:jc w:val="center"/>
        <w:textAlignment w:val="auto"/>
        <w:outlineLvl w:val="1"/>
        <w:rPr>
          <w:rFonts w:hint="eastAsia" w:ascii="黑体" w:hAnsi="黑体" w:eastAsia="黑体" w:cs="黑体"/>
          <w:color w:val="auto"/>
          <w:kern w:val="2"/>
          <w:sz w:val="44"/>
          <w:szCs w:val="44"/>
          <w:highlight w:val="none"/>
          <w:lang w:val="en-US" w:eastAsia="zh-CN" w:bidi="ar-SA"/>
        </w:rPr>
      </w:pPr>
      <w:bookmarkStart w:id="338" w:name="_Toc18807"/>
      <w:r>
        <w:rPr>
          <w:rFonts w:hint="eastAsia" w:ascii="黑体" w:hAnsi="黑体" w:eastAsia="黑体" w:cs="黑体"/>
          <w:color w:val="auto"/>
          <w:kern w:val="2"/>
          <w:sz w:val="44"/>
          <w:szCs w:val="44"/>
          <w:highlight w:val="none"/>
          <w:lang w:val="en-US" w:eastAsia="zh-CN" w:bidi="ar-SA"/>
        </w:rPr>
        <w:t>巴中市巴州区应急管理局</w:t>
      </w:r>
      <w:bookmarkEnd w:id="338"/>
    </w:p>
    <w:p>
      <w:pPr>
        <w:keepNext w:val="0"/>
        <w:keepLines w:val="0"/>
        <w:pageBreakBefore w:val="0"/>
        <w:widowControl w:val="0"/>
        <w:kinsoku/>
        <w:wordWrap/>
        <w:overflowPunct/>
        <w:topLinePunct w:val="0"/>
        <w:autoSpaceDE/>
        <w:autoSpaceDN/>
        <w:bidi w:val="0"/>
        <w:adjustRightInd/>
        <w:snapToGrid/>
        <w:spacing w:after="157" w:afterLines="50" w:line="600" w:lineRule="exact"/>
        <w:ind w:firstLine="440" w:firstLineChars="100"/>
        <w:jc w:val="center"/>
        <w:textAlignment w:val="auto"/>
        <w:outlineLvl w:val="1"/>
        <w:rPr>
          <w:rFonts w:hint="eastAsia" w:ascii="黑体" w:hAnsi="黑体" w:eastAsia="黑体" w:cs="黑体"/>
          <w:color w:val="auto"/>
          <w:kern w:val="2"/>
          <w:sz w:val="44"/>
          <w:szCs w:val="44"/>
          <w:highlight w:val="none"/>
          <w:lang w:val="zh-CN" w:eastAsia="zh-CN" w:bidi="ar-SA"/>
        </w:rPr>
      </w:pPr>
      <w:bookmarkStart w:id="339" w:name="_Toc28551"/>
      <w:r>
        <w:rPr>
          <w:rFonts w:hint="eastAsia" w:ascii="黑体" w:hAnsi="黑体" w:eastAsia="黑体" w:cs="黑体"/>
          <w:color w:val="auto"/>
          <w:kern w:val="2"/>
          <w:sz w:val="44"/>
          <w:szCs w:val="44"/>
          <w:highlight w:val="none"/>
          <w:lang w:val="en-US" w:eastAsia="zh-CN" w:bidi="ar-SA"/>
        </w:rPr>
        <w:t>2022年冬春救助资金项目支出绩效自评报告</w:t>
      </w:r>
      <w:bookmarkEnd w:id="339"/>
    </w:p>
    <w:p>
      <w:pPr>
        <w:keepNext w:val="0"/>
        <w:keepLines w:val="0"/>
        <w:pageBreakBefore w:val="0"/>
        <w:widowControl w:val="0"/>
        <w:kinsoku/>
        <w:wordWrap/>
        <w:overflowPunct/>
        <w:topLinePunct w:val="0"/>
        <w:autoSpaceDE/>
        <w:autoSpaceDN/>
        <w:bidi w:val="0"/>
        <w:adjustRightInd w:val="0"/>
        <w:snapToGrid w:val="0"/>
        <w:spacing w:line="560" w:lineRule="exact"/>
        <w:ind w:firstLine="720"/>
        <w:textAlignment w:val="auto"/>
        <w:outlineLvl w:val="1"/>
        <w:rPr>
          <w:rFonts w:ascii="黑体" w:hAnsi="宋体" w:eastAsia="黑体" w:cs="Times New Roman"/>
          <w:color w:val="auto"/>
          <w:sz w:val="32"/>
          <w:szCs w:val="32"/>
          <w:highlight w:val="none"/>
          <w:lang w:val="zh-CN"/>
        </w:rPr>
      </w:pPr>
      <w:bookmarkStart w:id="340" w:name="_Toc16580"/>
      <w:r>
        <w:rPr>
          <w:rFonts w:hint="eastAsia" w:ascii="黑体" w:hAnsi="宋体" w:eastAsia="黑体" w:cs="Times New Roman"/>
          <w:color w:val="auto"/>
          <w:sz w:val="32"/>
          <w:szCs w:val="32"/>
          <w:highlight w:val="none"/>
        </w:rPr>
        <w:t>一、</w:t>
      </w:r>
      <w:r>
        <w:rPr>
          <w:rFonts w:hint="eastAsia" w:ascii="黑体" w:hAnsi="宋体" w:eastAsia="黑体" w:cs="Times New Roman"/>
          <w:color w:val="auto"/>
          <w:sz w:val="32"/>
          <w:szCs w:val="32"/>
          <w:highlight w:val="none"/>
          <w:lang w:val="zh-CN"/>
        </w:rPr>
        <w:t>项目概况</w:t>
      </w:r>
      <w:bookmarkEnd w:id="340"/>
    </w:p>
    <w:p>
      <w:pPr>
        <w:keepNext w:val="0"/>
        <w:keepLines w:val="0"/>
        <w:pageBreakBefore w:val="0"/>
        <w:widowControl w:val="0"/>
        <w:kinsoku/>
        <w:wordWrap/>
        <w:overflowPunct/>
        <w:topLinePunct w:val="0"/>
        <w:autoSpaceDE/>
        <w:autoSpaceDN/>
        <w:bidi w:val="0"/>
        <w:adjustRightInd w:val="0"/>
        <w:snapToGrid w:val="0"/>
        <w:spacing w:line="560" w:lineRule="exact"/>
        <w:ind w:firstLine="720"/>
        <w:textAlignment w:val="auto"/>
        <w:outlineLvl w:val="2"/>
        <w:rPr>
          <w:rFonts w:ascii="楷体_GB2312" w:hAnsi="宋体" w:eastAsia="楷体_GB2312" w:cs="Times New Roman"/>
          <w:b/>
          <w:color w:val="auto"/>
          <w:sz w:val="32"/>
          <w:szCs w:val="32"/>
          <w:highlight w:val="none"/>
          <w:lang w:val="zh-CN"/>
        </w:rPr>
      </w:pPr>
      <w:bookmarkStart w:id="341" w:name="_Toc23731"/>
      <w:r>
        <w:rPr>
          <w:rFonts w:hint="eastAsia" w:ascii="楷体_GB2312" w:hAnsi="宋体" w:eastAsia="楷体_GB2312" w:cs="Times New Roman"/>
          <w:b/>
          <w:color w:val="auto"/>
          <w:sz w:val="32"/>
          <w:szCs w:val="32"/>
          <w:highlight w:val="none"/>
          <w:lang w:val="zh-CN"/>
        </w:rPr>
        <w:t>（一）项目基本情况。</w:t>
      </w:r>
      <w:bookmarkEnd w:id="341"/>
    </w:p>
    <w:p>
      <w:pPr>
        <w:keepNext w:val="0"/>
        <w:keepLines w:val="0"/>
        <w:pageBreakBefore w:val="0"/>
        <w:widowControl w:val="0"/>
        <w:kinsoku/>
        <w:wordWrap/>
        <w:overflowPunct/>
        <w:topLinePunct w:val="0"/>
        <w:autoSpaceDE/>
        <w:autoSpaceDN/>
        <w:bidi w:val="0"/>
        <w:adjustRightInd w:val="0"/>
        <w:snapToGrid w:val="0"/>
        <w:spacing w:line="560" w:lineRule="exact"/>
        <w:ind w:firstLine="720"/>
        <w:textAlignment w:val="auto"/>
        <w:rPr>
          <w:rFonts w:hint="eastAsia" w:ascii="仿宋_GB2312" w:hAnsi="宋体" w:eastAsia="仿宋_GB2312" w:cs="Times New Roman"/>
          <w:color w:val="auto"/>
          <w:sz w:val="32"/>
          <w:szCs w:val="32"/>
          <w:highlight w:val="none"/>
          <w:lang w:val="zh-CN"/>
        </w:rPr>
      </w:pPr>
      <w:r>
        <w:rPr>
          <w:rFonts w:hint="eastAsia" w:ascii="仿宋_GB2312" w:hAnsi="宋体" w:eastAsia="仿宋_GB2312" w:cs="Times New Roman"/>
          <w:color w:val="auto"/>
          <w:sz w:val="32"/>
          <w:szCs w:val="32"/>
          <w:highlight w:val="none"/>
          <w:lang w:val="zh-CN"/>
        </w:rPr>
        <w:t>1．区应急管理局负责组织排查冬春需救助对象，制定救助方案，向上级申请资金，组织发放救助资金。</w:t>
      </w:r>
    </w:p>
    <w:p>
      <w:pPr>
        <w:keepNext w:val="0"/>
        <w:keepLines w:val="0"/>
        <w:pageBreakBefore w:val="0"/>
        <w:widowControl w:val="0"/>
        <w:kinsoku/>
        <w:wordWrap/>
        <w:overflowPunct/>
        <w:topLinePunct w:val="0"/>
        <w:autoSpaceDE/>
        <w:autoSpaceDN/>
        <w:bidi w:val="0"/>
        <w:adjustRightInd w:val="0"/>
        <w:snapToGrid w:val="0"/>
        <w:spacing w:line="560" w:lineRule="exact"/>
        <w:ind w:firstLine="720"/>
        <w:textAlignment w:val="auto"/>
        <w:rPr>
          <w:rFonts w:hint="eastAsia" w:ascii="仿宋_GB2312" w:hAnsi="宋体" w:eastAsia="仿宋_GB2312" w:cs="Times New Roman"/>
          <w:color w:val="auto"/>
          <w:sz w:val="32"/>
          <w:szCs w:val="32"/>
          <w:highlight w:val="none"/>
          <w:lang w:val="zh-CN"/>
        </w:rPr>
      </w:pPr>
      <w:r>
        <w:rPr>
          <w:rFonts w:hint="eastAsia" w:ascii="仿宋_GB2312" w:hAnsi="宋体" w:eastAsia="仿宋_GB2312" w:cs="Times New Roman"/>
          <w:color w:val="auto"/>
          <w:sz w:val="32"/>
          <w:szCs w:val="32"/>
          <w:highlight w:val="none"/>
          <w:lang w:val="zh-CN"/>
        </w:rPr>
        <w:t>2．项目立项、资金申报的依据：《受灾人员冬春生活救助工作规程》。</w:t>
      </w:r>
    </w:p>
    <w:p>
      <w:pPr>
        <w:keepNext w:val="0"/>
        <w:keepLines w:val="0"/>
        <w:pageBreakBefore w:val="0"/>
        <w:widowControl w:val="0"/>
        <w:kinsoku/>
        <w:wordWrap/>
        <w:overflowPunct/>
        <w:topLinePunct w:val="0"/>
        <w:autoSpaceDE/>
        <w:autoSpaceDN/>
        <w:bidi w:val="0"/>
        <w:adjustRightInd w:val="0"/>
        <w:snapToGrid w:val="0"/>
        <w:spacing w:line="560" w:lineRule="exact"/>
        <w:ind w:firstLine="720"/>
        <w:textAlignment w:val="auto"/>
        <w:rPr>
          <w:rFonts w:hint="eastAsia" w:ascii="仿宋_GB2312" w:hAnsi="宋体" w:eastAsia="仿宋_GB2312" w:cs="Times New Roman"/>
          <w:color w:val="auto"/>
          <w:sz w:val="32"/>
          <w:szCs w:val="32"/>
          <w:highlight w:val="none"/>
          <w:lang w:val="zh-CN"/>
        </w:rPr>
      </w:pPr>
      <w:r>
        <w:rPr>
          <w:rFonts w:hint="eastAsia" w:ascii="仿宋_GB2312" w:hAnsi="宋体" w:eastAsia="仿宋_GB2312" w:cs="Times New Roman"/>
          <w:color w:val="auto"/>
          <w:sz w:val="32"/>
          <w:szCs w:val="32"/>
          <w:highlight w:val="none"/>
          <w:lang w:val="zh-CN"/>
        </w:rPr>
        <w:t>3．资金管理办法制定情况，资金支持具体项目的条件、范围与支持方式概况：资金管理依据《自然灾害生活救助资金管理暂行办法》执行，冬春生活救助的对象必须是受灾困难人员,救助对象共分三类：一类对象为因灾唯一住房倒塌、粮食作物绝收或严重减收、因灾家庭主要劳动力死亡或重大伤病，造成冬春基本生活特别困难的家庭；二类对象为因灾唯一住房损坏、农作物减收、因灾家庭成员出现较大伤病，造成冬春基本生活有一定困难的家庭；三类对象为因灾其他情况造成冬春基本生活有一定困难的家庭。</w:t>
      </w:r>
    </w:p>
    <w:p>
      <w:pPr>
        <w:keepNext w:val="0"/>
        <w:keepLines w:val="0"/>
        <w:pageBreakBefore w:val="0"/>
        <w:widowControl w:val="0"/>
        <w:kinsoku/>
        <w:wordWrap/>
        <w:overflowPunct/>
        <w:topLinePunct w:val="0"/>
        <w:autoSpaceDE/>
        <w:autoSpaceDN/>
        <w:bidi w:val="0"/>
        <w:adjustRightInd w:val="0"/>
        <w:snapToGrid w:val="0"/>
        <w:spacing w:line="560" w:lineRule="exact"/>
        <w:ind w:firstLine="720"/>
        <w:textAlignment w:val="auto"/>
        <w:rPr>
          <w:rFonts w:ascii="仿宋_GB2312" w:hAnsi="宋体" w:eastAsia="仿宋_GB2312" w:cs="Times New Roman"/>
          <w:color w:val="auto"/>
          <w:sz w:val="32"/>
          <w:szCs w:val="32"/>
          <w:highlight w:val="none"/>
          <w:lang w:val="zh-CN"/>
        </w:rPr>
      </w:pPr>
      <w:r>
        <w:rPr>
          <w:rFonts w:hint="eastAsia" w:ascii="仿宋_GB2312" w:hAnsi="宋体" w:eastAsia="仿宋_GB2312" w:cs="Times New Roman"/>
          <w:color w:val="auto"/>
          <w:sz w:val="32"/>
          <w:szCs w:val="32"/>
          <w:highlight w:val="none"/>
          <w:lang w:val="zh-CN"/>
        </w:rPr>
        <w:t>4．资金分配的原则及考虑因素。一是坚持公平、公正、公开的原则。二是坚持受灾人员自救和政府救助相结合的原则。三是坚持救灾款物专款专用、重点使用的原则。</w:t>
      </w:r>
    </w:p>
    <w:p>
      <w:pPr>
        <w:keepNext w:val="0"/>
        <w:keepLines w:val="0"/>
        <w:pageBreakBefore w:val="0"/>
        <w:widowControl w:val="0"/>
        <w:kinsoku/>
        <w:wordWrap/>
        <w:overflowPunct/>
        <w:topLinePunct w:val="0"/>
        <w:autoSpaceDE/>
        <w:autoSpaceDN/>
        <w:bidi w:val="0"/>
        <w:adjustRightInd w:val="0"/>
        <w:snapToGrid w:val="0"/>
        <w:spacing w:line="560" w:lineRule="exact"/>
        <w:ind w:firstLine="720"/>
        <w:textAlignment w:val="auto"/>
        <w:outlineLvl w:val="2"/>
        <w:rPr>
          <w:rFonts w:ascii="楷体_GB2312" w:hAnsi="宋体" w:eastAsia="楷体_GB2312" w:cs="Times New Roman"/>
          <w:b/>
          <w:color w:val="auto"/>
          <w:sz w:val="32"/>
          <w:szCs w:val="32"/>
          <w:highlight w:val="none"/>
          <w:lang w:val="zh-CN"/>
        </w:rPr>
      </w:pPr>
      <w:bookmarkStart w:id="342" w:name="_Toc3106"/>
      <w:r>
        <w:rPr>
          <w:rFonts w:hint="eastAsia" w:ascii="楷体_GB2312" w:hAnsi="宋体" w:eastAsia="楷体_GB2312" w:cs="Times New Roman"/>
          <w:b/>
          <w:color w:val="auto"/>
          <w:sz w:val="32"/>
          <w:szCs w:val="32"/>
          <w:highlight w:val="none"/>
          <w:lang w:val="zh-CN"/>
        </w:rPr>
        <w:t>（二）项目绩效目标。</w:t>
      </w:r>
      <w:bookmarkEnd w:id="342"/>
    </w:p>
    <w:p>
      <w:pPr>
        <w:keepNext w:val="0"/>
        <w:keepLines w:val="0"/>
        <w:pageBreakBefore w:val="0"/>
        <w:widowControl w:val="0"/>
        <w:kinsoku/>
        <w:wordWrap/>
        <w:overflowPunct/>
        <w:topLinePunct w:val="0"/>
        <w:autoSpaceDE/>
        <w:autoSpaceDN/>
        <w:bidi w:val="0"/>
        <w:adjustRightInd w:val="0"/>
        <w:snapToGrid w:val="0"/>
        <w:spacing w:line="560" w:lineRule="exact"/>
        <w:ind w:firstLine="720"/>
        <w:textAlignment w:val="auto"/>
        <w:rPr>
          <w:rFonts w:hint="eastAsia" w:ascii="仿宋_GB2312" w:hAnsi="宋体" w:eastAsia="仿宋_GB2312" w:cs="Times New Roman"/>
          <w:color w:val="auto"/>
          <w:sz w:val="32"/>
          <w:szCs w:val="32"/>
          <w:highlight w:val="none"/>
          <w:lang w:val="zh-CN"/>
        </w:rPr>
      </w:pPr>
      <w:r>
        <w:rPr>
          <w:rFonts w:hint="eastAsia" w:ascii="仿宋_GB2312" w:hAnsi="宋体" w:eastAsia="仿宋_GB2312" w:cs="Times New Roman"/>
          <w:color w:val="auto"/>
          <w:sz w:val="32"/>
          <w:szCs w:val="32"/>
          <w:highlight w:val="none"/>
          <w:lang w:val="zh-CN"/>
        </w:rPr>
        <w:t>1．项目主要内容。对因灾造成冬春期间在衣被、取暖、口粮等方面存在困难的群众进行救助。</w:t>
      </w:r>
    </w:p>
    <w:p>
      <w:pPr>
        <w:keepNext w:val="0"/>
        <w:keepLines w:val="0"/>
        <w:pageBreakBefore w:val="0"/>
        <w:widowControl w:val="0"/>
        <w:kinsoku/>
        <w:wordWrap/>
        <w:overflowPunct/>
        <w:topLinePunct w:val="0"/>
        <w:autoSpaceDE/>
        <w:autoSpaceDN/>
        <w:bidi w:val="0"/>
        <w:adjustRightInd w:val="0"/>
        <w:snapToGrid w:val="0"/>
        <w:spacing w:line="560" w:lineRule="exact"/>
        <w:ind w:firstLine="720"/>
        <w:textAlignment w:val="auto"/>
        <w:rPr>
          <w:rFonts w:hint="eastAsia" w:ascii="仿宋_GB2312" w:hAnsi="宋体" w:eastAsia="仿宋_GB2312" w:cs="Times New Roman"/>
          <w:color w:val="000000" w:themeColor="text1"/>
          <w:sz w:val="32"/>
          <w:szCs w:val="32"/>
          <w:highlight w:val="none"/>
          <w:lang w:val="zh-CN"/>
          <w14:textFill>
            <w14:solidFill>
              <w14:schemeClr w14:val="tx1"/>
            </w14:solidFill>
          </w14:textFill>
        </w:rPr>
      </w:pPr>
      <w:r>
        <w:rPr>
          <w:rFonts w:hint="eastAsia" w:ascii="仿宋_GB2312" w:hAnsi="宋体" w:eastAsia="仿宋_GB2312" w:cs="Times New Roman"/>
          <w:color w:val="auto"/>
          <w:sz w:val="32"/>
          <w:szCs w:val="32"/>
          <w:highlight w:val="none"/>
          <w:lang w:val="zh-CN"/>
        </w:rPr>
        <w:t>2．项目应实现的具体绩效目标。</w:t>
      </w:r>
      <w:r>
        <w:rPr>
          <w:rFonts w:hint="eastAsia" w:ascii="仿宋_GB2312" w:hAnsi="宋体" w:eastAsia="仿宋_GB2312" w:cs="Times New Roman"/>
          <w:color w:val="000000" w:themeColor="text1"/>
          <w:sz w:val="32"/>
          <w:szCs w:val="32"/>
          <w:highlight w:val="none"/>
          <w:lang w:val="zh-CN"/>
          <w14:textFill>
            <w14:solidFill>
              <w14:schemeClr w14:val="tx1"/>
            </w14:solidFill>
          </w14:textFill>
        </w:rPr>
        <w:t>202</w:t>
      </w:r>
      <w:r>
        <w:rPr>
          <w:rFonts w:hint="eastAsia" w:ascii="仿宋_GB2312" w:hAnsi="宋体" w:eastAsia="仿宋_GB2312" w:cs="Times New Roman"/>
          <w:color w:val="000000" w:themeColor="text1"/>
          <w:sz w:val="32"/>
          <w:szCs w:val="32"/>
          <w:highlight w:val="none"/>
          <w:lang w:val="en-US" w:eastAsia="zh-CN"/>
          <w14:textFill>
            <w14:solidFill>
              <w14:schemeClr w14:val="tx1"/>
            </w14:solidFill>
          </w14:textFill>
        </w:rPr>
        <w:t>3</w:t>
      </w:r>
      <w:r>
        <w:rPr>
          <w:rFonts w:hint="eastAsia" w:ascii="仿宋_GB2312" w:hAnsi="宋体" w:eastAsia="仿宋_GB2312" w:cs="Times New Roman"/>
          <w:color w:val="000000" w:themeColor="text1"/>
          <w:sz w:val="32"/>
          <w:szCs w:val="32"/>
          <w:highlight w:val="none"/>
          <w:lang w:val="zh-CN"/>
          <w14:textFill>
            <w14:solidFill>
              <w14:schemeClr w14:val="tx1"/>
            </w14:solidFill>
          </w14:textFill>
        </w:rPr>
        <w:t>年</w:t>
      </w:r>
      <w:r>
        <w:rPr>
          <w:rFonts w:hint="eastAsia" w:ascii="仿宋_GB2312" w:hAnsi="宋体" w:eastAsia="仿宋_GB2312" w:cs="Times New Roman"/>
          <w:color w:val="000000" w:themeColor="text1"/>
          <w:sz w:val="32"/>
          <w:szCs w:val="32"/>
          <w:highlight w:val="none"/>
          <w:lang w:val="en-US" w:eastAsia="zh-CN"/>
          <w14:textFill>
            <w14:solidFill>
              <w14:schemeClr w14:val="tx1"/>
            </w14:solidFill>
          </w14:textFill>
        </w:rPr>
        <w:t>2</w:t>
      </w:r>
      <w:r>
        <w:rPr>
          <w:rFonts w:hint="eastAsia" w:ascii="仿宋_GB2312" w:hAnsi="宋体" w:eastAsia="仿宋_GB2312" w:cs="Times New Roman"/>
          <w:color w:val="000000" w:themeColor="text1"/>
          <w:sz w:val="32"/>
          <w:szCs w:val="32"/>
          <w:highlight w:val="none"/>
          <w:lang w:val="zh-CN"/>
          <w14:textFill>
            <w14:solidFill>
              <w14:schemeClr w14:val="tx1"/>
            </w14:solidFill>
          </w14:textFill>
        </w:rPr>
        <w:t>月</w:t>
      </w:r>
      <w:r>
        <w:rPr>
          <w:rFonts w:hint="eastAsia" w:ascii="仿宋_GB2312" w:hAnsi="宋体" w:eastAsia="仿宋_GB2312" w:cs="Times New Roman"/>
          <w:color w:val="000000" w:themeColor="text1"/>
          <w:sz w:val="32"/>
          <w:szCs w:val="32"/>
          <w:highlight w:val="none"/>
          <w:lang w:val="en-US" w:eastAsia="zh-CN"/>
          <w14:textFill>
            <w14:solidFill>
              <w14:schemeClr w14:val="tx1"/>
            </w14:solidFill>
          </w14:textFill>
        </w:rPr>
        <w:t>28</w:t>
      </w:r>
      <w:bookmarkStart w:id="390" w:name="_GoBack"/>
      <w:bookmarkEnd w:id="390"/>
      <w:r>
        <w:rPr>
          <w:rFonts w:hint="eastAsia" w:ascii="仿宋_GB2312" w:hAnsi="宋体" w:eastAsia="仿宋_GB2312" w:cs="Times New Roman"/>
          <w:color w:val="000000" w:themeColor="text1"/>
          <w:sz w:val="32"/>
          <w:szCs w:val="32"/>
          <w:highlight w:val="none"/>
          <w:lang w:val="zh-CN"/>
          <w14:textFill>
            <w14:solidFill>
              <w14:schemeClr w14:val="tx1"/>
            </w14:solidFill>
          </w14:textFill>
        </w:rPr>
        <w:t>日前，对符合条件的受灾困难群众进行全部救助，确保受灾群众有饭吃、有衣穿、有房住，满意度达到95%。</w:t>
      </w:r>
    </w:p>
    <w:p>
      <w:pPr>
        <w:keepNext w:val="0"/>
        <w:keepLines w:val="0"/>
        <w:pageBreakBefore w:val="0"/>
        <w:widowControl w:val="0"/>
        <w:kinsoku/>
        <w:wordWrap/>
        <w:overflowPunct/>
        <w:topLinePunct w:val="0"/>
        <w:autoSpaceDE/>
        <w:autoSpaceDN/>
        <w:bidi w:val="0"/>
        <w:adjustRightInd w:val="0"/>
        <w:snapToGrid w:val="0"/>
        <w:spacing w:line="560" w:lineRule="exact"/>
        <w:ind w:firstLine="720"/>
        <w:textAlignment w:val="auto"/>
        <w:rPr>
          <w:rFonts w:hint="eastAsia" w:ascii="仿宋_GB2312" w:hAnsi="宋体" w:eastAsia="仿宋_GB2312" w:cs="Times New Roman"/>
          <w:color w:val="auto"/>
          <w:sz w:val="32"/>
          <w:szCs w:val="32"/>
          <w:highlight w:val="none"/>
          <w:lang w:val="zh-CN"/>
        </w:rPr>
      </w:pPr>
      <w:r>
        <w:rPr>
          <w:rFonts w:hint="eastAsia" w:ascii="仿宋_GB2312" w:hAnsi="宋体" w:eastAsia="仿宋_GB2312" w:cs="Times New Roman"/>
          <w:color w:val="auto"/>
          <w:sz w:val="32"/>
          <w:szCs w:val="32"/>
          <w:highlight w:val="none"/>
          <w:lang w:val="zh-CN"/>
        </w:rPr>
        <w:t>3．评价申报内容与实际相符，申报目标合理可行。</w:t>
      </w:r>
    </w:p>
    <w:p>
      <w:pPr>
        <w:keepNext w:val="0"/>
        <w:keepLines w:val="0"/>
        <w:pageBreakBefore w:val="0"/>
        <w:widowControl w:val="0"/>
        <w:kinsoku/>
        <w:wordWrap/>
        <w:overflowPunct/>
        <w:topLinePunct w:val="0"/>
        <w:autoSpaceDE/>
        <w:autoSpaceDN/>
        <w:bidi w:val="0"/>
        <w:adjustRightInd w:val="0"/>
        <w:snapToGrid w:val="0"/>
        <w:spacing w:line="560" w:lineRule="exact"/>
        <w:ind w:firstLine="720"/>
        <w:textAlignment w:val="auto"/>
        <w:outlineLvl w:val="2"/>
        <w:rPr>
          <w:rFonts w:ascii="楷体_GB2312" w:hAnsi="宋体" w:eastAsia="楷体_GB2312" w:cs="Times New Roman"/>
          <w:b/>
          <w:color w:val="auto"/>
          <w:sz w:val="32"/>
          <w:szCs w:val="32"/>
          <w:highlight w:val="none"/>
          <w:lang w:val="zh-CN"/>
        </w:rPr>
      </w:pPr>
      <w:bookmarkStart w:id="343" w:name="_Toc7571"/>
      <w:r>
        <w:rPr>
          <w:rFonts w:hint="eastAsia" w:ascii="楷体_GB2312" w:hAnsi="宋体" w:eastAsia="楷体_GB2312" w:cs="Times New Roman"/>
          <w:b/>
          <w:color w:val="auto"/>
          <w:sz w:val="32"/>
          <w:szCs w:val="32"/>
          <w:highlight w:val="none"/>
          <w:lang w:val="zh-CN"/>
        </w:rPr>
        <w:t>（三）项目自评步骤及方法。</w:t>
      </w:r>
      <w:bookmarkEnd w:id="343"/>
    </w:p>
    <w:p>
      <w:pPr>
        <w:keepNext w:val="0"/>
        <w:keepLines w:val="0"/>
        <w:pageBreakBefore w:val="0"/>
        <w:widowControl w:val="0"/>
        <w:kinsoku/>
        <w:wordWrap/>
        <w:overflowPunct/>
        <w:topLinePunct w:val="0"/>
        <w:autoSpaceDE/>
        <w:autoSpaceDN/>
        <w:bidi w:val="0"/>
        <w:adjustRightInd w:val="0"/>
        <w:snapToGrid w:val="0"/>
        <w:spacing w:line="560" w:lineRule="exact"/>
        <w:ind w:firstLine="720"/>
        <w:textAlignment w:val="auto"/>
        <w:rPr>
          <w:rFonts w:hint="eastAsia" w:ascii="仿宋_GB2312" w:hAnsi="宋体" w:eastAsia="仿宋_GB2312" w:cs="Times New Roman"/>
          <w:color w:val="000000" w:themeColor="text1"/>
          <w:sz w:val="32"/>
          <w:szCs w:val="32"/>
          <w:highlight w:val="none"/>
          <w:lang w:val="zh-CN"/>
          <w14:textFill>
            <w14:solidFill>
              <w14:schemeClr w14:val="tx1"/>
            </w14:solidFill>
          </w14:textFill>
        </w:rPr>
      </w:pPr>
      <w:r>
        <w:rPr>
          <w:rFonts w:hint="eastAsia" w:ascii="仿宋_GB2312" w:hAnsi="宋体" w:eastAsia="仿宋_GB2312" w:cs="Times New Roman"/>
          <w:color w:val="000000" w:themeColor="text1"/>
          <w:sz w:val="32"/>
          <w:szCs w:val="32"/>
          <w:highlight w:val="none"/>
          <w:lang w:val="zh-CN"/>
          <w14:textFill>
            <w14:solidFill>
              <w14:schemeClr w14:val="tx1"/>
            </w14:solidFill>
          </w14:textFill>
        </w:rPr>
        <w:t>项目绩效自评</w:t>
      </w:r>
      <w:r>
        <w:rPr>
          <w:rFonts w:hint="eastAsia" w:ascii="仿宋_GB2312" w:hAnsi="宋体" w:eastAsia="仿宋_GB2312" w:cs="Times New Roman"/>
          <w:color w:val="000000" w:themeColor="text1"/>
          <w:sz w:val="32"/>
          <w:szCs w:val="32"/>
          <w:highlight w:val="none"/>
          <w:lang w:val="en-US" w:eastAsia="zh-CN"/>
          <w14:textFill>
            <w14:solidFill>
              <w14:schemeClr w14:val="tx1"/>
            </w14:solidFill>
          </w14:textFill>
        </w:rPr>
        <w:t>是</w:t>
      </w:r>
      <w:r>
        <w:rPr>
          <w:rFonts w:hint="eastAsia" w:ascii="仿宋_GB2312" w:hAnsi="宋体" w:eastAsia="仿宋_GB2312" w:cs="Times New Roman"/>
          <w:color w:val="000000" w:themeColor="text1"/>
          <w:sz w:val="32"/>
          <w:szCs w:val="32"/>
          <w:highlight w:val="none"/>
          <w:lang w:val="zh-CN"/>
          <w14:textFill>
            <w14:solidFill>
              <w14:schemeClr w14:val="tx1"/>
            </w14:solidFill>
          </w14:textFill>
        </w:rPr>
        <w:t>根据《巴中市巴州区财政局关于报送预算绩效管理工作考核自查报告的提示函》《巴中市巴州区目标绩效管理和督促检查工作领导小组关于印发&lt;2021年度巴州区综合目标绩效考核实施细则&gt;的通知》（巴区目督领〔2021〕3号）文件精神，组织专人对202</w:t>
      </w:r>
      <w:r>
        <w:rPr>
          <w:rFonts w:hint="eastAsia" w:ascii="仿宋_GB2312" w:hAnsi="宋体" w:eastAsia="仿宋_GB2312" w:cs="Times New Roman"/>
          <w:color w:val="000000" w:themeColor="text1"/>
          <w:sz w:val="32"/>
          <w:szCs w:val="32"/>
          <w:highlight w:val="none"/>
          <w:lang w:val="en-US" w:eastAsia="zh-CN"/>
          <w14:textFill>
            <w14:solidFill>
              <w14:schemeClr w14:val="tx1"/>
            </w14:solidFill>
          </w14:textFill>
        </w:rPr>
        <w:t>2</w:t>
      </w:r>
      <w:r>
        <w:rPr>
          <w:rFonts w:hint="eastAsia" w:ascii="仿宋_GB2312" w:hAnsi="宋体" w:eastAsia="仿宋_GB2312" w:cs="Times New Roman"/>
          <w:color w:val="000000" w:themeColor="text1"/>
          <w:sz w:val="32"/>
          <w:szCs w:val="32"/>
          <w:highlight w:val="none"/>
          <w:lang w:val="zh-CN"/>
          <w14:textFill>
            <w14:solidFill>
              <w14:schemeClr w14:val="tx1"/>
            </w14:solidFill>
          </w14:textFill>
        </w:rPr>
        <w:t>年度</w:t>
      </w:r>
      <w:r>
        <w:rPr>
          <w:rFonts w:hint="eastAsia" w:ascii="仿宋_GB2312" w:hAnsi="宋体" w:eastAsia="仿宋_GB2312" w:cs="Times New Roman"/>
          <w:color w:val="000000" w:themeColor="text1"/>
          <w:sz w:val="32"/>
          <w:szCs w:val="32"/>
          <w:highlight w:val="none"/>
          <w:lang w:val="en-US" w:eastAsia="zh-CN"/>
          <w14:textFill>
            <w14:solidFill>
              <w14:schemeClr w14:val="tx1"/>
            </w14:solidFill>
          </w14:textFill>
        </w:rPr>
        <w:t>项目</w:t>
      </w:r>
      <w:r>
        <w:rPr>
          <w:rFonts w:hint="eastAsia" w:ascii="仿宋_GB2312" w:hAnsi="宋体" w:eastAsia="仿宋_GB2312" w:cs="Times New Roman"/>
          <w:color w:val="000000" w:themeColor="text1"/>
          <w:sz w:val="32"/>
          <w:szCs w:val="32"/>
          <w:highlight w:val="none"/>
          <w:lang w:val="zh-CN"/>
          <w14:textFill>
            <w14:solidFill>
              <w14:schemeClr w14:val="tx1"/>
            </w14:solidFill>
          </w14:textFill>
        </w:rPr>
        <w:t>绩效管理工作</w:t>
      </w:r>
      <w:r>
        <w:rPr>
          <w:rFonts w:hint="eastAsia" w:ascii="仿宋_GB2312" w:hAnsi="宋体" w:eastAsia="仿宋_GB2312" w:cs="Times New Roman"/>
          <w:color w:val="000000" w:themeColor="text1"/>
          <w:sz w:val="32"/>
          <w:szCs w:val="32"/>
          <w:highlight w:val="none"/>
          <w:lang w:val="en-US" w:eastAsia="zh-CN"/>
          <w14:textFill>
            <w14:solidFill>
              <w14:schemeClr w14:val="tx1"/>
            </w14:solidFill>
          </w14:textFill>
        </w:rPr>
        <w:t>按照</w:t>
      </w:r>
      <w:r>
        <w:rPr>
          <w:rFonts w:hint="eastAsia" w:ascii="仿宋_GB2312" w:hAnsi="宋体" w:eastAsia="仿宋_GB2312" w:cs="Times New Roman"/>
          <w:color w:val="000000" w:themeColor="text1"/>
          <w:sz w:val="32"/>
          <w:szCs w:val="32"/>
          <w:highlight w:val="none"/>
          <w:lang w:val="zh-CN"/>
          <w14:textFill>
            <w14:solidFill>
              <w14:schemeClr w14:val="tx1"/>
            </w14:solidFill>
          </w14:textFill>
        </w:rPr>
        <w:t>组织保障体系</w:t>
      </w:r>
      <w:r>
        <w:rPr>
          <w:rFonts w:hint="eastAsia" w:ascii="仿宋_GB2312" w:hAnsi="宋体" w:eastAsia="仿宋_GB2312" w:cs="Times New Roman"/>
          <w:color w:val="000000" w:themeColor="text1"/>
          <w:sz w:val="32"/>
          <w:szCs w:val="32"/>
          <w:highlight w:val="none"/>
          <w:lang w:val="zh-CN" w:eastAsia="zh-CN"/>
          <w14:textFill>
            <w14:solidFill>
              <w14:schemeClr w14:val="tx1"/>
            </w14:solidFill>
          </w14:textFill>
        </w:rPr>
        <w:t>、</w:t>
      </w:r>
      <w:r>
        <w:rPr>
          <w:rFonts w:hint="eastAsia" w:ascii="仿宋_GB2312" w:hAnsi="宋体" w:eastAsia="仿宋_GB2312" w:cs="Times New Roman"/>
          <w:color w:val="000000" w:themeColor="text1"/>
          <w:sz w:val="32"/>
          <w:szCs w:val="32"/>
          <w:highlight w:val="none"/>
          <w:lang w:val="zh-CN"/>
          <w14:textFill>
            <w14:solidFill>
              <w14:schemeClr w14:val="tx1"/>
            </w14:solidFill>
          </w14:textFill>
        </w:rPr>
        <w:t>过程管控体系</w:t>
      </w:r>
      <w:r>
        <w:rPr>
          <w:rFonts w:hint="eastAsia" w:ascii="仿宋_GB2312" w:hAnsi="宋体" w:eastAsia="仿宋_GB2312" w:cs="Times New Roman"/>
          <w:color w:val="000000" w:themeColor="text1"/>
          <w:sz w:val="32"/>
          <w:szCs w:val="32"/>
          <w:highlight w:val="none"/>
          <w:lang w:val="zh-CN" w:eastAsia="zh-CN"/>
          <w14:textFill>
            <w14:solidFill>
              <w14:schemeClr w14:val="tx1"/>
            </w14:solidFill>
          </w14:textFill>
        </w:rPr>
        <w:t>、</w:t>
      </w:r>
      <w:r>
        <w:rPr>
          <w:rFonts w:hint="eastAsia" w:ascii="仿宋_GB2312" w:hAnsi="宋体" w:eastAsia="仿宋_GB2312" w:cs="Times New Roman"/>
          <w:color w:val="000000" w:themeColor="text1"/>
          <w:sz w:val="32"/>
          <w:szCs w:val="32"/>
          <w:highlight w:val="none"/>
          <w:lang w:val="zh-CN"/>
          <w14:textFill>
            <w14:solidFill>
              <w14:schemeClr w14:val="tx1"/>
            </w14:solidFill>
          </w14:textFill>
        </w:rPr>
        <w:t>基础支撑体系</w:t>
      </w:r>
      <w:r>
        <w:rPr>
          <w:rFonts w:hint="eastAsia" w:ascii="仿宋_GB2312" w:hAnsi="宋体" w:eastAsia="仿宋_GB2312" w:cs="Times New Roman"/>
          <w:color w:val="000000" w:themeColor="text1"/>
          <w:sz w:val="32"/>
          <w:szCs w:val="32"/>
          <w:highlight w:val="none"/>
          <w:lang w:val="en-US" w:eastAsia="zh-CN"/>
          <w14:textFill>
            <w14:solidFill>
              <w14:schemeClr w14:val="tx1"/>
            </w14:solidFill>
          </w14:textFill>
        </w:rPr>
        <w:t>和</w:t>
      </w:r>
      <w:r>
        <w:rPr>
          <w:rFonts w:hint="eastAsia" w:ascii="仿宋_GB2312" w:hAnsi="宋体" w:eastAsia="仿宋_GB2312" w:cs="Times New Roman"/>
          <w:color w:val="000000" w:themeColor="text1"/>
          <w:sz w:val="32"/>
          <w:szCs w:val="32"/>
          <w:highlight w:val="none"/>
          <w:lang w:val="zh-CN"/>
          <w14:textFill>
            <w14:solidFill>
              <w14:schemeClr w14:val="tx1"/>
            </w14:solidFill>
          </w14:textFill>
        </w:rPr>
        <w:t>其他考评事项</w:t>
      </w:r>
      <w:r>
        <w:rPr>
          <w:rFonts w:hint="eastAsia" w:ascii="仿宋_GB2312" w:hAnsi="宋体" w:eastAsia="仿宋_GB2312" w:cs="Times New Roman"/>
          <w:color w:val="000000" w:themeColor="text1"/>
          <w:sz w:val="32"/>
          <w:szCs w:val="32"/>
          <w:highlight w:val="none"/>
          <w:lang w:val="en-US" w:eastAsia="zh-CN"/>
          <w14:textFill>
            <w14:solidFill>
              <w14:schemeClr w14:val="tx1"/>
            </w14:solidFill>
          </w14:textFill>
        </w:rPr>
        <w:t>分别评分</w:t>
      </w:r>
      <w:r>
        <w:rPr>
          <w:rFonts w:hint="eastAsia" w:ascii="仿宋_GB2312" w:hAnsi="宋体" w:eastAsia="仿宋_GB2312" w:cs="Times New Roman"/>
          <w:color w:val="000000" w:themeColor="text1"/>
          <w:sz w:val="32"/>
          <w:szCs w:val="32"/>
          <w:highlight w:val="none"/>
          <w:lang w:val="zh-CN"/>
          <w14:textFill>
            <w14:solidFill>
              <w14:schemeClr w14:val="tx1"/>
            </w14:solidFill>
          </w14:textFill>
        </w:rPr>
        <w:t>开展自查</w:t>
      </w:r>
      <w:r>
        <w:rPr>
          <w:rFonts w:hint="eastAsia" w:ascii="仿宋_GB2312" w:hAnsi="宋体" w:eastAsia="仿宋_GB2312" w:cs="Times New Roman"/>
          <w:color w:val="000000" w:themeColor="text1"/>
          <w:sz w:val="32"/>
          <w:szCs w:val="32"/>
          <w:highlight w:val="none"/>
          <w:lang w:val="en-US" w:eastAsia="zh-CN"/>
          <w14:textFill>
            <w14:solidFill>
              <w14:schemeClr w14:val="tx1"/>
            </w14:solidFill>
          </w14:textFill>
        </w:rPr>
        <w:t>自评</w:t>
      </w:r>
      <w:r>
        <w:rPr>
          <w:rFonts w:hint="eastAsia" w:ascii="仿宋_GB2312" w:hAnsi="宋体" w:eastAsia="仿宋_GB2312" w:cs="Times New Roman"/>
          <w:color w:val="000000" w:themeColor="text1"/>
          <w:sz w:val="32"/>
          <w:szCs w:val="32"/>
          <w:highlight w:val="none"/>
          <w:lang w:val="zh-CN"/>
          <w14:textFill>
            <w14:solidFill>
              <w14:schemeClr w14:val="tx1"/>
            </w14:solidFill>
          </w14:textFill>
        </w:rPr>
        <w:t>工作。</w:t>
      </w:r>
    </w:p>
    <w:p>
      <w:pPr>
        <w:keepNext w:val="0"/>
        <w:keepLines w:val="0"/>
        <w:pageBreakBefore w:val="0"/>
        <w:widowControl w:val="0"/>
        <w:kinsoku/>
        <w:wordWrap/>
        <w:overflowPunct/>
        <w:topLinePunct w:val="0"/>
        <w:autoSpaceDE/>
        <w:autoSpaceDN/>
        <w:bidi w:val="0"/>
        <w:adjustRightInd w:val="0"/>
        <w:snapToGrid w:val="0"/>
        <w:spacing w:line="560" w:lineRule="exact"/>
        <w:ind w:firstLine="720"/>
        <w:textAlignment w:val="auto"/>
        <w:outlineLvl w:val="1"/>
        <w:rPr>
          <w:rFonts w:hint="eastAsia" w:ascii="黑体" w:hAnsi="宋体" w:eastAsia="黑体" w:cs="Times New Roman"/>
          <w:color w:val="auto"/>
          <w:sz w:val="32"/>
          <w:szCs w:val="32"/>
          <w:highlight w:val="none"/>
        </w:rPr>
      </w:pPr>
      <w:bookmarkStart w:id="344" w:name="_Toc19895"/>
      <w:r>
        <w:rPr>
          <w:rFonts w:hint="eastAsia" w:ascii="黑体" w:hAnsi="宋体" w:eastAsia="黑体" w:cs="Times New Roman"/>
          <w:color w:val="auto"/>
          <w:sz w:val="32"/>
          <w:szCs w:val="32"/>
          <w:highlight w:val="none"/>
        </w:rPr>
        <w:t>二、项目资金申报及使用情况</w:t>
      </w:r>
      <w:bookmarkEnd w:id="344"/>
    </w:p>
    <w:p>
      <w:pPr>
        <w:keepNext w:val="0"/>
        <w:keepLines w:val="0"/>
        <w:pageBreakBefore w:val="0"/>
        <w:widowControl w:val="0"/>
        <w:kinsoku/>
        <w:wordWrap/>
        <w:overflowPunct/>
        <w:topLinePunct w:val="0"/>
        <w:autoSpaceDE/>
        <w:autoSpaceDN/>
        <w:bidi w:val="0"/>
        <w:adjustRightInd w:val="0"/>
        <w:snapToGrid w:val="0"/>
        <w:spacing w:line="560" w:lineRule="exact"/>
        <w:ind w:firstLine="720"/>
        <w:textAlignment w:val="auto"/>
        <w:outlineLvl w:val="2"/>
        <w:rPr>
          <w:rFonts w:ascii="楷体_GB2312" w:hAnsi="宋体" w:eastAsia="楷体_GB2312" w:cs="Times New Roman"/>
          <w:b/>
          <w:color w:val="000000" w:themeColor="text1"/>
          <w:sz w:val="32"/>
          <w:szCs w:val="32"/>
          <w:highlight w:val="none"/>
          <w:lang w:val="zh-CN"/>
          <w14:textFill>
            <w14:solidFill>
              <w14:schemeClr w14:val="tx1"/>
            </w14:solidFill>
          </w14:textFill>
        </w:rPr>
      </w:pPr>
      <w:bookmarkStart w:id="345" w:name="_Toc27168"/>
      <w:r>
        <w:rPr>
          <w:rFonts w:hint="eastAsia" w:ascii="楷体_GB2312" w:hAnsi="宋体" w:eastAsia="楷体_GB2312" w:cs="Times New Roman"/>
          <w:b/>
          <w:color w:val="000000" w:themeColor="text1"/>
          <w:sz w:val="32"/>
          <w:szCs w:val="32"/>
          <w:highlight w:val="none"/>
          <w:lang w:val="zh-CN"/>
          <w14:textFill>
            <w14:solidFill>
              <w14:schemeClr w14:val="tx1"/>
            </w14:solidFill>
          </w14:textFill>
        </w:rPr>
        <w:t>（一）项目资金申报及批复情况。</w:t>
      </w:r>
      <w:bookmarkEnd w:id="345"/>
    </w:p>
    <w:p>
      <w:pPr>
        <w:keepNext w:val="0"/>
        <w:keepLines w:val="0"/>
        <w:pageBreakBefore w:val="0"/>
        <w:widowControl w:val="0"/>
        <w:kinsoku/>
        <w:wordWrap/>
        <w:overflowPunct/>
        <w:topLinePunct w:val="0"/>
        <w:autoSpaceDE/>
        <w:autoSpaceDN/>
        <w:bidi w:val="0"/>
        <w:adjustRightInd w:val="0"/>
        <w:snapToGrid w:val="0"/>
        <w:spacing w:line="560" w:lineRule="exact"/>
        <w:ind w:firstLine="720"/>
        <w:textAlignment w:val="auto"/>
        <w:rPr>
          <w:rFonts w:hint="eastAsia" w:ascii="仿宋_GB2312" w:hAnsi="宋体" w:eastAsia="仿宋_GB2312" w:cs="Times New Roman"/>
          <w:color w:val="000000" w:themeColor="text1"/>
          <w:sz w:val="32"/>
          <w:szCs w:val="32"/>
          <w:highlight w:val="none"/>
          <w:lang w:val="zh-CN"/>
          <w14:textFill>
            <w14:solidFill>
              <w14:schemeClr w14:val="tx1"/>
            </w14:solidFill>
          </w14:textFill>
        </w:rPr>
      </w:pPr>
      <w:r>
        <w:rPr>
          <w:rFonts w:hint="eastAsia" w:ascii="仿宋_GB2312" w:hAnsi="宋体" w:eastAsia="仿宋_GB2312" w:cs="Times New Roman"/>
          <w:color w:val="000000" w:themeColor="text1"/>
          <w:sz w:val="32"/>
          <w:szCs w:val="32"/>
          <w:highlight w:val="none"/>
          <w:lang w:val="zh-CN"/>
          <w14:textFill>
            <w14:solidFill>
              <w14:schemeClr w14:val="tx1"/>
            </w14:solidFill>
          </w14:textFill>
        </w:rPr>
        <w:t>202</w:t>
      </w:r>
      <w:r>
        <w:rPr>
          <w:rFonts w:hint="eastAsia" w:ascii="仿宋_GB2312" w:hAnsi="宋体" w:eastAsia="仿宋_GB2312" w:cs="Times New Roman"/>
          <w:color w:val="000000" w:themeColor="text1"/>
          <w:sz w:val="32"/>
          <w:szCs w:val="32"/>
          <w:highlight w:val="none"/>
          <w:lang w:val="en-US" w:eastAsia="zh-CN"/>
          <w14:textFill>
            <w14:solidFill>
              <w14:schemeClr w14:val="tx1"/>
            </w14:solidFill>
          </w14:textFill>
        </w:rPr>
        <w:t>2</w:t>
      </w:r>
      <w:r>
        <w:rPr>
          <w:rFonts w:hint="eastAsia" w:ascii="仿宋_GB2312" w:hAnsi="宋体" w:eastAsia="仿宋_GB2312" w:cs="Times New Roman"/>
          <w:color w:val="000000" w:themeColor="text1"/>
          <w:sz w:val="32"/>
          <w:szCs w:val="32"/>
          <w:highlight w:val="none"/>
          <w:lang w:val="zh-CN"/>
          <w14:textFill>
            <w14:solidFill>
              <w14:schemeClr w14:val="tx1"/>
            </w14:solidFill>
          </w14:textFill>
        </w:rPr>
        <w:t>年9月，区应急管理局与区财政局联合向市应急管理局、市财政局递交资金申报请示。</w:t>
      </w:r>
    </w:p>
    <w:p>
      <w:pPr>
        <w:keepNext w:val="0"/>
        <w:keepLines w:val="0"/>
        <w:pageBreakBefore w:val="0"/>
        <w:widowControl w:val="0"/>
        <w:kinsoku/>
        <w:wordWrap/>
        <w:overflowPunct/>
        <w:topLinePunct w:val="0"/>
        <w:autoSpaceDE/>
        <w:autoSpaceDN/>
        <w:bidi w:val="0"/>
        <w:adjustRightInd w:val="0"/>
        <w:snapToGrid w:val="0"/>
        <w:spacing w:line="560" w:lineRule="exact"/>
        <w:ind w:firstLine="720"/>
        <w:textAlignment w:val="auto"/>
        <w:outlineLvl w:val="2"/>
        <w:rPr>
          <w:rFonts w:ascii="仿宋_GB2312" w:hAnsi="宋体" w:eastAsia="仿宋_GB2312" w:cs="Times New Roman"/>
          <w:color w:val="000000" w:themeColor="text1"/>
          <w:sz w:val="32"/>
          <w:szCs w:val="32"/>
          <w:highlight w:val="none"/>
          <w:lang w:val="zh-CN"/>
          <w14:textFill>
            <w14:solidFill>
              <w14:schemeClr w14:val="tx1"/>
            </w14:solidFill>
          </w14:textFill>
        </w:rPr>
      </w:pPr>
      <w:bookmarkStart w:id="346" w:name="_Toc14031"/>
      <w:r>
        <w:rPr>
          <w:rFonts w:hint="eastAsia" w:ascii="楷体_GB2312" w:hAnsi="宋体" w:eastAsia="楷体_GB2312" w:cs="Times New Roman"/>
          <w:b/>
          <w:color w:val="000000" w:themeColor="text1"/>
          <w:sz w:val="32"/>
          <w:szCs w:val="32"/>
          <w:highlight w:val="none"/>
          <w:lang w:val="zh-CN"/>
          <w14:textFill>
            <w14:solidFill>
              <w14:schemeClr w14:val="tx1"/>
            </w14:solidFill>
          </w14:textFill>
        </w:rPr>
        <w:t>（二）资金计划、到位及使用情况。</w:t>
      </w:r>
      <w:bookmarkEnd w:id="346"/>
    </w:p>
    <w:p>
      <w:pPr>
        <w:keepNext w:val="0"/>
        <w:keepLines w:val="0"/>
        <w:pageBreakBefore w:val="0"/>
        <w:widowControl w:val="0"/>
        <w:kinsoku/>
        <w:wordWrap/>
        <w:overflowPunct/>
        <w:topLinePunct w:val="0"/>
        <w:autoSpaceDE/>
        <w:autoSpaceDN/>
        <w:bidi w:val="0"/>
        <w:adjustRightInd w:val="0"/>
        <w:snapToGrid w:val="0"/>
        <w:spacing w:line="560" w:lineRule="exact"/>
        <w:ind w:firstLine="720"/>
        <w:textAlignment w:val="auto"/>
        <w:rPr>
          <w:rFonts w:hint="eastAsia" w:ascii="仿宋_GB2312" w:hAnsi="宋体" w:eastAsia="仿宋_GB2312" w:cs="Times New Roman"/>
          <w:color w:val="000000" w:themeColor="text1"/>
          <w:sz w:val="32"/>
          <w:szCs w:val="32"/>
          <w:highlight w:val="none"/>
          <w:lang w:val="zh-CN"/>
          <w14:textFill>
            <w14:solidFill>
              <w14:schemeClr w14:val="tx1"/>
            </w14:solidFill>
          </w14:textFill>
        </w:rPr>
      </w:pPr>
      <w:r>
        <w:rPr>
          <w:rFonts w:hint="eastAsia" w:ascii="仿宋_GB2312" w:hAnsi="宋体" w:eastAsia="仿宋_GB2312" w:cs="Times New Roman"/>
          <w:color w:val="000000" w:themeColor="text1"/>
          <w:sz w:val="32"/>
          <w:szCs w:val="32"/>
          <w:highlight w:val="none"/>
          <w:lang w:val="zh-CN"/>
          <w14:textFill>
            <w14:solidFill>
              <w14:schemeClr w14:val="tx1"/>
            </w14:solidFill>
          </w14:textFill>
        </w:rPr>
        <w:t>1．资金计划。中央财政资金</w:t>
      </w:r>
      <w:r>
        <w:rPr>
          <w:rFonts w:hint="eastAsia" w:ascii="仿宋_GB2312" w:hAnsi="宋体" w:eastAsia="仿宋_GB2312" w:cs="Times New Roman"/>
          <w:color w:val="000000" w:themeColor="text1"/>
          <w:sz w:val="32"/>
          <w:szCs w:val="32"/>
          <w:highlight w:val="none"/>
          <w:lang w:val="en-US" w:eastAsia="zh-CN"/>
          <w14:textFill>
            <w14:solidFill>
              <w14:schemeClr w14:val="tx1"/>
            </w14:solidFill>
          </w14:textFill>
        </w:rPr>
        <w:t>938</w:t>
      </w:r>
      <w:r>
        <w:rPr>
          <w:rFonts w:hint="eastAsia" w:ascii="仿宋_GB2312" w:hAnsi="宋体" w:eastAsia="仿宋_GB2312" w:cs="Times New Roman"/>
          <w:color w:val="000000" w:themeColor="text1"/>
          <w:sz w:val="32"/>
          <w:szCs w:val="32"/>
          <w:highlight w:val="none"/>
          <w:lang w:val="zh-CN"/>
          <w14:textFill>
            <w14:solidFill>
              <w14:schemeClr w14:val="tx1"/>
            </w14:solidFill>
          </w14:textFill>
        </w:rPr>
        <w:t>万元。</w:t>
      </w:r>
    </w:p>
    <w:p>
      <w:pPr>
        <w:keepNext w:val="0"/>
        <w:keepLines w:val="0"/>
        <w:pageBreakBefore w:val="0"/>
        <w:widowControl w:val="0"/>
        <w:kinsoku/>
        <w:wordWrap/>
        <w:overflowPunct/>
        <w:topLinePunct w:val="0"/>
        <w:autoSpaceDE/>
        <w:autoSpaceDN/>
        <w:bidi w:val="0"/>
        <w:adjustRightInd w:val="0"/>
        <w:snapToGrid w:val="0"/>
        <w:spacing w:line="560" w:lineRule="exact"/>
        <w:ind w:firstLine="720"/>
        <w:textAlignment w:val="auto"/>
        <w:rPr>
          <w:rFonts w:hint="eastAsia" w:ascii="仿宋_GB2312" w:hAnsi="宋体" w:eastAsia="仿宋_GB2312" w:cs="Times New Roman"/>
          <w:color w:val="000000" w:themeColor="text1"/>
          <w:sz w:val="32"/>
          <w:szCs w:val="32"/>
          <w:highlight w:val="none"/>
          <w:lang w:val="zh-CN"/>
          <w14:textFill>
            <w14:solidFill>
              <w14:schemeClr w14:val="tx1"/>
            </w14:solidFill>
          </w14:textFill>
        </w:rPr>
      </w:pPr>
      <w:r>
        <w:rPr>
          <w:rFonts w:hint="eastAsia" w:ascii="仿宋_GB2312" w:hAnsi="宋体" w:eastAsia="仿宋_GB2312" w:cs="Times New Roman"/>
          <w:color w:val="000000" w:themeColor="text1"/>
          <w:sz w:val="32"/>
          <w:szCs w:val="32"/>
          <w:highlight w:val="none"/>
          <w:lang w:val="zh-CN"/>
          <w14:textFill>
            <w14:solidFill>
              <w14:schemeClr w14:val="tx1"/>
            </w14:solidFill>
          </w14:textFill>
        </w:rPr>
        <w:t>2．资金到位。202</w:t>
      </w:r>
      <w:r>
        <w:rPr>
          <w:rFonts w:hint="eastAsia" w:ascii="仿宋_GB2312" w:hAnsi="宋体" w:eastAsia="仿宋_GB2312" w:cs="Times New Roman"/>
          <w:color w:val="000000" w:themeColor="text1"/>
          <w:sz w:val="32"/>
          <w:szCs w:val="32"/>
          <w:highlight w:val="none"/>
          <w:lang w:val="en-US" w:eastAsia="zh-CN"/>
          <w14:textFill>
            <w14:solidFill>
              <w14:schemeClr w14:val="tx1"/>
            </w14:solidFill>
          </w14:textFill>
        </w:rPr>
        <w:t>2</w:t>
      </w:r>
      <w:r>
        <w:rPr>
          <w:rFonts w:hint="eastAsia" w:ascii="仿宋_GB2312" w:hAnsi="宋体" w:eastAsia="仿宋_GB2312" w:cs="Times New Roman"/>
          <w:color w:val="000000" w:themeColor="text1"/>
          <w:sz w:val="32"/>
          <w:szCs w:val="32"/>
          <w:highlight w:val="none"/>
          <w:lang w:val="zh-CN"/>
          <w14:textFill>
            <w14:solidFill>
              <w14:schemeClr w14:val="tx1"/>
            </w14:solidFill>
          </w14:textFill>
        </w:rPr>
        <w:t>年12月31日，到位资金</w:t>
      </w:r>
      <w:r>
        <w:rPr>
          <w:rFonts w:hint="eastAsia" w:ascii="仿宋_GB2312" w:hAnsi="宋体" w:eastAsia="仿宋_GB2312" w:cs="Times New Roman"/>
          <w:color w:val="000000" w:themeColor="text1"/>
          <w:sz w:val="32"/>
          <w:szCs w:val="32"/>
          <w:highlight w:val="none"/>
          <w:lang w:val="en-US" w:eastAsia="zh-CN"/>
          <w14:textFill>
            <w14:solidFill>
              <w14:schemeClr w14:val="tx1"/>
            </w14:solidFill>
          </w14:textFill>
        </w:rPr>
        <w:t>938</w:t>
      </w:r>
      <w:r>
        <w:rPr>
          <w:rFonts w:hint="eastAsia" w:ascii="仿宋_GB2312" w:hAnsi="宋体" w:eastAsia="仿宋_GB2312" w:cs="Times New Roman"/>
          <w:color w:val="000000" w:themeColor="text1"/>
          <w:sz w:val="32"/>
          <w:szCs w:val="32"/>
          <w:highlight w:val="none"/>
          <w:lang w:val="zh-CN"/>
          <w14:textFill>
            <w14:solidFill>
              <w14:schemeClr w14:val="tx1"/>
            </w14:solidFill>
          </w14:textFill>
        </w:rPr>
        <w:t>万元，到位率100%。</w:t>
      </w:r>
    </w:p>
    <w:p>
      <w:pPr>
        <w:keepNext w:val="0"/>
        <w:keepLines w:val="0"/>
        <w:pageBreakBefore w:val="0"/>
        <w:widowControl w:val="0"/>
        <w:kinsoku/>
        <w:wordWrap/>
        <w:overflowPunct/>
        <w:topLinePunct w:val="0"/>
        <w:autoSpaceDE/>
        <w:autoSpaceDN/>
        <w:bidi w:val="0"/>
        <w:adjustRightInd w:val="0"/>
        <w:snapToGrid w:val="0"/>
        <w:spacing w:line="560" w:lineRule="exact"/>
        <w:ind w:firstLine="720"/>
        <w:textAlignment w:val="auto"/>
        <w:rPr>
          <w:rFonts w:hint="eastAsia" w:ascii="仿宋_GB2312" w:hAnsi="宋体" w:eastAsia="仿宋_GB2312" w:cs="Times New Roman"/>
          <w:color w:val="000000" w:themeColor="text1"/>
          <w:sz w:val="32"/>
          <w:szCs w:val="32"/>
          <w:highlight w:val="none"/>
          <w:lang w:val="zh-CN"/>
          <w14:textFill>
            <w14:solidFill>
              <w14:schemeClr w14:val="tx1"/>
            </w14:solidFill>
          </w14:textFill>
        </w:rPr>
      </w:pPr>
      <w:r>
        <w:rPr>
          <w:rFonts w:hint="eastAsia" w:ascii="仿宋_GB2312" w:hAnsi="宋体" w:eastAsia="仿宋_GB2312" w:cs="Times New Roman"/>
          <w:color w:val="000000" w:themeColor="text1"/>
          <w:sz w:val="32"/>
          <w:szCs w:val="32"/>
          <w:highlight w:val="none"/>
          <w:lang w:val="zh-CN"/>
          <w14:textFill>
            <w14:solidFill>
              <w14:schemeClr w14:val="tx1"/>
            </w14:solidFill>
          </w14:textFill>
        </w:rPr>
        <w:t>3．资金使用。按</w:t>
      </w:r>
      <w:r>
        <w:rPr>
          <w:rFonts w:hint="eastAsia" w:ascii="仿宋_GB2312" w:hAnsi="宋体" w:eastAsia="仿宋_GB2312" w:cs="Times New Roman"/>
          <w:color w:val="000000" w:themeColor="text1"/>
          <w:sz w:val="32"/>
          <w:szCs w:val="32"/>
          <w:highlight w:val="none"/>
          <w:lang w:val="zh-CN" w:eastAsia="zh-CN"/>
          <w14:textFill>
            <w14:solidFill>
              <w14:schemeClr w14:val="tx1"/>
            </w14:solidFill>
          </w14:textFill>
        </w:rPr>
        <w:t>每人</w:t>
      </w:r>
      <w:r>
        <w:rPr>
          <w:rFonts w:hint="eastAsia" w:ascii="仿宋_GB2312" w:hAnsi="宋体" w:eastAsia="仿宋_GB2312" w:cs="Times New Roman"/>
          <w:color w:val="000000" w:themeColor="text1"/>
          <w:sz w:val="32"/>
          <w:szCs w:val="32"/>
          <w:highlight w:val="none"/>
          <w:lang w:val="en-US" w:eastAsia="zh-CN"/>
          <w14:textFill>
            <w14:solidFill>
              <w14:schemeClr w14:val="tx1"/>
            </w14:solidFill>
          </w14:textFill>
        </w:rPr>
        <w:t>130元至500元</w:t>
      </w:r>
      <w:r>
        <w:rPr>
          <w:rFonts w:hint="eastAsia" w:ascii="仿宋_GB2312" w:hAnsi="宋体" w:eastAsia="仿宋_GB2312" w:cs="Times New Roman"/>
          <w:color w:val="000000" w:themeColor="text1"/>
          <w:sz w:val="32"/>
          <w:szCs w:val="32"/>
          <w:highlight w:val="none"/>
          <w:lang w:val="zh-CN"/>
          <w14:textFill>
            <w14:solidFill>
              <w14:schemeClr w14:val="tx1"/>
            </w14:solidFill>
          </w14:textFill>
        </w:rPr>
        <w:t>的标准，通过“一卡通”系统，已支付资金</w:t>
      </w:r>
      <w:r>
        <w:rPr>
          <w:rFonts w:hint="eastAsia" w:ascii="仿宋_GB2312" w:hAnsi="宋体" w:eastAsia="仿宋_GB2312" w:cs="Times New Roman"/>
          <w:color w:val="000000" w:themeColor="text1"/>
          <w:sz w:val="32"/>
          <w:szCs w:val="32"/>
          <w:highlight w:val="none"/>
          <w:lang w:val="en-US" w:eastAsia="zh-CN"/>
          <w14:textFill>
            <w14:solidFill>
              <w14:schemeClr w14:val="tx1"/>
            </w14:solidFill>
          </w14:textFill>
        </w:rPr>
        <w:t>938</w:t>
      </w:r>
      <w:r>
        <w:rPr>
          <w:rFonts w:hint="eastAsia" w:ascii="仿宋_GB2312" w:hAnsi="宋体" w:eastAsia="仿宋_GB2312" w:cs="Times New Roman"/>
          <w:color w:val="000000" w:themeColor="text1"/>
          <w:sz w:val="32"/>
          <w:szCs w:val="32"/>
          <w:highlight w:val="none"/>
          <w:lang w:val="zh-CN"/>
          <w14:textFill>
            <w14:solidFill>
              <w14:schemeClr w14:val="tx1"/>
            </w14:solidFill>
          </w14:textFill>
        </w:rPr>
        <w:t>万元，资金开支范围、标准及支付进度等合规合法，与预算相符。</w:t>
      </w:r>
    </w:p>
    <w:p>
      <w:pPr>
        <w:keepNext w:val="0"/>
        <w:keepLines w:val="0"/>
        <w:pageBreakBefore w:val="0"/>
        <w:widowControl w:val="0"/>
        <w:kinsoku/>
        <w:wordWrap/>
        <w:overflowPunct/>
        <w:topLinePunct w:val="0"/>
        <w:autoSpaceDE/>
        <w:autoSpaceDN/>
        <w:bidi w:val="0"/>
        <w:adjustRightInd w:val="0"/>
        <w:snapToGrid w:val="0"/>
        <w:spacing w:line="560" w:lineRule="exact"/>
        <w:ind w:firstLine="720"/>
        <w:textAlignment w:val="auto"/>
        <w:outlineLvl w:val="2"/>
        <w:rPr>
          <w:rFonts w:ascii="楷体_GB2312" w:hAnsi="宋体" w:eastAsia="楷体_GB2312" w:cs="Times New Roman"/>
          <w:b/>
          <w:color w:val="auto"/>
          <w:sz w:val="32"/>
          <w:szCs w:val="32"/>
          <w:highlight w:val="none"/>
          <w:lang w:val="zh-CN"/>
        </w:rPr>
      </w:pPr>
      <w:bookmarkStart w:id="347" w:name="_Toc17825"/>
      <w:r>
        <w:rPr>
          <w:rFonts w:hint="eastAsia" w:ascii="楷体_GB2312" w:hAnsi="宋体" w:eastAsia="楷体_GB2312" w:cs="Times New Roman"/>
          <w:b/>
          <w:color w:val="auto"/>
          <w:sz w:val="32"/>
          <w:szCs w:val="32"/>
          <w:highlight w:val="none"/>
          <w:lang w:val="zh-CN"/>
        </w:rPr>
        <w:t>（三）项目财务管理情况。</w:t>
      </w:r>
      <w:bookmarkEnd w:id="347"/>
    </w:p>
    <w:p>
      <w:pPr>
        <w:keepNext w:val="0"/>
        <w:keepLines w:val="0"/>
        <w:pageBreakBefore w:val="0"/>
        <w:widowControl w:val="0"/>
        <w:kinsoku/>
        <w:wordWrap/>
        <w:overflowPunct/>
        <w:topLinePunct w:val="0"/>
        <w:autoSpaceDE/>
        <w:autoSpaceDN/>
        <w:bidi w:val="0"/>
        <w:adjustRightInd w:val="0"/>
        <w:snapToGrid w:val="0"/>
        <w:spacing w:line="560" w:lineRule="exact"/>
        <w:ind w:firstLine="720"/>
        <w:textAlignment w:val="auto"/>
        <w:rPr>
          <w:rFonts w:ascii="仿宋_GB2312" w:hAnsi="宋体" w:eastAsia="仿宋_GB2312" w:cs="Times New Roman"/>
          <w:color w:val="auto"/>
          <w:sz w:val="32"/>
          <w:szCs w:val="32"/>
          <w:highlight w:val="none"/>
          <w:lang w:val="zh-CN"/>
        </w:rPr>
      </w:pPr>
      <w:r>
        <w:rPr>
          <w:rFonts w:hint="eastAsia" w:ascii="仿宋_GB2312" w:hAnsi="宋体" w:eastAsia="仿宋_GB2312" w:cs="Times New Roman"/>
          <w:color w:val="auto"/>
          <w:sz w:val="32"/>
          <w:szCs w:val="32"/>
          <w:highlight w:val="none"/>
          <w:lang w:val="zh-CN"/>
        </w:rPr>
        <w:t>项目实施单位财务管理制度</w:t>
      </w:r>
      <w:r>
        <w:rPr>
          <w:rFonts w:hint="eastAsia" w:ascii="仿宋_GB2312" w:hAnsi="宋体" w:eastAsia="仿宋_GB2312" w:cs="Times New Roman"/>
          <w:color w:val="auto"/>
          <w:sz w:val="32"/>
          <w:szCs w:val="32"/>
          <w:highlight w:val="none"/>
          <w:lang w:val="en-US" w:eastAsia="zh-CN"/>
        </w:rPr>
        <w:t>比较</w:t>
      </w:r>
      <w:r>
        <w:rPr>
          <w:rFonts w:hint="eastAsia" w:ascii="仿宋_GB2312" w:hAnsi="宋体" w:eastAsia="仿宋_GB2312" w:cs="Times New Roman"/>
          <w:color w:val="auto"/>
          <w:sz w:val="32"/>
          <w:szCs w:val="32"/>
          <w:highlight w:val="none"/>
          <w:lang w:val="zh-CN"/>
        </w:rPr>
        <w:t>健全，</w:t>
      </w:r>
      <w:r>
        <w:rPr>
          <w:rFonts w:hint="eastAsia" w:ascii="仿宋_GB2312" w:hAnsi="宋体" w:eastAsia="仿宋_GB2312" w:cs="Times New Roman"/>
          <w:color w:val="auto"/>
          <w:sz w:val="32"/>
          <w:szCs w:val="32"/>
          <w:highlight w:val="none"/>
          <w:lang w:val="en-US" w:eastAsia="zh-CN"/>
        </w:rPr>
        <w:t>并</w:t>
      </w:r>
      <w:r>
        <w:rPr>
          <w:rFonts w:hint="eastAsia" w:ascii="仿宋_GB2312" w:hAnsi="宋体" w:eastAsia="仿宋_GB2312" w:cs="Times New Roman"/>
          <w:color w:val="auto"/>
          <w:sz w:val="32"/>
          <w:szCs w:val="32"/>
          <w:highlight w:val="none"/>
          <w:lang w:val="zh-CN"/>
        </w:rPr>
        <w:t>严格执行财务管理制度，及时</w:t>
      </w:r>
      <w:r>
        <w:rPr>
          <w:rFonts w:hint="eastAsia" w:ascii="仿宋_GB2312" w:hAnsi="宋体" w:eastAsia="仿宋_GB2312" w:cs="Times New Roman"/>
          <w:color w:val="auto"/>
          <w:sz w:val="32"/>
          <w:szCs w:val="32"/>
          <w:highlight w:val="none"/>
          <w:lang w:val="en-US" w:eastAsia="zh-CN"/>
        </w:rPr>
        <w:t>进行</w:t>
      </w:r>
      <w:r>
        <w:rPr>
          <w:rFonts w:hint="eastAsia" w:ascii="仿宋_GB2312" w:hAnsi="宋体" w:eastAsia="仿宋_GB2312" w:cs="Times New Roman"/>
          <w:color w:val="auto"/>
          <w:sz w:val="32"/>
          <w:szCs w:val="32"/>
          <w:highlight w:val="none"/>
          <w:lang w:val="zh-CN"/>
        </w:rPr>
        <w:t>账务处理，</w:t>
      </w:r>
      <w:r>
        <w:rPr>
          <w:rFonts w:hint="eastAsia" w:ascii="仿宋_GB2312" w:hAnsi="宋体" w:eastAsia="仿宋_GB2312" w:cs="Times New Roman"/>
          <w:color w:val="auto"/>
          <w:sz w:val="32"/>
          <w:szCs w:val="32"/>
          <w:highlight w:val="none"/>
          <w:lang w:val="en-US" w:eastAsia="zh-CN"/>
        </w:rPr>
        <w:t>严格</w:t>
      </w:r>
      <w:r>
        <w:rPr>
          <w:rFonts w:hint="eastAsia" w:ascii="仿宋_GB2312" w:hAnsi="宋体" w:eastAsia="仿宋_GB2312" w:cs="Times New Roman"/>
          <w:color w:val="auto"/>
          <w:sz w:val="32"/>
          <w:szCs w:val="32"/>
          <w:highlight w:val="none"/>
          <w:lang w:val="zh-CN"/>
        </w:rPr>
        <w:t>规范会计核算。</w:t>
      </w:r>
    </w:p>
    <w:p>
      <w:pPr>
        <w:keepNext w:val="0"/>
        <w:keepLines w:val="0"/>
        <w:pageBreakBefore w:val="0"/>
        <w:widowControl w:val="0"/>
        <w:kinsoku/>
        <w:wordWrap/>
        <w:overflowPunct/>
        <w:topLinePunct w:val="0"/>
        <w:autoSpaceDE/>
        <w:autoSpaceDN/>
        <w:bidi w:val="0"/>
        <w:adjustRightInd w:val="0"/>
        <w:snapToGrid w:val="0"/>
        <w:spacing w:line="560" w:lineRule="exact"/>
        <w:ind w:firstLine="720"/>
        <w:textAlignment w:val="auto"/>
        <w:outlineLvl w:val="1"/>
        <w:rPr>
          <w:rFonts w:ascii="黑体" w:hAnsi="宋体" w:eastAsia="黑体" w:cs="Times New Roman"/>
          <w:color w:val="auto"/>
          <w:sz w:val="32"/>
          <w:szCs w:val="32"/>
          <w:highlight w:val="none"/>
        </w:rPr>
      </w:pPr>
      <w:bookmarkStart w:id="348" w:name="_Toc14971"/>
      <w:r>
        <w:rPr>
          <w:rFonts w:hint="eastAsia" w:ascii="黑体" w:hAnsi="宋体" w:eastAsia="黑体" w:cs="Times New Roman"/>
          <w:color w:val="auto"/>
          <w:sz w:val="32"/>
          <w:szCs w:val="32"/>
          <w:highlight w:val="none"/>
        </w:rPr>
        <w:t>三、项目实施及管理情况</w:t>
      </w:r>
      <w:bookmarkEnd w:id="348"/>
    </w:p>
    <w:p>
      <w:pPr>
        <w:keepNext w:val="0"/>
        <w:keepLines w:val="0"/>
        <w:pageBreakBefore w:val="0"/>
        <w:widowControl w:val="0"/>
        <w:kinsoku/>
        <w:wordWrap/>
        <w:overflowPunct/>
        <w:topLinePunct w:val="0"/>
        <w:autoSpaceDE/>
        <w:autoSpaceDN/>
        <w:bidi w:val="0"/>
        <w:adjustRightInd w:val="0"/>
        <w:snapToGrid w:val="0"/>
        <w:spacing w:line="560" w:lineRule="exact"/>
        <w:ind w:firstLine="720"/>
        <w:textAlignment w:val="auto"/>
        <w:rPr>
          <w:rFonts w:ascii="仿宋_GB2312" w:hAnsi="宋体" w:eastAsia="仿宋_GB2312" w:cs="Times New Roman"/>
          <w:color w:val="auto"/>
          <w:sz w:val="32"/>
          <w:szCs w:val="32"/>
          <w:highlight w:val="none"/>
          <w:lang w:val="zh-CN"/>
        </w:rPr>
      </w:pPr>
      <w:r>
        <w:rPr>
          <w:rFonts w:hint="eastAsia" w:ascii="仿宋_GB2312" w:hAnsi="宋体" w:eastAsia="仿宋_GB2312" w:cs="Times New Roman"/>
          <w:color w:val="auto"/>
          <w:sz w:val="32"/>
          <w:szCs w:val="32"/>
          <w:highlight w:val="none"/>
          <w:lang w:val="zh-CN"/>
        </w:rPr>
        <w:t>结合项目组织实施管理办法，重点围绕以下内容进行分析评价，并对自评中发现的问题分析说明。</w:t>
      </w:r>
    </w:p>
    <w:p>
      <w:pPr>
        <w:keepNext w:val="0"/>
        <w:keepLines w:val="0"/>
        <w:pageBreakBefore w:val="0"/>
        <w:widowControl w:val="0"/>
        <w:kinsoku/>
        <w:wordWrap/>
        <w:overflowPunct/>
        <w:topLinePunct w:val="0"/>
        <w:autoSpaceDE/>
        <w:autoSpaceDN/>
        <w:bidi w:val="0"/>
        <w:adjustRightInd w:val="0"/>
        <w:snapToGrid w:val="0"/>
        <w:spacing w:line="560" w:lineRule="exact"/>
        <w:ind w:firstLine="720"/>
        <w:textAlignment w:val="auto"/>
        <w:outlineLvl w:val="2"/>
        <w:rPr>
          <w:rFonts w:hint="eastAsia" w:ascii="楷体_GB2312" w:hAnsi="宋体" w:eastAsia="楷体_GB2312" w:cs="Times New Roman"/>
          <w:b/>
          <w:color w:val="auto"/>
          <w:sz w:val="32"/>
          <w:szCs w:val="32"/>
          <w:highlight w:val="none"/>
          <w:lang w:val="zh-CN"/>
        </w:rPr>
      </w:pPr>
      <w:bookmarkStart w:id="349" w:name="_Toc14374"/>
      <w:r>
        <w:rPr>
          <w:rFonts w:hint="eastAsia" w:ascii="楷体_GB2312" w:hAnsi="宋体" w:eastAsia="楷体_GB2312" w:cs="Times New Roman"/>
          <w:b/>
          <w:color w:val="auto"/>
          <w:sz w:val="32"/>
          <w:szCs w:val="32"/>
          <w:highlight w:val="none"/>
          <w:lang w:val="zh-CN"/>
        </w:rPr>
        <w:t>（一）项目组织架构及实施流程。</w:t>
      </w:r>
      <w:r>
        <w:rPr>
          <w:rFonts w:hint="eastAsia" w:ascii="仿宋_GB2312" w:hAnsi="宋体" w:eastAsia="仿宋_GB2312" w:cs="Times New Roman"/>
          <w:color w:val="auto"/>
          <w:sz w:val="32"/>
          <w:szCs w:val="32"/>
          <w:highlight w:val="none"/>
          <w:lang w:val="zh-CN"/>
        </w:rPr>
        <w:t>按照个人申请、村评议公示、乡镇审核、区审批的流程发放救助资金。</w:t>
      </w:r>
      <w:bookmarkEnd w:id="349"/>
    </w:p>
    <w:p>
      <w:pPr>
        <w:keepNext w:val="0"/>
        <w:keepLines w:val="0"/>
        <w:pageBreakBefore w:val="0"/>
        <w:widowControl w:val="0"/>
        <w:kinsoku/>
        <w:wordWrap/>
        <w:overflowPunct/>
        <w:topLinePunct w:val="0"/>
        <w:autoSpaceDE/>
        <w:autoSpaceDN/>
        <w:bidi w:val="0"/>
        <w:adjustRightInd w:val="0"/>
        <w:snapToGrid w:val="0"/>
        <w:spacing w:line="560" w:lineRule="exact"/>
        <w:ind w:firstLine="720"/>
        <w:textAlignment w:val="auto"/>
        <w:outlineLvl w:val="2"/>
        <w:rPr>
          <w:rFonts w:hint="eastAsia" w:ascii="仿宋_GB2312" w:hAnsi="宋体" w:eastAsia="仿宋_GB2312" w:cs="Times New Roman"/>
          <w:color w:val="auto"/>
          <w:sz w:val="32"/>
          <w:szCs w:val="32"/>
          <w:highlight w:val="none"/>
          <w:lang w:val="zh-CN"/>
        </w:rPr>
      </w:pPr>
      <w:bookmarkStart w:id="350" w:name="_Toc10731"/>
      <w:r>
        <w:rPr>
          <w:rFonts w:hint="eastAsia" w:ascii="楷体_GB2312" w:hAnsi="宋体" w:eastAsia="楷体_GB2312" w:cs="Times New Roman"/>
          <w:b/>
          <w:color w:val="auto"/>
          <w:sz w:val="32"/>
          <w:szCs w:val="32"/>
          <w:highlight w:val="none"/>
          <w:lang w:val="zh-CN"/>
        </w:rPr>
        <w:t>（二）项目管理情况。</w:t>
      </w:r>
      <w:r>
        <w:rPr>
          <w:rFonts w:hint="eastAsia" w:ascii="仿宋_GB2312" w:hAnsi="宋体" w:eastAsia="仿宋_GB2312" w:cs="Times New Roman"/>
          <w:color w:val="auto"/>
          <w:sz w:val="32"/>
          <w:szCs w:val="32"/>
          <w:highlight w:val="none"/>
          <w:lang w:val="zh-CN"/>
        </w:rPr>
        <w:t>区应急管理局制定了详细实施方案，严格按照《受灾人员冬春生活救助工作规程》确定救助对象，发放资金。</w:t>
      </w:r>
      <w:bookmarkEnd w:id="350"/>
    </w:p>
    <w:p>
      <w:pPr>
        <w:keepNext w:val="0"/>
        <w:keepLines w:val="0"/>
        <w:pageBreakBefore w:val="0"/>
        <w:widowControl w:val="0"/>
        <w:kinsoku/>
        <w:wordWrap/>
        <w:overflowPunct/>
        <w:topLinePunct w:val="0"/>
        <w:autoSpaceDE/>
        <w:autoSpaceDN/>
        <w:bidi w:val="0"/>
        <w:adjustRightInd w:val="0"/>
        <w:snapToGrid w:val="0"/>
        <w:spacing w:line="560" w:lineRule="exact"/>
        <w:ind w:firstLine="720"/>
        <w:textAlignment w:val="auto"/>
        <w:outlineLvl w:val="2"/>
        <w:rPr>
          <w:rFonts w:hint="eastAsia" w:ascii="仿宋_GB2312" w:hAnsi="宋体" w:eastAsia="仿宋_GB2312" w:cs="Times New Roman"/>
          <w:color w:val="000000" w:themeColor="text1"/>
          <w:sz w:val="32"/>
          <w:szCs w:val="32"/>
          <w:highlight w:val="none"/>
          <w:lang w:val="zh-CN"/>
          <w14:textFill>
            <w14:solidFill>
              <w14:schemeClr w14:val="tx1"/>
            </w14:solidFill>
          </w14:textFill>
        </w:rPr>
      </w:pPr>
      <w:bookmarkStart w:id="351" w:name="_Toc22015"/>
      <w:r>
        <w:rPr>
          <w:rFonts w:hint="eastAsia" w:ascii="楷体_GB2312" w:hAnsi="宋体" w:eastAsia="楷体_GB2312" w:cs="Times New Roman"/>
          <w:b/>
          <w:color w:val="auto"/>
          <w:sz w:val="32"/>
          <w:szCs w:val="32"/>
          <w:highlight w:val="none"/>
          <w:lang w:val="zh-CN"/>
        </w:rPr>
        <w:t>（三）项目监管情况。</w:t>
      </w:r>
      <w:r>
        <w:rPr>
          <w:rFonts w:hint="eastAsia" w:ascii="仿宋_GB2312" w:hAnsi="宋体" w:eastAsia="仿宋_GB2312" w:cs="Times New Roman"/>
          <w:color w:val="auto"/>
          <w:sz w:val="32"/>
          <w:szCs w:val="32"/>
          <w:highlight w:val="none"/>
          <w:lang w:val="zh-CN"/>
        </w:rPr>
        <w:t>区应急管理局积极指导各乡镇按程序确定受救助对象</w:t>
      </w:r>
      <w:r>
        <w:rPr>
          <w:rFonts w:hint="eastAsia" w:ascii="仿宋_GB2312" w:hAnsi="宋体" w:eastAsia="仿宋_GB2312" w:cs="Times New Roman"/>
          <w:color w:val="000000" w:themeColor="text1"/>
          <w:sz w:val="32"/>
          <w:szCs w:val="32"/>
          <w:highlight w:val="none"/>
          <w:lang w:val="zh-CN"/>
          <w14:textFill>
            <w14:solidFill>
              <w14:schemeClr w14:val="tx1"/>
            </w14:solidFill>
          </w14:textFill>
        </w:rPr>
        <w:t>，并对项目的实施情况进行了检查。</w:t>
      </w:r>
      <w:bookmarkEnd w:id="351"/>
    </w:p>
    <w:p>
      <w:pPr>
        <w:keepNext w:val="0"/>
        <w:keepLines w:val="0"/>
        <w:pageBreakBefore w:val="0"/>
        <w:widowControl w:val="0"/>
        <w:kinsoku/>
        <w:wordWrap/>
        <w:overflowPunct/>
        <w:topLinePunct w:val="0"/>
        <w:autoSpaceDE/>
        <w:autoSpaceDN/>
        <w:bidi w:val="0"/>
        <w:adjustRightInd w:val="0"/>
        <w:snapToGrid w:val="0"/>
        <w:spacing w:line="560" w:lineRule="exact"/>
        <w:ind w:firstLine="720"/>
        <w:textAlignment w:val="auto"/>
        <w:outlineLvl w:val="1"/>
        <w:rPr>
          <w:rFonts w:ascii="仿宋_GB2312" w:hAnsi="宋体" w:eastAsia="仿宋_GB2312" w:cs="Times New Roman"/>
          <w:color w:val="auto"/>
          <w:sz w:val="32"/>
          <w:szCs w:val="32"/>
          <w:highlight w:val="none"/>
          <w:lang w:val="zh-CN"/>
        </w:rPr>
      </w:pPr>
      <w:bookmarkStart w:id="352" w:name="_Toc18572"/>
      <w:r>
        <w:rPr>
          <w:rFonts w:hint="eastAsia" w:ascii="黑体" w:hAnsi="宋体" w:eastAsia="黑体" w:cs="Times New Roman"/>
          <w:color w:val="auto"/>
          <w:sz w:val="32"/>
          <w:szCs w:val="32"/>
          <w:highlight w:val="none"/>
        </w:rPr>
        <w:t>四、项目绩效情况</w:t>
      </w:r>
      <w:bookmarkEnd w:id="352"/>
      <w:r>
        <w:rPr>
          <w:rFonts w:hint="eastAsia" w:ascii="仿宋_GB2312" w:hAnsi="宋体" w:eastAsia="仿宋_GB2312" w:cs="Times New Roman"/>
          <w:color w:val="auto"/>
          <w:sz w:val="32"/>
          <w:szCs w:val="32"/>
          <w:highlight w:val="none"/>
          <w:lang w:val="zh-CN"/>
        </w:rPr>
        <w:tab/>
      </w:r>
    </w:p>
    <w:p>
      <w:pPr>
        <w:keepNext w:val="0"/>
        <w:keepLines w:val="0"/>
        <w:pageBreakBefore w:val="0"/>
        <w:widowControl w:val="0"/>
        <w:kinsoku/>
        <w:wordWrap/>
        <w:overflowPunct/>
        <w:topLinePunct w:val="0"/>
        <w:autoSpaceDE/>
        <w:autoSpaceDN/>
        <w:bidi w:val="0"/>
        <w:adjustRightInd w:val="0"/>
        <w:snapToGrid w:val="0"/>
        <w:spacing w:line="560" w:lineRule="exact"/>
        <w:ind w:firstLine="720"/>
        <w:textAlignment w:val="auto"/>
        <w:outlineLvl w:val="2"/>
        <w:rPr>
          <w:rFonts w:ascii="楷体_GB2312" w:hAnsi="宋体" w:eastAsia="楷体_GB2312" w:cs="Times New Roman"/>
          <w:b/>
          <w:color w:val="auto"/>
          <w:sz w:val="32"/>
          <w:szCs w:val="32"/>
          <w:highlight w:val="none"/>
          <w:lang w:val="zh-CN"/>
        </w:rPr>
      </w:pPr>
      <w:bookmarkStart w:id="353" w:name="_Toc23478"/>
      <w:r>
        <w:rPr>
          <w:rFonts w:hint="eastAsia" w:ascii="楷体_GB2312" w:hAnsi="宋体" w:eastAsia="楷体_GB2312" w:cs="Times New Roman"/>
          <w:b/>
          <w:color w:val="auto"/>
          <w:sz w:val="32"/>
          <w:szCs w:val="32"/>
          <w:highlight w:val="none"/>
          <w:lang w:val="zh-CN"/>
        </w:rPr>
        <w:t>（一）项目完成情况。</w:t>
      </w:r>
      <w:bookmarkEnd w:id="353"/>
    </w:p>
    <w:p>
      <w:pPr>
        <w:keepNext w:val="0"/>
        <w:keepLines w:val="0"/>
        <w:pageBreakBefore w:val="0"/>
        <w:widowControl w:val="0"/>
        <w:kinsoku/>
        <w:wordWrap/>
        <w:overflowPunct/>
        <w:topLinePunct w:val="0"/>
        <w:autoSpaceDE/>
        <w:autoSpaceDN/>
        <w:bidi w:val="0"/>
        <w:adjustRightInd w:val="0"/>
        <w:snapToGrid w:val="0"/>
        <w:spacing w:line="560" w:lineRule="exact"/>
        <w:ind w:firstLine="720"/>
        <w:textAlignment w:val="auto"/>
        <w:rPr>
          <w:rFonts w:hint="eastAsia" w:ascii="仿宋_GB2312" w:hAnsi="宋体" w:eastAsia="仿宋_GB2312" w:cs="Times New Roman"/>
          <w:color w:val="auto"/>
          <w:sz w:val="32"/>
          <w:szCs w:val="32"/>
          <w:highlight w:val="none"/>
          <w:lang w:val="zh-CN"/>
        </w:rPr>
      </w:pPr>
      <w:r>
        <w:rPr>
          <w:rFonts w:hint="eastAsia" w:ascii="仿宋_GB2312" w:hAnsi="宋体" w:eastAsia="仿宋_GB2312" w:cs="Times New Roman"/>
          <w:color w:val="auto"/>
          <w:sz w:val="32"/>
          <w:szCs w:val="32"/>
          <w:highlight w:val="none"/>
          <w:lang w:val="zh-CN"/>
        </w:rPr>
        <w:t>1.目标任务量完成情况</w:t>
      </w:r>
      <w:r>
        <w:rPr>
          <w:rFonts w:hint="eastAsia" w:ascii="仿宋_GB2312" w:hAnsi="宋体" w:eastAsia="仿宋_GB2312" w:cs="Times New Roman"/>
          <w:color w:val="000000" w:themeColor="text1"/>
          <w:sz w:val="32"/>
          <w:szCs w:val="32"/>
          <w:highlight w:val="none"/>
          <w:lang w:val="zh-CN"/>
          <w14:textFill>
            <w14:solidFill>
              <w14:schemeClr w14:val="tx1"/>
            </w14:solidFill>
          </w14:textFill>
        </w:rPr>
        <w:t>。已对23</w:t>
      </w:r>
      <w:r>
        <w:rPr>
          <w:rFonts w:hint="eastAsia" w:ascii="仿宋_GB2312" w:hAnsi="宋体" w:eastAsia="仿宋_GB2312" w:cs="Times New Roman"/>
          <w:color w:val="000000" w:themeColor="text1"/>
          <w:sz w:val="32"/>
          <w:szCs w:val="32"/>
          <w:highlight w:val="none"/>
          <w:lang w:val="en-US" w:eastAsia="zh-CN"/>
          <w14:textFill>
            <w14:solidFill>
              <w14:schemeClr w14:val="tx1"/>
            </w14:solidFill>
          </w14:textFill>
        </w:rPr>
        <w:t>944</w:t>
      </w:r>
      <w:r>
        <w:rPr>
          <w:rFonts w:hint="eastAsia" w:ascii="仿宋_GB2312" w:hAnsi="宋体" w:eastAsia="仿宋_GB2312" w:cs="Times New Roman"/>
          <w:color w:val="000000" w:themeColor="text1"/>
          <w:sz w:val="32"/>
          <w:szCs w:val="32"/>
          <w:highlight w:val="none"/>
          <w:lang w:val="zh-CN"/>
          <w14:textFill>
            <w14:solidFill>
              <w14:schemeClr w14:val="tx1"/>
            </w14:solidFill>
          </w14:textFill>
        </w:rPr>
        <w:t>名</w:t>
      </w:r>
      <w:r>
        <w:rPr>
          <w:rFonts w:hint="eastAsia" w:ascii="仿宋_GB2312" w:hAnsi="宋体" w:eastAsia="仿宋_GB2312" w:cs="Times New Roman"/>
          <w:color w:val="auto"/>
          <w:sz w:val="32"/>
          <w:szCs w:val="32"/>
          <w:highlight w:val="none"/>
          <w:lang w:val="zh-CN"/>
        </w:rPr>
        <w:t>受灾困难群众进行了救助，完成了全部救助任务。</w:t>
      </w:r>
    </w:p>
    <w:p>
      <w:pPr>
        <w:keepNext w:val="0"/>
        <w:keepLines w:val="0"/>
        <w:pageBreakBefore w:val="0"/>
        <w:widowControl w:val="0"/>
        <w:kinsoku/>
        <w:wordWrap/>
        <w:overflowPunct/>
        <w:topLinePunct w:val="0"/>
        <w:autoSpaceDE/>
        <w:autoSpaceDN/>
        <w:bidi w:val="0"/>
        <w:adjustRightInd w:val="0"/>
        <w:snapToGrid w:val="0"/>
        <w:spacing w:line="560" w:lineRule="exact"/>
        <w:ind w:firstLine="720"/>
        <w:textAlignment w:val="auto"/>
        <w:rPr>
          <w:rFonts w:hint="eastAsia" w:ascii="仿宋_GB2312" w:hAnsi="宋体" w:eastAsia="仿宋_GB2312" w:cs="Times New Roman"/>
          <w:color w:val="auto"/>
          <w:sz w:val="32"/>
          <w:szCs w:val="32"/>
          <w:highlight w:val="none"/>
          <w:lang w:val="zh-CN"/>
        </w:rPr>
      </w:pPr>
      <w:r>
        <w:rPr>
          <w:rFonts w:hint="eastAsia" w:ascii="仿宋_GB2312" w:hAnsi="宋体" w:eastAsia="仿宋_GB2312" w:cs="Times New Roman"/>
          <w:color w:val="auto"/>
          <w:sz w:val="32"/>
          <w:szCs w:val="32"/>
          <w:highlight w:val="none"/>
          <w:lang w:val="zh-CN"/>
        </w:rPr>
        <w:t>2.目标质量完成情况。按程序完成了任务。</w:t>
      </w:r>
    </w:p>
    <w:p>
      <w:pPr>
        <w:keepNext w:val="0"/>
        <w:keepLines w:val="0"/>
        <w:pageBreakBefore w:val="0"/>
        <w:widowControl w:val="0"/>
        <w:kinsoku/>
        <w:wordWrap/>
        <w:overflowPunct/>
        <w:topLinePunct w:val="0"/>
        <w:autoSpaceDE/>
        <w:autoSpaceDN/>
        <w:bidi w:val="0"/>
        <w:adjustRightInd w:val="0"/>
        <w:snapToGrid w:val="0"/>
        <w:spacing w:line="560" w:lineRule="exact"/>
        <w:ind w:firstLine="720"/>
        <w:textAlignment w:val="auto"/>
        <w:rPr>
          <w:rFonts w:hint="eastAsia" w:ascii="仿宋_GB2312" w:hAnsi="宋体" w:eastAsia="仿宋_GB2312" w:cs="Times New Roman"/>
          <w:color w:val="auto"/>
          <w:sz w:val="32"/>
          <w:szCs w:val="32"/>
          <w:highlight w:val="none"/>
          <w:lang w:val="zh-CN"/>
        </w:rPr>
      </w:pPr>
      <w:r>
        <w:rPr>
          <w:rFonts w:hint="eastAsia" w:ascii="仿宋_GB2312" w:hAnsi="宋体" w:eastAsia="仿宋_GB2312" w:cs="Times New Roman"/>
          <w:color w:val="auto"/>
          <w:sz w:val="32"/>
          <w:szCs w:val="32"/>
          <w:highlight w:val="none"/>
          <w:lang w:val="zh-CN"/>
        </w:rPr>
        <w:t>3.目标进度完成情况</w:t>
      </w:r>
      <w:r>
        <w:rPr>
          <w:rFonts w:hint="eastAsia" w:ascii="仿宋_GB2312" w:hAnsi="宋体" w:eastAsia="仿宋_GB2312" w:cs="Times New Roman"/>
          <w:color w:val="000000" w:themeColor="text1"/>
          <w:sz w:val="32"/>
          <w:szCs w:val="32"/>
          <w:highlight w:val="none"/>
          <w:lang w:val="zh-CN"/>
          <w14:textFill>
            <w14:solidFill>
              <w14:schemeClr w14:val="tx1"/>
            </w14:solidFill>
          </w14:textFill>
        </w:rPr>
        <w:t>。实际完成100%。</w:t>
      </w:r>
    </w:p>
    <w:p>
      <w:pPr>
        <w:keepNext w:val="0"/>
        <w:keepLines w:val="0"/>
        <w:pageBreakBefore w:val="0"/>
        <w:widowControl w:val="0"/>
        <w:kinsoku/>
        <w:wordWrap/>
        <w:overflowPunct/>
        <w:topLinePunct w:val="0"/>
        <w:autoSpaceDE/>
        <w:autoSpaceDN/>
        <w:bidi w:val="0"/>
        <w:adjustRightInd w:val="0"/>
        <w:snapToGrid w:val="0"/>
        <w:spacing w:line="560" w:lineRule="exact"/>
        <w:ind w:firstLine="720"/>
        <w:textAlignment w:val="auto"/>
        <w:outlineLvl w:val="2"/>
        <w:rPr>
          <w:rFonts w:ascii="楷体_GB2312" w:hAnsi="宋体" w:eastAsia="楷体_GB2312" w:cs="Times New Roman"/>
          <w:b/>
          <w:color w:val="auto"/>
          <w:sz w:val="32"/>
          <w:szCs w:val="32"/>
          <w:highlight w:val="none"/>
          <w:lang w:val="zh-CN"/>
        </w:rPr>
      </w:pPr>
      <w:bookmarkStart w:id="354" w:name="_Toc13364"/>
      <w:r>
        <w:rPr>
          <w:rFonts w:hint="eastAsia" w:ascii="楷体_GB2312" w:hAnsi="宋体" w:eastAsia="楷体_GB2312" w:cs="Times New Roman"/>
          <w:b/>
          <w:color w:val="auto"/>
          <w:sz w:val="32"/>
          <w:szCs w:val="32"/>
          <w:highlight w:val="none"/>
          <w:lang w:val="zh-CN"/>
        </w:rPr>
        <w:t>（二）项目效益情况。</w:t>
      </w:r>
      <w:bookmarkEnd w:id="354"/>
    </w:p>
    <w:p>
      <w:pPr>
        <w:keepNext w:val="0"/>
        <w:keepLines w:val="0"/>
        <w:pageBreakBefore w:val="0"/>
        <w:widowControl w:val="0"/>
        <w:kinsoku/>
        <w:wordWrap/>
        <w:overflowPunct/>
        <w:topLinePunct w:val="0"/>
        <w:autoSpaceDE/>
        <w:autoSpaceDN/>
        <w:bidi w:val="0"/>
        <w:adjustRightInd w:val="0"/>
        <w:snapToGrid w:val="0"/>
        <w:spacing w:line="560" w:lineRule="exact"/>
        <w:ind w:firstLine="720"/>
        <w:textAlignment w:val="auto"/>
        <w:outlineLvl w:val="1"/>
        <w:rPr>
          <w:rFonts w:hint="eastAsia" w:ascii="黑体" w:hAnsi="宋体" w:eastAsia="黑体" w:cs="Times New Roman"/>
          <w:color w:val="auto"/>
          <w:sz w:val="32"/>
          <w:szCs w:val="32"/>
          <w:highlight w:val="none"/>
        </w:rPr>
      </w:pPr>
      <w:bookmarkStart w:id="355" w:name="_Toc31813"/>
      <w:bookmarkStart w:id="356" w:name="_Toc15739"/>
      <w:r>
        <w:rPr>
          <w:rFonts w:hint="eastAsia" w:ascii="仿宋_GB2312" w:hAnsi="宋体" w:eastAsia="仿宋_GB2312" w:cs="Times New Roman"/>
          <w:color w:val="auto"/>
          <w:sz w:val="32"/>
          <w:szCs w:val="32"/>
          <w:highlight w:val="none"/>
          <w:lang w:val="zh-CN"/>
        </w:rPr>
        <w:t>项目解决了受灾困难群众的基本生活问题，对灾后经济恢复重建起到了重要作用，社会反响很好，群众满意度较高。</w:t>
      </w:r>
      <w:bookmarkEnd w:id="355"/>
      <w:bookmarkEnd w:id="356"/>
    </w:p>
    <w:p>
      <w:pPr>
        <w:keepNext w:val="0"/>
        <w:keepLines w:val="0"/>
        <w:pageBreakBefore w:val="0"/>
        <w:widowControl w:val="0"/>
        <w:kinsoku/>
        <w:wordWrap/>
        <w:overflowPunct/>
        <w:topLinePunct w:val="0"/>
        <w:autoSpaceDE/>
        <w:autoSpaceDN/>
        <w:bidi w:val="0"/>
        <w:adjustRightInd w:val="0"/>
        <w:snapToGrid w:val="0"/>
        <w:spacing w:line="560" w:lineRule="exact"/>
        <w:ind w:firstLine="720"/>
        <w:textAlignment w:val="auto"/>
        <w:outlineLvl w:val="1"/>
        <w:rPr>
          <w:rFonts w:ascii="黑体" w:hAnsi="宋体" w:eastAsia="黑体" w:cs="Times New Roman"/>
          <w:color w:val="auto"/>
          <w:sz w:val="32"/>
          <w:szCs w:val="32"/>
          <w:highlight w:val="none"/>
        </w:rPr>
      </w:pPr>
      <w:bookmarkStart w:id="357" w:name="_Toc20307"/>
      <w:r>
        <w:rPr>
          <w:rFonts w:hint="eastAsia" w:ascii="黑体" w:hAnsi="宋体" w:eastAsia="黑体" w:cs="Times New Roman"/>
          <w:color w:val="auto"/>
          <w:sz w:val="32"/>
          <w:szCs w:val="32"/>
          <w:highlight w:val="none"/>
        </w:rPr>
        <w:t>五、评价结论及建议</w:t>
      </w:r>
      <w:bookmarkEnd w:id="357"/>
    </w:p>
    <w:p>
      <w:pPr>
        <w:keepNext w:val="0"/>
        <w:keepLines w:val="0"/>
        <w:pageBreakBefore w:val="0"/>
        <w:widowControl w:val="0"/>
        <w:kinsoku/>
        <w:wordWrap/>
        <w:overflowPunct/>
        <w:topLinePunct w:val="0"/>
        <w:autoSpaceDE/>
        <w:autoSpaceDN/>
        <w:bidi w:val="0"/>
        <w:adjustRightInd w:val="0"/>
        <w:snapToGrid w:val="0"/>
        <w:spacing w:line="560" w:lineRule="exact"/>
        <w:ind w:firstLine="720"/>
        <w:textAlignment w:val="auto"/>
        <w:outlineLvl w:val="2"/>
        <w:rPr>
          <w:rFonts w:ascii="楷体_GB2312" w:hAnsi="宋体" w:eastAsia="楷体_GB2312" w:cs="Times New Roman"/>
          <w:b/>
          <w:color w:val="auto"/>
          <w:sz w:val="32"/>
          <w:szCs w:val="32"/>
          <w:highlight w:val="none"/>
          <w:lang w:val="zh-CN"/>
        </w:rPr>
      </w:pPr>
      <w:bookmarkStart w:id="358" w:name="_Toc7921"/>
      <w:r>
        <w:rPr>
          <w:rFonts w:hint="eastAsia" w:ascii="楷体_GB2312" w:hAnsi="宋体" w:eastAsia="楷体_GB2312" w:cs="Times New Roman"/>
          <w:b/>
          <w:color w:val="auto"/>
          <w:sz w:val="32"/>
          <w:szCs w:val="32"/>
          <w:highlight w:val="none"/>
          <w:lang w:val="zh-CN"/>
        </w:rPr>
        <w:t>（一）评价结论。</w:t>
      </w:r>
      <w:bookmarkEnd w:id="358"/>
    </w:p>
    <w:p>
      <w:pPr>
        <w:keepNext w:val="0"/>
        <w:keepLines w:val="0"/>
        <w:pageBreakBefore w:val="0"/>
        <w:widowControl w:val="0"/>
        <w:kinsoku/>
        <w:wordWrap/>
        <w:overflowPunct/>
        <w:topLinePunct w:val="0"/>
        <w:autoSpaceDE/>
        <w:autoSpaceDN/>
        <w:bidi w:val="0"/>
        <w:adjustRightInd w:val="0"/>
        <w:snapToGrid w:val="0"/>
        <w:spacing w:line="560" w:lineRule="exact"/>
        <w:ind w:firstLine="720"/>
        <w:textAlignment w:val="auto"/>
        <w:rPr>
          <w:rFonts w:hint="eastAsia" w:ascii="仿宋_GB2312" w:hAnsi="宋体" w:eastAsia="仿宋_GB2312" w:cs="Times New Roman"/>
          <w:color w:val="auto"/>
          <w:sz w:val="32"/>
          <w:szCs w:val="32"/>
          <w:highlight w:val="none"/>
          <w:lang w:val="zh-CN"/>
        </w:rPr>
      </w:pPr>
      <w:r>
        <w:rPr>
          <w:rFonts w:hint="eastAsia" w:ascii="仿宋_GB2312" w:hAnsi="宋体" w:eastAsia="仿宋_GB2312" w:cs="Times New Roman"/>
          <w:color w:val="auto"/>
          <w:sz w:val="32"/>
          <w:szCs w:val="32"/>
          <w:highlight w:val="none"/>
          <w:lang w:val="zh-CN"/>
        </w:rPr>
        <w:t>项目的实施程序合规，监管有力，有效解决了受灾困难群众基本生活问题，有效维护了社会稳定。</w:t>
      </w:r>
    </w:p>
    <w:p>
      <w:pPr>
        <w:keepNext w:val="0"/>
        <w:keepLines w:val="0"/>
        <w:pageBreakBefore w:val="0"/>
        <w:widowControl w:val="0"/>
        <w:kinsoku/>
        <w:wordWrap/>
        <w:overflowPunct/>
        <w:topLinePunct w:val="0"/>
        <w:autoSpaceDE/>
        <w:autoSpaceDN/>
        <w:bidi w:val="0"/>
        <w:adjustRightInd w:val="0"/>
        <w:snapToGrid w:val="0"/>
        <w:spacing w:line="560" w:lineRule="exact"/>
        <w:ind w:firstLine="720"/>
        <w:textAlignment w:val="auto"/>
        <w:outlineLvl w:val="2"/>
        <w:rPr>
          <w:rFonts w:ascii="楷体_GB2312" w:hAnsi="宋体" w:eastAsia="楷体_GB2312" w:cs="Times New Roman"/>
          <w:b/>
          <w:color w:val="auto"/>
          <w:sz w:val="32"/>
          <w:szCs w:val="32"/>
          <w:highlight w:val="none"/>
          <w:lang w:val="zh-CN"/>
        </w:rPr>
      </w:pPr>
      <w:bookmarkStart w:id="359" w:name="_Toc13845"/>
      <w:r>
        <w:rPr>
          <w:rFonts w:hint="eastAsia" w:ascii="楷体_GB2312" w:hAnsi="宋体" w:eastAsia="楷体_GB2312" w:cs="Times New Roman"/>
          <w:b/>
          <w:color w:val="auto"/>
          <w:sz w:val="32"/>
          <w:szCs w:val="32"/>
          <w:highlight w:val="none"/>
          <w:lang w:val="zh-CN"/>
        </w:rPr>
        <w:t>（二）存在的问题。</w:t>
      </w:r>
      <w:bookmarkEnd w:id="359"/>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300"/>
        <w:textAlignment w:val="auto"/>
        <w:rPr>
          <w:rFonts w:ascii="仿宋_GB2312" w:hAnsi="宋体" w:eastAsia="仿宋_GB2312" w:cs="Times New Roman"/>
          <w:color w:val="auto"/>
          <w:sz w:val="32"/>
          <w:szCs w:val="32"/>
          <w:highlight w:val="none"/>
          <w:lang w:val="zh-CN"/>
        </w:rPr>
      </w:pPr>
      <w:r>
        <w:rPr>
          <w:rFonts w:hint="eastAsia" w:ascii="仿宋_GB2312" w:hAnsi="宋体" w:eastAsia="仿宋_GB2312" w:cs="Times New Roman"/>
          <w:color w:val="auto"/>
          <w:sz w:val="32"/>
          <w:szCs w:val="32"/>
          <w:highlight w:val="none"/>
          <w:lang w:val="en-US" w:eastAsia="zh-CN"/>
        </w:rPr>
        <w:t>无。</w:t>
      </w:r>
      <w:r>
        <w:rPr>
          <w:rFonts w:hint="eastAsia" w:ascii="仿宋_GB2312" w:hAnsi="宋体" w:eastAsia="仿宋_GB2312" w:cs="Times New Roman"/>
          <w:color w:val="auto"/>
          <w:sz w:val="32"/>
          <w:szCs w:val="32"/>
          <w:highlight w:val="none"/>
          <w:lang w:val="zh-CN"/>
        </w:rPr>
        <w:tab/>
      </w:r>
    </w:p>
    <w:p>
      <w:pPr>
        <w:keepNext w:val="0"/>
        <w:keepLines w:val="0"/>
        <w:pageBreakBefore w:val="0"/>
        <w:widowControl w:val="0"/>
        <w:kinsoku/>
        <w:wordWrap/>
        <w:overflowPunct/>
        <w:topLinePunct w:val="0"/>
        <w:autoSpaceDE/>
        <w:autoSpaceDN/>
        <w:bidi w:val="0"/>
        <w:adjustRightInd w:val="0"/>
        <w:snapToGrid w:val="0"/>
        <w:spacing w:line="560" w:lineRule="exact"/>
        <w:ind w:firstLine="720"/>
        <w:textAlignment w:val="auto"/>
        <w:outlineLvl w:val="2"/>
        <w:rPr>
          <w:rFonts w:ascii="楷体_GB2312" w:hAnsi="宋体" w:eastAsia="楷体_GB2312" w:cs="Times New Roman"/>
          <w:b/>
          <w:color w:val="auto"/>
          <w:sz w:val="32"/>
          <w:szCs w:val="32"/>
          <w:highlight w:val="none"/>
          <w:lang w:val="zh-CN"/>
        </w:rPr>
      </w:pPr>
      <w:bookmarkStart w:id="360" w:name="_Toc24162"/>
      <w:r>
        <w:rPr>
          <w:rFonts w:hint="eastAsia" w:ascii="楷体_GB2312" w:hAnsi="宋体" w:eastAsia="楷体_GB2312" w:cs="Times New Roman"/>
          <w:b/>
          <w:color w:val="auto"/>
          <w:sz w:val="32"/>
          <w:szCs w:val="32"/>
          <w:highlight w:val="none"/>
          <w:lang w:val="zh-CN"/>
        </w:rPr>
        <w:t>（三）相关建议。</w:t>
      </w:r>
      <w:bookmarkEnd w:id="360"/>
    </w:p>
    <w:p>
      <w:pPr>
        <w:pStyle w:val="2"/>
        <w:keepNext w:val="0"/>
        <w:keepLines w:val="0"/>
        <w:pageBreakBefore w:val="0"/>
        <w:widowControl w:val="0"/>
        <w:kinsoku/>
        <w:wordWrap/>
        <w:overflowPunct/>
        <w:topLinePunct w:val="0"/>
        <w:autoSpaceDE/>
        <w:autoSpaceDN/>
        <w:bidi w:val="0"/>
        <w:spacing w:line="560" w:lineRule="exact"/>
        <w:ind w:firstLine="960" w:firstLineChars="300"/>
        <w:textAlignment w:val="auto"/>
        <w:rPr>
          <w:rFonts w:hint="eastAsia" w:hAnsi="宋体" w:cs="Times New Roman"/>
          <w:color w:val="auto"/>
          <w:sz w:val="32"/>
          <w:szCs w:val="32"/>
          <w:highlight w:val="none"/>
          <w:lang w:val="en-US" w:eastAsia="zh-CN"/>
        </w:rPr>
      </w:pPr>
      <w:r>
        <w:rPr>
          <w:rFonts w:hint="eastAsia" w:hAnsi="宋体" w:cs="Times New Roman"/>
          <w:color w:val="auto"/>
          <w:sz w:val="32"/>
          <w:szCs w:val="32"/>
          <w:highlight w:val="none"/>
          <w:lang w:val="en-US" w:eastAsia="zh-CN"/>
        </w:rPr>
        <w:t>无。</w:t>
      </w:r>
    </w:p>
    <w:p/>
    <w:p>
      <w:pPr>
        <w:spacing w:line="580" w:lineRule="exact"/>
        <w:rPr>
          <w:rStyle w:val="27"/>
          <w:rFonts w:ascii="黑体" w:hAnsi="黑体" w:eastAsia="黑体"/>
          <w:b w:val="0"/>
          <w:color w:val="auto"/>
          <w:highlight w:val="none"/>
        </w:rPr>
      </w:pPr>
    </w:p>
    <w:p>
      <w:pPr>
        <w:widowControl/>
        <w:jc w:val="left"/>
        <w:rPr>
          <w:rStyle w:val="27"/>
          <w:rFonts w:ascii="黑体" w:hAnsi="黑体" w:eastAsia="黑体"/>
          <w:b w:val="0"/>
          <w:color w:val="auto"/>
          <w:highlight w:val="none"/>
        </w:rPr>
      </w:pPr>
      <w:r>
        <w:rPr>
          <w:rStyle w:val="27"/>
          <w:rFonts w:ascii="黑体" w:hAnsi="黑体" w:eastAsia="黑体"/>
          <w:b w:val="0"/>
          <w:color w:val="auto"/>
          <w:highlight w:val="none"/>
        </w:rPr>
        <w:br w:type="page"/>
      </w:r>
    </w:p>
    <w:p>
      <w:pPr>
        <w:pageBreakBefore w:val="0"/>
        <w:widowControl w:val="0"/>
        <w:kinsoku/>
        <w:wordWrap/>
        <w:overflowPunct/>
        <w:topLinePunct w:val="0"/>
        <w:autoSpaceDE/>
        <w:autoSpaceDN/>
        <w:bidi w:val="0"/>
        <w:adjustRightInd/>
        <w:snapToGrid/>
        <w:spacing w:line="560" w:lineRule="exact"/>
        <w:jc w:val="center"/>
        <w:textAlignment w:val="auto"/>
        <w:outlineLvl w:val="0"/>
        <w:rPr>
          <w:rFonts w:hint="eastAsia" w:ascii="仿宋" w:hAnsi="仿宋" w:eastAsia="仿宋"/>
          <w:b w:val="0"/>
          <w:color w:val="auto"/>
          <w:highlight w:val="none"/>
        </w:rPr>
      </w:pPr>
      <w:bookmarkStart w:id="361" w:name="_Toc15396618"/>
      <w:bookmarkStart w:id="362" w:name="_Toc27317"/>
      <w:bookmarkStart w:id="363" w:name="_Toc23865"/>
      <w:r>
        <w:rPr>
          <w:rFonts w:hint="eastAsia" w:ascii="黑体" w:hAnsi="黑体" w:eastAsia="黑体"/>
          <w:color w:val="auto"/>
          <w:sz w:val="44"/>
          <w:szCs w:val="44"/>
          <w:highlight w:val="none"/>
        </w:rPr>
        <w:t>第</w:t>
      </w:r>
      <w:r>
        <w:rPr>
          <w:rStyle w:val="27"/>
          <w:rFonts w:hint="eastAsia" w:ascii="黑体" w:hAnsi="黑体" w:eastAsia="黑体"/>
          <w:b w:val="0"/>
          <w:color w:val="auto"/>
          <w:highlight w:val="none"/>
        </w:rPr>
        <w:t>五部分 附表</w:t>
      </w:r>
      <w:bookmarkEnd w:id="302"/>
      <w:bookmarkEnd w:id="361"/>
      <w:bookmarkEnd w:id="362"/>
      <w:bookmarkEnd w:id="363"/>
      <w:bookmarkStart w:id="364" w:name="_Toc15396619"/>
    </w:p>
    <w:p>
      <w:pPr>
        <w:pStyle w:val="4"/>
        <w:pageBreakBefore w:val="0"/>
        <w:widowControl w:val="0"/>
        <w:kinsoku/>
        <w:wordWrap/>
        <w:overflowPunct/>
        <w:topLinePunct w:val="0"/>
        <w:autoSpaceDE/>
        <w:autoSpaceDN/>
        <w:bidi w:val="0"/>
        <w:adjustRightInd/>
        <w:snapToGrid/>
        <w:spacing w:line="560" w:lineRule="exact"/>
        <w:textAlignment w:val="auto"/>
        <w:outlineLvl w:val="1"/>
        <w:rPr>
          <w:rFonts w:ascii="仿宋" w:hAnsi="仿宋" w:eastAsia="仿宋"/>
          <w:color w:val="auto"/>
          <w:highlight w:val="none"/>
        </w:rPr>
      </w:pPr>
      <w:bookmarkStart w:id="365" w:name="_Toc30380"/>
      <w:r>
        <w:rPr>
          <w:rFonts w:hint="eastAsia" w:ascii="仿宋" w:hAnsi="仿宋" w:eastAsia="仿宋"/>
          <w:b w:val="0"/>
          <w:color w:val="auto"/>
          <w:highlight w:val="none"/>
        </w:rPr>
        <w:t>一、收</w:t>
      </w:r>
      <w:r>
        <w:rPr>
          <w:rStyle w:val="28"/>
          <w:rFonts w:hint="eastAsia" w:ascii="仿宋" w:hAnsi="仿宋" w:eastAsia="仿宋"/>
          <w:b w:val="0"/>
          <w:bCs w:val="0"/>
          <w:color w:val="auto"/>
          <w:highlight w:val="none"/>
        </w:rPr>
        <w:t>入支出决算总表</w:t>
      </w:r>
      <w:bookmarkEnd w:id="364"/>
      <w:bookmarkEnd w:id="365"/>
    </w:p>
    <w:p>
      <w:pPr>
        <w:pStyle w:val="4"/>
        <w:pageBreakBefore w:val="0"/>
        <w:widowControl w:val="0"/>
        <w:kinsoku/>
        <w:wordWrap/>
        <w:overflowPunct/>
        <w:topLinePunct w:val="0"/>
        <w:autoSpaceDE/>
        <w:autoSpaceDN/>
        <w:bidi w:val="0"/>
        <w:adjustRightInd/>
        <w:snapToGrid/>
        <w:spacing w:line="560" w:lineRule="exact"/>
        <w:textAlignment w:val="auto"/>
        <w:outlineLvl w:val="1"/>
        <w:rPr>
          <w:rFonts w:ascii="仿宋" w:hAnsi="仿宋" w:eastAsia="仿宋"/>
          <w:color w:val="auto"/>
          <w:highlight w:val="none"/>
        </w:rPr>
      </w:pPr>
      <w:bookmarkStart w:id="366" w:name="_Toc15396620"/>
      <w:bookmarkStart w:id="367" w:name="_Toc12510"/>
      <w:r>
        <w:rPr>
          <w:rFonts w:hint="eastAsia" w:ascii="仿宋" w:hAnsi="仿宋" w:eastAsia="仿宋"/>
          <w:b w:val="0"/>
          <w:color w:val="auto"/>
          <w:highlight w:val="none"/>
        </w:rPr>
        <w:t>二、收</w:t>
      </w:r>
      <w:r>
        <w:rPr>
          <w:rStyle w:val="28"/>
          <w:rFonts w:hint="eastAsia" w:ascii="仿宋" w:hAnsi="仿宋" w:eastAsia="仿宋"/>
          <w:b w:val="0"/>
          <w:bCs w:val="0"/>
          <w:color w:val="auto"/>
          <w:highlight w:val="none"/>
        </w:rPr>
        <w:t>入决算表</w:t>
      </w:r>
      <w:bookmarkEnd w:id="366"/>
      <w:bookmarkEnd w:id="367"/>
    </w:p>
    <w:p>
      <w:pPr>
        <w:pStyle w:val="4"/>
        <w:pageBreakBefore w:val="0"/>
        <w:widowControl w:val="0"/>
        <w:kinsoku/>
        <w:wordWrap/>
        <w:overflowPunct/>
        <w:topLinePunct w:val="0"/>
        <w:autoSpaceDE/>
        <w:autoSpaceDN/>
        <w:bidi w:val="0"/>
        <w:adjustRightInd/>
        <w:snapToGrid/>
        <w:spacing w:line="560" w:lineRule="exact"/>
        <w:textAlignment w:val="auto"/>
        <w:outlineLvl w:val="1"/>
        <w:rPr>
          <w:rFonts w:ascii="仿宋" w:hAnsi="仿宋" w:eastAsia="仿宋"/>
          <w:color w:val="auto"/>
          <w:highlight w:val="none"/>
        </w:rPr>
      </w:pPr>
      <w:bookmarkStart w:id="368" w:name="_Toc15396621"/>
      <w:bookmarkStart w:id="369" w:name="_Toc21848"/>
      <w:r>
        <w:rPr>
          <w:rStyle w:val="28"/>
          <w:rFonts w:hint="eastAsia" w:ascii="仿宋" w:hAnsi="仿宋" w:eastAsia="仿宋"/>
          <w:b w:val="0"/>
          <w:bCs w:val="0"/>
          <w:color w:val="auto"/>
          <w:highlight w:val="none"/>
        </w:rPr>
        <w:t>三、</w:t>
      </w:r>
      <w:r>
        <w:rPr>
          <w:rFonts w:hint="eastAsia" w:ascii="仿宋" w:hAnsi="仿宋" w:eastAsia="仿宋"/>
          <w:b w:val="0"/>
          <w:color w:val="auto"/>
          <w:highlight w:val="none"/>
        </w:rPr>
        <w:t>支</w:t>
      </w:r>
      <w:r>
        <w:rPr>
          <w:rStyle w:val="28"/>
          <w:rFonts w:hint="eastAsia" w:ascii="仿宋" w:hAnsi="仿宋" w:eastAsia="仿宋"/>
          <w:b w:val="0"/>
          <w:bCs w:val="0"/>
          <w:color w:val="auto"/>
          <w:highlight w:val="none"/>
        </w:rPr>
        <w:t>出决算表</w:t>
      </w:r>
      <w:bookmarkEnd w:id="368"/>
      <w:bookmarkEnd w:id="369"/>
    </w:p>
    <w:p>
      <w:pPr>
        <w:pStyle w:val="4"/>
        <w:pageBreakBefore w:val="0"/>
        <w:widowControl w:val="0"/>
        <w:kinsoku/>
        <w:wordWrap/>
        <w:overflowPunct/>
        <w:topLinePunct w:val="0"/>
        <w:autoSpaceDE/>
        <w:autoSpaceDN/>
        <w:bidi w:val="0"/>
        <w:adjustRightInd/>
        <w:snapToGrid/>
        <w:spacing w:line="560" w:lineRule="exact"/>
        <w:textAlignment w:val="auto"/>
        <w:outlineLvl w:val="1"/>
        <w:rPr>
          <w:rFonts w:ascii="仿宋" w:hAnsi="仿宋" w:eastAsia="仿宋"/>
          <w:b w:val="0"/>
          <w:color w:val="auto"/>
          <w:highlight w:val="none"/>
        </w:rPr>
      </w:pPr>
      <w:bookmarkStart w:id="370" w:name="_Toc15396622"/>
      <w:bookmarkStart w:id="371" w:name="_Toc31396"/>
      <w:r>
        <w:rPr>
          <w:rStyle w:val="28"/>
          <w:rFonts w:hint="eastAsia" w:ascii="仿宋" w:hAnsi="仿宋" w:eastAsia="仿宋"/>
          <w:b w:val="0"/>
          <w:bCs w:val="0"/>
          <w:color w:val="auto"/>
          <w:highlight w:val="none"/>
        </w:rPr>
        <w:t>四、</w:t>
      </w:r>
      <w:r>
        <w:rPr>
          <w:rFonts w:hint="eastAsia" w:ascii="仿宋" w:hAnsi="仿宋" w:eastAsia="仿宋"/>
          <w:b w:val="0"/>
          <w:color w:val="auto"/>
          <w:highlight w:val="none"/>
        </w:rPr>
        <w:t>财</w:t>
      </w:r>
      <w:r>
        <w:rPr>
          <w:rStyle w:val="28"/>
          <w:rFonts w:hint="eastAsia" w:ascii="仿宋" w:hAnsi="仿宋" w:eastAsia="仿宋"/>
          <w:b w:val="0"/>
          <w:bCs w:val="0"/>
          <w:color w:val="auto"/>
          <w:highlight w:val="none"/>
        </w:rPr>
        <w:t>政拨款收入支出决算总表</w:t>
      </w:r>
      <w:bookmarkEnd w:id="370"/>
      <w:bookmarkEnd w:id="371"/>
    </w:p>
    <w:p>
      <w:pPr>
        <w:pStyle w:val="4"/>
        <w:pageBreakBefore w:val="0"/>
        <w:widowControl w:val="0"/>
        <w:kinsoku/>
        <w:wordWrap/>
        <w:overflowPunct/>
        <w:topLinePunct w:val="0"/>
        <w:autoSpaceDE/>
        <w:autoSpaceDN/>
        <w:bidi w:val="0"/>
        <w:adjustRightInd/>
        <w:snapToGrid/>
        <w:spacing w:line="560" w:lineRule="exact"/>
        <w:textAlignment w:val="auto"/>
        <w:outlineLvl w:val="1"/>
        <w:rPr>
          <w:rStyle w:val="28"/>
          <w:rFonts w:ascii="仿宋" w:hAnsi="仿宋" w:eastAsia="仿宋"/>
          <w:b w:val="0"/>
          <w:bCs w:val="0"/>
          <w:color w:val="auto"/>
          <w:highlight w:val="none"/>
        </w:rPr>
      </w:pPr>
      <w:bookmarkStart w:id="372" w:name="_Toc15396623"/>
      <w:bookmarkStart w:id="373" w:name="_Toc28357"/>
      <w:r>
        <w:rPr>
          <w:rStyle w:val="28"/>
          <w:rFonts w:hint="eastAsia" w:ascii="仿宋" w:hAnsi="仿宋" w:eastAsia="仿宋"/>
          <w:b w:val="0"/>
          <w:bCs w:val="0"/>
          <w:color w:val="auto"/>
          <w:highlight w:val="none"/>
        </w:rPr>
        <w:t>五、</w:t>
      </w:r>
      <w:r>
        <w:rPr>
          <w:rFonts w:hint="eastAsia" w:ascii="仿宋" w:hAnsi="仿宋" w:eastAsia="仿宋"/>
          <w:b w:val="0"/>
          <w:color w:val="auto"/>
          <w:highlight w:val="none"/>
        </w:rPr>
        <w:t>财</w:t>
      </w:r>
      <w:r>
        <w:rPr>
          <w:rStyle w:val="28"/>
          <w:rFonts w:hint="eastAsia" w:ascii="仿宋" w:hAnsi="仿宋" w:eastAsia="仿宋"/>
          <w:b w:val="0"/>
          <w:bCs w:val="0"/>
          <w:color w:val="auto"/>
          <w:highlight w:val="none"/>
        </w:rPr>
        <w:t>政拨款支出决算明细表</w:t>
      </w:r>
      <w:bookmarkEnd w:id="372"/>
      <w:bookmarkEnd w:id="373"/>
      <w:bookmarkStart w:id="374" w:name="_Toc15396624"/>
    </w:p>
    <w:p>
      <w:pPr>
        <w:pStyle w:val="4"/>
        <w:pageBreakBefore w:val="0"/>
        <w:widowControl w:val="0"/>
        <w:kinsoku/>
        <w:wordWrap/>
        <w:overflowPunct/>
        <w:topLinePunct w:val="0"/>
        <w:autoSpaceDE/>
        <w:autoSpaceDN/>
        <w:bidi w:val="0"/>
        <w:adjustRightInd/>
        <w:snapToGrid/>
        <w:spacing w:line="560" w:lineRule="exact"/>
        <w:textAlignment w:val="auto"/>
        <w:outlineLvl w:val="1"/>
        <w:rPr>
          <w:rFonts w:ascii="仿宋" w:hAnsi="仿宋" w:eastAsia="仿宋"/>
          <w:color w:val="auto"/>
          <w:highlight w:val="none"/>
        </w:rPr>
      </w:pPr>
      <w:bookmarkStart w:id="375" w:name="_Toc20933"/>
      <w:r>
        <w:rPr>
          <w:rStyle w:val="28"/>
          <w:rFonts w:hint="eastAsia" w:ascii="仿宋" w:hAnsi="仿宋" w:eastAsia="仿宋"/>
          <w:b w:val="0"/>
          <w:bCs w:val="0"/>
          <w:color w:val="auto"/>
          <w:highlight w:val="none"/>
        </w:rPr>
        <w:t>六、</w:t>
      </w:r>
      <w:r>
        <w:rPr>
          <w:rFonts w:hint="eastAsia" w:ascii="仿宋" w:hAnsi="仿宋" w:eastAsia="仿宋"/>
          <w:b w:val="0"/>
          <w:color w:val="auto"/>
          <w:highlight w:val="none"/>
        </w:rPr>
        <w:t>一</w:t>
      </w:r>
      <w:r>
        <w:rPr>
          <w:rStyle w:val="28"/>
          <w:rFonts w:hint="eastAsia" w:ascii="仿宋" w:hAnsi="仿宋" w:eastAsia="仿宋"/>
          <w:b w:val="0"/>
          <w:bCs w:val="0"/>
          <w:color w:val="auto"/>
          <w:highlight w:val="none"/>
        </w:rPr>
        <w:t>般公共预算财政拨款支出决算表</w:t>
      </w:r>
      <w:bookmarkEnd w:id="374"/>
      <w:bookmarkEnd w:id="375"/>
    </w:p>
    <w:p>
      <w:pPr>
        <w:pStyle w:val="4"/>
        <w:pageBreakBefore w:val="0"/>
        <w:widowControl w:val="0"/>
        <w:kinsoku/>
        <w:wordWrap/>
        <w:overflowPunct/>
        <w:topLinePunct w:val="0"/>
        <w:autoSpaceDE/>
        <w:autoSpaceDN/>
        <w:bidi w:val="0"/>
        <w:adjustRightInd/>
        <w:snapToGrid/>
        <w:spacing w:line="560" w:lineRule="exact"/>
        <w:textAlignment w:val="auto"/>
        <w:outlineLvl w:val="1"/>
        <w:rPr>
          <w:rFonts w:ascii="仿宋" w:hAnsi="仿宋" w:eastAsia="仿宋"/>
          <w:color w:val="auto"/>
          <w:highlight w:val="none"/>
        </w:rPr>
      </w:pPr>
      <w:bookmarkStart w:id="376" w:name="_Toc15396625"/>
      <w:bookmarkStart w:id="377" w:name="_Toc26699"/>
      <w:r>
        <w:rPr>
          <w:rStyle w:val="28"/>
          <w:rFonts w:hint="eastAsia" w:ascii="仿宋" w:hAnsi="仿宋" w:eastAsia="仿宋"/>
          <w:b w:val="0"/>
          <w:bCs w:val="0"/>
          <w:color w:val="auto"/>
          <w:highlight w:val="none"/>
        </w:rPr>
        <w:t>七、</w:t>
      </w:r>
      <w:r>
        <w:rPr>
          <w:rFonts w:hint="eastAsia" w:ascii="仿宋" w:hAnsi="仿宋" w:eastAsia="仿宋"/>
          <w:b w:val="0"/>
          <w:color w:val="auto"/>
          <w:highlight w:val="none"/>
        </w:rPr>
        <w:t>一</w:t>
      </w:r>
      <w:r>
        <w:rPr>
          <w:rStyle w:val="28"/>
          <w:rFonts w:hint="eastAsia" w:ascii="仿宋" w:hAnsi="仿宋" w:eastAsia="仿宋"/>
          <w:b w:val="0"/>
          <w:bCs w:val="0"/>
          <w:color w:val="auto"/>
          <w:highlight w:val="none"/>
        </w:rPr>
        <w:t>般公共预算财政拨款支出决算明细表</w:t>
      </w:r>
      <w:bookmarkEnd w:id="376"/>
      <w:bookmarkEnd w:id="377"/>
    </w:p>
    <w:p>
      <w:pPr>
        <w:pStyle w:val="4"/>
        <w:pageBreakBefore w:val="0"/>
        <w:widowControl w:val="0"/>
        <w:kinsoku/>
        <w:wordWrap/>
        <w:overflowPunct/>
        <w:topLinePunct w:val="0"/>
        <w:autoSpaceDE/>
        <w:autoSpaceDN/>
        <w:bidi w:val="0"/>
        <w:adjustRightInd/>
        <w:snapToGrid/>
        <w:spacing w:line="560" w:lineRule="exact"/>
        <w:textAlignment w:val="auto"/>
        <w:outlineLvl w:val="1"/>
        <w:rPr>
          <w:rFonts w:ascii="仿宋" w:hAnsi="仿宋" w:eastAsia="仿宋"/>
          <w:color w:val="auto"/>
          <w:highlight w:val="none"/>
        </w:rPr>
      </w:pPr>
      <w:bookmarkStart w:id="378" w:name="_Toc15396626"/>
      <w:bookmarkStart w:id="379" w:name="_Toc11547"/>
      <w:r>
        <w:rPr>
          <w:rStyle w:val="28"/>
          <w:rFonts w:hint="eastAsia" w:ascii="仿宋" w:hAnsi="仿宋" w:eastAsia="仿宋"/>
          <w:b w:val="0"/>
          <w:bCs w:val="0"/>
          <w:color w:val="auto"/>
          <w:highlight w:val="none"/>
        </w:rPr>
        <w:t>八、</w:t>
      </w:r>
      <w:r>
        <w:rPr>
          <w:rFonts w:hint="eastAsia" w:ascii="仿宋" w:hAnsi="仿宋" w:eastAsia="仿宋"/>
          <w:b w:val="0"/>
          <w:color w:val="auto"/>
          <w:highlight w:val="none"/>
        </w:rPr>
        <w:t>一</w:t>
      </w:r>
      <w:r>
        <w:rPr>
          <w:rStyle w:val="28"/>
          <w:rFonts w:hint="eastAsia" w:ascii="仿宋" w:hAnsi="仿宋" w:eastAsia="仿宋"/>
          <w:b w:val="0"/>
          <w:bCs w:val="0"/>
          <w:color w:val="auto"/>
          <w:highlight w:val="none"/>
        </w:rPr>
        <w:t>般公共预算财政拨款基本支出决算表</w:t>
      </w:r>
      <w:bookmarkEnd w:id="378"/>
      <w:bookmarkEnd w:id="379"/>
    </w:p>
    <w:p>
      <w:pPr>
        <w:pStyle w:val="4"/>
        <w:pageBreakBefore w:val="0"/>
        <w:widowControl w:val="0"/>
        <w:kinsoku/>
        <w:wordWrap/>
        <w:overflowPunct/>
        <w:topLinePunct w:val="0"/>
        <w:autoSpaceDE/>
        <w:autoSpaceDN/>
        <w:bidi w:val="0"/>
        <w:adjustRightInd/>
        <w:snapToGrid/>
        <w:spacing w:line="560" w:lineRule="exact"/>
        <w:textAlignment w:val="auto"/>
        <w:outlineLvl w:val="1"/>
        <w:rPr>
          <w:rFonts w:ascii="仿宋" w:hAnsi="仿宋" w:eastAsia="仿宋"/>
          <w:color w:val="auto"/>
          <w:highlight w:val="none"/>
        </w:rPr>
      </w:pPr>
      <w:bookmarkStart w:id="380" w:name="_Toc15396627"/>
      <w:bookmarkStart w:id="381" w:name="_Toc12471"/>
      <w:r>
        <w:rPr>
          <w:rStyle w:val="28"/>
          <w:rFonts w:hint="eastAsia" w:ascii="仿宋" w:hAnsi="仿宋" w:eastAsia="仿宋"/>
          <w:b w:val="0"/>
          <w:bCs w:val="0"/>
          <w:color w:val="auto"/>
          <w:highlight w:val="none"/>
        </w:rPr>
        <w:t>九、</w:t>
      </w:r>
      <w:r>
        <w:rPr>
          <w:rFonts w:hint="eastAsia" w:ascii="仿宋" w:hAnsi="仿宋" w:eastAsia="仿宋"/>
          <w:b w:val="0"/>
          <w:color w:val="auto"/>
          <w:highlight w:val="none"/>
        </w:rPr>
        <w:t>一</w:t>
      </w:r>
      <w:r>
        <w:rPr>
          <w:rStyle w:val="28"/>
          <w:rFonts w:hint="eastAsia" w:ascii="仿宋" w:hAnsi="仿宋" w:eastAsia="仿宋"/>
          <w:b w:val="0"/>
          <w:bCs w:val="0"/>
          <w:color w:val="auto"/>
          <w:highlight w:val="none"/>
        </w:rPr>
        <w:t>般公共预算财政拨款项目支出决算表</w:t>
      </w:r>
      <w:bookmarkEnd w:id="380"/>
      <w:bookmarkEnd w:id="381"/>
    </w:p>
    <w:p>
      <w:pPr>
        <w:pStyle w:val="4"/>
        <w:pageBreakBefore w:val="0"/>
        <w:widowControl w:val="0"/>
        <w:kinsoku/>
        <w:wordWrap/>
        <w:overflowPunct/>
        <w:topLinePunct w:val="0"/>
        <w:autoSpaceDE/>
        <w:autoSpaceDN/>
        <w:bidi w:val="0"/>
        <w:adjustRightInd/>
        <w:snapToGrid/>
        <w:spacing w:line="560" w:lineRule="exact"/>
        <w:textAlignment w:val="auto"/>
        <w:outlineLvl w:val="1"/>
        <w:rPr>
          <w:rFonts w:ascii="仿宋" w:hAnsi="仿宋" w:eastAsia="仿宋"/>
          <w:color w:val="auto"/>
          <w:highlight w:val="none"/>
        </w:rPr>
      </w:pPr>
      <w:bookmarkStart w:id="382" w:name="_Toc15396628"/>
      <w:bookmarkStart w:id="383" w:name="_Toc11819"/>
      <w:r>
        <w:rPr>
          <w:rStyle w:val="28"/>
          <w:rFonts w:hint="eastAsia" w:ascii="仿宋" w:hAnsi="仿宋" w:eastAsia="仿宋"/>
          <w:b w:val="0"/>
          <w:bCs w:val="0"/>
          <w:color w:val="auto"/>
          <w:highlight w:val="none"/>
        </w:rPr>
        <w:t>十、</w:t>
      </w:r>
      <w:bookmarkEnd w:id="382"/>
      <w:r>
        <w:rPr>
          <w:rFonts w:hint="eastAsia" w:ascii="仿宋" w:hAnsi="仿宋" w:eastAsia="仿宋"/>
          <w:b w:val="0"/>
          <w:color w:val="auto"/>
          <w:highlight w:val="none"/>
        </w:rPr>
        <w:t>政</w:t>
      </w:r>
      <w:r>
        <w:rPr>
          <w:rStyle w:val="28"/>
          <w:rFonts w:hint="eastAsia" w:ascii="仿宋" w:hAnsi="仿宋" w:eastAsia="仿宋"/>
          <w:b w:val="0"/>
          <w:bCs w:val="0"/>
          <w:color w:val="auto"/>
          <w:highlight w:val="none"/>
        </w:rPr>
        <w:t>府性基金预算财政拨款收入支出决算表</w:t>
      </w:r>
      <w:bookmarkEnd w:id="383"/>
    </w:p>
    <w:p>
      <w:pPr>
        <w:pStyle w:val="4"/>
        <w:pageBreakBefore w:val="0"/>
        <w:widowControl w:val="0"/>
        <w:kinsoku/>
        <w:wordWrap/>
        <w:overflowPunct/>
        <w:topLinePunct w:val="0"/>
        <w:autoSpaceDE/>
        <w:autoSpaceDN/>
        <w:bidi w:val="0"/>
        <w:adjustRightInd/>
        <w:snapToGrid/>
        <w:spacing w:line="560" w:lineRule="exact"/>
        <w:textAlignment w:val="auto"/>
        <w:outlineLvl w:val="1"/>
        <w:rPr>
          <w:rFonts w:ascii="仿宋" w:hAnsi="仿宋" w:eastAsia="仿宋"/>
          <w:color w:val="auto"/>
          <w:highlight w:val="none"/>
        </w:rPr>
      </w:pPr>
      <w:bookmarkStart w:id="384" w:name="_Toc15396629"/>
      <w:bookmarkStart w:id="385" w:name="_Toc24997"/>
      <w:r>
        <w:rPr>
          <w:rStyle w:val="28"/>
          <w:rFonts w:hint="eastAsia" w:ascii="仿宋" w:hAnsi="仿宋" w:eastAsia="仿宋"/>
          <w:b w:val="0"/>
          <w:bCs w:val="0"/>
          <w:color w:val="auto"/>
          <w:highlight w:val="none"/>
        </w:rPr>
        <w:t>十一、</w:t>
      </w:r>
      <w:bookmarkEnd w:id="384"/>
      <w:r>
        <w:rPr>
          <w:rFonts w:hint="eastAsia" w:ascii="仿宋" w:hAnsi="仿宋" w:eastAsia="仿宋"/>
          <w:b w:val="0"/>
          <w:color w:val="auto"/>
          <w:highlight w:val="none"/>
        </w:rPr>
        <w:t>国</w:t>
      </w:r>
      <w:r>
        <w:rPr>
          <w:rStyle w:val="28"/>
          <w:rFonts w:hint="eastAsia" w:ascii="仿宋" w:hAnsi="仿宋" w:eastAsia="仿宋"/>
          <w:b w:val="0"/>
          <w:bCs w:val="0"/>
          <w:color w:val="auto"/>
          <w:highlight w:val="none"/>
        </w:rPr>
        <w:t>有资本经营预算</w:t>
      </w:r>
      <w:r>
        <w:rPr>
          <w:rStyle w:val="28"/>
          <w:rFonts w:hint="eastAsia" w:ascii="仿宋" w:hAnsi="仿宋" w:eastAsia="仿宋"/>
          <w:b w:val="0"/>
          <w:bCs w:val="0"/>
          <w:color w:val="auto"/>
          <w:highlight w:val="none"/>
          <w:lang w:eastAsia="zh-CN"/>
        </w:rPr>
        <w:t>财政拨款收入</w:t>
      </w:r>
      <w:r>
        <w:rPr>
          <w:rStyle w:val="28"/>
          <w:rFonts w:hint="eastAsia" w:ascii="仿宋" w:hAnsi="仿宋" w:eastAsia="仿宋"/>
          <w:b w:val="0"/>
          <w:bCs w:val="0"/>
          <w:color w:val="auto"/>
          <w:highlight w:val="none"/>
        </w:rPr>
        <w:t>支出决算表</w:t>
      </w:r>
      <w:bookmarkEnd w:id="385"/>
    </w:p>
    <w:p>
      <w:pPr>
        <w:pStyle w:val="4"/>
        <w:pageBreakBefore w:val="0"/>
        <w:widowControl w:val="0"/>
        <w:kinsoku/>
        <w:wordWrap/>
        <w:overflowPunct/>
        <w:topLinePunct w:val="0"/>
        <w:autoSpaceDE/>
        <w:autoSpaceDN/>
        <w:bidi w:val="0"/>
        <w:adjustRightInd/>
        <w:snapToGrid/>
        <w:spacing w:line="560" w:lineRule="exact"/>
        <w:textAlignment w:val="auto"/>
        <w:outlineLvl w:val="1"/>
        <w:rPr>
          <w:rFonts w:ascii="仿宋" w:hAnsi="仿宋" w:eastAsia="仿宋"/>
          <w:color w:val="auto"/>
          <w:highlight w:val="none"/>
        </w:rPr>
      </w:pPr>
      <w:bookmarkStart w:id="386" w:name="_Toc15396630"/>
      <w:bookmarkStart w:id="387" w:name="_Toc13738"/>
      <w:r>
        <w:rPr>
          <w:rStyle w:val="28"/>
          <w:rFonts w:hint="eastAsia" w:ascii="仿宋" w:hAnsi="仿宋" w:eastAsia="仿宋"/>
          <w:b w:val="0"/>
          <w:bCs w:val="0"/>
          <w:color w:val="auto"/>
          <w:highlight w:val="none"/>
        </w:rPr>
        <w:t>十二、</w:t>
      </w:r>
      <w:bookmarkEnd w:id="386"/>
      <w:r>
        <w:rPr>
          <w:rStyle w:val="28"/>
          <w:rFonts w:hint="eastAsia" w:ascii="仿宋" w:hAnsi="仿宋" w:eastAsia="仿宋"/>
          <w:b w:val="0"/>
          <w:bCs w:val="0"/>
          <w:color w:val="auto"/>
          <w:highlight w:val="none"/>
          <w:lang w:eastAsia="zh-CN"/>
        </w:rPr>
        <w:t>国有资本经营预算财政拨款支出决算表</w:t>
      </w:r>
      <w:bookmarkEnd w:id="387"/>
    </w:p>
    <w:p>
      <w:pPr>
        <w:pStyle w:val="4"/>
        <w:pageBreakBefore w:val="0"/>
        <w:widowControl w:val="0"/>
        <w:kinsoku/>
        <w:wordWrap/>
        <w:overflowPunct/>
        <w:topLinePunct w:val="0"/>
        <w:autoSpaceDE/>
        <w:autoSpaceDN/>
        <w:bidi w:val="0"/>
        <w:adjustRightInd/>
        <w:snapToGrid/>
        <w:spacing w:line="560" w:lineRule="exact"/>
        <w:textAlignment w:val="auto"/>
        <w:outlineLvl w:val="1"/>
        <w:rPr>
          <w:rFonts w:hint="eastAsia" w:eastAsia="仿宋"/>
          <w:color w:val="auto"/>
          <w:highlight w:val="none"/>
          <w:lang w:eastAsia="zh-CN"/>
        </w:rPr>
      </w:pPr>
      <w:bookmarkStart w:id="388" w:name="_Toc15396631"/>
      <w:bookmarkStart w:id="389" w:name="_Toc22637"/>
      <w:r>
        <w:rPr>
          <w:rStyle w:val="28"/>
          <w:rFonts w:hint="eastAsia" w:ascii="仿宋" w:hAnsi="仿宋" w:eastAsia="仿宋"/>
          <w:b w:val="0"/>
          <w:bCs w:val="0"/>
          <w:color w:val="auto"/>
          <w:highlight w:val="none"/>
        </w:rPr>
        <w:t>十三、</w:t>
      </w:r>
      <w:bookmarkEnd w:id="388"/>
      <w:r>
        <w:rPr>
          <w:rStyle w:val="28"/>
          <w:rFonts w:hint="eastAsia" w:ascii="仿宋" w:hAnsi="仿宋" w:eastAsia="仿宋"/>
          <w:b w:val="0"/>
          <w:bCs w:val="0"/>
          <w:color w:val="auto"/>
          <w:highlight w:val="none"/>
          <w:lang w:eastAsia="zh-CN"/>
        </w:rPr>
        <w:t>财政拨款“三公”经费支出决算表</w:t>
      </w:r>
      <w:bookmarkEnd w:id="389"/>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
    <w:altName w:val="Times New Roman"/>
    <w:panose1 w:val="00000000000000000000"/>
    <w:charset w:val="00"/>
    <w:family w:val="roman"/>
    <w:pitch w:val="default"/>
    <w:sig w:usb0="00000000" w:usb1="00000000" w:usb2="00000000" w:usb3="00000000" w:csb0="00000000" w:csb1="00000000"/>
  </w:font>
  <w:font w:name="方正小标宋简体">
    <w:altName w:val="黑体"/>
    <w:panose1 w:val="03000509000000000000"/>
    <w:charset w:val="86"/>
    <w:family w:val="script"/>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方正仿宋简体">
    <w:altName w:val="微软雅黑"/>
    <w:panose1 w:val="03000509000000000000"/>
    <w:charset w:val="86"/>
    <w:family w:val="script"/>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9"/>
          <w:jc w:val="center"/>
        </w:pPr>
        <w:r>
          <w:fldChar w:fldCharType="begin"/>
        </w:r>
        <w:r>
          <w:instrText xml:space="preserve">PAGE   \* MERGEFORMAT</w:instrText>
        </w:r>
        <w:r>
          <w:fldChar w:fldCharType="separate"/>
        </w:r>
        <w:r>
          <w:rPr>
            <w:lang w:val="zh-CN"/>
          </w:rPr>
          <w:t>8</w:t>
        </w:r>
        <w:r>
          <w:fldChar w:fldCharType="end"/>
        </w:r>
      </w:p>
    </w:sdtContent>
  </w:sdt>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652CEC"/>
    <w:multiLevelType w:val="singleLevel"/>
    <w:tmpl w:val="CF652CEC"/>
    <w:lvl w:ilvl="0" w:tentative="0">
      <w:start w:val="9"/>
      <w:numFmt w:val="chineseCounting"/>
      <w:suff w:val="nothing"/>
      <w:lvlText w:val="%1、"/>
      <w:lvlJc w:val="left"/>
      <w:rPr>
        <w:rFonts w:hint="eastAsia"/>
      </w:rPr>
    </w:lvl>
  </w:abstractNum>
  <w:abstractNum w:abstractNumId="1">
    <w:nsid w:val="E2FA047D"/>
    <w:multiLevelType w:val="singleLevel"/>
    <w:tmpl w:val="E2FA047D"/>
    <w:lvl w:ilvl="0" w:tentative="0">
      <w:start w:val="3"/>
      <w:numFmt w:val="chineseCounting"/>
      <w:suff w:val="space"/>
      <w:lvlText w:val="第%1部分"/>
      <w:lvlJc w:val="left"/>
      <w:rPr>
        <w:rFonts w:hint="eastAsia"/>
      </w:rPr>
    </w:lvl>
  </w:abstractNum>
  <w:abstractNum w:abstractNumId="2">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M0M2VlMzAxNjhhMDgwMTE1ZTIwYWRmZTA4ZTFhMDEifQ=="/>
  </w:docVars>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1D62"/>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D6D05"/>
    <w:rsid w:val="002F1818"/>
    <w:rsid w:val="002F567B"/>
    <w:rsid w:val="003216A9"/>
    <w:rsid w:val="00335A74"/>
    <w:rsid w:val="0036561B"/>
    <w:rsid w:val="0037013F"/>
    <w:rsid w:val="00380C92"/>
    <w:rsid w:val="003A484F"/>
    <w:rsid w:val="003A4883"/>
    <w:rsid w:val="003B0BE0"/>
    <w:rsid w:val="003B0C1B"/>
    <w:rsid w:val="003B13C4"/>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664BB"/>
    <w:rsid w:val="00566FFA"/>
    <w:rsid w:val="0057481D"/>
    <w:rsid w:val="0058486E"/>
    <w:rsid w:val="00585B33"/>
    <w:rsid w:val="0059014D"/>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87FD8"/>
    <w:rsid w:val="00C91381"/>
    <w:rsid w:val="00C91CBB"/>
    <w:rsid w:val="00CB4E70"/>
    <w:rsid w:val="00CC09B6"/>
    <w:rsid w:val="00CC666F"/>
    <w:rsid w:val="00CD1E3F"/>
    <w:rsid w:val="00CE44F6"/>
    <w:rsid w:val="00CE49DA"/>
    <w:rsid w:val="00CE7B61"/>
    <w:rsid w:val="00D00095"/>
    <w:rsid w:val="00D114F0"/>
    <w:rsid w:val="00D20620"/>
    <w:rsid w:val="00D20DCF"/>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11078C7"/>
    <w:rsid w:val="015975B8"/>
    <w:rsid w:val="02143E91"/>
    <w:rsid w:val="02387489"/>
    <w:rsid w:val="02702D13"/>
    <w:rsid w:val="02F54CB1"/>
    <w:rsid w:val="039368D6"/>
    <w:rsid w:val="04802709"/>
    <w:rsid w:val="04E62E18"/>
    <w:rsid w:val="066E0107"/>
    <w:rsid w:val="07626246"/>
    <w:rsid w:val="07996F6E"/>
    <w:rsid w:val="07AA02C2"/>
    <w:rsid w:val="07E13D6B"/>
    <w:rsid w:val="08674270"/>
    <w:rsid w:val="08E12275"/>
    <w:rsid w:val="09B72FD5"/>
    <w:rsid w:val="09C13315"/>
    <w:rsid w:val="09E162A4"/>
    <w:rsid w:val="0A2032A3"/>
    <w:rsid w:val="0AD57DB3"/>
    <w:rsid w:val="0AE45C33"/>
    <w:rsid w:val="0B00351E"/>
    <w:rsid w:val="0B674587"/>
    <w:rsid w:val="0CAC6C07"/>
    <w:rsid w:val="0CB21420"/>
    <w:rsid w:val="0CC65B7D"/>
    <w:rsid w:val="0CF17A26"/>
    <w:rsid w:val="0D09498F"/>
    <w:rsid w:val="0D1C3CA3"/>
    <w:rsid w:val="0DB029F1"/>
    <w:rsid w:val="0DCD1B11"/>
    <w:rsid w:val="0DDF799D"/>
    <w:rsid w:val="0E8042DE"/>
    <w:rsid w:val="0ECB3E31"/>
    <w:rsid w:val="0F1A028E"/>
    <w:rsid w:val="0F98263C"/>
    <w:rsid w:val="101860EC"/>
    <w:rsid w:val="103250DB"/>
    <w:rsid w:val="10C055FF"/>
    <w:rsid w:val="117D2D56"/>
    <w:rsid w:val="118107EC"/>
    <w:rsid w:val="126D2DCB"/>
    <w:rsid w:val="13CC3B21"/>
    <w:rsid w:val="13D50BC4"/>
    <w:rsid w:val="13D7279C"/>
    <w:rsid w:val="13FF7A53"/>
    <w:rsid w:val="151268D1"/>
    <w:rsid w:val="15D171CD"/>
    <w:rsid w:val="162A2B7B"/>
    <w:rsid w:val="166149F5"/>
    <w:rsid w:val="16BB723D"/>
    <w:rsid w:val="16E82A20"/>
    <w:rsid w:val="16EE1FB4"/>
    <w:rsid w:val="17463108"/>
    <w:rsid w:val="17894CE1"/>
    <w:rsid w:val="178A7F7B"/>
    <w:rsid w:val="17B41AB7"/>
    <w:rsid w:val="18A312F5"/>
    <w:rsid w:val="18EB4A4A"/>
    <w:rsid w:val="192166BD"/>
    <w:rsid w:val="197D4D53"/>
    <w:rsid w:val="19930995"/>
    <w:rsid w:val="199B021E"/>
    <w:rsid w:val="19C01A32"/>
    <w:rsid w:val="1A204BC7"/>
    <w:rsid w:val="1AF3198E"/>
    <w:rsid w:val="1B9A4E62"/>
    <w:rsid w:val="1BB05BDF"/>
    <w:rsid w:val="1BE8440E"/>
    <w:rsid w:val="1D155CEE"/>
    <w:rsid w:val="1D2A4E97"/>
    <w:rsid w:val="1DD71A40"/>
    <w:rsid w:val="1EDB2E6A"/>
    <w:rsid w:val="1FB738D7"/>
    <w:rsid w:val="1FCF6E73"/>
    <w:rsid w:val="1FF35744"/>
    <w:rsid w:val="20605D1D"/>
    <w:rsid w:val="22121299"/>
    <w:rsid w:val="23137077"/>
    <w:rsid w:val="23860B96"/>
    <w:rsid w:val="240371BF"/>
    <w:rsid w:val="24450448"/>
    <w:rsid w:val="24E011DB"/>
    <w:rsid w:val="25682482"/>
    <w:rsid w:val="268564DD"/>
    <w:rsid w:val="27DD57C6"/>
    <w:rsid w:val="27FC5CE7"/>
    <w:rsid w:val="28F214DC"/>
    <w:rsid w:val="290D6316"/>
    <w:rsid w:val="2926571F"/>
    <w:rsid w:val="29D90F61"/>
    <w:rsid w:val="29DB01C2"/>
    <w:rsid w:val="29FD04D3"/>
    <w:rsid w:val="2A351B6F"/>
    <w:rsid w:val="2BC25ADE"/>
    <w:rsid w:val="2C8A61B5"/>
    <w:rsid w:val="2CAE1BBE"/>
    <w:rsid w:val="2DF04E50"/>
    <w:rsid w:val="2E335682"/>
    <w:rsid w:val="2EAB0790"/>
    <w:rsid w:val="2F040D46"/>
    <w:rsid w:val="30313232"/>
    <w:rsid w:val="30A05CC2"/>
    <w:rsid w:val="30B55C11"/>
    <w:rsid w:val="319F7F4E"/>
    <w:rsid w:val="32035AEE"/>
    <w:rsid w:val="3304709D"/>
    <w:rsid w:val="338418CB"/>
    <w:rsid w:val="34F34F5A"/>
    <w:rsid w:val="351C27D7"/>
    <w:rsid w:val="354C06F0"/>
    <w:rsid w:val="356E75D7"/>
    <w:rsid w:val="361614B1"/>
    <w:rsid w:val="3687595A"/>
    <w:rsid w:val="368D584E"/>
    <w:rsid w:val="36AA5135"/>
    <w:rsid w:val="376D39B2"/>
    <w:rsid w:val="37E16F03"/>
    <w:rsid w:val="382A2A41"/>
    <w:rsid w:val="385950D4"/>
    <w:rsid w:val="38D469F0"/>
    <w:rsid w:val="39882ABE"/>
    <w:rsid w:val="3A2E2B24"/>
    <w:rsid w:val="3A5B34F8"/>
    <w:rsid w:val="3AE85AF2"/>
    <w:rsid w:val="3B647F8C"/>
    <w:rsid w:val="3C3A2FE5"/>
    <w:rsid w:val="3C5E1804"/>
    <w:rsid w:val="3C661F5B"/>
    <w:rsid w:val="3D043BDA"/>
    <w:rsid w:val="3D193084"/>
    <w:rsid w:val="3D98207C"/>
    <w:rsid w:val="3E4C18B7"/>
    <w:rsid w:val="3E78745D"/>
    <w:rsid w:val="3F812D8F"/>
    <w:rsid w:val="3FDD2F01"/>
    <w:rsid w:val="40F76323"/>
    <w:rsid w:val="41602C1C"/>
    <w:rsid w:val="421A7873"/>
    <w:rsid w:val="42913E89"/>
    <w:rsid w:val="42CB3072"/>
    <w:rsid w:val="439B179D"/>
    <w:rsid w:val="440305EA"/>
    <w:rsid w:val="447D2D74"/>
    <w:rsid w:val="44E268DA"/>
    <w:rsid w:val="459E27C0"/>
    <w:rsid w:val="474E3F08"/>
    <w:rsid w:val="47B2035D"/>
    <w:rsid w:val="47D50858"/>
    <w:rsid w:val="48554F9B"/>
    <w:rsid w:val="487A531F"/>
    <w:rsid w:val="48D569F9"/>
    <w:rsid w:val="4A627F82"/>
    <w:rsid w:val="4B0E749A"/>
    <w:rsid w:val="4B4F25DA"/>
    <w:rsid w:val="4B7A5635"/>
    <w:rsid w:val="4BD541E9"/>
    <w:rsid w:val="4BE068DB"/>
    <w:rsid w:val="4BFE48AB"/>
    <w:rsid w:val="4CEC7766"/>
    <w:rsid w:val="4D577224"/>
    <w:rsid w:val="4EAB630A"/>
    <w:rsid w:val="4ECE2238"/>
    <w:rsid w:val="4FC25B8B"/>
    <w:rsid w:val="502142D2"/>
    <w:rsid w:val="51C5066C"/>
    <w:rsid w:val="51DC37AF"/>
    <w:rsid w:val="52543A0F"/>
    <w:rsid w:val="526D2C06"/>
    <w:rsid w:val="527B069A"/>
    <w:rsid w:val="52954989"/>
    <w:rsid w:val="531D5787"/>
    <w:rsid w:val="534E0209"/>
    <w:rsid w:val="537E6D0A"/>
    <w:rsid w:val="54662BFB"/>
    <w:rsid w:val="54747F90"/>
    <w:rsid w:val="54BC03B3"/>
    <w:rsid w:val="55020B76"/>
    <w:rsid w:val="55394252"/>
    <w:rsid w:val="562F5083"/>
    <w:rsid w:val="564A700D"/>
    <w:rsid w:val="56FE63C1"/>
    <w:rsid w:val="570D3802"/>
    <w:rsid w:val="57B64281"/>
    <w:rsid w:val="58DF1825"/>
    <w:rsid w:val="590C7D55"/>
    <w:rsid w:val="591744C4"/>
    <w:rsid w:val="594814BB"/>
    <w:rsid w:val="59D84111"/>
    <w:rsid w:val="5A6266A8"/>
    <w:rsid w:val="5AF706CF"/>
    <w:rsid w:val="5AF92295"/>
    <w:rsid w:val="5AFF70F5"/>
    <w:rsid w:val="5C337866"/>
    <w:rsid w:val="5CD71FC4"/>
    <w:rsid w:val="5DD973CA"/>
    <w:rsid w:val="5E530E11"/>
    <w:rsid w:val="5EE4753E"/>
    <w:rsid w:val="5EF7640B"/>
    <w:rsid w:val="5F080226"/>
    <w:rsid w:val="5F090D52"/>
    <w:rsid w:val="5F6F47EF"/>
    <w:rsid w:val="5FD72378"/>
    <w:rsid w:val="60003F04"/>
    <w:rsid w:val="60B44CEE"/>
    <w:rsid w:val="62A6291A"/>
    <w:rsid w:val="63CF1AF7"/>
    <w:rsid w:val="63E46D50"/>
    <w:rsid w:val="64A72B38"/>
    <w:rsid w:val="64FB1B3C"/>
    <w:rsid w:val="66FB3677"/>
    <w:rsid w:val="67314B68"/>
    <w:rsid w:val="674808E0"/>
    <w:rsid w:val="679B09B6"/>
    <w:rsid w:val="6AAA117B"/>
    <w:rsid w:val="6AE213F9"/>
    <w:rsid w:val="6B264A3A"/>
    <w:rsid w:val="6BF13C9F"/>
    <w:rsid w:val="6C4A05C8"/>
    <w:rsid w:val="6C8F6D86"/>
    <w:rsid w:val="6DCD1006"/>
    <w:rsid w:val="6E333C09"/>
    <w:rsid w:val="6E7E3605"/>
    <w:rsid w:val="6F0926A9"/>
    <w:rsid w:val="6F7044D6"/>
    <w:rsid w:val="6FA3760F"/>
    <w:rsid w:val="6FF5CC65"/>
    <w:rsid w:val="700D7F77"/>
    <w:rsid w:val="702552C0"/>
    <w:rsid w:val="708741CD"/>
    <w:rsid w:val="715C0E4B"/>
    <w:rsid w:val="72442376"/>
    <w:rsid w:val="72734D90"/>
    <w:rsid w:val="732235FC"/>
    <w:rsid w:val="7343262D"/>
    <w:rsid w:val="73AD73D5"/>
    <w:rsid w:val="73B6EB34"/>
    <w:rsid w:val="74162FD2"/>
    <w:rsid w:val="744731E5"/>
    <w:rsid w:val="74675EA7"/>
    <w:rsid w:val="74D95B29"/>
    <w:rsid w:val="751F2C26"/>
    <w:rsid w:val="753F5076"/>
    <w:rsid w:val="754B7577"/>
    <w:rsid w:val="759233F8"/>
    <w:rsid w:val="75A373B3"/>
    <w:rsid w:val="75B415C0"/>
    <w:rsid w:val="764F230E"/>
    <w:rsid w:val="76E3355F"/>
    <w:rsid w:val="778769C8"/>
    <w:rsid w:val="77DB2F49"/>
    <w:rsid w:val="77E501FC"/>
    <w:rsid w:val="7820118F"/>
    <w:rsid w:val="786B5EFF"/>
    <w:rsid w:val="78C064CE"/>
    <w:rsid w:val="795E6FED"/>
    <w:rsid w:val="79697FA8"/>
    <w:rsid w:val="79CE0777"/>
    <w:rsid w:val="79EE5BA4"/>
    <w:rsid w:val="7A262900"/>
    <w:rsid w:val="7A894339"/>
    <w:rsid w:val="7B622689"/>
    <w:rsid w:val="7CEF2EDE"/>
    <w:rsid w:val="7D366D5F"/>
    <w:rsid w:val="7E1065F1"/>
    <w:rsid w:val="7E1626EC"/>
    <w:rsid w:val="7EEF11D3"/>
    <w:rsid w:val="7F0A2251"/>
    <w:rsid w:val="7FA30C79"/>
    <w:rsid w:val="7FB7269E"/>
    <w:rsid w:val="7FC96657"/>
    <w:rsid w:val="D8D6DB89"/>
    <w:rsid w:val="DB6F4CAB"/>
    <w:rsid w:val="DF6F978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7"/>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28"/>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31"/>
    <w:unhideWhenUsed/>
    <w:qFormat/>
    <w:uiPriority w:val="9"/>
    <w:pPr>
      <w:keepNext/>
      <w:keepLines/>
      <w:spacing w:before="260" w:after="260" w:line="416" w:lineRule="auto"/>
      <w:outlineLvl w:val="2"/>
    </w:pPr>
    <w:rPr>
      <w:b/>
      <w:bCs/>
      <w:sz w:val="32"/>
      <w:szCs w:val="32"/>
    </w:rPr>
  </w:style>
  <w:style w:type="character" w:default="1" w:styleId="15">
    <w:name w:val="Default Paragraph Font"/>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24"/>
    <w:qFormat/>
    <w:uiPriority w:val="99"/>
    <w:pPr>
      <w:spacing w:beforeLines="30"/>
    </w:pPr>
    <w:rPr>
      <w:rFonts w:ascii="仿宋_GB2312" w:eastAsia="仿宋_GB2312"/>
      <w:kern w:val="0"/>
      <w:sz w:val="30"/>
    </w:rPr>
  </w:style>
  <w:style w:type="paragraph" w:styleId="6">
    <w:name w:val="Body Text Indent"/>
    <w:basedOn w:val="1"/>
    <w:qFormat/>
    <w:uiPriority w:val="0"/>
    <w:pPr>
      <w:spacing w:after="120"/>
      <w:ind w:leftChars="200"/>
    </w:pPr>
    <w:rPr>
      <w:rFonts w:ascii="仿宋_GB2312"/>
      <w:szCs w:val="32"/>
    </w:rPr>
  </w:style>
  <w:style w:type="paragraph" w:styleId="7">
    <w:name w:val="toc 3"/>
    <w:basedOn w:val="1"/>
    <w:next w:val="1"/>
    <w:unhideWhenUsed/>
    <w:qFormat/>
    <w:uiPriority w:val="39"/>
    <w:pPr>
      <w:tabs>
        <w:tab w:val="right" w:leader="dot" w:pos="8296"/>
      </w:tabs>
      <w:ind w:left="840" w:leftChars="400"/>
    </w:pPr>
  </w:style>
  <w:style w:type="paragraph" w:styleId="8">
    <w:name w:val="Balloon Text"/>
    <w:basedOn w:val="1"/>
    <w:link w:val="30"/>
    <w:semiHidden/>
    <w:unhideWhenUsed/>
    <w:qFormat/>
    <w:uiPriority w:val="99"/>
    <w:rPr>
      <w:sz w:val="18"/>
      <w:szCs w:val="18"/>
    </w:rPr>
  </w:style>
  <w:style w:type="paragraph" w:styleId="9">
    <w:name w:val="footer"/>
    <w:basedOn w:val="1"/>
    <w:link w:val="22"/>
    <w:qFormat/>
    <w:uiPriority w:val="99"/>
    <w:pPr>
      <w:tabs>
        <w:tab w:val="center" w:pos="4153"/>
        <w:tab w:val="right" w:pos="8306"/>
      </w:tabs>
      <w:snapToGrid w:val="0"/>
      <w:jc w:val="left"/>
    </w:pPr>
    <w:rPr>
      <w:rFonts w:ascii="Calibri" w:hAnsi="Calibri"/>
      <w:kern w:val="0"/>
      <w:sz w:val="18"/>
      <w:szCs w:val="18"/>
    </w:rPr>
  </w:style>
  <w:style w:type="paragraph" w:styleId="10">
    <w:name w:val="header"/>
    <w:basedOn w:val="1"/>
    <w:link w:val="20"/>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1">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2">
    <w:name w:val="toc 2"/>
    <w:basedOn w:val="1"/>
    <w:next w:val="1"/>
    <w:unhideWhenUsed/>
    <w:qFormat/>
    <w:uiPriority w:val="39"/>
    <w:pPr>
      <w:tabs>
        <w:tab w:val="right" w:leader="dot" w:pos="8296"/>
      </w:tabs>
      <w:ind w:left="420" w:leftChars="200"/>
    </w:pPr>
  </w:style>
  <w:style w:type="paragraph" w:styleId="13">
    <w:name w:val="Body Text First Indent 2"/>
    <w:basedOn w:val="6"/>
    <w:unhideWhenUsed/>
    <w:qFormat/>
    <w:uiPriority w:val="99"/>
    <w:pPr>
      <w:ind w:firstLine="420" w:firstLineChars="200"/>
    </w:pPr>
  </w:style>
  <w:style w:type="character" w:styleId="16">
    <w:name w:val="Strong"/>
    <w:basedOn w:val="15"/>
    <w:qFormat/>
    <w:uiPriority w:val="99"/>
    <w:rPr>
      <w:b/>
    </w:rPr>
  </w:style>
  <w:style w:type="character" w:styleId="17">
    <w:name w:val="Hyperlink"/>
    <w:basedOn w:val="15"/>
    <w:unhideWhenUsed/>
    <w:qFormat/>
    <w:uiPriority w:val="99"/>
    <w:rPr>
      <w:color w:val="0000FF" w:themeColor="hyperlink"/>
      <w:u w:val="single"/>
      <w14:textFill>
        <w14:solidFill>
          <w14:schemeClr w14:val="hlink"/>
        </w14:solidFill>
      </w14:textFill>
    </w:rPr>
  </w:style>
  <w:style w:type="paragraph" w:customStyle="1" w:styleId="18">
    <w:name w:val="标题 5（有编号）（绿盟科技）"/>
    <w:next w:val="1"/>
    <w:qFormat/>
    <w:uiPriority w:val="99"/>
    <w:pPr>
      <w:keepNext/>
      <w:keepLines/>
      <w:widowControl w:val="0"/>
      <w:spacing w:before="280" w:after="156" w:line="377" w:lineRule="auto"/>
      <w:jc w:val="left"/>
      <w:outlineLvl w:val="4"/>
    </w:pPr>
    <w:rPr>
      <w:rFonts w:ascii="Arial" w:hAnsi="Arial" w:eastAsia="黑体" w:cs="Times New Roman"/>
      <w:b/>
      <w:kern w:val="2"/>
      <w:sz w:val="24"/>
      <w:szCs w:val="28"/>
      <w:lang w:val="en-US" w:eastAsia="zh-CN" w:bidi="ar-SA"/>
    </w:rPr>
  </w:style>
  <w:style w:type="character" w:customStyle="1" w:styleId="19">
    <w:name w:val="Header Char"/>
    <w:basedOn w:val="15"/>
    <w:semiHidden/>
    <w:qFormat/>
    <w:uiPriority w:val="99"/>
    <w:rPr>
      <w:rFonts w:ascii="Times New Roman" w:hAnsi="Times New Roman"/>
      <w:sz w:val="18"/>
      <w:szCs w:val="18"/>
    </w:rPr>
  </w:style>
  <w:style w:type="character" w:customStyle="1" w:styleId="20">
    <w:name w:val="页眉 Char"/>
    <w:link w:val="10"/>
    <w:semiHidden/>
    <w:qFormat/>
    <w:locked/>
    <w:uiPriority w:val="99"/>
    <w:rPr>
      <w:sz w:val="18"/>
    </w:rPr>
  </w:style>
  <w:style w:type="character" w:customStyle="1" w:styleId="21">
    <w:name w:val="Footer Char"/>
    <w:basedOn w:val="15"/>
    <w:semiHidden/>
    <w:qFormat/>
    <w:uiPriority w:val="99"/>
    <w:rPr>
      <w:rFonts w:ascii="Times New Roman" w:hAnsi="Times New Roman"/>
      <w:sz w:val="18"/>
      <w:szCs w:val="18"/>
    </w:rPr>
  </w:style>
  <w:style w:type="character" w:customStyle="1" w:styleId="22">
    <w:name w:val="页脚 Char"/>
    <w:link w:val="9"/>
    <w:qFormat/>
    <w:locked/>
    <w:uiPriority w:val="99"/>
    <w:rPr>
      <w:sz w:val="18"/>
    </w:rPr>
  </w:style>
  <w:style w:type="character" w:customStyle="1" w:styleId="23">
    <w:name w:val="Body Text Char"/>
    <w:basedOn w:val="15"/>
    <w:semiHidden/>
    <w:qFormat/>
    <w:uiPriority w:val="99"/>
    <w:rPr>
      <w:rFonts w:ascii="Times New Roman" w:hAnsi="Times New Roman"/>
      <w:szCs w:val="24"/>
    </w:rPr>
  </w:style>
  <w:style w:type="character" w:customStyle="1" w:styleId="24">
    <w:name w:val="正文文本 Char"/>
    <w:link w:val="2"/>
    <w:qFormat/>
    <w:locked/>
    <w:uiPriority w:val="99"/>
    <w:rPr>
      <w:rFonts w:ascii="仿宋_GB2312" w:hAnsi="Times New Roman" w:eastAsia="仿宋_GB2312"/>
      <w:sz w:val="24"/>
    </w:rPr>
  </w:style>
  <w:style w:type="paragraph" w:customStyle="1" w:styleId="25">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6">
    <w:name w:val="List Paragraph"/>
    <w:basedOn w:val="1"/>
    <w:qFormat/>
    <w:uiPriority w:val="34"/>
    <w:pPr>
      <w:ind w:firstLine="420" w:firstLineChars="200"/>
    </w:pPr>
  </w:style>
  <w:style w:type="character" w:customStyle="1" w:styleId="27">
    <w:name w:val="标题 1 Char"/>
    <w:basedOn w:val="15"/>
    <w:link w:val="3"/>
    <w:qFormat/>
    <w:uiPriority w:val="9"/>
    <w:rPr>
      <w:rFonts w:ascii="Times New Roman" w:hAnsi="Times New Roman"/>
      <w:b/>
      <w:bCs/>
      <w:kern w:val="44"/>
      <w:sz w:val="44"/>
      <w:szCs w:val="44"/>
    </w:rPr>
  </w:style>
  <w:style w:type="character" w:customStyle="1" w:styleId="28">
    <w:name w:val="标题 2 Char"/>
    <w:basedOn w:val="15"/>
    <w:link w:val="4"/>
    <w:qFormat/>
    <w:uiPriority w:val="9"/>
    <w:rPr>
      <w:rFonts w:asciiTheme="majorHAnsi" w:hAnsiTheme="majorHAnsi" w:eastAsiaTheme="majorEastAsia" w:cstheme="majorBidi"/>
      <w:b/>
      <w:bCs/>
      <w:kern w:val="2"/>
      <w:sz w:val="32"/>
      <w:szCs w:val="32"/>
    </w:rPr>
  </w:style>
  <w:style w:type="paragraph" w:customStyle="1" w:styleId="29">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30">
    <w:name w:val="批注框文本 Char"/>
    <w:basedOn w:val="15"/>
    <w:link w:val="8"/>
    <w:semiHidden/>
    <w:qFormat/>
    <w:uiPriority w:val="99"/>
    <w:rPr>
      <w:rFonts w:ascii="Times New Roman" w:hAnsi="Times New Roman"/>
      <w:kern w:val="2"/>
      <w:sz w:val="18"/>
      <w:szCs w:val="18"/>
    </w:rPr>
  </w:style>
  <w:style w:type="character" w:customStyle="1" w:styleId="31">
    <w:name w:val="标题 3 Char"/>
    <w:basedOn w:val="15"/>
    <w:link w:val="5"/>
    <w:qFormat/>
    <w:uiPriority w:val="9"/>
    <w:rPr>
      <w:rFonts w:ascii="Times New Roman" w:hAnsi="Times New Roman"/>
      <w:b/>
      <w:bCs/>
      <w:kern w:val="2"/>
      <w:sz w:val="32"/>
      <w:szCs w:val="32"/>
    </w:rPr>
  </w:style>
  <w:style w:type="paragraph" w:customStyle="1" w:styleId="32">
    <w:name w:val="TOC Heading"/>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paragraph" w:customStyle="1" w:styleId="33">
    <w:name w:val="四号正文"/>
    <w:basedOn w:val="1"/>
    <w:qFormat/>
    <w:uiPriority w:val="0"/>
    <w:pPr>
      <w:spacing w:line="360" w:lineRule="auto"/>
    </w:pPr>
    <w:rPr>
      <w:rFonts w:ascii="??" w:hAnsi="??" w:eastAsia="宋体"/>
      <w:color w:val="000000"/>
      <w:kern w:val="0"/>
      <w:sz w:val="28"/>
      <w:szCs w:val="21"/>
      <w:lang w:val="zh-CN" w:eastAsia="zh-CN"/>
    </w:rPr>
  </w:style>
  <w:style w:type="paragraph" w:customStyle="1" w:styleId="34">
    <w:name w:val="ToCaption"/>
    <w:basedOn w:val="1"/>
    <w:next w:val="1"/>
    <w:qFormat/>
    <w:uiPriority w:val="0"/>
    <w:pPr>
      <w:ind w:left="200" w:leftChars="200" w:hanging="200" w:hangingChars="200"/>
      <w:jc w:val="both"/>
      <w:textAlignment w:val="baseline"/>
    </w:pPr>
    <w:rPr>
      <w:rFonts w:ascii="Calibri" w:hAnsi="Calibri" w:eastAsia="仿宋"/>
      <w:kern w:val="2"/>
      <w:sz w:val="32"/>
      <w:szCs w:val="24"/>
      <w:lang w:val="en-US" w:eastAsia="zh-CN" w:bidi="ar-SA"/>
    </w:rPr>
  </w:style>
  <w:style w:type="paragraph" w:customStyle="1" w:styleId="35">
    <w:name w:val="WPSOffice手动目录 1"/>
    <w:qFormat/>
    <w:uiPriority w:val="0"/>
    <w:pPr>
      <w:ind w:leftChars="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hart" Target="charts/chart7.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file:///F:\2&#25991;&#20214;&#22841;&#65288;&#20854;&#20182;&#65289;\&#20915;&#31639;&#20844;&#24320;\2022&#24180;&#20915;&#31639;&#25209;&#22797;&#20844;&#24320;\2022&#24180;&#20915;&#31639;&#24052;&#20013;&#24066;&#24052;&#24030;&#21306;&#24212;&#24613;&#31649;&#29702;&#23616;&#22270;&#34920;.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F:\2&#25991;&#20214;&#22841;&#65288;&#20854;&#20182;&#65289;\&#20915;&#31639;&#20844;&#24320;\2022&#24180;&#20915;&#31639;&#25209;&#22797;&#20844;&#24320;\2022&#24180;&#20915;&#31639;&#24052;&#20013;&#24066;&#24052;&#24030;&#21306;&#24212;&#24613;&#31649;&#29702;&#23616;&#22270;&#34920;.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F:\2&#25991;&#20214;&#22841;&#65288;&#20854;&#20182;&#65289;\&#20915;&#31639;&#20844;&#24320;\2022&#24180;&#20915;&#31639;&#25209;&#22797;&#20844;&#24320;\2022&#24180;&#20915;&#31639;&#24052;&#20013;&#24066;&#24052;&#24030;&#21306;&#24212;&#24613;&#31649;&#29702;&#23616;&#22270;&#34920;.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F:\2&#25991;&#20214;&#22841;&#65288;&#20854;&#20182;&#65289;\&#20915;&#31639;&#20844;&#24320;\2022&#24180;&#20915;&#31639;&#25209;&#22797;&#20844;&#24320;\2022&#24180;&#20915;&#31639;&#24052;&#20013;&#24066;&#24052;&#24030;&#21306;&#24212;&#24613;&#31649;&#29702;&#23616;&#22270;&#34920;.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E:\2&#25991;&#20214;&#22841;&#65288;&#20854;&#20182;&#65289;\&#20915;&#31639;&#20844;&#24320;\2022&#24180;&#20915;&#31639;&#25209;&#22797;&#20844;&#24320;\2022&#24180;&#20915;&#31639;&#24052;&#20013;&#24066;&#24052;&#24030;&#21306;&#24212;&#24613;&#31649;&#29702;&#23616;&#22270;&#34920;.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E:\2&#25991;&#20214;&#22841;&#65288;&#20854;&#20182;&#65289;\&#20915;&#31639;&#20844;&#24320;\2022&#24180;&#20915;&#31639;&#25209;&#22797;&#20844;&#24320;\2022&#24180;&#20915;&#31639;&#24052;&#20013;&#24066;&#24052;&#24030;&#21306;&#24212;&#24613;&#31649;&#29702;&#23616;&#22270;&#34920;.xls"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E:\2&#25991;&#20214;&#22841;&#65288;&#20854;&#20182;&#65289;\&#20915;&#31639;&#20844;&#24320;\2022&#24180;&#20915;&#31639;&#25209;&#22797;&#20844;&#24320;\2022&#24180;&#20915;&#31639;&#24052;&#20013;&#24066;&#24052;&#24030;&#21306;&#24212;&#24613;&#31649;&#29702;&#23616;&#22270;&#34920;.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收、支决算总计变动情况图（单位：万元）</a:t>
            </a:r>
            <a:endParaRPr sz="1400" b="0" i="0" u="none" strike="noStrike" baseline="0">
              <a:solidFill>
                <a:srgbClr val="595959">
                  <a:alpha val="100000"/>
                </a:srgbClr>
              </a:solidFill>
              <a:latin typeface="宋体" panose="02010600030101010101" charset="-122"/>
              <a:ea typeface="宋体" panose="02010600030101010101" charset="-122"/>
              <a:cs typeface="宋体" panose="02010600030101010101" charset="-122"/>
            </a:endParaRPr>
          </a:p>
        </c:rich>
      </c:tx>
      <c:layout/>
      <c:overlay val="0"/>
      <c:spPr>
        <a:noFill/>
        <a:ln>
          <a:noFill/>
        </a:ln>
        <a:effectLst/>
      </c:spPr>
    </c:title>
    <c:autoTitleDeleted val="0"/>
    <c:plotArea>
      <c:layout/>
      <c:barChart>
        <c:barDir val="col"/>
        <c:grouping val="clustered"/>
        <c:varyColors val="0"/>
        <c:ser>
          <c:idx val="0"/>
          <c:order val="0"/>
          <c:tx>
            <c:strRef>
              <c:f>[2022年决算巴中市巴州区应急管理局图表.xls]Sheet1!$A$3</c:f>
              <c:strCache>
                <c:ptCount val="1"/>
                <c:pt idx="0">
                  <c:v>收入</c:v>
                </c:pt>
              </c:strCache>
            </c:strRef>
          </c:tx>
          <c:spPr>
            <a:solidFill>
              <a:schemeClr val="accent1"/>
            </a:solidFill>
            <a:ln>
              <a:noFill/>
            </a:ln>
            <a:effectLst/>
          </c:spPr>
          <c:invertIfNegative val="0"/>
          <c:dLbls>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[2022年决算巴中市巴州区应急管理局图表.xls]Sheet1!$B$2:$C$2</c:f>
              <c:strCache>
                <c:ptCount val="2"/>
                <c:pt idx="0">
                  <c:v>2021年</c:v>
                </c:pt>
                <c:pt idx="1">
                  <c:v>2022年</c:v>
                </c:pt>
              </c:strCache>
            </c:strRef>
          </c:cat>
          <c:val>
            <c:numRef>
              <c:f>[2022年决算巴中市巴州区应急管理局图表.xls]Sheet1!$B$3:$C$3</c:f>
              <c:numCache>
                <c:formatCode>General</c:formatCode>
                <c:ptCount val="2"/>
                <c:pt idx="0">
                  <c:v>1183.26</c:v>
                </c:pt>
                <c:pt idx="1">
                  <c:v>3475.07</c:v>
                </c:pt>
              </c:numCache>
            </c:numRef>
          </c:val>
        </c:ser>
        <c:ser>
          <c:idx val="1"/>
          <c:order val="1"/>
          <c:tx>
            <c:strRef>
              <c:f>[2022年决算巴中市巴州区应急管理局图表.xls]Sheet1!$A$4</c:f>
              <c:strCache>
                <c:ptCount val="1"/>
                <c:pt idx="0">
                  <c:v>支出</c:v>
                </c:pt>
              </c:strCache>
            </c:strRef>
          </c:tx>
          <c:spPr>
            <a:solidFill>
              <a:schemeClr val="accent2"/>
            </a:solidFill>
            <a:ln>
              <a:noFill/>
            </a:ln>
            <a:effectLst/>
          </c:spPr>
          <c:invertIfNegative val="0"/>
          <c:dLbls>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[2022年决算巴中市巴州区应急管理局图表.xls]Sheet1!$B$2:$C$2</c:f>
              <c:strCache>
                <c:ptCount val="2"/>
                <c:pt idx="0">
                  <c:v>2021年</c:v>
                </c:pt>
                <c:pt idx="1">
                  <c:v>2022年</c:v>
                </c:pt>
              </c:strCache>
            </c:strRef>
          </c:cat>
          <c:val>
            <c:numRef>
              <c:f>[2022年决算巴中市巴州区应急管理局图表.xls]Sheet1!$B$4:$C$4</c:f>
              <c:numCache>
                <c:formatCode>General</c:formatCode>
                <c:ptCount val="2"/>
                <c:pt idx="0">
                  <c:v>1183.26</c:v>
                </c:pt>
                <c:pt idx="1">
                  <c:v>3475.07</c:v>
                </c:pt>
              </c:numCache>
            </c:numRef>
          </c:val>
        </c:ser>
        <c:dLbls>
          <c:showLegendKey val="0"/>
          <c:showVal val="0"/>
          <c:showCatName val="0"/>
          <c:showSerName val="0"/>
          <c:showPercent val="0"/>
          <c:showBubbleSize val="0"/>
        </c:dLbls>
        <c:gapWidth val="219"/>
        <c:overlap val="-27"/>
        <c:axId val="954290967"/>
        <c:axId val="72485024"/>
      </c:barChart>
      <c:catAx>
        <c:axId val="954290967"/>
        <c:scaling>
          <c:orientation val="minMax"/>
        </c:scaling>
        <c:delete val="0"/>
        <c:axPos val="b"/>
        <c:majorTickMark val="out"/>
        <c:minorTickMark val="none"/>
        <c:tickLblPos val="nextTo"/>
        <c:spPr>
          <a:noFill/>
          <a:ln w="9525" cap="flat" cmpd="sng" algn="ctr">
            <a:solidFill>
              <a:srgbClr val="000000"/>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2485024"/>
        <c:crosses val="autoZero"/>
        <c:auto val="1"/>
        <c:lblAlgn val="ctr"/>
        <c:lblOffset val="100"/>
        <c:noMultiLvlLbl val="0"/>
      </c:catAx>
      <c:valAx>
        <c:axId val="72485024"/>
        <c:scaling>
          <c:orientation val="minMax"/>
        </c:scaling>
        <c:delete val="0"/>
        <c:axPos val="l"/>
        <c:numFmt formatCode="General" sourceLinked="1"/>
        <c:majorTickMark val="out"/>
        <c:minorTickMark val="none"/>
        <c:tickLblPos val="nextTo"/>
        <c:spPr>
          <a:noFill/>
          <a:ln w="6350" cap="flat" cmpd="sng" algn="ctr">
            <a:solidFill>
              <a:srgbClr val="000000"/>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54290967"/>
        <c:crosses val="autoZero"/>
        <c:crossBetween val="between"/>
      </c:valAx>
      <c:spPr>
        <a:noFill/>
        <a:ln>
          <a:noFill/>
        </a:ln>
        <a:effectLst/>
      </c:spPr>
    </c:plotArea>
    <c:legend>
      <c:legendPos val="r"/>
      <c:layout>
        <c:manualLayout>
          <c:xMode val="edge"/>
          <c:yMode val="edge"/>
          <c:x val="0.8925"/>
          <c:y val="0.475"/>
          <c:w val="0.09075"/>
          <c:h val="0.1405"/>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wrap="square"/>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收入决算结构图</a:t>
            </a:r>
            <a:endParaRPr sz="1400" b="0" i="0" u="none" strike="noStrike" baseline="0">
              <a:solidFill>
                <a:srgbClr val="595959">
                  <a:alpha val="100000"/>
                </a:srgbClr>
              </a:solidFill>
              <a:latin typeface="宋体" panose="02010600030101010101" charset="-122"/>
              <a:ea typeface="宋体" panose="02010600030101010101" charset="-122"/>
              <a:cs typeface="宋体" panose="02010600030101010101" charset="-122"/>
            </a:endParaRPr>
          </a:p>
        </c:rich>
      </c:tx>
      <c:layout/>
      <c:overlay val="0"/>
      <c:spPr>
        <a:noFill/>
        <a:ln>
          <a:noFill/>
        </a:ln>
        <a:effectLst/>
      </c:spPr>
    </c:title>
    <c:autoTitleDeleted val="0"/>
    <c:plotArea>
      <c:layout/>
      <c:pieChart>
        <c:varyColors val="1"/>
        <c:ser>
          <c:idx val="0"/>
          <c:order val="0"/>
          <c:explosion val="0"/>
          <c:dPt>
            <c:idx val="0"/>
            <c:bubble3D val="0"/>
            <c:explosion val="0"/>
            <c:spPr>
              <a:solidFill>
                <a:schemeClr val="accent1"/>
              </a:solidFill>
              <a:ln w="19050">
                <a:solidFill>
                  <a:schemeClr val="lt1"/>
                </a:solidFill>
              </a:ln>
              <a:effectLst/>
            </c:spPr>
          </c:dPt>
          <c:dPt>
            <c:idx val="1"/>
            <c:bubble3D val="0"/>
            <c:explosion val="0"/>
            <c:spPr>
              <a:solidFill>
                <a:schemeClr val="accent2"/>
              </a:solidFill>
              <a:ln w="19050">
                <a:solidFill>
                  <a:schemeClr val="lt1"/>
                </a:solidFill>
              </a:ln>
              <a:effectLst/>
            </c:spPr>
          </c:dPt>
          <c:dPt>
            <c:idx val="2"/>
            <c:bubble3D val="0"/>
          </c:dPt>
          <c:dPt>
            <c:idx val="3"/>
            <c:bubble3D val="0"/>
          </c:dPt>
          <c:dPt>
            <c:idx val="4"/>
            <c:bubble3D val="0"/>
          </c:dPt>
          <c:dPt>
            <c:idx val="5"/>
            <c:bubble3D val="0"/>
          </c:dPt>
          <c:dPt>
            <c:idx val="6"/>
            <c:bubble3D val="0"/>
          </c:dPt>
          <c:dLbls>
            <c:dLbl>
              <c:idx val="0"/>
              <c:layout>
                <c:manualLayout>
                  <c:x val="-0.148782574348193"/>
                  <c:y val="-0.0949006185454298"/>
                </c:manualLayout>
              </c:layout>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1"/>
              <c:showBubbleSize val="0"/>
              <c:extLst>
                <c:ext xmlns:c15="http://schemas.microsoft.com/office/drawing/2012/chart" uri="{CE6537A1-D6FC-4f65-9D91-7224C49458BB}">
                  <c15:layout/>
                </c:ext>
              </c:extLst>
            </c:dLbl>
            <c:dLbl>
              <c:idx val="1"/>
              <c:delete val="1"/>
            </c:dLbl>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rgbClr val="969696">
                          <a:alpha val="100000"/>
                        </a:srgbClr>
                      </a:solidFill>
                      <a:prstDash val="solid"/>
                      <a:round/>
                    </a:ln>
                  </c:spPr>
                </c15:leaderLines>
              </c:ext>
            </c:extLst>
          </c:dLbls>
          <c:cat>
            <c:strRef>
              <c:f>[2022年决算巴中市巴州区应急管理局图表.xls]Sheet1!$A$23:$A$29</c:f>
              <c:strCache>
                <c:ptCount val="7"/>
                <c:pt idx="0">
                  <c:v>一般公共预算财政拨款收入</c:v>
                </c:pt>
                <c:pt idx="1">
                  <c:v>政府性基金预算财政拨款收入</c:v>
                </c:pt>
                <c:pt idx="2">
                  <c:v>上级补助收入</c:v>
                </c:pt>
                <c:pt idx="3">
                  <c:v>事业收入</c:v>
                </c:pt>
                <c:pt idx="4">
                  <c:v>经营收入</c:v>
                </c:pt>
                <c:pt idx="5">
                  <c:v>附属单位上缴收入</c:v>
                </c:pt>
                <c:pt idx="6">
                  <c:v>其他收入</c:v>
                </c:pt>
              </c:strCache>
            </c:strRef>
          </c:cat>
          <c:val>
            <c:numRef>
              <c:f>[2022年决算巴中市巴州区应急管理局图表.xls]Sheet1!$B$23:$B$29</c:f>
              <c:numCache>
                <c:formatCode>General</c:formatCode>
                <c:ptCount val="7"/>
                <c:pt idx="0">
                  <c:v>3475.07</c:v>
                </c:pt>
                <c:pt idx="1">
                  <c:v>0</c:v>
                </c:pt>
                <c:pt idx="2">
                  <c:v>0</c:v>
                </c:pt>
                <c:pt idx="3">
                  <c:v>0</c:v>
                </c:pt>
                <c:pt idx="4">
                  <c:v>0</c:v>
                </c:pt>
                <c:pt idx="5">
                  <c:v>0</c:v>
                </c:pt>
                <c:pt idx="6">
                  <c:v>0</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manualLayout>
          <c:xMode val="edge"/>
          <c:yMode val="edge"/>
          <c:x val="0.225683580465243"/>
          <c:y val="0.637104506232023"/>
          <c:w val="0.548224731329071"/>
          <c:h val="0.342761265580058"/>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wrap="square"/>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支出决算结构图</a:t>
            </a:r>
            <a:endParaRPr sz="1400" b="0" i="0" u="none" strike="noStrike" baseline="0">
              <a:solidFill>
                <a:srgbClr val="595959">
                  <a:alpha val="100000"/>
                </a:srgbClr>
              </a:solidFill>
              <a:latin typeface="宋体" panose="02010600030101010101" charset="-122"/>
              <a:ea typeface="宋体" panose="02010600030101010101" charset="-122"/>
              <a:cs typeface="宋体" panose="02010600030101010101" charset="-122"/>
            </a:endParaRPr>
          </a:p>
        </c:rich>
      </c:tx>
      <c:layout/>
      <c:overlay val="0"/>
      <c:spPr>
        <a:noFill/>
        <a:ln>
          <a:noFill/>
        </a:ln>
        <a:effectLst/>
      </c:spPr>
    </c:title>
    <c:autoTitleDeleted val="0"/>
    <c:plotArea>
      <c:layout/>
      <c:pieChart>
        <c:varyColors val="1"/>
        <c:ser>
          <c:idx val="0"/>
          <c:order val="0"/>
          <c:explosion val="0"/>
          <c:dPt>
            <c:idx val="0"/>
            <c:bubble3D val="0"/>
            <c:explosion val="0"/>
            <c:spPr>
              <a:solidFill>
                <a:schemeClr val="accent1"/>
              </a:solidFill>
              <a:ln w="19050">
                <a:solidFill>
                  <a:schemeClr val="lt1"/>
                </a:solidFill>
              </a:ln>
              <a:effectLst/>
            </c:spPr>
          </c:dPt>
          <c:dPt>
            <c:idx val="1"/>
            <c:bubble3D val="0"/>
            <c:explosion val="0"/>
            <c:spPr>
              <a:solidFill>
                <a:schemeClr val="accent2"/>
              </a:solidFill>
              <a:ln w="19050">
                <a:solidFill>
                  <a:schemeClr val="lt1"/>
                </a:solidFill>
              </a:ln>
              <a:effectLst/>
            </c:spPr>
          </c:dPt>
          <c:dLbls>
            <c:dLbl>
              <c:idx val="0"/>
              <c:layout>
                <c:manualLayout>
                  <c:x val="-0.117964432286571"/>
                  <c:y val="0.155224778182474"/>
                </c:manualLayout>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rPr sz="600"/>
                      <a:t>886.57，</a:t>
                    </a:r>
                    <a:r>
                      <a:rPr lang="en-US" altLang="zh-CN" sz="600"/>
                      <a:t>25.51%</a:t>
                    </a:r>
                    <a:endParaRPr lang="en-US" altLang="zh-CN" sz="600"/>
                  </a:p>
                </c:rich>
              </c:tx>
              <c:dLblPos val="bestFit"/>
              <c:showLegendKey val="0"/>
              <c:showVal val="1"/>
              <c:showCatName val="0"/>
              <c:showSerName val="0"/>
              <c:showPercent val="1"/>
              <c:showBubbleSize val="0"/>
              <c:extLst>
                <c:ext xmlns:c15="http://schemas.microsoft.com/office/drawing/2012/chart" uri="{CE6537A1-D6FC-4f65-9D91-7224C49458BB}">
                  <c15:layout>
                    <c:manualLayout>
                      <c:w val="0.190229963260308"/>
                      <c:h val="0.117103984450923"/>
                    </c:manualLayout>
                  </c15:layout>
                </c:ext>
              </c:extLst>
            </c:dLbl>
            <c:dLbl>
              <c:idx val="1"/>
              <c:layout/>
              <c:tx>
                <c:rich>
                  <a:bodyPr rot="0" spcFirstLastPara="0" vertOverflow="ellipsis" vert="horz" wrap="square" lIns="38100" tIns="19050" rIns="38100" bIns="19050" anchor="ctr" anchorCtr="1"/>
                  <a:lstStyle/>
                  <a:p>
                    <a:pPr defTabSz="914400">
                      <a:defRPr lang="zh-CN" sz="600" b="0" i="0" u="none" strike="noStrike" kern="1200" baseline="0">
                        <a:solidFill>
                          <a:schemeClr val="tx1">
                            <a:lumMod val="75000"/>
                            <a:lumOff val="25000"/>
                          </a:schemeClr>
                        </a:solidFill>
                        <a:latin typeface="+mn-lt"/>
                        <a:ea typeface="+mn-ea"/>
                        <a:cs typeface="+mn-cs"/>
                      </a:defRPr>
                    </a:pPr>
                    <a:r>
                      <a:rPr sz="600"/>
                      <a:t>2588.5，</a:t>
                    </a:r>
                    <a:r>
                      <a:rPr lang="en-US" altLang="zh-CN" sz="600"/>
                      <a:t>74.49%</a:t>
                    </a:r>
                    <a:endParaRPr lang="en-US" altLang="zh-CN" sz="600"/>
                  </a:p>
                </c:rich>
              </c:tx>
              <c:numFmt formatCode="General" sourceLinked="1"/>
              <c:spPr>
                <a:noFill/>
                <a:ln>
                  <a:noFill/>
                </a:ln>
                <a:effectLst/>
              </c:spPr>
              <c:txPr>
                <a:bodyPr rot="0" spcFirstLastPara="0" vertOverflow="ellipsis" vert="horz" wrap="square" lIns="38100" tIns="19050" rIns="38100" bIns="19050" anchor="ctr" anchorCtr="1"/>
                <a:lstStyle/>
                <a:p>
                  <a:pPr>
                    <a:defRPr lang="zh-CN" sz="600" b="0" i="0" u="none" strike="noStrike" kern="1200" baseline="0">
                      <a:solidFill>
                        <a:schemeClr val="tx1">
                          <a:lumMod val="75000"/>
                          <a:lumOff val="25000"/>
                        </a:schemeClr>
                      </a:solidFill>
                      <a:latin typeface="+mn-lt"/>
                      <a:ea typeface="+mn-ea"/>
                      <a:cs typeface="+mn-cs"/>
                    </a:defRPr>
                  </a:pPr>
                </a:p>
              </c:txPr>
              <c:dLblPos val="ctr"/>
              <c:showLegendKey val="0"/>
              <c:showVal val="1"/>
              <c:showCatName val="0"/>
              <c:showSerName val="0"/>
              <c:showPercent val="1"/>
              <c:showBubbleSize val="0"/>
              <c:extLst>
                <c:ext xmlns:c15="http://schemas.microsoft.com/office/drawing/2012/chart" uri="{CE6537A1-D6FC-4f65-9D91-7224C49458BB}">
                  <c15:layout>
                    <c:manualLayout>
                      <c:w val="0.206830861341679"/>
                      <c:h val="0.0728862973760933"/>
                    </c:manualLayout>
                  </c15:layout>
                </c:ext>
              </c:extLst>
            </c:dLbl>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ctr"/>
            <c:showLegendKey val="0"/>
            <c:showVal val="1"/>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rgbClr val="969696">
                          <a:alpha val="100000"/>
                        </a:srgbClr>
                      </a:solidFill>
                      <a:prstDash val="solid"/>
                      <a:round/>
                    </a:ln>
                  </c:spPr>
                </c15:leaderLines>
              </c:ext>
            </c:extLst>
          </c:dLbls>
          <c:cat>
            <c:strRef>
              <c:f>[2022年决算巴中市巴州区应急管理局图表.xls]Sheet1!$A$40:$A$41</c:f>
              <c:strCache>
                <c:ptCount val="2"/>
                <c:pt idx="0">
                  <c:v>基本支出</c:v>
                </c:pt>
                <c:pt idx="1">
                  <c:v>项目支出</c:v>
                </c:pt>
              </c:strCache>
            </c:strRef>
          </c:cat>
          <c:val>
            <c:numRef>
              <c:f>[2022年决算巴中市巴州区应急管理局图表.xls]Sheet1!$B$40:$B$41</c:f>
              <c:numCache>
                <c:formatCode>General</c:formatCode>
                <c:ptCount val="2"/>
                <c:pt idx="0">
                  <c:v>886.57</c:v>
                </c:pt>
                <c:pt idx="1">
                  <c:v>2588.5</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manualLayout>
          <c:xMode val="edge"/>
          <c:yMode val="edge"/>
          <c:x val="0.36325"/>
          <c:y val="0.895"/>
          <c:w val="0.27325"/>
          <c:h val="0.077"/>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wrap="square"/>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sz="1200"/>
              <a:t>财政拨款收、支决算总计变动情况（单位：万元）</a:t>
            </a:r>
            <a:endParaRPr sz="1200" b="0" i="0" u="none" strike="noStrike" baseline="0">
              <a:solidFill>
                <a:srgbClr val="595959">
                  <a:alpha val="100000"/>
                </a:srgbClr>
              </a:solidFill>
              <a:latin typeface="宋体" panose="02010600030101010101" charset="-122"/>
              <a:ea typeface="宋体" panose="02010600030101010101" charset="-122"/>
              <a:cs typeface="宋体" panose="02010600030101010101" charset="-122"/>
            </a:endParaRPr>
          </a:p>
        </c:rich>
      </c:tx>
      <c:layout/>
      <c:overlay val="0"/>
      <c:spPr>
        <a:noFill/>
        <a:ln>
          <a:noFill/>
        </a:ln>
        <a:effectLst/>
      </c:spPr>
    </c:title>
    <c:autoTitleDeleted val="0"/>
    <c:plotArea>
      <c:layout/>
      <c:barChart>
        <c:barDir val="col"/>
        <c:grouping val="clustered"/>
        <c:varyColors val="0"/>
        <c:ser>
          <c:idx val="0"/>
          <c:order val="0"/>
          <c:tx>
            <c:strRef>
              <c:f>[2022年决算巴中市巴州区应急管理局图表.xls]Sheet1!$A$3</c:f>
              <c:strCache>
                <c:ptCount val="1"/>
                <c:pt idx="0">
                  <c:v>收入</c:v>
                </c:pt>
              </c:strCache>
            </c:strRef>
          </c:tx>
          <c:spPr>
            <a:solidFill>
              <a:schemeClr val="accent1"/>
            </a:solidFill>
            <a:ln>
              <a:noFill/>
            </a:ln>
            <a:effectLst/>
          </c:spPr>
          <c:invertIfNegative val="0"/>
          <c:dLbls>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[2022年决算巴中市巴州区应急管理局图表.xls]Sheet1!$B$2:$C$2</c:f>
              <c:strCache>
                <c:ptCount val="2"/>
                <c:pt idx="0">
                  <c:v>2021年</c:v>
                </c:pt>
                <c:pt idx="1">
                  <c:v>2022年</c:v>
                </c:pt>
              </c:strCache>
            </c:strRef>
          </c:cat>
          <c:val>
            <c:numRef>
              <c:f>[2022年决算巴中市巴州区应急管理局图表.xls]Sheet1!$B$3:$C$3</c:f>
              <c:numCache>
                <c:formatCode>General</c:formatCode>
                <c:ptCount val="2"/>
                <c:pt idx="0">
                  <c:v>1183.26</c:v>
                </c:pt>
                <c:pt idx="1">
                  <c:v>3475.07</c:v>
                </c:pt>
              </c:numCache>
            </c:numRef>
          </c:val>
        </c:ser>
        <c:ser>
          <c:idx val="1"/>
          <c:order val="1"/>
          <c:tx>
            <c:strRef>
              <c:f>[2022年决算巴中市巴州区应急管理局图表.xls]Sheet1!$A$4</c:f>
              <c:strCache>
                <c:ptCount val="1"/>
                <c:pt idx="0">
                  <c:v>支出</c:v>
                </c:pt>
              </c:strCache>
            </c:strRef>
          </c:tx>
          <c:spPr>
            <a:solidFill>
              <a:schemeClr val="accent2"/>
            </a:solidFill>
            <a:ln>
              <a:noFill/>
            </a:ln>
            <a:effectLst/>
          </c:spPr>
          <c:invertIfNegative val="0"/>
          <c:dLbls>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[2022年决算巴中市巴州区应急管理局图表.xls]Sheet1!$B$2:$C$2</c:f>
              <c:strCache>
                <c:ptCount val="2"/>
                <c:pt idx="0">
                  <c:v>2021年</c:v>
                </c:pt>
                <c:pt idx="1">
                  <c:v>2022年</c:v>
                </c:pt>
              </c:strCache>
            </c:strRef>
          </c:cat>
          <c:val>
            <c:numRef>
              <c:f>[2022年决算巴中市巴州区应急管理局图表.xls]Sheet1!$B$4:$C$4</c:f>
              <c:numCache>
                <c:formatCode>General</c:formatCode>
                <c:ptCount val="2"/>
                <c:pt idx="0">
                  <c:v>1183.26</c:v>
                </c:pt>
                <c:pt idx="1">
                  <c:v>3475.07</c:v>
                </c:pt>
              </c:numCache>
            </c:numRef>
          </c:val>
        </c:ser>
        <c:dLbls>
          <c:showLegendKey val="0"/>
          <c:showVal val="0"/>
          <c:showCatName val="0"/>
          <c:showSerName val="0"/>
          <c:showPercent val="0"/>
          <c:showBubbleSize val="0"/>
        </c:dLbls>
        <c:gapWidth val="219"/>
        <c:overlap val="-27"/>
        <c:axId val="912733409"/>
        <c:axId val="466956510"/>
      </c:barChart>
      <c:catAx>
        <c:axId val="912733409"/>
        <c:scaling>
          <c:orientation val="minMax"/>
        </c:scaling>
        <c:delete val="0"/>
        <c:axPos val="b"/>
        <c:majorTickMark val="out"/>
        <c:minorTickMark val="none"/>
        <c:tickLblPos val="nextTo"/>
        <c:spPr>
          <a:noFill/>
          <a:ln w="9525" cap="flat" cmpd="sng" algn="ctr">
            <a:solidFill>
              <a:srgbClr val="000000"/>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66956510"/>
        <c:crosses val="autoZero"/>
        <c:auto val="1"/>
        <c:lblAlgn val="ctr"/>
        <c:lblOffset val="100"/>
        <c:noMultiLvlLbl val="0"/>
      </c:catAx>
      <c:valAx>
        <c:axId val="466956510"/>
        <c:scaling>
          <c:orientation val="minMax"/>
        </c:scaling>
        <c:delete val="0"/>
        <c:axPos val="l"/>
        <c:numFmt formatCode="General" sourceLinked="1"/>
        <c:majorTickMark val="out"/>
        <c:minorTickMark val="none"/>
        <c:tickLblPos val="nextTo"/>
        <c:spPr>
          <a:noFill/>
          <a:ln w="6350" cap="flat" cmpd="sng" algn="ctr">
            <a:solidFill>
              <a:srgbClr val="000000"/>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12733409"/>
        <c:crosses val="autoZero"/>
        <c:crossBetween val="between"/>
      </c:valAx>
      <c:spPr>
        <a:noFill/>
        <a:ln>
          <a:noFill/>
        </a:ln>
        <a:effectLst/>
      </c:spPr>
    </c:plotArea>
    <c:legend>
      <c:legendPos val="r"/>
      <c:layout>
        <c:manualLayout>
          <c:xMode val="edge"/>
          <c:yMode val="edge"/>
          <c:x val="0.8925"/>
          <c:y val="0.46925"/>
          <c:w val="0.09075"/>
          <c:h val="0.1405"/>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wrap="square"/>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sz="1000"/>
              <a:t>一般公共预算财政拨款支出决算变动情况（单位：万元）</a:t>
            </a:r>
            <a:endParaRPr sz="1000" b="0" i="0" u="none" strike="noStrike" baseline="0">
              <a:solidFill>
                <a:srgbClr val="595959">
                  <a:alpha val="100000"/>
                </a:srgbClr>
              </a:solidFill>
              <a:latin typeface="宋体" panose="02010600030101010101" charset="-122"/>
              <a:ea typeface="宋体" panose="02010600030101010101" charset="-122"/>
              <a:cs typeface="宋体" panose="02010600030101010101" charset="-122"/>
            </a:endParaRPr>
          </a:p>
        </c:rich>
      </c:tx>
      <c:layout>
        <c:manualLayout>
          <c:xMode val="edge"/>
          <c:yMode val="edge"/>
          <c:x val="0.14"/>
          <c:y val="0.0638888888888889"/>
        </c:manualLayout>
      </c:layout>
      <c:overlay val="0"/>
      <c:spPr>
        <a:noFill/>
        <a:ln>
          <a:noFill/>
        </a:ln>
        <a:effectLst/>
      </c:spPr>
    </c:title>
    <c:autoTitleDeleted val="0"/>
    <c:plotArea>
      <c:layout>
        <c:manualLayout>
          <c:layoutTarget val="inner"/>
          <c:xMode val="edge"/>
          <c:yMode val="edge"/>
          <c:x val="0.0857777777777778"/>
          <c:y val="0.156944444444444"/>
          <c:w val="0.882"/>
          <c:h val="0.733888888888889"/>
        </c:manualLayout>
      </c:layout>
      <c:barChart>
        <c:barDir val="col"/>
        <c:grouping val="clustered"/>
        <c:varyColors val="0"/>
        <c:ser>
          <c:idx val="0"/>
          <c:order val="0"/>
          <c:tx>
            <c:strRef>
              <c:f>[2022年决算巴中市巴州区应急管理局图表.xls]Sheet1!$A$78</c:f>
              <c:strCache>
                <c:ptCount val="1"/>
                <c:pt idx="0">
                  <c:v>支出</c:v>
                </c:pt>
              </c:strCache>
            </c:strRef>
          </c:tx>
          <c:spPr>
            <a:solidFill>
              <a:schemeClr val="accent1"/>
            </a:solidFill>
            <a:ln>
              <a:noFill/>
            </a:ln>
            <a:effectLst/>
          </c:spPr>
          <c:invertIfNegative val="0"/>
          <c:dLbls>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[2022年决算巴中市巴州区应急管理局图表.xls]Sheet1!$B$77:$C$77</c:f>
              <c:strCache>
                <c:ptCount val="2"/>
                <c:pt idx="0">
                  <c:v>2021年</c:v>
                </c:pt>
                <c:pt idx="1">
                  <c:v>2022年</c:v>
                </c:pt>
              </c:strCache>
            </c:strRef>
          </c:cat>
          <c:val>
            <c:numRef>
              <c:f>[2022年决算巴中市巴州区应急管理局图表.xls]Sheet1!$B$78:$C$78</c:f>
              <c:numCache>
                <c:formatCode>General</c:formatCode>
                <c:ptCount val="2"/>
                <c:pt idx="0">
                  <c:v>1183.26</c:v>
                </c:pt>
                <c:pt idx="1">
                  <c:v>3475.07</c:v>
                </c:pt>
              </c:numCache>
            </c:numRef>
          </c:val>
        </c:ser>
        <c:dLbls>
          <c:showLegendKey val="0"/>
          <c:showVal val="0"/>
          <c:showCatName val="0"/>
          <c:showSerName val="0"/>
          <c:showPercent val="0"/>
          <c:showBubbleSize val="0"/>
        </c:dLbls>
        <c:gapWidth val="219"/>
        <c:overlap val="-27"/>
        <c:axId val="860962772"/>
        <c:axId val="303398887"/>
      </c:barChart>
      <c:catAx>
        <c:axId val="860962772"/>
        <c:scaling>
          <c:orientation val="minMax"/>
        </c:scaling>
        <c:delete val="0"/>
        <c:axPos val="b"/>
        <c:majorTickMark val="out"/>
        <c:minorTickMark val="none"/>
        <c:tickLblPos val="nextTo"/>
        <c:spPr>
          <a:noFill/>
          <a:ln w="9525" cap="flat" cmpd="sng" algn="ctr">
            <a:solidFill>
              <a:srgbClr val="000000"/>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03398887"/>
        <c:crosses val="autoZero"/>
        <c:auto val="1"/>
        <c:lblAlgn val="ctr"/>
        <c:lblOffset val="100"/>
        <c:noMultiLvlLbl val="0"/>
      </c:catAx>
      <c:valAx>
        <c:axId val="303398887"/>
        <c:scaling>
          <c:orientation val="minMax"/>
        </c:scaling>
        <c:delete val="0"/>
        <c:axPos val="l"/>
        <c:numFmt formatCode="General" sourceLinked="1"/>
        <c:majorTickMark val="out"/>
        <c:minorTickMark val="none"/>
        <c:tickLblPos val="nextTo"/>
        <c:spPr>
          <a:noFill/>
          <a:ln w="6350" cap="flat" cmpd="sng" algn="ctr">
            <a:solidFill>
              <a:schemeClr val="tx1"/>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6096277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wrap="square"/>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sz="1200"/>
              <a:t>一般公共预算财政拨款支出决算结构（单位：万元）</a:t>
            </a:r>
            <a:endParaRPr sz="1200" b="0" i="0" u="none" strike="noStrike" baseline="0">
              <a:solidFill>
                <a:srgbClr val="595959">
                  <a:alpha val="100000"/>
                </a:srgbClr>
              </a:solidFill>
              <a:latin typeface="宋体" panose="02010600030101010101" charset="-122"/>
              <a:ea typeface="宋体" panose="02010600030101010101" charset="-122"/>
              <a:cs typeface="宋体" panose="02010600030101010101" charset="-122"/>
            </a:endParaRPr>
          </a:p>
        </c:rich>
      </c:tx>
      <c:layout/>
      <c:overlay val="0"/>
      <c:spPr>
        <a:noFill/>
        <a:ln>
          <a:noFill/>
        </a:ln>
        <a:effectLst/>
      </c:spPr>
    </c:title>
    <c:autoTitleDeleted val="0"/>
    <c:plotArea>
      <c:layout/>
      <c:pieChart>
        <c:varyColors val="1"/>
        <c:ser>
          <c:idx val="0"/>
          <c:order val="0"/>
          <c:explosion val="0"/>
          <c:dPt>
            <c:idx val="0"/>
            <c:bubble3D val="0"/>
            <c:explosion val="0"/>
            <c:spPr>
              <a:solidFill>
                <a:schemeClr val="accent1"/>
              </a:solidFill>
              <a:ln w="19050">
                <a:solidFill>
                  <a:schemeClr val="lt1"/>
                </a:solidFill>
              </a:ln>
              <a:effectLst/>
            </c:spPr>
          </c:dPt>
          <c:dPt>
            <c:idx val="1"/>
            <c:bubble3D val="0"/>
            <c:explosion val="0"/>
            <c:spPr>
              <a:solidFill>
                <a:schemeClr val="accent2"/>
              </a:solidFill>
              <a:ln w="19050">
                <a:solidFill>
                  <a:schemeClr val="lt1"/>
                </a:solidFill>
              </a:ln>
              <a:effectLst/>
            </c:spPr>
          </c:dPt>
          <c:dPt>
            <c:idx val="2"/>
            <c:bubble3D val="0"/>
            <c:explosion val="0"/>
            <c:spPr>
              <a:solidFill>
                <a:schemeClr val="accent3"/>
              </a:solidFill>
              <a:ln w="19050">
                <a:solidFill>
                  <a:schemeClr val="lt1"/>
                </a:solidFill>
              </a:ln>
              <a:effectLst/>
            </c:spPr>
          </c:dPt>
          <c:dPt>
            <c:idx val="3"/>
            <c:bubble3D val="0"/>
            <c:explosion val="0"/>
            <c:spPr>
              <a:solidFill>
                <a:schemeClr val="accent4"/>
              </a:solidFill>
              <a:ln w="19050">
                <a:solidFill>
                  <a:schemeClr val="lt1"/>
                </a:solidFill>
              </a:ln>
              <a:effectLst/>
            </c:spPr>
          </c:dPt>
          <c:dPt>
            <c:idx val="4"/>
            <c:bubble3D val="0"/>
          </c:dPt>
          <c:dLbls>
            <c:dLbl>
              <c:idx val="0"/>
              <c:layout>
                <c:manualLayout>
                  <c:x val="0.110768631479276"/>
                  <c:y val="-0.0117233273528885"/>
                </c:manualLayout>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t>59.86, </a:t>
                    </a:r>
                    <a:r>
                      <a:rPr lang="en-US" altLang="zh-CN"/>
                      <a:t>1.7</a:t>
                    </a:r>
                    <a:r>
                      <a:t>%</a:t>
                    </a:r>
                  </a:p>
                </c:rich>
              </c:tx>
              <c:dLblPos val="bestFit"/>
              <c:showLegendKey val="0"/>
              <c:showVal val="1"/>
              <c:showCatName val="0"/>
              <c:showSerName val="0"/>
              <c:showPercent val="1"/>
              <c:showBubbleSize val="0"/>
              <c:extLst>
                <c:ext xmlns:c15="http://schemas.microsoft.com/office/drawing/2012/chart" uri="{CE6537A1-D6FC-4f65-9D91-7224C49458BB}">
                  <c15:layout/>
                </c:ext>
              </c:extLst>
            </c:dLbl>
            <c:dLbl>
              <c:idx val="1"/>
              <c:layout>
                <c:manualLayout>
                  <c:x val="0.209324337331857"/>
                  <c:y val="0.0236201037744908"/>
                </c:manualLayout>
              </c:layout>
              <c:dLblPos val="bestFit"/>
              <c:showLegendKey val="0"/>
              <c:showVal val="1"/>
              <c:showCatName val="0"/>
              <c:showSerName val="0"/>
              <c:showPercent val="1"/>
              <c:showBubbleSize val="0"/>
              <c:extLst>
                <c:ext xmlns:c15="http://schemas.microsoft.com/office/drawing/2012/chart" uri="{CE6537A1-D6FC-4f65-9D91-7224C49458BB}">
                  <c15:layout/>
                </c:ext>
              </c:extLst>
            </c:dLbl>
            <c:dLbl>
              <c:idx val="2"/>
              <c:layout>
                <c:manualLayout>
                  <c:x val="0.168340040022723"/>
                  <c:y val="0.0826622061934886"/>
                </c:manualLayout>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t>58.85, </a:t>
                    </a:r>
                    <a:r>
                      <a:rPr lang="en-US" altLang="zh-CN"/>
                      <a:t>1.7</a:t>
                    </a:r>
                    <a:r>
                      <a:t>%</a:t>
                    </a:r>
                  </a:p>
                </c:rich>
              </c:tx>
              <c:dLblPos val="bestFit"/>
              <c:showLegendKey val="0"/>
              <c:showVal val="1"/>
              <c:showCatName val="0"/>
              <c:showSerName val="0"/>
              <c:showPercent val="1"/>
              <c:showBubbleSize val="0"/>
              <c:extLst>
                <c:ext xmlns:c15="http://schemas.microsoft.com/office/drawing/2012/chart" uri="{CE6537A1-D6FC-4f65-9D91-7224C49458BB}">
                  <c15:layout>
                    <c:manualLayout>
                      <c:w val="0.162222222222222"/>
                      <c:h val="0.0606481481481481"/>
                    </c:manualLayout>
                  </c15:layout>
                </c:ext>
              </c:extLst>
            </c:dLbl>
            <c:dLbl>
              <c:idx val="3"/>
              <c:layout>
                <c:manualLayout>
                  <c:x val="-0.0106693297597599"/>
                  <c:y val="-0.242565769566163"/>
                </c:manualLayout>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t>3319, 95</a:t>
                    </a:r>
                    <a:r>
                      <a:rPr lang="en-US" altLang="zh-CN"/>
                      <a:t>.5</a:t>
                    </a:r>
                    <a:r>
                      <a:t>%</a:t>
                    </a:r>
                  </a:p>
                </c:rich>
              </c:tx>
              <c:dLblPos val="bestFit"/>
              <c:showLegendKey val="0"/>
              <c:showVal val="1"/>
              <c:showCatName val="0"/>
              <c:showSerName val="0"/>
              <c:showPercent val="1"/>
              <c:showBubbleSize val="0"/>
              <c:extLst>
                <c:ext xmlns:c15="http://schemas.microsoft.com/office/drawing/2012/chart" uri="{CE6537A1-D6FC-4f65-9D91-7224C49458BB}">
                  <c15:layout/>
                </c:ext>
              </c:extLst>
            </c:dLbl>
            <c:dLbl>
              <c:idx val="4"/>
              <c:layout>
                <c:manualLayout>
                  <c:x val="-0.0694457179624518"/>
                  <c:y val="-0.0172751857906458"/>
                </c:manualLayout>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t>3.43, 0</a:t>
                    </a:r>
                    <a:r>
                      <a:rPr lang="en-US" altLang="zh-CN"/>
                      <a:t>.1</a:t>
                    </a:r>
                    <a:r>
                      <a:t>%</a:t>
                    </a:r>
                  </a:p>
                </c:rich>
              </c:tx>
              <c:dLblPos val="bestFit"/>
              <c:showLegendKey val="0"/>
              <c:showVal val="1"/>
              <c:showCatName val="0"/>
              <c:showSerName val="0"/>
              <c:showPercent val="1"/>
              <c:showBubbleSize val="0"/>
              <c:extLst>
                <c:ext xmlns:c15="http://schemas.microsoft.com/office/drawing/2012/chart" uri="{CE6537A1-D6FC-4f65-9D91-7224C49458BB}">
                  <c15:layout/>
                </c:ext>
              </c:extLst>
            </c:dLbl>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rgbClr val="969696">
                          <a:alpha val="100000"/>
                        </a:srgbClr>
                      </a:solidFill>
                      <a:prstDash val="solid"/>
                      <a:round/>
                    </a:ln>
                  </c:spPr>
                </c15:leaderLines>
              </c:ext>
            </c:extLst>
          </c:dLbls>
          <c:cat>
            <c:strRef>
              <c:f>[2022年决算巴中市巴州区应急管理局图表.xls]Sheet1!$A$98:$A$102</c:f>
              <c:strCache>
                <c:ptCount val="5"/>
                <c:pt idx="0">
                  <c:v>社会保障和就业支出</c:v>
                </c:pt>
                <c:pt idx="1">
                  <c:v>卫生健康支出</c:v>
                </c:pt>
                <c:pt idx="2">
                  <c:v>住房保障支出</c:v>
                </c:pt>
                <c:pt idx="3">
                  <c:v>灾害防治及应急管理支出</c:v>
                </c:pt>
                <c:pt idx="4">
                  <c:v>一般公共服务支出</c:v>
                </c:pt>
              </c:strCache>
            </c:strRef>
          </c:cat>
          <c:val>
            <c:numRef>
              <c:f>[2022年决算巴中市巴州区应急管理局图表.xls]Sheet1!$B$98:$B$102</c:f>
              <c:numCache>
                <c:formatCode>General</c:formatCode>
                <c:ptCount val="5"/>
                <c:pt idx="0">
                  <c:v>59.86</c:v>
                </c:pt>
                <c:pt idx="1">
                  <c:v>33.93</c:v>
                </c:pt>
                <c:pt idx="2">
                  <c:v>58.85</c:v>
                </c:pt>
                <c:pt idx="3">
                  <c:v>3319</c:v>
                </c:pt>
                <c:pt idx="4">
                  <c:v>3.43</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r"/>
      <c:layout>
        <c:manualLayout>
          <c:xMode val="edge"/>
          <c:yMode val="edge"/>
          <c:x val="0.587777777777778"/>
          <c:y val="0.485185185185185"/>
          <c:w val="0.378333333333333"/>
          <c:h val="0.497222222222222"/>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wrap="square"/>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“三公”经费财政拨款支出结构（单位：万元）</a:t>
            </a:r>
            <a:endParaRPr sz="1400" b="0" i="0" u="none" strike="noStrike" baseline="0">
              <a:solidFill>
                <a:srgbClr val="595959">
                  <a:alpha val="100000"/>
                </a:srgbClr>
              </a:solidFill>
              <a:latin typeface="宋体" panose="02010600030101010101" charset="-122"/>
              <a:ea typeface="宋体" panose="02010600030101010101" charset="-122"/>
              <a:cs typeface="宋体" panose="02010600030101010101" charset="-122"/>
            </a:endParaRPr>
          </a:p>
        </c:rich>
      </c:tx>
      <c:layout/>
      <c:overlay val="0"/>
      <c:spPr>
        <a:noFill/>
        <a:ln>
          <a:noFill/>
        </a:ln>
        <a:effectLst/>
      </c:spPr>
    </c:title>
    <c:autoTitleDeleted val="0"/>
    <c:plotArea>
      <c:layout/>
      <c:pieChart>
        <c:varyColors val="1"/>
        <c:ser>
          <c:idx val="0"/>
          <c:order val="0"/>
          <c:explosion val="0"/>
          <c:dPt>
            <c:idx val="0"/>
            <c:bubble3D val="0"/>
            <c:explosion val="0"/>
            <c:spPr>
              <a:solidFill>
                <a:schemeClr val="accent1"/>
              </a:solidFill>
              <a:ln w="19050">
                <a:solidFill>
                  <a:schemeClr val="lt1"/>
                </a:solidFill>
              </a:ln>
              <a:effectLst/>
            </c:spPr>
          </c:dPt>
          <c:dPt>
            <c:idx val="1"/>
            <c:bubble3D val="0"/>
            <c:explosion val="0"/>
            <c:spPr>
              <a:solidFill>
                <a:schemeClr val="accent2"/>
              </a:solidFill>
              <a:ln w="19050">
                <a:solidFill>
                  <a:schemeClr val="lt1"/>
                </a:solidFill>
              </a:ln>
              <a:effectLst/>
            </c:spPr>
          </c:dPt>
          <c:dPt>
            <c:idx val="2"/>
            <c:bubble3D val="0"/>
          </c:dPt>
          <c:dLbls>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ctr"/>
            <c:showLegendKey val="0"/>
            <c:showVal val="1"/>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rgbClr val="969696">
                          <a:alpha val="100000"/>
                        </a:srgbClr>
                      </a:solidFill>
                      <a:prstDash val="solid"/>
                      <a:round/>
                    </a:ln>
                  </c:spPr>
                </c15:leaderLines>
              </c:ext>
            </c:extLst>
          </c:dLbls>
          <c:cat>
            <c:strRef>
              <c:f>[2022年决算巴中市巴州区应急管理局图表.xls]Sheet1!$A$114:$A$116</c:f>
              <c:strCache>
                <c:ptCount val="3"/>
                <c:pt idx="0">
                  <c:v>公务用车购置及运行维护费</c:v>
                </c:pt>
                <c:pt idx="1">
                  <c:v>公务接待费</c:v>
                </c:pt>
                <c:pt idx="2">
                  <c:v>因公出国（境）费支出</c:v>
                </c:pt>
              </c:strCache>
            </c:strRef>
          </c:cat>
          <c:val>
            <c:numRef>
              <c:f>[2022年决算巴中市巴州区应急管理局图表.xls]Sheet1!$B$114:$B$116</c:f>
              <c:numCache>
                <c:formatCode>General</c:formatCode>
                <c:ptCount val="3"/>
                <c:pt idx="0">
                  <c:v>1.5</c:v>
                </c:pt>
                <c:pt idx="1">
                  <c:v>1.2</c:v>
                </c:pt>
                <c:pt idx="2">
                  <c:v>0</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r"/>
      <c:layout>
        <c:manualLayout>
          <c:xMode val="edge"/>
          <c:yMode val="edge"/>
          <c:x val="0.577361111111111"/>
          <c:y val="0.79495487155751"/>
          <c:w val="0.367083333333333"/>
          <c:h val="0.178893774589215"/>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wrap="square"/>
    <a:lstStyle/>
    <a:p>
      <a:pPr>
        <a:defRPr lang="zh-CN"/>
      </a:pPr>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四川省财政厅</Company>
  <Pages>42</Pages>
  <Words>16079</Words>
  <Characters>16978</Characters>
  <Lines>61</Lines>
  <Paragraphs>17</Paragraphs>
  <TotalTime>120</TotalTime>
  <ScaleCrop>false</ScaleCrop>
  <LinksUpToDate>false</LinksUpToDate>
  <CharactersWithSpaces>26329</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2020-08-05T01:49:00Z</dcterms:created>
  <dc:creator>曹颖</dc:creator>
  <cp:lastModifiedBy>花开花落、</cp:lastModifiedBy>
  <cp:lastPrinted>2023-07-31T02:35:00Z</cp:lastPrinted>
  <dcterms:modified xsi:type="dcterms:W3CDTF">2023-11-28T02:53:12Z</dcterms:modified>
  <dc:title>四川省***</dc:title>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C871859E1BBD46AC8B739D2FC4F03A5F_12</vt:lpwstr>
  </property>
</Properties>
</file>